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insoku w:val="0"/>
        <w:overflowPunct w:val="0"/>
        <w:ind w:left="0"/>
        <w:rPr>
          <w:rFonts w:hint="eastAsia" w:ascii="宋体" w:hAnsi="宋体" w:eastAsia="宋体" w:cs="宋体"/>
          <w:color w:val="auto"/>
          <w:sz w:val="18"/>
          <w:szCs w:val="22"/>
          <w:highlight w:val="none"/>
        </w:rPr>
      </w:pPr>
    </w:p>
    <w:p>
      <w:pPr>
        <w:pStyle w:val="12"/>
        <w:kinsoku w:val="0"/>
        <w:overflowPunct w:val="0"/>
        <w:ind w:left="0"/>
        <w:rPr>
          <w:rFonts w:hint="eastAsia" w:ascii="宋体" w:hAnsi="宋体" w:eastAsia="宋体" w:cs="宋体"/>
          <w:color w:val="auto"/>
          <w:sz w:val="18"/>
          <w:szCs w:val="22"/>
          <w:highlight w:val="none"/>
        </w:rPr>
      </w:pPr>
    </w:p>
    <w:p>
      <w:pPr>
        <w:pStyle w:val="12"/>
        <w:kinsoku w:val="0"/>
        <w:overflowPunct w:val="0"/>
        <w:ind w:left="0"/>
        <w:rPr>
          <w:rFonts w:hint="eastAsia" w:ascii="宋体" w:hAnsi="宋体" w:eastAsia="宋体" w:cs="宋体"/>
          <w:color w:val="auto"/>
          <w:sz w:val="18"/>
          <w:szCs w:val="22"/>
          <w:highlight w:val="none"/>
        </w:rPr>
      </w:pPr>
    </w:p>
    <w:p>
      <w:pPr>
        <w:pStyle w:val="12"/>
        <w:kinsoku w:val="0"/>
        <w:overflowPunct w:val="0"/>
        <w:ind w:left="0"/>
        <w:rPr>
          <w:rFonts w:hint="eastAsia" w:ascii="宋体" w:hAnsi="宋体" w:eastAsia="宋体" w:cs="宋体"/>
          <w:color w:val="auto"/>
          <w:sz w:val="18"/>
          <w:szCs w:val="22"/>
          <w:highlight w:val="none"/>
        </w:rPr>
      </w:pPr>
    </w:p>
    <w:p>
      <w:pPr>
        <w:spacing w:line="360" w:lineRule="auto"/>
        <w:jc w:val="center"/>
        <w:rPr>
          <w:rFonts w:hint="eastAsia" w:ascii="宋体" w:hAnsi="宋体" w:eastAsia="宋体" w:cs="宋体"/>
          <w:color w:val="auto"/>
          <w:sz w:val="56"/>
          <w:szCs w:val="56"/>
          <w:highlight w:val="none"/>
          <w:lang w:eastAsia="zh-CN"/>
        </w:rPr>
      </w:pPr>
      <w:r>
        <w:rPr>
          <w:rFonts w:hint="eastAsia" w:ascii="宋体" w:hAnsi="宋体" w:eastAsia="宋体" w:cs="宋体"/>
          <w:b/>
          <w:bCs/>
          <w:color w:val="auto"/>
          <w:sz w:val="52"/>
          <w:szCs w:val="52"/>
          <w:highlight w:val="none"/>
          <w:lang w:eastAsia="zh-CN"/>
        </w:rPr>
        <w:t>知识城塘面村河整治工程等11个水利项目用地报批征地前期工作咨询服务</w:t>
      </w:r>
    </w:p>
    <w:p>
      <w:pPr>
        <w:pStyle w:val="12"/>
        <w:kinsoku w:val="0"/>
        <w:overflowPunct w:val="0"/>
        <w:spacing w:before="2"/>
        <w:ind w:left="0"/>
        <w:rPr>
          <w:rFonts w:hint="eastAsia" w:ascii="宋体" w:hAnsi="宋体" w:eastAsia="宋体" w:cs="宋体"/>
          <w:color w:val="auto"/>
          <w:sz w:val="28"/>
          <w:szCs w:val="32"/>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106"/>
        <w:ind w:left="3" w:right="4"/>
        <w:jc w:val="center"/>
        <w:rPr>
          <w:rFonts w:hint="eastAsia" w:ascii="宋体" w:hAnsi="宋体" w:eastAsia="宋体" w:cs="宋体"/>
          <w:color w:val="auto"/>
          <w:sz w:val="44"/>
          <w:highlight w:val="none"/>
        </w:rPr>
      </w:pPr>
      <w:r>
        <w:rPr>
          <w:rFonts w:hint="eastAsia" w:ascii="宋体" w:hAnsi="宋体" w:eastAsia="宋体" w:cs="宋体"/>
          <w:color w:val="auto"/>
          <w:sz w:val="84"/>
          <w:highlight w:val="none"/>
        </w:rPr>
        <w:t>招标文件</w:t>
      </w: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spacing w:before="8"/>
        <w:ind w:left="0"/>
        <w:rPr>
          <w:rFonts w:hint="eastAsia" w:ascii="宋体" w:hAnsi="宋体" w:eastAsia="宋体" w:cs="宋体"/>
          <w:color w:val="auto"/>
          <w:sz w:val="33"/>
          <w:highlight w:val="none"/>
        </w:rPr>
      </w:pPr>
    </w:p>
    <w:p>
      <w:pPr>
        <w:spacing w:line="360" w:lineRule="auto"/>
        <w:ind w:firstLine="301" w:firstLineChars="100"/>
        <w:jc w:val="both"/>
        <w:outlineLvl w:val="9"/>
        <w:rPr>
          <w:rFonts w:hint="eastAsia" w:ascii="宋体" w:hAnsi="宋体" w:eastAsia="宋体" w:cs="宋体"/>
          <w:b/>
          <w:color w:val="auto"/>
          <w:sz w:val="30"/>
          <w:szCs w:val="30"/>
          <w:highlight w:val="none"/>
        </w:rPr>
      </w:pPr>
      <w:bookmarkStart w:id="0" w:name="_Toc7978"/>
      <w:bookmarkStart w:id="1" w:name="_Toc26203"/>
      <w:r>
        <w:rPr>
          <w:rFonts w:hint="eastAsia" w:ascii="宋体" w:hAnsi="宋体" w:eastAsia="宋体" w:cs="宋体"/>
          <w:b/>
          <w:color w:val="auto"/>
          <w:sz w:val="30"/>
          <w:szCs w:val="30"/>
          <w:highlight w:val="none"/>
        </w:rPr>
        <w:t>招标人：</w:t>
      </w:r>
      <w:r>
        <w:rPr>
          <w:rFonts w:hint="eastAsia" w:ascii="宋体" w:hAnsi="宋体" w:eastAsia="宋体" w:cs="宋体"/>
          <w:b/>
          <w:color w:val="auto"/>
          <w:sz w:val="30"/>
          <w:szCs w:val="30"/>
          <w:highlight w:val="none"/>
          <w:u w:val="single"/>
        </w:rPr>
        <w:t>中新广州知识城财政投资建设项目管理中心</w:t>
      </w:r>
      <w:r>
        <w:rPr>
          <w:rFonts w:hint="eastAsia" w:ascii="宋体" w:hAnsi="宋体" w:eastAsia="宋体" w:cs="宋体"/>
          <w:b/>
          <w:color w:val="auto"/>
          <w:sz w:val="30"/>
          <w:szCs w:val="30"/>
          <w:highlight w:val="none"/>
        </w:rPr>
        <w:t>（盖单位章）</w:t>
      </w:r>
      <w:bookmarkEnd w:id="0"/>
      <w:bookmarkEnd w:id="1"/>
    </w:p>
    <w:p>
      <w:pPr>
        <w:spacing w:line="360" w:lineRule="auto"/>
        <w:ind w:firstLine="301" w:firstLineChars="100"/>
        <w:jc w:val="both"/>
        <w:outlineLvl w:val="9"/>
        <w:rPr>
          <w:rFonts w:hint="eastAsia" w:ascii="宋体" w:hAnsi="宋体" w:eastAsia="宋体" w:cs="宋体"/>
          <w:b/>
          <w:color w:val="auto"/>
          <w:sz w:val="30"/>
          <w:szCs w:val="30"/>
          <w:highlight w:val="none"/>
        </w:rPr>
      </w:pPr>
      <w:bookmarkStart w:id="2" w:name="_Toc20907"/>
      <w:bookmarkStart w:id="3" w:name="_Toc19060"/>
      <w:r>
        <w:rPr>
          <w:rFonts w:hint="eastAsia" w:ascii="宋体" w:hAnsi="宋体" w:eastAsia="宋体" w:cs="宋体"/>
          <w:b/>
          <w:color w:val="auto"/>
          <w:sz w:val="30"/>
          <w:szCs w:val="30"/>
          <w:highlight w:val="none"/>
        </w:rPr>
        <w:t>招标代理机构：</w:t>
      </w:r>
      <w:r>
        <w:rPr>
          <w:rFonts w:hint="eastAsia" w:ascii="宋体" w:hAnsi="宋体" w:eastAsia="宋体" w:cs="宋体"/>
          <w:b/>
          <w:color w:val="auto"/>
          <w:sz w:val="30"/>
          <w:szCs w:val="30"/>
          <w:highlight w:val="none"/>
          <w:u w:val="single"/>
          <w:lang w:eastAsia="zh-CN"/>
        </w:rPr>
        <w:t>广东省国际工程咨询有限公司</w:t>
      </w:r>
      <w:r>
        <w:rPr>
          <w:rFonts w:hint="eastAsia" w:ascii="宋体" w:hAnsi="宋体" w:eastAsia="宋体" w:cs="宋体"/>
          <w:b/>
          <w:color w:val="auto"/>
          <w:sz w:val="30"/>
          <w:szCs w:val="30"/>
          <w:highlight w:val="none"/>
        </w:rPr>
        <w:t>（盖单位章）</w:t>
      </w:r>
      <w:bookmarkEnd w:id="2"/>
      <w:bookmarkEnd w:id="3"/>
    </w:p>
    <w:p>
      <w:pPr>
        <w:spacing w:line="360" w:lineRule="auto"/>
        <w:ind w:firstLine="301" w:firstLineChars="100"/>
        <w:jc w:val="both"/>
        <w:rPr>
          <w:rFonts w:hint="eastAsia" w:ascii="宋体" w:hAnsi="宋体" w:eastAsia="宋体" w:cs="宋体"/>
          <w:b/>
          <w:color w:val="auto"/>
          <w:sz w:val="30"/>
          <w:szCs w:val="30"/>
          <w:highlight w:val="none"/>
          <w:u w:val="none"/>
        </w:rPr>
      </w:pPr>
      <w:r>
        <w:rPr>
          <w:rFonts w:hint="eastAsia" w:ascii="宋体" w:hAnsi="宋体" w:eastAsia="宋体" w:cs="宋体"/>
          <w:b/>
          <w:color w:val="auto"/>
          <w:sz w:val="30"/>
          <w:szCs w:val="30"/>
          <w:highlight w:val="none"/>
          <w:lang w:val="en-US" w:eastAsia="zh-CN"/>
        </w:rPr>
        <w:t>日        期：</w:t>
      </w:r>
      <w:r>
        <w:rPr>
          <w:rFonts w:hint="eastAsia" w:ascii="宋体" w:hAnsi="宋体" w:eastAsia="宋体" w:cs="宋体"/>
          <w:b/>
          <w:color w:val="auto"/>
          <w:sz w:val="30"/>
          <w:szCs w:val="30"/>
          <w:highlight w:val="none"/>
          <w:u w:val="single"/>
        </w:rPr>
        <w:t>202</w:t>
      </w:r>
      <w:r>
        <w:rPr>
          <w:rFonts w:hint="eastAsia" w:ascii="宋体" w:hAnsi="宋体" w:eastAsia="宋体" w:cs="宋体"/>
          <w:b/>
          <w:color w:val="auto"/>
          <w:sz w:val="30"/>
          <w:szCs w:val="30"/>
          <w:highlight w:val="none"/>
          <w:u w:val="single"/>
          <w:lang w:val="en-US" w:eastAsia="zh-CN"/>
        </w:rPr>
        <w:t>5</w:t>
      </w:r>
      <w:r>
        <w:rPr>
          <w:rFonts w:hint="eastAsia" w:ascii="宋体" w:hAnsi="宋体" w:eastAsia="宋体" w:cs="宋体"/>
          <w:b/>
          <w:color w:val="auto"/>
          <w:sz w:val="30"/>
          <w:szCs w:val="30"/>
          <w:highlight w:val="none"/>
          <w:u w:val="single"/>
        </w:rPr>
        <w:t>年</w:t>
      </w:r>
      <w:r>
        <w:rPr>
          <w:rFonts w:hint="eastAsia" w:ascii="宋体" w:hAnsi="宋体" w:cs="宋体"/>
          <w:b/>
          <w:color w:val="auto"/>
          <w:sz w:val="30"/>
          <w:szCs w:val="30"/>
          <w:highlight w:val="none"/>
          <w:u w:val="single"/>
          <w:lang w:val="en-US" w:eastAsia="zh-CN"/>
        </w:rPr>
        <w:t>7</w:t>
      </w:r>
      <w:r>
        <w:rPr>
          <w:rFonts w:hint="eastAsia" w:ascii="宋体" w:hAnsi="宋体" w:eastAsia="宋体" w:cs="宋体"/>
          <w:b/>
          <w:color w:val="auto"/>
          <w:sz w:val="30"/>
          <w:szCs w:val="30"/>
          <w:highlight w:val="none"/>
          <w:u w:val="single"/>
        </w:rPr>
        <w:t>月</w:t>
      </w:r>
    </w:p>
    <w:p>
      <w:pPr>
        <w:pStyle w:val="12"/>
        <w:tabs>
          <w:tab w:val="left" w:pos="3611"/>
          <w:tab w:val="left" w:pos="4626"/>
          <w:tab w:val="left" w:pos="5642"/>
        </w:tabs>
        <w:kinsoku w:val="0"/>
        <w:overflowPunct w:val="0"/>
        <w:spacing w:line="360" w:lineRule="auto"/>
        <w:ind w:left="2877" w:right="175"/>
        <w:rPr>
          <w:rFonts w:hint="eastAsia" w:ascii="宋体" w:hAnsi="宋体" w:eastAsia="宋体" w:cs="宋体"/>
          <w:color w:val="auto"/>
          <w:sz w:val="30"/>
          <w:szCs w:val="30"/>
          <w:highlight w:val="none"/>
        </w:rPr>
        <w:sectPr>
          <w:footerReference r:id="rId3" w:type="default"/>
          <w:pgSz w:w="11905" w:h="16838"/>
          <w:pgMar w:top="1417" w:right="1417" w:bottom="1417" w:left="1417" w:header="720" w:footer="720" w:gutter="0"/>
          <w:cols w:space="720" w:num="1"/>
        </w:sectPr>
      </w:pPr>
    </w:p>
    <w:p>
      <w:pPr>
        <w:rPr>
          <w:rFonts w:hint="eastAsia" w:ascii="宋体" w:hAnsi="宋体" w:eastAsia="宋体" w:cs="宋体"/>
          <w:b/>
          <w:bCs/>
          <w:color w:val="auto"/>
          <w:highlight w:val="none"/>
        </w:rPr>
      </w:pPr>
    </w:p>
    <w:p>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目录</w:t>
      </w:r>
    </w:p>
    <w:p>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bidi="ar-SA"/>
        </w:rPr>
        <w:fldChar w:fldCharType="begin"/>
      </w:r>
      <w:r>
        <w:rPr>
          <w:rFonts w:hint="eastAsia" w:ascii="宋体" w:hAnsi="宋体" w:eastAsia="宋体" w:cs="宋体"/>
          <w:b/>
          <w:bCs/>
          <w:color w:val="auto"/>
          <w:sz w:val="24"/>
          <w:szCs w:val="24"/>
          <w:highlight w:val="none"/>
          <w:lang w:val="en-US" w:eastAsia="zh-CN" w:bidi="ar-SA"/>
        </w:rPr>
        <w:instrText xml:space="preserve">TOC \o "1-2" \h \u </w:instrText>
      </w:r>
      <w:r>
        <w:rPr>
          <w:rFonts w:hint="eastAsia" w:ascii="宋体" w:hAnsi="宋体" w:eastAsia="宋体" w:cs="宋体"/>
          <w:b/>
          <w:bCs/>
          <w:color w:val="auto"/>
          <w:sz w:val="24"/>
          <w:szCs w:val="24"/>
          <w:highlight w:val="none"/>
          <w:lang w:val="en-US" w:eastAsia="zh-CN" w:bidi="ar-SA"/>
        </w:rPr>
        <w:fldChar w:fldCharType="separate"/>
      </w: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_Toc7879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szCs w:val="52"/>
          <w:highlight w:val="none"/>
        </w:rPr>
        <w:t>第一卷</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_Toc16689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第一章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_Toc16689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_Toc21520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第二章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_Toc21520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_Toc4755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第三章 评</w:t>
      </w:r>
      <w:r>
        <w:rPr>
          <w:rFonts w:hint="eastAsia" w:ascii="宋体" w:hAnsi="宋体" w:eastAsia="宋体" w:cs="宋体"/>
          <w:b/>
          <w:bCs/>
          <w:color w:val="auto"/>
          <w:highlight w:val="none"/>
          <w:lang w:val="en-US" w:eastAsia="zh-CN"/>
        </w:rPr>
        <w:t>标</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定</w:t>
      </w:r>
      <w:r>
        <w:rPr>
          <w:rFonts w:hint="eastAsia" w:ascii="宋体" w:hAnsi="宋体" w:eastAsia="宋体" w:cs="宋体"/>
          <w:b/>
          <w:bCs/>
          <w:color w:val="auto"/>
          <w:highlight w:val="none"/>
        </w:rPr>
        <w:t>标办法（</w:t>
      </w:r>
      <w:r>
        <w:rPr>
          <w:rFonts w:hint="eastAsia" w:ascii="宋体" w:hAnsi="宋体" w:eastAsia="宋体" w:cs="宋体"/>
          <w:b/>
          <w:bCs/>
          <w:color w:val="auto"/>
          <w:highlight w:val="none"/>
          <w:lang w:val="en-US" w:eastAsia="zh-CN"/>
        </w:rPr>
        <w:t>评定分离</w:t>
      </w:r>
      <w:r>
        <w:rPr>
          <w:rFonts w:hint="eastAsia" w:ascii="宋体" w:hAnsi="宋体" w:eastAsia="宋体" w:cs="宋体"/>
          <w:b/>
          <w:bCs/>
          <w:color w:val="auto"/>
          <w:highlight w:val="none"/>
        </w:rPr>
        <w:t>）</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_Toc4755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color w:val="auto"/>
          <w:highlight w:val="none"/>
          <w:lang w:val="en-US"/>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_Toc345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第四章 合同条款及格式</w:t>
      </w:r>
      <w:r>
        <w:rPr>
          <w:rFonts w:hint="eastAsia" w:ascii="宋体" w:hAnsi="宋体" w:eastAsia="宋体" w:cs="宋体"/>
          <w:b/>
          <w:bCs/>
          <w:color w:val="auto"/>
          <w:highlight w:val="none"/>
        </w:rPr>
        <w:tab/>
      </w:r>
      <w:r>
        <w:rPr>
          <w:rFonts w:hint="eastAsia" w:ascii="宋体" w:hAnsi="宋体" w:eastAsia="宋体" w:cs="宋体"/>
          <w:b/>
          <w:bCs/>
          <w:color w:val="auto"/>
          <w:szCs w:val="24"/>
          <w:highlight w:val="none"/>
          <w:lang w:val="en-US" w:eastAsia="zh-CN" w:bidi="ar-SA"/>
        </w:rPr>
        <w:fldChar w:fldCharType="end"/>
      </w:r>
      <w:r>
        <w:rPr>
          <w:rFonts w:hint="eastAsia" w:ascii="宋体" w:hAnsi="宋体" w:cs="宋体"/>
          <w:b/>
          <w:bCs/>
          <w:color w:val="auto"/>
          <w:szCs w:val="24"/>
          <w:highlight w:val="none"/>
          <w:lang w:val="en-US" w:eastAsia="zh-CN" w:bidi="ar-SA"/>
        </w:rPr>
        <w:t>55</w:t>
      </w:r>
    </w:p>
    <w:p>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_Toc18183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szCs w:val="52"/>
          <w:highlight w:val="none"/>
        </w:rPr>
        <w:t>第二卷</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_Toc18183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68</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_Toc19753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第五章 委托人要求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_Toc19753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_Toc19889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szCs w:val="52"/>
          <w:highlight w:val="none"/>
        </w:rPr>
        <w:t>第三卷</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_Toc19889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_Toc2561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highlight w:val="none"/>
        </w:rPr>
        <w:t>第六章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_Toc2561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szCs w:val="24"/>
          <w:highlight w:val="none"/>
          <w:lang w:val="en-US" w:eastAsia="zh-CN" w:bidi="ar-SA"/>
        </w:rPr>
        <w:fldChar w:fldCharType="begin"/>
      </w:r>
      <w:r>
        <w:rPr>
          <w:rFonts w:hint="eastAsia" w:ascii="宋体" w:hAnsi="宋体" w:eastAsia="宋体" w:cs="宋体"/>
          <w:b/>
          <w:bCs/>
          <w:color w:val="auto"/>
          <w:szCs w:val="24"/>
          <w:highlight w:val="none"/>
          <w:lang w:val="en-US" w:eastAsia="zh-CN" w:bidi="ar-SA"/>
        </w:rPr>
        <w:instrText xml:space="preserve"> HYPERLINK \l _Toc30542 </w:instrText>
      </w:r>
      <w:r>
        <w:rPr>
          <w:rFonts w:hint="eastAsia" w:ascii="宋体" w:hAnsi="宋体" w:eastAsia="宋体" w:cs="宋体"/>
          <w:b/>
          <w:bCs/>
          <w:color w:val="auto"/>
          <w:szCs w:val="24"/>
          <w:highlight w:val="none"/>
          <w:lang w:val="en-US" w:eastAsia="zh-CN" w:bidi="ar-SA"/>
        </w:rPr>
        <w:fldChar w:fldCharType="separate"/>
      </w:r>
      <w:r>
        <w:rPr>
          <w:rFonts w:hint="eastAsia" w:ascii="宋体" w:hAnsi="宋体" w:eastAsia="宋体" w:cs="宋体"/>
          <w:b/>
          <w:bCs/>
          <w:color w:val="auto"/>
          <w:szCs w:val="44"/>
          <w:highlight w:val="none"/>
        </w:rPr>
        <w:t>第七章 投标人须知前附表规定的其他资料。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_Toc30542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lang w:val="en-US" w:eastAsia="zh-CN" w:bidi="ar-SA"/>
        </w:rPr>
        <w:fldChar w:fldCharType="end"/>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en-US" w:eastAsia="zh-CN" w:bidi="ar-SA"/>
        </w:rPr>
        <w:sectPr>
          <w:pgSz w:w="11905" w:h="16838"/>
          <w:pgMar w:top="1417" w:right="1417" w:bottom="1417" w:left="1417" w:header="720" w:footer="720" w:gutter="0"/>
          <w:cols w:space="720" w:num="1"/>
        </w:sectPr>
      </w:pPr>
      <w:r>
        <w:rPr>
          <w:rFonts w:hint="eastAsia" w:ascii="宋体" w:hAnsi="宋体" w:eastAsia="宋体" w:cs="宋体"/>
          <w:b/>
          <w:bCs/>
          <w:color w:val="auto"/>
          <w:szCs w:val="24"/>
          <w:highlight w:val="none"/>
          <w:lang w:val="en-US" w:eastAsia="zh-CN" w:bidi="ar-SA"/>
        </w:rPr>
        <w:fldChar w:fldCharType="end"/>
      </w:r>
    </w:p>
    <w:p>
      <w:pPr>
        <w:pStyle w:val="2"/>
        <w:spacing w:before="5280" w:beforeLines="2200"/>
        <w:ind w:left="6"/>
        <w:jc w:val="center"/>
        <w:rPr>
          <w:rFonts w:hint="eastAsia" w:ascii="宋体" w:hAnsi="宋体" w:eastAsia="宋体" w:cs="宋体"/>
          <w:color w:val="auto"/>
          <w:sz w:val="52"/>
          <w:szCs w:val="52"/>
          <w:highlight w:val="none"/>
        </w:rPr>
      </w:pPr>
      <w:bookmarkStart w:id="4" w:name="bookmark0"/>
      <w:bookmarkEnd w:id="4"/>
      <w:bookmarkStart w:id="5" w:name="_Toc21920"/>
      <w:bookmarkStart w:id="6" w:name="_Toc7879"/>
      <w:bookmarkStart w:id="7" w:name="_Toc17992"/>
      <w:bookmarkStart w:id="8" w:name="_Toc32368"/>
      <w:r>
        <w:rPr>
          <w:rFonts w:hint="eastAsia" w:ascii="宋体" w:hAnsi="宋体" w:eastAsia="宋体" w:cs="宋体"/>
          <w:color w:val="auto"/>
          <w:sz w:val="52"/>
          <w:szCs w:val="52"/>
          <w:highlight w:val="none"/>
        </w:rPr>
        <w:t>第一卷</w:t>
      </w:r>
      <w:bookmarkEnd w:id="5"/>
      <w:bookmarkEnd w:id="6"/>
      <w:bookmarkEnd w:id="7"/>
      <w:bookmarkEnd w:id="8"/>
    </w:p>
    <w:p>
      <w:pPr>
        <w:pStyle w:val="2"/>
        <w:kinsoku w:val="0"/>
        <w:overflowPunct w:val="0"/>
        <w:spacing w:before="5280" w:beforeLines="2200"/>
        <w:ind w:left="6" w:right="1"/>
        <w:outlineLvl w:val="9"/>
        <w:rPr>
          <w:rFonts w:hint="eastAsia" w:ascii="宋体" w:hAnsi="宋体" w:eastAsia="宋体" w:cs="宋体"/>
          <w:b w:val="0"/>
          <w:color w:val="auto"/>
          <w:highlight w:val="none"/>
        </w:rPr>
        <w:sectPr>
          <w:footerReference r:id="rId4" w:type="default"/>
          <w:pgSz w:w="11905" w:h="16838"/>
          <w:pgMar w:top="1417" w:right="1417" w:bottom="1417" w:left="1417" w:header="720" w:footer="720" w:gutter="0"/>
          <w:cols w:space="720" w:num="1"/>
        </w:sectPr>
      </w:pPr>
    </w:p>
    <w:p>
      <w:pPr>
        <w:pStyle w:val="4"/>
        <w:jc w:val="center"/>
        <w:outlineLvl w:val="1"/>
        <w:rPr>
          <w:rFonts w:hint="eastAsia" w:ascii="宋体" w:hAnsi="宋体" w:eastAsia="宋体" w:cs="宋体"/>
          <w:color w:val="auto"/>
          <w:sz w:val="44"/>
          <w:highlight w:val="none"/>
        </w:rPr>
      </w:pPr>
      <w:bookmarkStart w:id="9" w:name="bookmark1"/>
      <w:bookmarkEnd w:id="9"/>
      <w:bookmarkStart w:id="10" w:name="_Toc16689"/>
      <w:bookmarkStart w:id="11" w:name="_Toc28822"/>
      <w:bookmarkStart w:id="12" w:name="_Toc2599"/>
      <w:bookmarkStart w:id="13" w:name="_Toc2998"/>
      <w:r>
        <w:rPr>
          <w:rFonts w:hint="eastAsia" w:ascii="宋体" w:hAnsi="宋体" w:eastAsia="宋体" w:cs="宋体"/>
          <w:color w:val="auto"/>
          <w:sz w:val="44"/>
          <w:highlight w:val="none"/>
        </w:rPr>
        <w:t>第一章 招标公告</w:t>
      </w:r>
      <w:bookmarkEnd w:id="10"/>
      <w:bookmarkEnd w:id="11"/>
      <w:bookmarkEnd w:id="12"/>
      <w:bookmarkEnd w:id="13"/>
    </w:p>
    <w:p>
      <w:pPr>
        <w:spacing w:before="240" w:beforeLines="100" w:after="240" w:afterLines="100" w:line="360" w:lineRule="auto"/>
        <w:jc w:val="center"/>
        <w:rPr>
          <w:rFonts w:hint="eastAsia" w:ascii="宋体" w:hAnsi="宋体" w:eastAsia="宋体" w:cs="宋体"/>
          <w:b/>
          <w:color w:val="auto"/>
          <w:sz w:val="30"/>
          <w:highlight w:val="none"/>
        </w:rPr>
      </w:pPr>
    </w:p>
    <w:p>
      <w:pPr>
        <w:pStyle w:val="12"/>
        <w:kinsoku w:val="0"/>
        <w:overflowPunct w:val="0"/>
        <w:ind w:left="0"/>
        <w:jc w:val="center"/>
        <w:rPr>
          <w:rFonts w:hint="eastAsia" w:ascii="宋体" w:hAnsi="宋体" w:eastAsia="宋体" w:cs="宋体"/>
          <w:color w:val="auto"/>
          <w:sz w:val="20"/>
          <w:highlight w:val="none"/>
        </w:rPr>
      </w:pPr>
      <w:r>
        <w:rPr>
          <w:rFonts w:hint="eastAsia" w:ascii="宋体" w:hAnsi="宋体" w:eastAsia="宋体" w:cs="Courier New"/>
          <w:b/>
          <w:bCs/>
          <w:color w:val="auto"/>
          <w:sz w:val="28"/>
          <w:szCs w:val="28"/>
          <w:highlight w:val="none"/>
        </w:rPr>
        <w:t>（另册）</w:t>
      </w:r>
    </w:p>
    <w:p>
      <w:pPr>
        <w:topLinePunct w:val="0"/>
        <w:spacing w:line="240" w:lineRule="auto"/>
        <w:ind w:right="0" w:firstLine="0" w:firstLineChars="0"/>
        <w:rPr>
          <w:rFonts w:hint="eastAsia" w:ascii="宋体" w:hAnsi="宋体" w:eastAsia="宋体" w:cs="宋体"/>
          <w:color w:val="auto"/>
          <w:highlight w:val="none"/>
        </w:rPr>
      </w:pPr>
      <w:bookmarkStart w:id="14" w:name="bookmark2"/>
      <w:bookmarkEnd w:id="14"/>
    </w:p>
    <w:p>
      <w:pPr>
        <w:keepNext w:val="0"/>
        <w:keepLines w:val="0"/>
        <w:pageBreakBefore w:val="0"/>
        <w:widowControl w:val="0"/>
        <w:kinsoku/>
        <w:wordWrap/>
        <w:overflowPunct/>
        <w:topLinePunct/>
        <w:autoSpaceDE/>
        <w:autoSpaceDN/>
        <w:bidi w:val="0"/>
        <w:spacing w:line="360" w:lineRule="auto"/>
        <w:ind w:left="120" w:right="240" w:hanging="120" w:hangingChars="50"/>
        <w:jc w:val="left"/>
        <w:textAlignment w:val="auto"/>
        <w:rPr>
          <w:rFonts w:hint="eastAsia" w:ascii="宋体" w:hAnsi="宋体" w:eastAsia="宋体" w:cs="宋体"/>
          <w:color w:val="auto"/>
          <w:sz w:val="24"/>
          <w:szCs w:val="24"/>
          <w:highlight w:val="none"/>
        </w:rPr>
      </w:pPr>
    </w:p>
    <w:p>
      <w:pPr>
        <w:pStyle w:val="12"/>
        <w:tabs>
          <w:tab w:val="left" w:pos="5880"/>
          <w:tab w:val="left" w:pos="6826"/>
          <w:tab w:val="left" w:pos="7769"/>
        </w:tabs>
        <w:kinsoku w:val="0"/>
        <w:overflowPunct w:val="0"/>
        <w:spacing w:before="198" w:line="360" w:lineRule="auto"/>
        <w:ind w:left="5146" w:right="113"/>
        <w:rPr>
          <w:rFonts w:hint="eastAsia" w:ascii="宋体" w:hAnsi="宋体" w:eastAsia="宋体" w:cs="宋体"/>
          <w:color w:val="auto"/>
          <w:sz w:val="24"/>
          <w:highlight w:val="none"/>
        </w:rPr>
        <w:sectPr>
          <w:pgSz w:w="11905" w:h="16838"/>
          <w:pgMar w:top="1417" w:right="1417" w:bottom="1417" w:left="1417" w:header="720" w:footer="720" w:gutter="0"/>
          <w:cols w:space="720" w:num="1"/>
        </w:sectPr>
      </w:pPr>
    </w:p>
    <w:p>
      <w:pPr>
        <w:pStyle w:val="4"/>
        <w:jc w:val="center"/>
        <w:outlineLvl w:val="1"/>
        <w:rPr>
          <w:rFonts w:hint="eastAsia" w:ascii="宋体" w:hAnsi="宋体" w:eastAsia="宋体" w:cs="宋体"/>
          <w:b w:val="0"/>
          <w:color w:val="auto"/>
          <w:sz w:val="57"/>
          <w:highlight w:val="none"/>
        </w:rPr>
      </w:pPr>
      <w:bookmarkStart w:id="15" w:name="bookmark9"/>
      <w:bookmarkEnd w:id="15"/>
      <w:bookmarkStart w:id="16" w:name="bookmark18"/>
      <w:bookmarkEnd w:id="16"/>
      <w:bookmarkStart w:id="17" w:name="_Toc21520"/>
      <w:bookmarkStart w:id="18" w:name="_Toc18215"/>
      <w:bookmarkStart w:id="19" w:name="_Toc533"/>
      <w:bookmarkStart w:id="20" w:name="_Toc18969"/>
      <w:r>
        <w:rPr>
          <w:rFonts w:hint="eastAsia" w:ascii="宋体" w:hAnsi="宋体" w:eastAsia="宋体" w:cs="宋体"/>
          <w:color w:val="auto"/>
          <w:sz w:val="44"/>
          <w:highlight w:val="none"/>
        </w:rPr>
        <w:t>第二章 投标人须知</w:t>
      </w:r>
      <w:bookmarkEnd w:id="17"/>
      <w:bookmarkEnd w:id="18"/>
      <w:bookmarkEnd w:id="19"/>
      <w:bookmarkEnd w:id="20"/>
    </w:p>
    <w:p>
      <w:pPr>
        <w:pStyle w:val="6"/>
        <w:kinsoku w:val="0"/>
        <w:overflowPunct w:val="0"/>
        <w:spacing w:before="120" w:after="120"/>
        <w:ind w:left="220"/>
        <w:jc w:val="center"/>
        <w:rPr>
          <w:rFonts w:hint="eastAsia" w:ascii="宋体" w:hAnsi="宋体" w:eastAsia="宋体" w:cs="宋体"/>
          <w:b w:val="0"/>
          <w:color w:val="auto"/>
          <w:sz w:val="20"/>
          <w:highlight w:val="none"/>
        </w:rPr>
      </w:pPr>
      <w:bookmarkStart w:id="21" w:name="bookmark19"/>
      <w:bookmarkEnd w:id="21"/>
      <w:bookmarkStart w:id="22" w:name="_Toc8684"/>
      <w:r>
        <w:rPr>
          <w:rFonts w:hint="eastAsia" w:ascii="宋体" w:hAnsi="宋体" w:eastAsia="宋体" w:cs="宋体"/>
          <w:color w:val="auto"/>
          <w:sz w:val="32"/>
          <w:highlight w:val="none"/>
        </w:rPr>
        <w:t>投标人须知前附表</w:t>
      </w:r>
      <w:bookmarkEnd w:id="22"/>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中新广州知识城财政投资建设项目管理中心</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广州市黄埔区中新广州知识城亿创街1号人才大厦31楼</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贺工</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020-82115026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 xml:space="preserve"> </w:t>
            </w:r>
            <w:r>
              <w:rPr>
                <w:rFonts w:hint="eastAsia" w:ascii="宋体" w:hAnsi="宋体" w:eastAsia="宋体" w:cs="宋体"/>
                <w:color w:val="auto"/>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adjustRightInd/>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eastAsia="zh-CN"/>
              </w:rPr>
              <w:t>广东省国际工程咨询有限公司</w:t>
            </w:r>
          </w:p>
          <w:p>
            <w:pPr>
              <w:keepNext w:val="0"/>
              <w:keepLines w:val="0"/>
              <w:pageBreakBefore w:val="0"/>
              <w:suppressLineNumbers w:val="0"/>
              <w:wordWrap/>
              <w:topLinePunct w:val="0"/>
              <w:bidi w:val="0"/>
              <w:adjustRightInd/>
              <w:spacing w:before="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w:t>
            </w:r>
            <w:r>
              <w:rPr>
                <w:rFonts w:hint="eastAsia" w:ascii="宋体" w:hAnsi="宋体" w:eastAsia="宋体" w:cs="宋体"/>
                <w:color w:val="auto"/>
                <w:sz w:val="21"/>
                <w:szCs w:val="21"/>
                <w:highlight w:val="none"/>
                <w:u w:val="single"/>
                <w:lang w:eastAsia="zh-CN"/>
              </w:rPr>
              <w:t>越秀区环市中路316号金鹰大厦16楼</w:t>
            </w:r>
          </w:p>
          <w:p>
            <w:pPr>
              <w:keepNext w:val="0"/>
              <w:keepLines w:val="0"/>
              <w:pageBreakBefore w:val="0"/>
              <w:suppressLineNumbers w:val="0"/>
              <w:wordWrap/>
              <w:topLinePunct w:val="0"/>
              <w:bidi w:val="0"/>
              <w:adjustRightInd/>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张工</w:t>
            </w:r>
          </w:p>
          <w:p>
            <w:pPr>
              <w:pStyle w:val="33"/>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eastAsia="zh-CN"/>
              </w:rPr>
              <w:t>020-83545242、15920149597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知识城塘面村河整治工程等11个水利项目用地报批征地前期工作咨询服务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项目所需建设资金由区财政安排解决。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服务期限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eastAsia" w:ascii="宋体" w:hAnsi="宋体"/>
                <w:color w:val="auto"/>
                <w:sz w:val="21"/>
                <w:highlight w:val="none"/>
              </w:rPr>
              <w:t>符合国家及省、市有关标准。</w:t>
            </w:r>
            <w:r>
              <w:rPr>
                <w:rFonts w:hint="default"/>
                <w:color w:val="auto"/>
                <w:sz w:val="21"/>
                <w:highlight w:val="none"/>
              </w:rPr>
              <w:t>用地报批过程中所有材料应严格按照省自然资源厅、市规划和自然资源局最新范本进行制作，相关成果应符合最新报批的审核要求</w:t>
            </w:r>
            <w:r>
              <w:rPr>
                <w:rFonts w:hint="eastAsia"/>
                <w:color w:val="auto"/>
                <w:sz w:val="21"/>
                <w:highlight w:val="none"/>
                <w:lang w:val="en-US" w:eastAsia="zh-CN"/>
              </w:rPr>
              <w:t>并取得相关批复或备案（如无需批复或备案，则由业主确认）</w:t>
            </w:r>
            <w:r>
              <w:rPr>
                <w:rFonts w:hint="default"/>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highlight w:val="none"/>
              </w:rPr>
              <w:t>不接受</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4"/>
                <w:highlight w:val="none"/>
                <w:lang w:val="en-US" w:eastAsia="zh-CN" w:bidi="ar-SA"/>
              </w:rPr>
              <w:t>详见招标文件第1.4.3项目规定。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lang w:val="en-US" w:eastAsia="zh-CN" w:bidi="ar-SA"/>
              </w:rPr>
              <w:t xml:space="preserve">1.5 </w:t>
            </w:r>
          </w:p>
        </w:tc>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费用承担</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增加</w:t>
            </w:r>
            <w:r>
              <w:rPr>
                <w:rFonts w:hint="eastAsia" w:ascii="宋体" w:hAnsi="宋体" w:eastAsia="宋体" w:cs="宋体"/>
                <w:color w:val="auto"/>
                <w:sz w:val="21"/>
                <w:szCs w:val="21"/>
                <w:highlight w:val="none"/>
              </w:rPr>
              <w:t>：</w:t>
            </w:r>
          </w:p>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1"/>
                <w:szCs w:val="21"/>
                <w:highlight w:val="none"/>
              </w:rPr>
              <w:t>中标人支付交易服务费（由投标人在投标报价中综合考虑）。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招标人不集中组织，由投标人自行踏勘；</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时间：自</w:t>
            </w:r>
            <w:r>
              <w:rPr>
                <w:rFonts w:hint="eastAsia" w:ascii="宋体" w:hAnsi="宋体" w:eastAsia="宋体" w:cs="宋体"/>
                <w:color w:val="auto"/>
                <w:sz w:val="21"/>
                <w:highlight w:val="none"/>
                <w:lang w:val="en-US" w:eastAsia="zh-CN"/>
              </w:rPr>
              <w:t>招标公告发布之日</w:t>
            </w:r>
            <w:r>
              <w:rPr>
                <w:rFonts w:hint="eastAsia" w:ascii="宋体" w:hAnsi="宋体" w:eastAsia="宋体" w:cs="宋体"/>
                <w:color w:val="auto"/>
                <w:sz w:val="21"/>
                <w:highlight w:val="none"/>
              </w:rPr>
              <w:t>起具备现场踏勘条件；</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现场详细地点：</w:t>
            </w:r>
            <w:r>
              <w:rPr>
                <w:rFonts w:hint="eastAsia" w:ascii="宋体" w:hAnsi="宋体" w:eastAsia="宋体" w:cs="宋体"/>
                <w:color w:val="auto"/>
                <w:sz w:val="21"/>
                <w:highlight w:val="none"/>
                <w:lang w:val="en-US" w:eastAsia="zh-CN"/>
              </w:rPr>
              <w:t>详见招标公告工程建设地点</w:t>
            </w:r>
            <w:r>
              <w:rPr>
                <w:rFonts w:hint="eastAsia" w:ascii="宋体" w:hAnsi="宋体" w:eastAsia="宋体" w:cs="宋体"/>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line="283" w:lineRule="auto"/>
              <w:ind w:left="0" w:right="0"/>
              <w:rPr>
                <w:rFonts w:hint="eastAsia" w:ascii="宋体" w:hAnsi="宋体" w:eastAsia="宋体" w:cs="宋体"/>
                <w:color w:val="auto"/>
                <w:sz w:val="21"/>
                <w:highlight w:val="none"/>
              </w:rPr>
            </w:pPr>
          </w:p>
          <w:p>
            <w:pPr>
              <w:keepNext w:val="0"/>
              <w:keepLines w:val="0"/>
              <w:suppressLineNumbers w:val="0"/>
              <w:spacing w:before="0" w:beforeAutospacing="0" w:after="0" w:afterAutospacing="0" w:line="284" w:lineRule="auto"/>
              <w:ind w:left="0" w:right="0"/>
              <w:rPr>
                <w:rFonts w:hint="eastAsia" w:ascii="宋体" w:hAnsi="宋体" w:eastAsia="宋体" w:cs="宋体"/>
                <w:color w:val="auto"/>
                <w:sz w:val="21"/>
                <w:highlight w:val="none"/>
              </w:rPr>
            </w:pPr>
          </w:p>
          <w:p>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line="260" w:lineRule="auto"/>
              <w:ind w:left="0" w:right="0"/>
              <w:rPr>
                <w:rFonts w:hint="eastAsia" w:ascii="宋体" w:hAnsi="宋体" w:eastAsia="宋体" w:cs="宋体"/>
                <w:color w:val="auto"/>
                <w:sz w:val="21"/>
                <w:highlight w:val="none"/>
              </w:rPr>
            </w:pPr>
          </w:p>
          <w:p>
            <w:pPr>
              <w:keepNext w:val="0"/>
              <w:keepLines w:val="0"/>
              <w:suppressLineNumbers w:val="0"/>
              <w:spacing w:before="0" w:beforeAutospacing="0" w:after="0" w:afterAutospacing="0" w:line="260" w:lineRule="auto"/>
              <w:ind w:left="0" w:right="0"/>
              <w:rPr>
                <w:rFonts w:hint="eastAsia" w:ascii="宋体" w:hAnsi="宋体" w:eastAsia="宋体" w:cs="宋体"/>
                <w:color w:val="auto"/>
                <w:sz w:val="21"/>
                <w:highlight w:val="none"/>
              </w:rPr>
            </w:pPr>
          </w:p>
          <w:p>
            <w:pPr>
              <w:keepNext w:val="0"/>
              <w:keepLines w:val="0"/>
              <w:suppressLineNumbers w:val="0"/>
              <w:spacing w:before="68" w:beforeAutospacing="0" w:after="0" w:afterAutospacing="0" w:line="217"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tcPr>
          <w:p>
            <w:pPr>
              <w:pStyle w:val="11"/>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p>
          <w:p>
            <w:pPr>
              <w:keepNext w:val="0"/>
              <w:keepLines w:val="0"/>
              <w:pageBreakBefore w:val="0"/>
              <w:suppressLineNumbers w:val="0"/>
              <w:wordWrap/>
              <w:topLinePunct w:val="0"/>
              <w:bidi w:val="0"/>
              <w:spacing w:before="173" w:beforeAutospacing="0" w:after="0" w:afterAutospacing="0" w:line="288" w:lineRule="auto"/>
              <w:ind w:left="0" w:right="50" w:firstLine="840" w:firstLineChars="400"/>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68" w:beforeAutospacing="0" w:after="0" w:afterAutospacing="0" w:line="217" w:lineRule="auto"/>
              <w:ind w:left="0" w:right="0"/>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48" w:beforeLines="20" w:beforeAutospacing="0" w:after="48" w:afterLines="20" w:afterAutospacing="0"/>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48" w:beforeLines="20" w:beforeAutospacing="0" w:after="48" w:afterLines="20" w:afterAutospacing="0"/>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在广州交易集团有限公司（广州公共资源交易中心）网站首页-建设工程-“项目查询（日程安排、答疑纪要）”专区发布，一经在发布，视作已发放给所有投标人。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不允许</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允许，偏差范围：</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72" w:lineRule="auto"/>
              <w:ind w:left="0" w:right="0"/>
              <w:jc w:val="center"/>
              <w:rPr>
                <w:rFonts w:hint="eastAsia" w:ascii="宋体" w:hAnsi="宋体" w:eastAsia="宋体" w:cs="宋体"/>
                <w:color w:val="auto"/>
                <w:sz w:val="21"/>
                <w:highlight w:val="none"/>
              </w:rPr>
            </w:pPr>
          </w:p>
          <w:p>
            <w:pPr>
              <w:keepNext w:val="0"/>
              <w:keepLines w:val="0"/>
              <w:suppressLineNumbers w:val="0"/>
              <w:spacing w:before="69" w:beforeAutospacing="0" w:after="0" w:afterAutospacing="0" w:line="220" w:lineRule="auto"/>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招标答疑</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highlight w:val="none"/>
              </w:rPr>
            </w:pPr>
          </w:p>
          <w:p>
            <w:pPr>
              <w:keepNext w:val="0"/>
              <w:keepLines w:val="0"/>
              <w:suppressLineNumbers w:val="0"/>
              <w:tabs>
                <w:tab w:val="left" w:pos="1103"/>
              </w:tabs>
              <w:spacing w:before="0" w:beforeAutospacing="0" w:after="0" w:afterAutospacing="0"/>
              <w:ind w:left="0" w:right="0"/>
              <w:jc w:val="center"/>
              <w:rPr>
                <w:rFonts w:hint="eastAsia" w:ascii="宋体" w:hAnsi="宋体" w:eastAsia="宋体" w:cs="宋体"/>
                <w:color w:val="auto"/>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疑问提交时间：具体时间以日程安排为准；</w:t>
            </w:r>
          </w:p>
          <w:p>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形式：投标人的疑问通过广州交易集团有限公司（广州公共资源交易中心）网站提交。</w:t>
            </w:r>
          </w:p>
          <w:p>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具体要求：按照广州交易集团有限公司（广州公共资源交易中心）网站关于全流程电子化项目的相关指南进行操作，提问一律不得署名。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209" w:beforeAutospacing="0" w:after="0" w:afterAutospacing="0" w:line="186" w:lineRule="auto"/>
              <w:ind w:left="0" w:right="0"/>
              <w:jc w:val="center"/>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招标文件的修改期限：在投标截止时间</w:t>
            </w:r>
            <w:r>
              <w:rPr>
                <w:rFonts w:hint="eastAsia" w:ascii="宋体" w:hAnsi="宋体" w:eastAsia="宋体" w:cs="宋体"/>
                <w:color w:val="auto"/>
                <w:sz w:val="21"/>
                <w:highlight w:val="none"/>
                <w:u w:val="single"/>
              </w:rPr>
              <w:t xml:space="preserve"> 15 </w:t>
            </w:r>
            <w:r>
              <w:rPr>
                <w:rFonts w:hint="eastAsia" w:ascii="宋体" w:hAnsi="宋体" w:eastAsia="宋体" w:cs="宋体"/>
                <w:color w:val="auto"/>
                <w:sz w:val="21"/>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满足本项目评审要求的其他资料。包括但不限：</w:t>
            </w:r>
          </w:p>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1、公司简介</w:t>
            </w:r>
          </w:p>
          <w:p>
            <w:pPr>
              <w:keepNext w:val="0"/>
              <w:keepLines w:val="0"/>
              <w:suppressLineNumbers w:val="0"/>
              <w:spacing w:before="0" w:beforeAutospacing="0" w:after="0" w:afterAutospacing="0" w:line="288" w:lineRule="auto"/>
              <w:ind w:left="0" w:right="0"/>
              <w:jc w:val="both"/>
              <w:rPr>
                <w:rFonts w:hint="eastAsia" w:ascii="宋体" w:hAnsi="宋体" w:eastAsia="宋体" w:cs="宋体"/>
                <w:color w:val="auto"/>
                <w:spacing w:val="-1"/>
                <w:sz w:val="21"/>
                <w:szCs w:val="21"/>
                <w:highlight w:val="none"/>
              </w:rPr>
            </w:pPr>
            <w:r>
              <w:rPr>
                <w:rFonts w:hint="default" w:ascii="宋体" w:hAnsi="宋体" w:eastAsia="宋体" w:cs="宋体"/>
                <w:color w:val="auto"/>
                <w:spacing w:val="-1"/>
                <w:sz w:val="21"/>
                <w:szCs w:val="21"/>
                <w:highlight w:val="none"/>
                <w:lang w:val="en-US"/>
              </w:rPr>
              <w:t>2</w:t>
            </w:r>
            <w:r>
              <w:rPr>
                <w:rFonts w:hint="eastAsia" w:ascii="宋体" w:hAnsi="宋体" w:eastAsia="宋体" w:cs="宋体"/>
                <w:color w:val="auto"/>
                <w:spacing w:val="-1"/>
                <w:sz w:val="21"/>
                <w:szCs w:val="21"/>
                <w:highlight w:val="none"/>
              </w:rPr>
              <w:t>、投标人廉洁承诺书</w:t>
            </w:r>
          </w:p>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default"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、中小企业声明函（如有）</w:t>
            </w:r>
          </w:p>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bCs/>
                <w:color w:val="auto"/>
                <w:sz w:val="21"/>
                <w:szCs w:val="21"/>
                <w:highlight w:val="none"/>
                <w:u w:val="single"/>
                <w:lang w:eastAsia="zh-CN"/>
              </w:rPr>
            </w:pPr>
            <w:r>
              <w:rPr>
                <w:rFonts w:hint="default"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lang w:eastAsia="zh-CN"/>
              </w:rPr>
              <w:t>监狱企业证明文件（如有）</w:t>
            </w:r>
          </w:p>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highlight w:val="none"/>
              </w:rPr>
            </w:pPr>
            <w:r>
              <w:rPr>
                <w:rFonts w:hint="default"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残疾人福利性单位声明函</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（如有）</w:t>
            </w:r>
          </w:p>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default" w:ascii="宋体" w:hAnsi="宋体" w:eastAsia="宋体" w:cs="宋体"/>
                <w:b/>
                <w:color w:val="auto"/>
                <w:sz w:val="21"/>
                <w:szCs w:val="21"/>
                <w:highlight w:val="none"/>
              </w:rPr>
            </w:pPr>
            <w:r>
              <w:rPr>
                <w:rFonts w:hint="eastAsia" w:ascii="宋体" w:hAnsi="宋体" w:eastAsia="宋体" w:cs="宋体"/>
                <w:color w:val="auto"/>
                <w:sz w:val="21"/>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无</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eastAsia="宋体" w:cs="宋体"/>
                <w:color w:val="auto"/>
                <w:highlight w:val="none"/>
              </w:rPr>
            </w:pP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有，最高投标限价：</w:t>
            </w:r>
            <w:r>
              <w:rPr>
                <w:rFonts w:hint="eastAsia" w:ascii="宋体" w:hAnsi="宋体" w:cs="宋体"/>
                <w:color w:val="auto"/>
                <w:sz w:val="21"/>
                <w:szCs w:val="21"/>
                <w:highlight w:val="none"/>
                <w:u w:val="single"/>
              </w:rPr>
              <w:t>1355.4410万元。具体详见《知识城塘面村河整治工程等11个水利项目用地报批征地前期工作咨询服务费用测算》（另册）。</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default" w:ascii="宋体" w:hAnsi="宋体" w:eastAsia="宋体" w:cs="宋体"/>
                <w:b/>
                <w:color w:val="auto"/>
                <w:sz w:val="21"/>
                <w:szCs w:val="21"/>
                <w:highlight w:val="none"/>
              </w:rPr>
            </w:pPr>
            <w:r>
              <w:rPr>
                <w:rFonts w:hint="eastAsia" w:ascii="宋体" w:hAnsi="宋体" w:eastAsia="宋体" w:cs="宋体"/>
                <w:color w:val="auto"/>
                <w:sz w:val="21"/>
                <w:szCs w:val="21"/>
                <w:highlight w:val="none"/>
              </w:rPr>
              <w:t>注：投标报价不得超过本项目最高投标限价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且不得超过单个项目</w:t>
            </w:r>
            <w:r>
              <w:rPr>
                <w:rFonts w:hint="eastAsia" w:ascii="宋体" w:hAnsi="宋体" w:cs="宋体"/>
                <w:color w:val="auto"/>
                <w:sz w:val="21"/>
                <w:szCs w:val="21"/>
                <w:highlight w:val="none"/>
                <w:u w:val="single"/>
              </w:rPr>
              <w:t>水利工程用地报批费</w:t>
            </w:r>
            <w:r>
              <w:rPr>
                <w:rFonts w:hint="eastAsia" w:ascii="宋体" w:hAnsi="宋体" w:cs="宋体"/>
                <w:color w:val="auto"/>
                <w:sz w:val="21"/>
                <w:szCs w:val="21"/>
                <w:highlight w:val="none"/>
                <w:u w:val="single"/>
                <w:lang w:val="en-US" w:eastAsia="zh-CN"/>
              </w:rPr>
              <w:t>限价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具体格式详见第六章《投标报价书》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投标人必须详细审阅全部招标文件，充分考虑职责和义务，全面地理解招标文件对投标报价的要求，并按招标人提出的条件及内容进行报价。</w:t>
            </w:r>
          </w:p>
          <w:p>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（1）本项目服务收费基准价：</w:t>
            </w:r>
            <w:r>
              <w:rPr>
                <w:rFonts w:hint="eastAsia" w:ascii="宋体" w:hAnsi="宋体"/>
                <w:color w:val="auto"/>
                <w:sz w:val="21"/>
                <w:szCs w:val="21"/>
                <w:highlight w:val="none"/>
              </w:rPr>
              <w:t>1426.78</w:t>
            </w:r>
            <w:r>
              <w:rPr>
                <w:rFonts w:hint="eastAsia" w:ascii="宋体" w:hAnsi="宋体" w:cs="宋体"/>
                <w:color w:val="auto"/>
                <w:sz w:val="21"/>
                <w:szCs w:val="21"/>
                <w:highlight w:val="none"/>
                <w:u w:val="single"/>
              </w:rPr>
              <w:t>万</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具体详见《知识城塘面村河整治工程等11个水利项目用地报批征地前期工作咨询服务费用测算》（另册）</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（2）成本警戒价为</w:t>
            </w:r>
            <w:r>
              <w:rPr>
                <w:rFonts w:hint="eastAsia" w:ascii="宋体" w:hAnsi="宋体" w:cs="宋体"/>
                <w:color w:val="auto"/>
                <w:sz w:val="21"/>
                <w:szCs w:val="21"/>
                <w:highlight w:val="none"/>
                <w:u w:val="single"/>
                <w:lang w:val="en-US" w:eastAsia="zh-CN"/>
              </w:rPr>
              <w:t>1141.424</w:t>
            </w:r>
            <w:r>
              <w:rPr>
                <w:rFonts w:hint="eastAsia" w:ascii="宋体" w:hAnsi="宋体" w:cs="宋体"/>
                <w:color w:val="auto"/>
                <w:sz w:val="21"/>
                <w:szCs w:val="21"/>
                <w:highlight w:val="none"/>
                <w:u w:val="single"/>
              </w:rPr>
              <w:t>万</w:t>
            </w:r>
            <w:r>
              <w:rPr>
                <w:rFonts w:hint="eastAsia" w:ascii="宋体" w:hAnsi="宋体" w:cs="宋体"/>
                <w:color w:val="auto"/>
                <w:sz w:val="21"/>
                <w:szCs w:val="21"/>
                <w:highlight w:val="none"/>
              </w:rPr>
              <w:t>元。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u w:val="single"/>
              </w:rPr>
              <w:t>90</w:t>
            </w:r>
            <w:r>
              <w:rPr>
                <w:rFonts w:hint="eastAsia" w:ascii="宋体" w:hAnsi="宋体" w:eastAsia="宋体" w:cs="宋体"/>
                <w:color w:val="auto"/>
                <w:sz w:val="21"/>
                <w:szCs w:val="21"/>
                <w:highlight w:val="none"/>
              </w:rPr>
              <w:t>日历天（从提交投标截止之日起计算。</w:t>
            </w:r>
            <w:r>
              <w:rPr>
                <w:rFonts w:hint="eastAsia" w:ascii="宋体" w:hAnsi="宋体" w:eastAsia="宋体" w:cs="宋体"/>
                <w:color w:val="auto"/>
                <w:sz w:val="21"/>
                <w:szCs w:val="21"/>
                <w:highlight w:val="none"/>
                <w:u w:val="single"/>
              </w:rPr>
              <w:t>如投标有效期内发生异议或投诉的，则投标有效期自动延长至异议或投诉处理结束后90日历天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pacing w:val="-3"/>
                <w:sz w:val="21"/>
                <w:szCs w:val="21"/>
                <w:highlight w:val="none"/>
              </w:rPr>
              <w:t>不要求</w:t>
            </w:r>
          </w:p>
          <w:p>
            <w:pPr>
              <w:keepNext w:val="0"/>
              <w:keepLines w:val="0"/>
              <w:pageBreakBefore w:val="0"/>
              <w:suppressLineNumbers w:val="0"/>
              <w:wordWrap/>
              <w:topLinePunct w:val="0"/>
              <w:bidi w:val="0"/>
              <w:spacing w:before="0" w:beforeAutospacing="0" w:after="0" w:afterAutospacing="0" w:line="288" w:lineRule="auto"/>
              <w:ind w:left="0" w:right="1461"/>
              <w:textAlignment w:val="auto"/>
              <w:rPr>
                <w:rFonts w:hint="eastAsia" w:ascii="宋体" w:hAnsi="宋体" w:eastAsia="宋体" w:cs="宋体"/>
                <w:color w:val="auto"/>
                <w:sz w:val="21"/>
                <w:highlight w:val="none"/>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无</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 w:val="21"/>
                <w:highlight w:val="none"/>
              </w:rPr>
              <w:t>有，</w:t>
            </w:r>
            <w:r>
              <w:rPr>
                <w:rFonts w:hint="eastAsia" w:ascii="宋体" w:hAnsi="宋体" w:eastAsia="宋体" w:cs="宋体"/>
                <w:color w:val="auto"/>
                <w:sz w:val="21"/>
                <w:szCs w:val="21"/>
                <w:highlight w:val="none"/>
              </w:rPr>
              <w:t>具体要求：具体详见本项目招标公告。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 w:val="21"/>
                <w:highlight w:val="none"/>
              </w:rPr>
              <w:t>不允许</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投标文件格式规定需个人签字的，应签字或签章后扫描上传</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highlight w:val="none"/>
              </w:rPr>
              <w:t>可靠的电子签名与手写签名或者盖章具有同等的法律效力</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highlight w:val="none"/>
              </w:rPr>
              <w:t>。投标文件格式规定盖单位公章的页面必须盖单位公章（公章与电子公章具有相同法律效力）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投标截止时间：</w:t>
            </w:r>
            <w:r>
              <w:rPr>
                <w:rFonts w:hint="eastAsia" w:ascii="宋体" w:hAnsi="宋体" w:eastAsia="宋体" w:cs="宋体"/>
                <w:color w:val="auto"/>
                <w:sz w:val="21"/>
                <w:highlight w:val="none"/>
                <w:u w:val="single"/>
              </w:rPr>
              <w:t xml:space="preserve">       年     月      日     时   分</w:t>
            </w:r>
            <w:r>
              <w:rPr>
                <w:rFonts w:hint="eastAsia" w:ascii="宋体" w:hAnsi="宋体" w:eastAsia="宋体" w:cs="宋体"/>
                <w:color w:val="auto"/>
                <w:sz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1、开标时间：同投标截止时间</w:t>
            </w:r>
          </w:p>
          <w:p>
            <w:pPr>
              <w:keepNext w:val="0"/>
              <w:keepLines w:val="0"/>
              <w:pageBreakBefore w:val="0"/>
              <w:widowControl w:val="0"/>
              <w:suppressLineNumbers w:val="0"/>
              <w:kinsoku/>
              <w:wordWrap/>
              <w:overflowPunct/>
              <w:topLinePunct w:val="0"/>
              <w:autoSpaceDE w:val="0"/>
              <w:autoSpaceDN w:val="0"/>
              <w:bidi w:val="0"/>
              <w:snapToGrid/>
              <w:spacing w:before="174" w:beforeAutospacing="0" w:after="120" w:afterLines="5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2、开标地点：广州交易集团有限公司（广州公共资源交易中心）</w:t>
            </w:r>
            <w:r>
              <w:rPr>
                <w:rFonts w:hint="eastAsia" w:ascii="宋体" w:hAnsi="宋体" w:eastAsia="宋体" w:cs="宋体"/>
                <w:color w:val="auto"/>
                <w:sz w:val="21"/>
                <w:szCs w:val="21"/>
                <w:highlight w:val="none"/>
                <w:lang w:val="en-US" w:eastAsia="zh-CN"/>
              </w:rPr>
              <w:t>黄埔交易部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pPr>
              <w:keepNext w:val="0"/>
              <w:keepLines w:val="0"/>
              <w:pageBreakBefore w:val="0"/>
              <w:widowControl w:val="0"/>
              <w:suppressLineNumbers w:val="0"/>
              <w:kinsoku/>
              <w:wordWrap/>
              <w:overflowPunct/>
              <w:topLinePunct w:val="0"/>
              <w:autoSpaceDE w:val="0"/>
              <w:autoSpaceDN w:val="0"/>
              <w:bidi w:val="0"/>
              <w:adjustRightInd/>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3、递交投标文件备用光盘时间：____年____月____日____时____分至____年____月____日____时____分；递交地点：____。</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4、提交投标文件光盘备用</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5、补救方案</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（3）除发生上述情况外，开标评标均以投标人通过交易平台网上递交的电子投标文件为准。</w:t>
            </w:r>
          </w:p>
          <w:p>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开标时，投标人代表有权参加现场开标或在线开标，也可以自主决定不参加开标，</w:t>
            </w:r>
            <w:r>
              <w:rPr>
                <w:rFonts w:hint="eastAsia" w:ascii="宋体" w:hAnsi="宋体" w:eastAsia="宋体" w:cs="宋体"/>
                <w:color w:val="auto"/>
                <w:sz w:val="21"/>
                <w:szCs w:val="21"/>
                <w:highlight w:val="none"/>
              </w:rPr>
              <w:t>投标人选择参加在线开标的，具体按照交易平台相关指南进行操作。</w:t>
            </w:r>
            <w:r>
              <w:rPr>
                <w:rFonts w:hint="eastAsia" w:ascii="宋体" w:hAnsi="宋体" w:eastAsia="宋体" w:cs="宋体"/>
                <w:color w:val="auto"/>
                <w:sz w:val="21"/>
                <w:szCs w:val="21"/>
                <w:highlight w:val="none"/>
                <w:u w:val="singl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pageBreakBefore w:val="0"/>
              <w:widowControl w:val="0"/>
              <w:suppressLineNumbers w:val="0"/>
              <w:kinsoku/>
              <w:wordWrap/>
              <w:overflowPunct/>
              <w:topLinePunct w:val="0"/>
              <w:autoSpaceDE w:val="0"/>
              <w:autoSpaceDN w:val="0"/>
              <w:bidi w:val="0"/>
              <w:snapToGrid/>
              <w:spacing w:before="174" w:beforeAutospacing="0" w:after="0" w:afterAutospacing="0" w:line="288" w:lineRule="auto"/>
              <w:ind w:left="0" w:right="0"/>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6、上述时间及地点是否有改变，请密切留意补充公告或招标答疑纪要的相关信息。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tabs>
                <w:tab w:val="left" w:pos="2309"/>
                <w:tab w:val="left" w:pos="3826"/>
              </w:tabs>
              <w:kinsoku w:val="0"/>
              <w:overflowPunct w:val="0"/>
              <w:spacing w:before="0" w:beforeAutospacing="0" w:after="0" w:afterAutospacing="0"/>
              <w:ind w:left="0" w:right="0"/>
              <w:jc w:val="both"/>
              <w:rPr>
                <w:rFonts w:hint="default" w:ascii="宋体" w:hAnsi="宋体"/>
                <w:color w:val="auto"/>
                <w:sz w:val="21"/>
                <w:szCs w:val="21"/>
                <w:highlight w:val="none"/>
              </w:rPr>
            </w:pPr>
            <w:r>
              <w:rPr>
                <w:rFonts w:hint="eastAsia" w:ascii="宋体" w:hAnsi="宋体"/>
                <w:color w:val="auto"/>
                <w:sz w:val="21"/>
                <w:szCs w:val="21"/>
                <w:highlight w:val="none"/>
              </w:rPr>
              <w:t>由招标人依法组建。</w:t>
            </w:r>
          </w:p>
          <w:p>
            <w:pPr>
              <w:pStyle w:val="33"/>
              <w:keepNext w:val="0"/>
              <w:keepLines w:val="0"/>
              <w:pageBreakBefore w:val="0"/>
              <w:suppressLineNumbers w:val="0"/>
              <w:tabs>
                <w:tab w:val="left" w:pos="2309"/>
                <w:tab w:val="left" w:pos="3826"/>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z w:val="21"/>
                <w:szCs w:val="21"/>
                <w:highlight w:val="none"/>
              </w:rPr>
              <w:t>招标代理机构应严格按照《</w:t>
            </w:r>
            <w:r>
              <w:rPr>
                <w:rFonts w:hint="eastAsia" w:ascii="宋体" w:hAnsi="宋体"/>
                <w:color w:val="auto"/>
                <w:sz w:val="21"/>
                <w:szCs w:val="21"/>
                <w:highlight w:val="none"/>
              </w:rPr>
              <w:t>广东省政务服务和数据管理局关于广东省综合评标评审专家库评标专家劳务报酬管理办法》（粤政数〔2025〕11 号）</w:t>
            </w:r>
            <w:r>
              <w:rPr>
                <w:rFonts w:hint="eastAsia" w:ascii="宋体" w:hAnsi="宋体" w:cs="宋体"/>
                <w:color w:val="auto"/>
                <w:sz w:val="21"/>
                <w:szCs w:val="21"/>
                <w:highlight w:val="none"/>
              </w:rPr>
              <w:t>）的规定向评标专家支付酬金，不得额外支付费用。评标专家对符合</w:t>
            </w:r>
            <w:r>
              <w:rPr>
                <w:rFonts w:hint="eastAsia" w:ascii="宋体" w:hAnsi="宋体"/>
                <w:color w:val="auto"/>
                <w:sz w:val="21"/>
                <w:szCs w:val="21"/>
                <w:highlight w:val="none"/>
              </w:rPr>
              <w:t>《广东省综合评标评审专家库评标专家劳务报酬管理办法》</w:t>
            </w:r>
            <w:r>
              <w:rPr>
                <w:rFonts w:hint="eastAsia" w:ascii="宋体" w:hAnsi="宋体" w:cs="宋体"/>
                <w:color w:val="auto"/>
                <w:sz w:val="21"/>
                <w:szCs w:val="21"/>
                <w:highlight w:val="none"/>
              </w:rPr>
              <w:t>的规定计取的专家报酬不得有异议。若评标时已发布新规定的，按新规执行。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default" w:ascii="宋体" w:hAnsi="宋体"/>
                <w:color w:val="auto"/>
                <w:sz w:val="21"/>
                <w:szCs w:val="21"/>
                <w:highlight w:val="none"/>
              </w:rPr>
              <w:t>本项目采用评定分离的评审办法，推荐进入定标阶段的</w:t>
            </w:r>
            <w:r>
              <w:rPr>
                <w:rFonts w:hint="eastAsia" w:ascii="宋体" w:hAnsi="宋体" w:eastAsia="宋体" w:cs="宋体"/>
                <w:color w:val="auto"/>
                <w:sz w:val="21"/>
                <w:szCs w:val="21"/>
                <w:highlight w:val="none"/>
              </w:rPr>
              <w:t>合格中标候选人数：</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公示媒介：中国招标投标公共服务平台、广东省招标投标监管网、广州交易集团有限公司（广州公共资源交易中心）网站公示。</w:t>
            </w:r>
          </w:p>
          <w:p>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公示期限：不少于3日（最后一天应为工作日）</w:t>
            </w:r>
          </w:p>
          <w:p>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5"/>
                <w:sz w:val="21"/>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是</w:t>
            </w:r>
          </w:p>
          <w:p>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是否要求中标人提交履约保证金：</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 w:val="21"/>
                <w:highlight w:val="none"/>
              </w:rPr>
              <w:t>不要求</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要求，履约保证金的形式：</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firstLine="840" w:firstLineChars="4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履约保证金的金额：</w:t>
            </w:r>
          </w:p>
          <w:p>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特别提示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投标人在本项目招标人的工程项目中存在下列行为的，将被拒绝</w:t>
            </w:r>
            <w:r>
              <w:rPr>
                <w:rFonts w:hint="eastAsia" w:ascii="宋体" w:hAnsi="宋体" w:eastAsia="宋体" w:cs="宋体"/>
                <w:color w:val="auto"/>
                <w:kern w:val="0"/>
                <w:sz w:val="21"/>
                <w:szCs w:val="21"/>
                <w:highlight w:val="none"/>
                <w:lang w:val="en-US" w:eastAsia="zh-CN"/>
              </w:rPr>
              <w:t>三个月及以上</w:t>
            </w:r>
            <w:r>
              <w:rPr>
                <w:rFonts w:hint="eastAsia" w:ascii="宋体" w:hAnsi="宋体" w:eastAsia="宋体" w:cs="宋体"/>
                <w:color w:val="auto"/>
                <w:kern w:val="0"/>
                <w:sz w:val="21"/>
                <w:szCs w:val="21"/>
                <w:highlight w:val="none"/>
              </w:rPr>
              <w:t>参与我单位后续工程投标。（注：拒绝投标时限由自招标人发出通知之日起计）：</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1.将中标工程转包或者违法分包的;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2.在中标工程中不执行质量、安全生产相关规定的，造成质量或安全事故的；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3.出让投标资格的；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4.存在围标或串标情形的;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5.在投标文件中提供虚假材料的；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存在少放、不放业绩、奖项等客观评审资料，减少自身竞争力情形的；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7.存在行贿情形的;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8.拖欠农民工工资的；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9.未按照国家、省、市有关建筑施工实名制管理和工人工资支付分账管理的规定执行，被行政监管部门处罚的；</w:t>
            </w:r>
          </w:p>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kern w:val="2"/>
                <w:sz w:val="21"/>
                <w:szCs w:val="21"/>
                <w:highlight w:val="none"/>
                <w:lang w:val="en-US" w:eastAsia="zh-CN" w:bidi="ar-SA"/>
              </w:rPr>
              <w:t>资审合格后，投标人的资格发生变化而不满足投标人合格条件，在发出中标通知书前，资格问题仍未解决的，招标人将取消其中标资格。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企业综合诚信评价计分</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33"/>
              <w:keepNext w:val="0"/>
              <w:keepLines w:val="0"/>
              <w:suppressLineNumbers w:val="0"/>
              <w:kinsoku w:val="0"/>
              <w:overflowPunct w:val="0"/>
              <w:spacing w:before="0" w:beforeAutospacing="0" w:after="0" w:afterAutospacing="0"/>
              <w:ind w:left="0" w:leftChars="0" w:right="0" w:right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autoSpaceDE w:val="0"/>
              <w:autoSpaceDN w:val="0"/>
              <w:bidi w:val="0"/>
              <w:adjustRightInd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招标人拒绝接收备用投标文件电子光盘的情况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1、投标人在投标截止期后逾期或未在指定地点递交备用投标文件电子光盘的；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2、投标人递交的备用投标文件电子光盘未按招标文件要求密封或未在密封处盖章的；</w:t>
            </w:r>
          </w:p>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机构人员配备要求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其他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中标后，中标人须提供与电子投标文件一致的纸质版投标文件（一正</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副，含电子版文件光盘）。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10.</w:t>
            </w:r>
            <w:r>
              <w:rPr>
                <w:rFonts w:hint="eastAsia" w:ascii="宋体" w:hAnsi="宋体" w:cs="宋体"/>
                <w:color w:val="auto"/>
                <w:sz w:val="21"/>
                <w:szCs w:val="21"/>
                <w:highlight w:val="none"/>
                <w:u w:val="single"/>
                <w:lang w:val="en-US" w:eastAsia="zh-CN"/>
              </w:rPr>
              <w:t>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否决性条款</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一、拒绝受理投标文件的情形</w:t>
            </w:r>
          </w:p>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1、投标人未在投标截止时间（开标时间）前,通过电子招标投标交易平台投标登记并上传电子投标文件的；</w:t>
            </w:r>
          </w:p>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2、投标人未在规定时间内通过电子招标投标交易平台对已递交的电子投标文件进行解密的；</w:t>
            </w:r>
          </w:p>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二、作无效投标的情形</w:t>
            </w:r>
          </w:p>
          <w:p>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1、投标文件不符合招标文件评标办法中形式评审标准、资格评审标准、响应性评审标准的要求。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10.</w:t>
            </w:r>
            <w:r>
              <w:rPr>
                <w:rFonts w:hint="eastAsia" w:ascii="宋体" w:hAnsi="宋体" w:cs="宋体"/>
                <w:color w:val="auto"/>
                <w:sz w:val="21"/>
                <w:szCs w:val="21"/>
                <w:highlight w:val="none"/>
                <w:u w:val="single"/>
                <w:lang w:val="en-US" w:eastAsia="zh-CN"/>
              </w:rPr>
              <w:t>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投标报价得分评审优惠政策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（1）根据《广东省政府采购促进中小企业发展实施细则(试行)》要求，对符合《政府采购促进中小企业发展管理办法》的投标人，给予相应的价格评审优惠。</w:t>
            </w:r>
          </w:p>
          <w:p>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（2）本招标项目评标计算价格分时，对小微企业投标的，在采用原报价进行评分的基础上增加其价格得分</w:t>
            </w:r>
            <w:r>
              <w:rPr>
                <w:rFonts w:hint="eastAsia" w:ascii="宋体" w:hAnsi="宋体" w:eastAsia="宋体" w:cs="宋体"/>
                <w:color w:val="auto"/>
                <w:sz w:val="21"/>
                <w:szCs w:val="21"/>
                <w:highlight w:val="none"/>
                <w:u w:val="none"/>
              </w:rPr>
              <w:t>（分数出现小数点时，保留小数点后二位，第三位小数四舍五入）</w:t>
            </w:r>
            <w:r>
              <w:rPr>
                <w:rFonts w:hint="eastAsia" w:ascii="宋体" w:hAnsi="宋体" w:eastAsia="宋体" w:cs="宋体"/>
                <w:color w:val="auto"/>
                <w:sz w:val="21"/>
                <w:szCs w:val="21"/>
                <w:highlight w:val="none"/>
              </w:rPr>
              <w:t>的 5%作为其价格分，若原报价己满分，仍可突破满分上限继续享受加分优惠，以实际计算结果作为最终价格分。</w:t>
            </w:r>
          </w:p>
          <w:p>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宋体"/>
                <w:b/>
                <w:color w:val="auto"/>
                <w:sz w:val="21"/>
                <w:szCs w:val="21"/>
                <w:highlight w:val="none"/>
                <w:u w:val="single"/>
              </w:rPr>
              <w:t>其他未列明</w:t>
            </w:r>
            <w:r>
              <w:rPr>
                <w:rFonts w:hint="eastAsia" w:ascii="宋体" w:hAnsi="宋体" w:eastAsia="宋体" w:cs="宋体"/>
                <w:color w:val="auto"/>
                <w:sz w:val="21"/>
                <w:szCs w:val="21"/>
                <w:highlight w:val="none"/>
              </w:rPr>
              <w:t>行业。从业人员300人以下的为中小微型企业。其中，从业人员100人及以上的为中型企业;从业人员10人及以上的为小型企业;从业人员10人以下的为微型企业。</w:t>
            </w:r>
          </w:p>
          <w:p>
            <w:pPr>
              <w:keepNext w:val="0"/>
              <w:keepLines w:val="0"/>
              <w:pageBreakBefore w:val="0"/>
              <w:numPr>
                <w:ilvl w:val="0"/>
                <w:numId w:val="0"/>
              </w:numPr>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numPr>
                <w:ilvl w:val="-1"/>
                <w:numId w:val="0"/>
              </w:numPr>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公示期间如有异议、投诉的，被异议、投诉单位需提供注册登记所在地的县级以上人民政府中小企业主管部门认定函。</w:t>
            </w:r>
          </w:p>
          <w:p>
            <w:pPr>
              <w:keepNext w:val="0"/>
              <w:keepLines w:val="0"/>
              <w:suppressLineNumbers w:val="0"/>
              <w:spacing w:before="0" w:beforeAutospacing="0" w:after="0" w:afterAutospacing="0"/>
              <w:ind w:left="0" w:right="0"/>
              <w:rPr>
                <w:rFonts w:hint="default" w:ascii="宋体" w:hAnsi="宋体" w:cs="宋体"/>
                <w:color w:val="auto"/>
                <w:sz w:val="21"/>
                <w:szCs w:val="21"/>
                <w:highlight w:val="none"/>
                <w:u w:val="single"/>
              </w:rPr>
            </w:pPr>
            <w:r>
              <w:rPr>
                <w:rFonts w:hint="eastAsia" w:ascii="宋体" w:hAnsi="宋体" w:cs="宋体"/>
                <w:color w:val="auto"/>
                <w:kern w:val="2"/>
                <w:sz w:val="21"/>
                <w:szCs w:val="21"/>
                <w:highlight w:val="none"/>
                <w:u w:val="single"/>
              </w:rPr>
              <w:t>（3）</w:t>
            </w:r>
            <w:r>
              <w:rPr>
                <w:rFonts w:hint="eastAsia" w:ascii="宋体" w:hAnsi="宋体" w:cs="宋体"/>
                <w:color w:val="auto"/>
                <w:sz w:val="21"/>
                <w:szCs w:val="21"/>
                <w:highlight w:val="none"/>
                <w:u w:val="single"/>
                <w:lang w:val="zh-CN"/>
              </w:rPr>
              <w:t>规定享受扶持政策获得</w:t>
            </w:r>
            <w:r>
              <w:rPr>
                <w:rFonts w:hint="eastAsia" w:ascii="宋体" w:hAnsi="宋体" w:cs="宋体"/>
                <w:color w:val="auto"/>
                <w:sz w:val="21"/>
                <w:szCs w:val="21"/>
                <w:highlight w:val="none"/>
                <w:u w:val="single"/>
              </w:rPr>
              <w:t>承包</w:t>
            </w:r>
            <w:r>
              <w:rPr>
                <w:rFonts w:hint="eastAsia" w:ascii="宋体" w:hAnsi="宋体" w:cs="宋体"/>
                <w:color w:val="auto"/>
                <w:sz w:val="21"/>
                <w:szCs w:val="21"/>
                <w:highlight w:val="none"/>
                <w:u w:val="single"/>
                <w:lang w:val="zh-CN"/>
              </w:rPr>
              <w:t>合同的，小微企业不得将合同分包给大中型企业，中型企业不得将合同分包给大型企业。</w:t>
            </w:r>
          </w:p>
          <w:p>
            <w:pPr>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color w:val="auto"/>
                <w:highlight w:val="none"/>
              </w:rPr>
            </w:pPr>
            <w:r>
              <w:rPr>
                <w:rFonts w:hint="eastAsia" w:ascii="宋体" w:hAnsi="宋体" w:cs="宋体"/>
                <w:color w:val="auto"/>
                <w:kern w:val="2"/>
                <w:sz w:val="21"/>
                <w:szCs w:val="21"/>
                <w:highlight w:val="none"/>
                <w:u w:val="single"/>
              </w:rPr>
              <w:t>（4）</w:t>
            </w:r>
            <w:r>
              <w:rPr>
                <w:rFonts w:hint="eastAsia" w:ascii="宋体" w:hAnsi="宋体" w:eastAsia="宋体" w:cs="宋体"/>
                <w:color w:val="auto"/>
                <w:sz w:val="21"/>
                <w:szCs w:val="21"/>
                <w:highlight w:val="non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pPr>
        <w:widowControl/>
        <w:autoSpaceDE/>
        <w:autoSpaceDN/>
        <w:adjustRightInd/>
        <w:rPr>
          <w:rFonts w:hint="eastAsia" w:ascii="宋体" w:hAnsi="宋体" w:eastAsia="宋体" w:cs="宋体"/>
          <w:b/>
          <w:color w:val="auto"/>
          <w:highlight w:val="none"/>
        </w:rPr>
      </w:pPr>
      <w:bookmarkStart w:id="23" w:name="bookmark20"/>
      <w:bookmarkEnd w:id="23"/>
      <w:r>
        <w:rPr>
          <w:rFonts w:hint="eastAsia" w:ascii="宋体" w:hAnsi="宋体" w:eastAsia="宋体" w:cs="宋体"/>
          <w:b/>
          <w:color w:val="auto"/>
          <w:highlight w:val="none"/>
        </w:rPr>
        <w:br w:type="page"/>
      </w:r>
    </w:p>
    <w:p>
      <w:pPr>
        <w:pStyle w:val="6"/>
        <w:spacing w:before="120" w:after="120"/>
        <w:jc w:val="center"/>
        <w:rPr>
          <w:rFonts w:hint="eastAsia" w:ascii="宋体" w:hAnsi="宋体" w:eastAsia="宋体" w:cs="宋体"/>
          <w:b/>
          <w:bCs/>
          <w:color w:val="auto"/>
          <w:sz w:val="32"/>
          <w:highlight w:val="none"/>
        </w:rPr>
      </w:pPr>
      <w:bookmarkStart w:id="24" w:name="_Toc32198"/>
      <w:bookmarkStart w:id="25" w:name="_Toc17556931"/>
      <w:bookmarkStart w:id="26" w:name="_Toc17454922"/>
      <w:bookmarkStart w:id="27" w:name="_Toc17556876"/>
      <w:bookmarkStart w:id="28" w:name="_Toc17451623"/>
      <w:bookmarkStart w:id="29" w:name="_Toc17454871"/>
      <w:bookmarkStart w:id="30" w:name="_Toc17451101"/>
      <w:bookmarkStart w:id="31" w:name="_Toc262229161"/>
      <w:bookmarkStart w:id="32" w:name="_Toc17452664"/>
      <w:bookmarkStart w:id="33" w:name="_Toc17451578"/>
      <w:r>
        <w:rPr>
          <w:rFonts w:hint="eastAsia" w:ascii="宋体" w:hAnsi="宋体" w:eastAsia="宋体" w:cs="宋体"/>
          <w:b/>
          <w:bCs/>
          <w:color w:val="auto"/>
          <w:sz w:val="32"/>
          <w:highlight w:val="none"/>
        </w:rPr>
        <w:t>投标须知修改表</w:t>
      </w:r>
      <w:bookmarkEnd w:id="24"/>
      <w:bookmarkEnd w:id="25"/>
      <w:bookmarkEnd w:id="26"/>
      <w:bookmarkEnd w:id="27"/>
      <w:bookmarkEnd w:id="28"/>
      <w:bookmarkEnd w:id="29"/>
      <w:bookmarkEnd w:id="30"/>
      <w:bookmarkEnd w:id="31"/>
      <w:bookmarkEnd w:id="32"/>
      <w:bookmarkEnd w:id="33"/>
    </w:p>
    <w:p>
      <w:pPr>
        <w:pStyle w:val="23"/>
        <w:spacing w:line="360" w:lineRule="auto"/>
        <w:rPr>
          <w:rFonts w:hint="default" w:ascii="宋体" w:hAnsi="宋体" w:eastAsia="宋体"/>
          <w:b/>
          <w:color w:val="auto"/>
          <w:sz w:val="24"/>
          <w:highlight w:val="none"/>
        </w:rPr>
      </w:pPr>
      <w:r>
        <w:rPr>
          <w:rFonts w:hint="default" w:ascii="宋体" w:hAnsi="宋体" w:eastAsia="宋体"/>
          <w:b/>
          <w:color w:val="auto"/>
          <w:sz w:val="24"/>
          <w:highlight w:val="none"/>
        </w:rPr>
        <w:t>本投标须知使用</w:t>
      </w:r>
      <w:r>
        <w:rPr>
          <w:rFonts w:ascii="宋体" w:hAnsi="宋体" w:eastAsia="宋体"/>
          <w:b/>
          <w:color w:val="auto"/>
          <w:sz w:val="24"/>
          <w:highlight w:val="none"/>
        </w:rPr>
        <w:t>SWZB2024-06</w:t>
      </w:r>
      <w:r>
        <w:rPr>
          <w:rFonts w:hint="default" w:ascii="宋体" w:hAnsi="宋体" w:eastAsia="宋体"/>
          <w:b/>
          <w:color w:val="auto"/>
          <w:sz w:val="24"/>
          <w:highlight w:val="none"/>
        </w:rPr>
        <w:t>招标文件范本的投标须知通用条款，与该通用条款不同之处，均在本表中列明，并以现文为准，原文不再有效。</w:t>
      </w:r>
    </w:p>
    <w:p>
      <w:pPr>
        <w:spacing w:line="360" w:lineRule="auto"/>
        <w:ind w:firstLine="540" w:firstLineChars="224"/>
        <w:rPr>
          <w:rFonts w:ascii="宋体" w:hAnsi="宋体" w:cs="宋体"/>
          <w:b/>
          <w:color w:val="auto"/>
          <w:highlight w:val="none"/>
        </w:rPr>
      </w:pPr>
      <w:r>
        <w:rPr>
          <w:rFonts w:hint="eastAsia" w:ascii="宋体" w:hAnsi="宋体" w:cs="宋体"/>
          <w:b/>
          <w:color w:val="auto"/>
          <w:highlight w:val="none"/>
        </w:rPr>
        <w:t>条款号：1.5           修改类型：修改</w:t>
      </w:r>
    </w:p>
    <w:p>
      <w:pPr>
        <w:spacing w:line="360" w:lineRule="auto"/>
        <w:ind w:firstLine="537" w:firstLineChars="224"/>
        <w:rPr>
          <w:rFonts w:ascii="宋体" w:hAnsi="宋体" w:cs="宋体"/>
          <w:color w:val="auto"/>
          <w:highlight w:val="none"/>
        </w:rPr>
      </w:pPr>
      <w:r>
        <w:rPr>
          <w:rFonts w:hint="eastAsia" w:ascii="宋体" w:hAnsi="宋体" w:cs="宋体"/>
          <w:color w:val="auto"/>
          <w:highlight w:val="none"/>
        </w:rPr>
        <w:t>原文：1.5</w:t>
      </w:r>
      <w:bookmarkStart w:id="34" w:name="OLE_LINK4"/>
      <w:r>
        <w:rPr>
          <w:rFonts w:hint="eastAsia" w:cs="宋体"/>
          <w:color w:val="auto"/>
          <w:highlight w:val="none"/>
        </w:rPr>
        <w:t>投标人准备和参加投标活动发生的费用自理。</w:t>
      </w:r>
      <w:bookmarkEnd w:id="34"/>
    </w:p>
    <w:p>
      <w:pPr>
        <w:spacing w:line="360" w:lineRule="auto"/>
        <w:ind w:firstLine="537" w:firstLineChars="224"/>
        <w:rPr>
          <w:rFonts w:ascii="宋体" w:hAnsi="宋体"/>
          <w:color w:val="auto"/>
          <w:highlight w:val="none"/>
        </w:rPr>
      </w:pPr>
      <w:r>
        <w:rPr>
          <w:rFonts w:hint="eastAsia" w:ascii="宋体" w:hAnsi="宋体" w:cs="宋体"/>
          <w:color w:val="auto"/>
          <w:highlight w:val="none"/>
        </w:rPr>
        <w:t>现文：1.5</w:t>
      </w:r>
      <w:r>
        <w:rPr>
          <w:rFonts w:hint="eastAsia" w:cs="宋体"/>
          <w:color w:val="auto"/>
          <w:highlight w:val="none"/>
        </w:rPr>
        <w:t>投标人准备和参加投标活动发生的费用自理。</w:t>
      </w:r>
      <w:r>
        <w:rPr>
          <w:rFonts w:hint="eastAsia" w:ascii="宋体" w:hAnsi="宋体" w:cs="宋体"/>
          <w:b/>
          <w:color w:val="auto"/>
          <w:highlight w:val="none"/>
          <w:u w:val="single"/>
        </w:rPr>
        <w:t>中标人支付交易服务费（由投标人在投标报价中综合考虑）。</w:t>
      </w:r>
    </w:p>
    <w:p>
      <w:pPr>
        <w:spacing w:line="360" w:lineRule="auto"/>
        <w:ind w:firstLine="537" w:firstLineChars="224"/>
        <w:rPr>
          <w:rFonts w:ascii="宋体" w:hAnsi="宋体"/>
          <w:color w:val="auto"/>
          <w:highlight w:val="none"/>
        </w:rPr>
      </w:pPr>
      <w:r>
        <w:rPr>
          <w:rFonts w:ascii="宋体" w:hAnsi="宋体"/>
          <w:color w:val="auto"/>
          <w:highlight w:val="none"/>
        </w:rPr>
        <w:t>条款号：</w:t>
      </w:r>
      <w:r>
        <w:rPr>
          <w:rFonts w:hint="eastAsia" w:ascii="宋体" w:hAnsi="宋体"/>
          <w:color w:val="auto"/>
          <w:highlight w:val="none"/>
        </w:rPr>
        <w:t>2.2.4</w:t>
      </w:r>
      <w:r>
        <w:rPr>
          <w:rFonts w:ascii="宋体" w:hAnsi="宋体"/>
          <w:color w:val="auto"/>
          <w:highlight w:val="none"/>
        </w:rPr>
        <w:t xml:space="preserve">             修改类型：修改</w:t>
      </w:r>
    </w:p>
    <w:p>
      <w:pPr>
        <w:spacing w:line="360" w:lineRule="auto"/>
        <w:ind w:firstLine="537" w:firstLineChars="224"/>
        <w:rPr>
          <w:rFonts w:ascii="宋体" w:hAnsi="宋体"/>
          <w:color w:val="auto"/>
          <w:highlight w:val="none"/>
        </w:rPr>
      </w:pPr>
      <w:r>
        <w:rPr>
          <w:rFonts w:ascii="宋体" w:hAnsi="宋体"/>
          <w:color w:val="auto"/>
          <w:highlight w:val="none"/>
        </w:rPr>
        <w:t>原文：</w:t>
      </w:r>
      <w:r>
        <w:rPr>
          <w:rFonts w:hint="eastAsia" w:ascii="宋体" w:hAnsi="宋体"/>
          <w:color w:val="auto"/>
          <w:highlight w:val="none"/>
        </w:rPr>
        <w:t>2.2.4</w:t>
      </w:r>
      <w:r>
        <w:rPr>
          <w:color w:val="auto"/>
          <w:highlight w:val="none"/>
        </w:rPr>
        <w:t>招标答疑会会议纪要是招标文件的组成部分，对投标人起约束作用。</w:t>
      </w:r>
    </w:p>
    <w:p>
      <w:pPr>
        <w:pBdr>
          <w:bottom w:val="single" w:color="auto" w:sz="6" w:space="1"/>
        </w:pBdr>
        <w:spacing w:line="360" w:lineRule="auto"/>
        <w:ind w:firstLine="537" w:firstLineChars="224"/>
        <w:rPr>
          <w:rFonts w:ascii="宋体" w:hAnsi="宋体"/>
          <w:color w:val="auto"/>
          <w:highlight w:val="none"/>
        </w:rPr>
      </w:pPr>
      <w:r>
        <w:rPr>
          <w:rFonts w:ascii="宋体" w:hAnsi="宋体"/>
          <w:color w:val="auto"/>
          <w:highlight w:val="none"/>
        </w:rPr>
        <w:t>现文：</w:t>
      </w:r>
      <w:r>
        <w:rPr>
          <w:rFonts w:hint="eastAsia" w:ascii="宋体" w:hAnsi="宋体"/>
          <w:color w:val="auto"/>
          <w:highlight w:val="none"/>
        </w:rPr>
        <w:t>2.2.4</w:t>
      </w:r>
      <w:r>
        <w:rPr>
          <w:rFonts w:ascii="宋体" w:hAnsi="宋体"/>
          <w:b/>
          <w:bCs/>
          <w:color w:val="auto"/>
          <w:highlight w:val="none"/>
          <w:u w:val="single"/>
        </w:rPr>
        <w:t>招标答疑纪要</w:t>
      </w:r>
      <w:r>
        <w:rPr>
          <w:color w:val="auto"/>
          <w:highlight w:val="none"/>
        </w:rPr>
        <w:t>是招标文件的组成部分，对投标人起约束作用。</w:t>
      </w:r>
    </w:p>
    <w:p>
      <w:pPr>
        <w:spacing w:line="360" w:lineRule="auto"/>
        <w:ind w:firstLine="537" w:firstLineChars="224"/>
        <w:rPr>
          <w:rFonts w:ascii="宋体" w:hAnsi="宋体"/>
          <w:color w:val="auto"/>
          <w:highlight w:val="none"/>
        </w:rPr>
      </w:pPr>
      <w:r>
        <w:rPr>
          <w:rFonts w:ascii="宋体" w:hAnsi="宋体"/>
          <w:color w:val="auto"/>
          <w:highlight w:val="none"/>
        </w:rPr>
        <w:t>条款号：</w:t>
      </w:r>
      <w:r>
        <w:rPr>
          <w:rFonts w:hint="eastAsia" w:ascii="宋体" w:hAnsi="宋体"/>
          <w:color w:val="auto"/>
          <w:highlight w:val="none"/>
        </w:rPr>
        <w:t>2.2.5</w:t>
      </w:r>
      <w:r>
        <w:rPr>
          <w:rFonts w:ascii="宋体" w:hAnsi="宋体"/>
          <w:color w:val="auto"/>
          <w:highlight w:val="none"/>
        </w:rPr>
        <w:t xml:space="preserve">             修改类型：修改</w:t>
      </w:r>
    </w:p>
    <w:p>
      <w:pPr>
        <w:spacing w:line="360" w:lineRule="auto"/>
        <w:ind w:firstLine="537" w:firstLineChars="224"/>
        <w:rPr>
          <w:rFonts w:ascii="宋体" w:hAnsi="宋体"/>
          <w:color w:val="auto"/>
          <w:highlight w:val="none"/>
        </w:rPr>
      </w:pPr>
      <w:r>
        <w:rPr>
          <w:rFonts w:ascii="宋体" w:hAnsi="宋体"/>
          <w:color w:val="auto"/>
          <w:highlight w:val="none"/>
        </w:rPr>
        <w:t>原文：</w:t>
      </w:r>
      <w:r>
        <w:rPr>
          <w:rFonts w:hint="eastAsia" w:ascii="宋体" w:hAnsi="宋体"/>
          <w:color w:val="auto"/>
          <w:highlight w:val="none"/>
        </w:rPr>
        <w:t>2.2.5</w:t>
      </w:r>
      <w:r>
        <w:rPr>
          <w:color w:val="auto"/>
          <w:highlight w:val="none"/>
        </w:rPr>
        <w:t>若招标答疑会会议纪要与招标文件有矛盾时，以</w:t>
      </w:r>
      <w:r>
        <w:rPr>
          <w:rFonts w:hint="eastAsia"/>
          <w:color w:val="auto"/>
          <w:highlight w:val="none"/>
        </w:rPr>
        <w:t>广州交易集团有限公司（广州公共资源交易中心）</w:t>
      </w:r>
      <w:r>
        <w:rPr>
          <w:color w:val="auto"/>
          <w:highlight w:val="none"/>
        </w:rPr>
        <w:t>网站最后发布的答疑纪要为准。</w:t>
      </w:r>
    </w:p>
    <w:p>
      <w:pPr>
        <w:pBdr>
          <w:bottom w:val="single" w:color="auto" w:sz="6" w:space="1"/>
        </w:pBdr>
        <w:spacing w:line="360" w:lineRule="auto"/>
        <w:ind w:firstLine="537" w:firstLineChars="224"/>
        <w:rPr>
          <w:rFonts w:ascii="宋体" w:hAnsi="宋体"/>
          <w:color w:val="auto"/>
          <w:highlight w:val="none"/>
        </w:rPr>
      </w:pPr>
      <w:r>
        <w:rPr>
          <w:rFonts w:ascii="宋体" w:hAnsi="宋体"/>
          <w:color w:val="auto"/>
          <w:highlight w:val="none"/>
        </w:rPr>
        <w:t>现文：</w:t>
      </w:r>
      <w:r>
        <w:rPr>
          <w:rFonts w:hint="eastAsia" w:ascii="宋体" w:hAnsi="宋体"/>
          <w:color w:val="auto"/>
          <w:highlight w:val="none"/>
        </w:rPr>
        <w:t>2.2.5</w:t>
      </w:r>
      <w:r>
        <w:rPr>
          <w:color w:val="auto"/>
          <w:highlight w:val="none"/>
        </w:rPr>
        <w:t>若</w:t>
      </w:r>
      <w:r>
        <w:rPr>
          <w:rFonts w:ascii="宋体" w:hAnsi="宋体"/>
          <w:b/>
          <w:bCs/>
          <w:color w:val="auto"/>
          <w:highlight w:val="none"/>
          <w:u w:val="single"/>
        </w:rPr>
        <w:t>招标答疑纪要</w:t>
      </w:r>
      <w:r>
        <w:rPr>
          <w:color w:val="auto"/>
          <w:highlight w:val="none"/>
        </w:rPr>
        <w:t>与招标文件有矛盾时，以</w:t>
      </w:r>
      <w:r>
        <w:rPr>
          <w:rFonts w:hint="eastAsia"/>
          <w:color w:val="auto"/>
          <w:highlight w:val="none"/>
        </w:rPr>
        <w:t>广州交易集团有限公司（广州公共资源交易中心）</w:t>
      </w:r>
      <w:r>
        <w:rPr>
          <w:color w:val="auto"/>
          <w:highlight w:val="none"/>
        </w:rPr>
        <w:t>网站最后发布的答疑纪要为准。</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条款号：3.1            修改类型：修改</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val="0"/>
          <w:color w:val="auto"/>
          <w:highlight w:val="none"/>
        </w:rPr>
        <w:t>原文：</w:t>
      </w:r>
      <w:r>
        <w:rPr>
          <w:rFonts w:hint="eastAsia" w:ascii="宋体" w:hAnsi="宋体" w:eastAsia="宋体" w:cs="宋体"/>
          <w:color w:val="auto"/>
          <w:highlight w:val="none"/>
        </w:rPr>
        <w:t>3.1 投标文件的组成</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3.1.1 投标文件应包括下列内容：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（1）投标函及投标函附录；</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（2）法定代表人身份证明或授权委托书；</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（3）联合体协议书；</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（4）投标保证金；</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服务清单</w:t>
      </w:r>
      <w:r>
        <w:rPr>
          <w:rFonts w:hint="eastAsia" w:ascii="宋体" w:hAnsi="宋体" w:eastAsia="宋体" w:cs="宋体"/>
          <w:color w:val="auto"/>
          <w:sz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（6）资格审查资料；</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服务大纲</w:t>
      </w:r>
      <w:r>
        <w:rPr>
          <w:rFonts w:hint="eastAsia" w:ascii="宋体" w:hAnsi="宋体" w:eastAsia="宋体" w:cs="宋体"/>
          <w:color w:val="auto"/>
          <w:sz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（8）投标人须知前附表规定的其他资料。投标人在评标过程中作出的符合法律法规和招标文件规定的澄清确认，构成投标文件的组成部分。</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val="0"/>
          <w:color w:val="auto"/>
          <w:highlight w:val="none"/>
        </w:rPr>
        <w:t>现文：</w:t>
      </w:r>
      <w:r>
        <w:rPr>
          <w:rFonts w:hint="eastAsia" w:ascii="宋体" w:hAnsi="宋体" w:eastAsia="宋体" w:cs="宋体"/>
          <w:color w:val="auto"/>
          <w:highlight w:val="none"/>
        </w:rPr>
        <w:t>3.1 投标文件的组成</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3.1.1 投标文件应包括下列内容：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（1）投标函及投标函附录；</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rPr>
        <w:t>法定代表人证明书及有效的法定代表人身份证正反面扫描件、法定代表人签字或盖章的本投标文件授权委托证明书扫描件及有效的被授权人身份证正反面扫描件，被授权人必须具有近1个月（2025年6</w:t>
      </w:r>
      <w:r>
        <w:rPr>
          <w:rFonts w:hint="eastAsia" w:ascii="宋体" w:hAnsi="宋体" w:cs="宋体"/>
          <w:color w:val="auto"/>
          <w:sz w:val="24"/>
          <w:highlight w:val="none"/>
        </w:rPr>
        <w:t>月或7月）在本单位缴纳的社保证明文件</w:t>
      </w:r>
      <w:r>
        <w:rPr>
          <w:rFonts w:hint="eastAsia" w:cs="宋体"/>
          <w:color w:val="auto"/>
          <w:sz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（3）</w:t>
      </w:r>
      <w:r>
        <w:rPr>
          <w:rFonts w:hint="eastAsia" w:cs="宋体"/>
          <w:color w:val="auto"/>
          <w:sz w:val="24"/>
          <w:highlight w:val="none"/>
          <w:u w:val="single"/>
        </w:rPr>
        <w:t>投标报价书</w:t>
      </w:r>
      <w:r>
        <w:rPr>
          <w:rFonts w:hint="eastAsia" w:ascii="宋体" w:hAnsi="宋体" w:eastAsia="宋体" w:cs="宋体"/>
          <w:color w:val="auto"/>
          <w:sz w:val="24"/>
          <w:highlight w:val="none"/>
          <w:u w:val="single"/>
        </w:rPr>
        <w:t>；</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（4）资格审查资料</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含投标人声明格式</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（5）</w:t>
      </w:r>
      <w:r>
        <w:rPr>
          <w:rFonts w:hint="eastAsia" w:cs="宋体"/>
          <w:color w:val="auto"/>
          <w:sz w:val="24"/>
          <w:highlight w:val="none"/>
          <w:u w:val="single"/>
          <w:lang w:val="en-US" w:eastAsia="zh-CN"/>
        </w:rPr>
        <w:t>技术服务方案</w:t>
      </w:r>
      <w:r>
        <w:rPr>
          <w:rFonts w:hint="eastAsia" w:ascii="宋体" w:hAnsi="宋体" w:eastAsia="宋体" w:cs="宋体"/>
          <w:color w:val="auto"/>
          <w:sz w:val="24"/>
          <w:highlight w:val="none"/>
          <w:u w:val="single"/>
        </w:rPr>
        <w:t>；</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（6）</w:t>
      </w:r>
      <w:r>
        <w:rPr>
          <w:rFonts w:hint="eastAsia" w:cs="宋体"/>
          <w:color w:val="auto"/>
          <w:sz w:val="24"/>
          <w:highlight w:val="none"/>
          <w:u w:val="single"/>
        </w:rPr>
        <w:t>其他资料。投标人在评标过程中作出的符合法律法规和招标文件规定的澄清确认，构成投标文件的组成部分。</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条款号：3.3.3            修改类型：修改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rPr>
        <w:t>原文：</w:t>
      </w:r>
      <w:r>
        <w:rPr>
          <w:rFonts w:hint="eastAsia" w:ascii="宋体" w:hAnsi="宋体" w:eastAsia="宋体" w:cs="宋体"/>
          <w:color w:val="auto"/>
          <w:sz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val="0"/>
          <w:color w:val="auto"/>
          <w:highlight w:val="none"/>
        </w:rPr>
        <w:t>现文：</w:t>
      </w:r>
      <w:r>
        <w:rPr>
          <w:rFonts w:hint="eastAsia" w:ascii="宋体" w:hAnsi="宋体" w:eastAsia="宋体" w:cs="宋体"/>
          <w:color w:val="auto"/>
          <w:highlight w:val="none"/>
          <w:u w:val="single"/>
        </w:rPr>
        <w:t>3.3.3 出现特殊情况需要延长投标有效期的，招标人以书面形式通知所有投标人延长投标有效期。投标人应予以书面答复，同意延长的，但不得要求或被允许修改其投标文件；投标人拒绝延长的，其投标失效。</w:t>
      </w:r>
    </w:p>
    <w:p>
      <w:pPr>
        <w:spacing w:line="360" w:lineRule="auto"/>
        <w:ind w:firstLine="540" w:firstLineChars="224"/>
        <w:rPr>
          <w:rFonts w:hint="eastAsia" w:ascii="宋体" w:hAnsi="宋体" w:eastAsia="宋体" w:cs="宋体"/>
          <w:b/>
          <w:color w:val="auto"/>
          <w:highlight w:val="none"/>
        </w:rPr>
      </w:pPr>
      <w:r>
        <w:rPr>
          <w:rFonts w:hint="eastAsia" w:ascii="宋体" w:hAnsi="宋体" w:eastAsia="宋体" w:cs="宋体"/>
          <w:b/>
          <w:color w:val="auto"/>
          <w:highlight w:val="none"/>
        </w:rPr>
        <w:t>条款号：3.4           修改类型：修改</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color w:val="auto"/>
          <w:highlight w:val="none"/>
        </w:rPr>
        <w:t>原文：</w:t>
      </w:r>
      <w:r>
        <w:rPr>
          <w:rFonts w:hint="eastAsia" w:ascii="宋体" w:hAnsi="宋体" w:eastAsia="宋体" w:cs="宋体"/>
          <w:color w:val="auto"/>
          <w:highlight w:val="none"/>
        </w:rPr>
        <w:t>3.4  投标保证金（3.4.1-3.4.4）</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val="0"/>
          <w:color w:val="auto"/>
          <w:highlight w:val="none"/>
        </w:rPr>
        <w:t>现文：</w:t>
      </w:r>
      <w:r>
        <w:rPr>
          <w:rFonts w:hint="eastAsia" w:ascii="宋体" w:hAnsi="宋体" w:eastAsia="宋体" w:cs="宋体"/>
          <w:color w:val="auto"/>
          <w:highlight w:val="none"/>
        </w:rPr>
        <w:t>3.4  投标保证金</w:t>
      </w:r>
    </w:p>
    <w:p>
      <w:pPr>
        <w:pBdr>
          <w:bottom w:val="single" w:color="auto" w:sz="6" w:space="1"/>
        </w:pBdr>
        <w:spacing w:line="360" w:lineRule="auto"/>
        <w:ind w:firstLine="537" w:firstLineChars="224"/>
        <w:rPr>
          <w:rFonts w:hint="eastAsia" w:ascii="宋体" w:hAnsi="宋体" w:eastAsia="宋体" w:cs="宋体"/>
          <w:color w:val="auto"/>
          <w:highlight w:val="none"/>
        </w:rPr>
      </w:pPr>
      <w:r>
        <w:rPr>
          <w:rFonts w:hint="eastAsia" w:ascii="宋体" w:hAnsi="宋体" w:eastAsia="宋体" w:cs="宋体"/>
          <w:color w:val="auto"/>
          <w:highlight w:val="none"/>
          <w:u w:val="single"/>
        </w:rPr>
        <w:t>本项目不需要提交投标保证金。</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条款号：3.5            修改类型：修改</w:t>
      </w:r>
    </w:p>
    <w:p>
      <w:pPr>
        <w:spacing w:line="360" w:lineRule="auto"/>
        <w:ind w:firstLine="482" w:firstLineChars="200"/>
        <w:rPr>
          <w:rFonts w:hint="eastAsia" w:ascii="宋体" w:hAnsi="宋体" w:eastAsia="宋体" w:cs="宋体"/>
          <w:color w:val="auto"/>
          <w:sz w:val="27"/>
          <w:highlight w:val="none"/>
        </w:rPr>
      </w:pPr>
      <w:r>
        <w:rPr>
          <w:rFonts w:hint="eastAsia" w:ascii="宋体" w:hAnsi="宋体" w:eastAsia="宋体" w:cs="宋体"/>
          <w:b/>
          <w:bCs w:val="0"/>
          <w:color w:val="auto"/>
          <w:highlight w:val="none"/>
        </w:rPr>
        <w:t>原文：</w:t>
      </w:r>
      <w:r>
        <w:rPr>
          <w:rFonts w:hint="eastAsia" w:ascii="宋体" w:hAnsi="宋体" w:eastAsia="宋体" w:cs="宋体"/>
          <w:color w:val="auto"/>
          <w:highlight w:val="none"/>
        </w:rPr>
        <w:t>3.5 资格审查资料</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除投标人须知前附表另有规定外，投标人应按下列规定提供资格审查资料，以证明其满足本章第 1.4 款规定的资质、财务、业绩、信誉等要求。</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3.5.1 “投标人基本情况表”应附投标人营业执照、投标人</w:t>
      </w:r>
      <w:r>
        <w:rPr>
          <w:rFonts w:hint="eastAsia" w:ascii="宋体" w:hAnsi="宋体" w:eastAsia="宋体" w:cs="宋体"/>
          <w:color w:val="auto"/>
          <w:sz w:val="24"/>
          <w:highlight w:val="none"/>
          <w:lang w:eastAsia="zh-CN"/>
        </w:rPr>
        <w:t>测绘资质</w:t>
      </w:r>
      <w:r>
        <w:rPr>
          <w:rFonts w:hint="eastAsia" w:ascii="宋体" w:hAnsi="宋体" w:eastAsia="宋体" w:cs="宋体"/>
          <w:color w:val="auto"/>
          <w:sz w:val="24"/>
          <w:highlight w:val="none"/>
        </w:rPr>
        <w:t>证书副本等材料的扫描件。</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3.5.2 “近年完成的类似</w:t>
      </w:r>
      <w:r>
        <w:rPr>
          <w:rFonts w:hint="eastAsia" w:ascii="宋体" w:hAnsi="宋体" w:eastAsia="宋体" w:cs="宋体"/>
          <w:color w:val="auto"/>
          <w:sz w:val="24"/>
          <w:highlight w:val="none"/>
          <w:lang w:eastAsia="zh-CN"/>
        </w:rPr>
        <w:t>服务项目</w:t>
      </w:r>
      <w:r>
        <w:rPr>
          <w:rFonts w:hint="eastAsia" w:ascii="宋体" w:hAnsi="宋体" w:eastAsia="宋体" w:cs="宋体"/>
          <w:color w:val="auto"/>
          <w:sz w:val="24"/>
          <w:highlight w:val="none"/>
        </w:rPr>
        <w:t>情况表”应附中标通知书和（或）合同协议书、委托人出具的证明文件；具体时间要求见投标人须知前附表，每张表格只填写一个项目，并标明序号。</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3.5.3 “拟委任的主要人员汇总表”应填报满足本章第 1.4.1 项规定的</w:t>
      </w:r>
      <w:r>
        <w:rPr>
          <w:rFonts w:hint="eastAsia" w:ascii="宋体" w:hAnsi="宋体" w:eastAsia="宋体" w:cs="宋体"/>
          <w:color w:val="auto"/>
          <w:sz w:val="24"/>
          <w:highlight w:val="none"/>
          <w:lang w:eastAsia="zh-CN"/>
        </w:rPr>
        <w:t>项目负责人</w:t>
      </w:r>
      <w:r>
        <w:rPr>
          <w:rFonts w:hint="eastAsia" w:ascii="宋体" w:hAnsi="宋体" w:eastAsia="宋体" w:cs="宋体"/>
          <w:color w:val="auto"/>
          <w:sz w:val="24"/>
          <w:highlight w:val="none"/>
        </w:rPr>
        <w:t>和其他主要人员的相关信息。“主要人员简历表”中</w:t>
      </w:r>
      <w:r>
        <w:rPr>
          <w:rFonts w:hint="eastAsia" w:ascii="宋体" w:hAnsi="宋体" w:eastAsia="宋体" w:cs="宋体"/>
          <w:color w:val="auto"/>
          <w:sz w:val="24"/>
          <w:highlight w:val="none"/>
          <w:lang w:eastAsia="zh-CN"/>
        </w:rPr>
        <w:t>项目负责人</w:t>
      </w:r>
      <w:r>
        <w:rPr>
          <w:rFonts w:hint="eastAsia" w:ascii="宋体" w:hAnsi="宋体" w:eastAsia="宋体" w:cs="宋体"/>
          <w:color w:val="auto"/>
          <w:sz w:val="24"/>
          <w:highlight w:val="none"/>
        </w:rPr>
        <w:t>应附身份证、学历证、职称证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3.5.4 投标人须知前附表规定接受联合体投标的，本章第3.5.1 项至第3.5.3项规定的表格和资料应包括联合体各方相关情况。</w:t>
      </w:r>
    </w:p>
    <w:p>
      <w:pPr>
        <w:spacing w:line="360" w:lineRule="auto"/>
        <w:ind w:firstLine="482" w:firstLineChars="200"/>
        <w:rPr>
          <w:rFonts w:hint="eastAsia" w:ascii="宋体" w:hAnsi="宋体" w:eastAsia="宋体" w:cs="宋体"/>
          <w:color w:val="auto"/>
          <w:sz w:val="27"/>
          <w:highlight w:val="none"/>
        </w:rPr>
      </w:pPr>
      <w:r>
        <w:rPr>
          <w:rFonts w:hint="eastAsia" w:ascii="宋体" w:hAnsi="宋体" w:eastAsia="宋体" w:cs="宋体"/>
          <w:b/>
          <w:bCs/>
          <w:color w:val="auto"/>
          <w:highlight w:val="none"/>
        </w:rPr>
        <w:t>现文：</w:t>
      </w:r>
      <w:r>
        <w:rPr>
          <w:rFonts w:hint="eastAsia" w:ascii="宋体" w:hAnsi="宋体" w:eastAsia="宋体" w:cs="宋体"/>
          <w:color w:val="auto"/>
          <w:highlight w:val="none"/>
        </w:rPr>
        <w:t>3.5 资格审查资料</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除投标人须知前附表另有规定外，投标人应按下列规定提供资格审查资料，以证明其满足本章第 1.4 款规定的</w:t>
      </w:r>
      <w:r>
        <w:rPr>
          <w:rFonts w:hint="eastAsia" w:ascii="宋体" w:hAnsi="宋体" w:eastAsia="宋体" w:cs="宋体"/>
          <w:color w:val="auto"/>
          <w:sz w:val="24"/>
          <w:highlight w:val="none"/>
          <w:u w:val="single"/>
        </w:rPr>
        <w:t>资质、信誉等要求</w:t>
      </w:r>
      <w:r>
        <w:rPr>
          <w:rFonts w:hint="eastAsia" w:ascii="宋体" w:hAnsi="宋体" w:eastAsia="宋体" w:cs="宋体"/>
          <w:color w:val="auto"/>
          <w:sz w:val="24"/>
          <w:highlight w:val="none"/>
        </w:rPr>
        <w:t>。</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3.5.1 </w:t>
      </w:r>
      <w:r>
        <w:rPr>
          <w:rFonts w:hint="eastAsia" w:ascii="宋体" w:hAnsi="宋体" w:cs="宋体"/>
          <w:b w:val="0"/>
          <w:bCs w:val="0"/>
          <w:color w:val="auto"/>
          <w:sz w:val="24"/>
          <w:highlight w:val="none"/>
          <w:u w:val="none"/>
        </w:rPr>
        <w:t>资格审查资料详见第六章“投标文件格式”。</w:t>
      </w:r>
    </w:p>
    <w:p>
      <w:pPr>
        <w:spacing w:line="360" w:lineRule="auto"/>
        <w:ind w:firstLine="540" w:firstLineChars="224"/>
        <w:rPr>
          <w:rFonts w:hint="eastAsia" w:ascii="宋体" w:hAnsi="宋体" w:eastAsia="宋体" w:cs="宋体"/>
          <w:b/>
          <w:color w:val="auto"/>
          <w:highlight w:val="none"/>
        </w:rPr>
      </w:pPr>
      <w:r>
        <w:rPr>
          <w:rFonts w:hint="eastAsia" w:ascii="宋体" w:hAnsi="宋体" w:eastAsia="宋体" w:cs="宋体"/>
          <w:b/>
          <w:color w:val="auto"/>
          <w:highlight w:val="none"/>
        </w:rPr>
        <w:t>条款号：3.7.4         修改类型：删除</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color w:val="auto"/>
          <w:highlight w:val="none"/>
        </w:rPr>
        <w:t>原文：</w:t>
      </w:r>
      <w:r>
        <w:rPr>
          <w:rFonts w:hint="eastAsia" w:ascii="宋体" w:hAnsi="宋体" w:eastAsia="宋体" w:cs="宋体"/>
          <w:color w:val="auto"/>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条款号：5.2.1           修改类型：修改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rPr>
        <w:t>原文：</w:t>
      </w:r>
      <w:r>
        <w:rPr>
          <w:rFonts w:hint="eastAsia" w:ascii="宋体" w:hAnsi="宋体" w:eastAsia="宋体" w:cs="宋体"/>
          <w:color w:val="auto"/>
          <w:sz w:val="24"/>
          <w:highlight w:val="none"/>
        </w:rPr>
        <w:t>5.2.1 在投标截止时间后</w:t>
      </w:r>
      <w:r>
        <w:rPr>
          <w:rFonts w:hint="eastAsia" w:ascii="宋体" w:hAnsi="宋体" w:eastAsia="宋体" w:cs="宋体"/>
          <w:color w:val="auto"/>
          <w:sz w:val="24"/>
          <w:highlight w:val="none"/>
          <w:u w:val="single"/>
        </w:rPr>
        <w:t>半小时</w:t>
      </w:r>
      <w:r>
        <w:rPr>
          <w:rFonts w:hint="eastAsia" w:ascii="宋体" w:hAnsi="宋体" w:eastAsia="宋体" w:cs="宋体"/>
          <w:color w:val="auto"/>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w:t>
      </w:r>
      <w:r>
        <w:rPr>
          <w:rFonts w:hint="eastAsia" w:ascii="宋体" w:hAnsi="宋体" w:eastAsia="宋体" w:cs="宋体"/>
          <w:color w:val="auto"/>
          <w:sz w:val="24"/>
          <w:highlight w:val="none"/>
          <w:lang w:eastAsia="zh-CN"/>
        </w:rPr>
        <w:t>项目负责人</w:t>
      </w:r>
      <w:r>
        <w:rPr>
          <w:rFonts w:hint="eastAsia" w:ascii="宋体" w:hAnsi="宋体" w:eastAsia="宋体" w:cs="宋体"/>
          <w:color w:val="auto"/>
          <w:sz w:val="24"/>
          <w:highlight w:val="none"/>
        </w:rPr>
        <w:t>及其他内容。未在规定时间内解密的投标文件不参与开标、评标。</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color w:val="auto"/>
          <w:highlight w:val="none"/>
        </w:rPr>
        <w:t>现文：</w:t>
      </w:r>
      <w:r>
        <w:rPr>
          <w:rFonts w:hint="eastAsia" w:ascii="宋体" w:hAnsi="宋体" w:eastAsia="宋体" w:cs="宋体"/>
          <w:color w:val="auto"/>
          <w:highlight w:val="none"/>
        </w:rPr>
        <w:t>5.2.1 在投标截止时间后</w:t>
      </w:r>
      <w:r>
        <w:rPr>
          <w:rFonts w:hint="eastAsia" w:ascii="宋体" w:hAnsi="宋体" w:eastAsia="宋体" w:cs="宋体"/>
          <w:color w:val="auto"/>
          <w:highlight w:val="none"/>
          <w:u w:val="single"/>
          <w:lang w:val="en-US" w:eastAsia="zh-CN"/>
        </w:rPr>
        <w:t>一个</w:t>
      </w:r>
      <w:r>
        <w:rPr>
          <w:rFonts w:hint="eastAsia" w:ascii="宋体" w:hAnsi="宋体" w:eastAsia="宋体" w:cs="宋体"/>
          <w:color w:val="auto"/>
          <w:highlight w:val="none"/>
          <w:u w:val="single"/>
        </w:rPr>
        <w:t>小时</w:t>
      </w:r>
      <w:r>
        <w:rPr>
          <w:rFonts w:hint="eastAsia" w:ascii="宋体" w:hAnsi="宋体" w:eastAsia="宋体" w:cs="宋体"/>
          <w:color w:val="auto"/>
          <w:highlight w:val="none"/>
        </w:rPr>
        <w:t>内，投标人通过递交投标文件的交易平台对已递交的电子投标文件进行解密。投标人完成解密后，再由招标人进行解密。解密完成后，公布招标项目名称、</w:t>
      </w:r>
      <w:r>
        <w:rPr>
          <w:rFonts w:hint="eastAsia" w:ascii="宋体" w:hAnsi="宋体" w:eastAsia="宋体" w:cs="宋体"/>
          <w:color w:val="auto"/>
          <w:highlight w:val="none"/>
          <w:u w:val="single"/>
        </w:rPr>
        <w:t>投标人名称、投标报价</w:t>
      </w:r>
      <w:r>
        <w:rPr>
          <w:rFonts w:hint="eastAsia" w:ascii="宋体" w:hAnsi="宋体" w:eastAsia="宋体" w:cs="宋体"/>
          <w:color w:val="auto"/>
          <w:highlight w:val="none"/>
        </w:rPr>
        <w:t>及其他内容。未在规定时间内解密的投标文件不参与开标、评标。</w:t>
      </w:r>
    </w:p>
    <w:p>
      <w:pPr>
        <w:spacing w:line="360" w:lineRule="auto"/>
        <w:ind w:firstLine="537" w:firstLineChars="224"/>
        <w:rPr>
          <w:rFonts w:ascii="宋体" w:hAnsi="宋体"/>
          <w:color w:val="auto"/>
          <w:highlight w:val="none"/>
        </w:rPr>
      </w:pPr>
      <w:r>
        <w:rPr>
          <w:rFonts w:ascii="宋体" w:hAnsi="宋体"/>
          <w:color w:val="auto"/>
          <w:highlight w:val="none"/>
        </w:rPr>
        <w:t>条款号：</w:t>
      </w:r>
      <w:r>
        <w:rPr>
          <w:rFonts w:hint="eastAsia" w:ascii="宋体" w:hAnsi="宋体"/>
          <w:color w:val="auto"/>
          <w:highlight w:val="none"/>
        </w:rPr>
        <w:t>6.1.4</w:t>
      </w:r>
      <w:r>
        <w:rPr>
          <w:rFonts w:ascii="宋体" w:hAnsi="宋体"/>
          <w:color w:val="auto"/>
          <w:highlight w:val="none"/>
        </w:rPr>
        <w:t xml:space="preserve">             修改类型：增加</w:t>
      </w:r>
    </w:p>
    <w:p>
      <w:pPr>
        <w:pBdr>
          <w:bottom w:val="single" w:color="auto" w:sz="6" w:space="1"/>
        </w:pBdr>
        <w:spacing w:line="360" w:lineRule="auto"/>
        <w:ind w:firstLine="537" w:firstLineChars="224"/>
        <w:rPr>
          <w:rFonts w:ascii="宋体" w:hAnsi="宋体"/>
          <w:color w:val="auto"/>
          <w:highlight w:val="none"/>
        </w:rPr>
      </w:pPr>
      <w:r>
        <w:rPr>
          <w:rFonts w:ascii="宋体" w:hAnsi="宋体"/>
          <w:color w:val="auto"/>
          <w:highlight w:val="none"/>
        </w:rPr>
        <w:t>现文：</w:t>
      </w:r>
      <w:r>
        <w:rPr>
          <w:rFonts w:ascii="宋体" w:hAnsi="宋体"/>
          <w:b/>
          <w:bCs/>
          <w:color w:val="auto"/>
          <w:highlight w:val="none"/>
          <w:u w:val="single"/>
        </w:rPr>
        <w:t>6.1.4 评标委员会在开始评标前，应了解评标专家的职责及守则，认真阅读附</w:t>
      </w:r>
      <w:r>
        <w:rPr>
          <w:rFonts w:hint="eastAsia" w:ascii="宋体" w:hAnsi="宋体"/>
          <w:b/>
          <w:bCs/>
          <w:color w:val="auto"/>
          <w:highlight w:val="none"/>
          <w:u w:val="single"/>
        </w:rPr>
        <w:t>表</w:t>
      </w:r>
      <w:r>
        <w:rPr>
          <w:rFonts w:ascii="宋体" w:hAnsi="宋体"/>
          <w:b/>
          <w:bCs/>
          <w:color w:val="auto"/>
          <w:highlight w:val="none"/>
          <w:u w:val="single"/>
        </w:rPr>
        <w:t>《评标委员会成员声明》的内容并签名，签名后方可进行评标。</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条款号：7.2         修改类型：修改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2"/>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rPr>
        <w:t>原文：</w:t>
      </w:r>
      <w:r>
        <w:rPr>
          <w:rFonts w:hint="eastAsia" w:ascii="宋体" w:hAnsi="宋体" w:eastAsia="宋体" w:cs="宋体"/>
          <w:color w:val="auto"/>
          <w:sz w:val="24"/>
          <w:highlight w:val="none"/>
        </w:rPr>
        <w:t>投标人或者其他利害关系人对评标结果有异议的，应当在中标候选人公示期间提出。招标人将在收到异议之日起3日内作出答复；作出答复前，将暂停招标投标活动。</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现文：</w:t>
      </w:r>
      <w:r>
        <w:rPr>
          <w:rFonts w:hint="eastAsia" w:ascii="宋体" w:hAnsi="宋体" w:eastAsia="宋体" w:cs="宋体"/>
          <w:color w:val="auto"/>
          <w:sz w:val="24"/>
          <w:highlight w:val="none"/>
        </w:rPr>
        <w:t>投标人或者其他利害关系人对评标结果有异议的，应当在中标候选人公示期间提出。招标人将在收到异议之日起3日内作出答复；作出答复前，将暂停招标投标活动。</w:t>
      </w:r>
      <w:r>
        <w:rPr>
          <w:rFonts w:hint="eastAsia" w:ascii="宋体" w:hAnsi="宋体" w:eastAsia="宋体" w:cs="宋体"/>
          <w:color w:val="auto"/>
          <w:sz w:val="24"/>
          <w:highlight w:val="none"/>
          <w:u w:val="single"/>
        </w:rPr>
        <w:t>注：投标人可以通过线下或线上的形式提出异议。线上提交的，应通过交易平台进行，招标人也应通过交易平台答复线上提交的异议。</w:t>
      </w:r>
    </w:p>
    <w:p>
      <w:pPr>
        <w:spacing w:line="360" w:lineRule="auto"/>
        <w:ind w:firstLine="537" w:firstLineChars="224"/>
        <w:rPr>
          <w:rFonts w:ascii="宋体" w:hAnsi="宋体"/>
          <w:color w:val="auto"/>
          <w:highlight w:val="none"/>
        </w:rPr>
      </w:pPr>
      <w:r>
        <w:rPr>
          <w:rFonts w:ascii="宋体" w:hAnsi="宋体"/>
          <w:color w:val="auto"/>
          <w:highlight w:val="none"/>
        </w:rPr>
        <w:t>条款号：</w:t>
      </w:r>
      <w:r>
        <w:rPr>
          <w:rFonts w:hint="eastAsia" w:ascii="宋体" w:hAnsi="宋体"/>
          <w:color w:val="auto"/>
          <w:highlight w:val="none"/>
        </w:rPr>
        <w:t>7.5.1</w:t>
      </w:r>
      <w:r>
        <w:rPr>
          <w:rFonts w:ascii="宋体" w:hAnsi="宋体"/>
          <w:color w:val="auto"/>
          <w:highlight w:val="none"/>
        </w:rPr>
        <w:t xml:space="preserve">             修改类型：修改</w:t>
      </w:r>
    </w:p>
    <w:p>
      <w:pPr>
        <w:spacing w:line="360" w:lineRule="auto"/>
        <w:ind w:firstLine="537" w:firstLineChars="224"/>
        <w:rPr>
          <w:rFonts w:ascii="宋体" w:hAnsi="宋体"/>
          <w:color w:val="auto"/>
          <w:highlight w:val="none"/>
        </w:rPr>
      </w:pPr>
      <w:r>
        <w:rPr>
          <w:rFonts w:ascii="宋体" w:hAnsi="宋体"/>
          <w:color w:val="auto"/>
          <w:highlight w:val="none"/>
        </w:rPr>
        <w:t>原文：</w:t>
      </w:r>
      <w:r>
        <w:rPr>
          <w:rFonts w:hint="eastAsia" w:ascii="宋体" w:hAnsi="宋体"/>
          <w:color w:val="auto"/>
          <w:highlight w:val="none"/>
        </w:rPr>
        <w:t>7.5.1</w:t>
      </w:r>
      <w:r>
        <w:rPr>
          <w:color w:val="auto"/>
          <w:highlight w:val="none"/>
        </w:rPr>
        <w:t>在法规规定的时间内，招标人以书面形式向中标人发出中标通知书。在</w:t>
      </w:r>
      <w:r>
        <w:rPr>
          <w:rFonts w:hint="eastAsia"/>
          <w:color w:val="auto"/>
          <w:highlight w:val="none"/>
        </w:rPr>
        <w:t>广州交易集团有限公司（广州公共资源交易中心）</w:t>
      </w:r>
      <w:r>
        <w:rPr>
          <w:color w:val="auto"/>
          <w:highlight w:val="none"/>
        </w:rPr>
        <w:t>网和广东省招标投标监管网发布中标信息，视同将中标结果通知未中标的投标人。</w:t>
      </w:r>
    </w:p>
    <w:p>
      <w:pPr>
        <w:pBdr>
          <w:bottom w:val="single" w:color="auto" w:sz="6" w:space="1"/>
        </w:pBdr>
        <w:spacing w:line="360" w:lineRule="auto"/>
        <w:ind w:firstLine="537" w:firstLineChars="224"/>
        <w:rPr>
          <w:rFonts w:ascii="宋体" w:hAnsi="宋体"/>
          <w:color w:val="auto"/>
          <w:highlight w:val="none"/>
        </w:rPr>
      </w:pPr>
      <w:r>
        <w:rPr>
          <w:rFonts w:ascii="宋体" w:hAnsi="宋体"/>
          <w:color w:val="auto"/>
          <w:highlight w:val="none"/>
        </w:rPr>
        <w:t>现文：</w:t>
      </w:r>
      <w:r>
        <w:rPr>
          <w:rFonts w:hint="eastAsia" w:ascii="宋体" w:hAnsi="宋体"/>
          <w:color w:val="auto"/>
          <w:highlight w:val="none"/>
        </w:rPr>
        <w:t>7.5.1</w:t>
      </w:r>
      <w:r>
        <w:rPr>
          <w:color w:val="auto"/>
          <w:highlight w:val="none"/>
        </w:rPr>
        <w:t>在法规规定的时间内，招标人以书面形式向中标人发出中标通知书。</w:t>
      </w:r>
      <w:r>
        <w:rPr>
          <w:rFonts w:hint="eastAsia" w:ascii="宋体" w:hAnsi="宋体"/>
          <w:b/>
          <w:bCs/>
          <w:color w:val="auto"/>
          <w:highlight w:val="none"/>
          <w:u w:val="single"/>
        </w:rPr>
        <w:t>中标人自行于广州交易集团有限公司（广州公共资源交易中心）交易平台下载中标通知书</w:t>
      </w:r>
      <w:r>
        <w:rPr>
          <w:rFonts w:ascii="宋体" w:hAnsi="宋体"/>
          <w:color w:val="auto"/>
          <w:highlight w:val="none"/>
        </w:rPr>
        <w:t>。</w:t>
      </w:r>
      <w:r>
        <w:rPr>
          <w:rFonts w:ascii="宋体" w:hAnsi="宋体"/>
          <w:b/>
          <w:bCs/>
          <w:color w:val="auto"/>
          <w:highlight w:val="none"/>
          <w:u w:val="single"/>
        </w:rPr>
        <w:t>同时招标人将</w:t>
      </w:r>
      <w:r>
        <w:rPr>
          <w:color w:val="auto"/>
          <w:highlight w:val="none"/>
        </w:rPr>
        <w:t>在</w:t>
      </w:r>
      <w:r>
        <w:rPr>
          <w:rFonts w:hint="eastAsia"/>
          <w:color w:val="auto"/>
          <w:highlight w:val="none"/>
        </w:rPr>
        <w:t>广州交易集团有限公司（广州公共资源交易中心）</w:t>
      </w:r>
      <w:r>
        <w:rPr>
          <w:color w:val="auto"/>
          <w:highlight w:val="none"/>
        </w:rPr>
        <w:t>网和广东省招标投标监管网发布中标信息，视同将中标结果通知未中标的投标人。</w:t>
      </w:r>
      <w:r>
        <w:rPr>
          <w:rFonts w:ascii="宋体" w:hAnsi="宋体"/>
          <w:b/>
          <w:bCs/>
          <w:color w:val="auto"/>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条款号：7.6             修改类型：删除</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rFonts w:hint="eastAsia" w:ascii="宋体" w:hAnsi="宋体" w:eastAsia="宋体" w:cs="宋体"/>
          <w:color w:val="auto"/>
          <w:sz w:val="27"/>
          <w:highlight w:val="none"/>
        </w:rPr>
      </w:pPr>
      <w:r>
        <w:rPr>
          <w:rFonts w:hint="eastAsia" w:ascii="宋体" w:hAnsi="宋体" w:eastAsia="宋体" w:cs="宋体"/>
          <w:b/>
          <w:bCs w:val="0"/>
          <w:color w:val="auto"/>
          <w:sz w:val="24"/>
          <w:highlight w:val="none"/>
        </w:rPr>
        <w:t>原文：</w:t>
      </w:r>
      <w:r>
        <w:rPr>
          <w:rFonts w:hint="eastAsia" w:ascii="宋体" w:hAnsi="宋体" w:eastAsia="宋体" w:cs="宋体"/>
          <w:color w:val="auto"/>
          <w:sz w:val="24"/>
          <w:highlight w:val="none"/>
        </w:rPr>
        <w:t>7.6  履约保证金</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ascii="宋体" w:hAnsi="宋体" w:eastAsia="宋体" w:cs="宋体"/>
          <w:color w:val="auto"/>
          <w:spacing w:val="-2"/>
          <w:sz w:val="24"/>
          <w:highlight w:val="none"/>
        </w:rPr>
        <w:t>主办方</w:t>
      </w:r>
      <w:r>
        <w:rPr>
          <w:rFonts w:hint="eastAsia" w:ascii="宋体" w:hAnsi="宋体" w:eastAsia="宋体" w:cs="宋体"/>
          <w:color w:val="auto"/>
          <w:sz w:val="24"/>
          <w:highlight w:val="none"/>
        </w:rPr>
        <w:t>的名义提交。</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firstLine="540" w:firstLineChars="224"/>
        <w:rPr>
          <w:rFonts w:hint="eastAsia" w:ascii="宋体" w:hAnsi="宋体" w:eastAsia="宋体" w:cs="宋体"/>
          <w:b/>
          <w:color w:val="auto"/>
          <w:highlight w:val="none"/>
        </w:rPr>
      </w:pPr>
      <w:r>
        <w:rPr>
          <w:rFonts w:hint="eastAsia" w:ascii="宋体" w:hAnsi="宋体" w:eastAsia="宋体" w:cs="宋体"/>
          <w:b/>
          <w:color w:val="auto"/>
          <w:highlight w:val="none"/>
        </w:rPr>
        <w:t>条款号：7.7        修改类型：修改</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rFonts w:hint="eastAsia" w:ascii="宋体" w:hAnsi="宋体" w:eastAsia="宋体" w:cs="宋体"/>
          <w:color w:val="auto"/>
          <w:sz w:val="27"/>
          <w:highlight w:val="none"/>
        </w:rPr>
      </w:pPr>
      <w:r>
        <w:rPr>
          <w:rFonts w:hint="eastAsia" w:ascii="宋体" w:hAnsi="宋体" w:eastAsia="宋体" w:cs="宋体"/>
          <w:b/>
          <w:bCs/>
          <w:color w:val="auto"/>
          <w:sz w:val="24"/>
          <w:highlight w:val="none"/>
        </w:rPr>
        <w:t>原文：</w:t>
      </w:r>
      <w:r>
        <w:rPr>
          <w:rFonts w:hint="eastAsia" w:ascii="宋体" w:hAnsi="宋体" w:eastAsia="宋体" w:cs="宋体"/>
          <w:color w:val="auto"/>
          <w:sz w:val="24"/>
          <w:highlight w:val="none"/>
        </w:rPr>
        <w:t>7.7  签订合同</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发出中标通知书后，招标人无正当理由拒签合同，或者在签订合同时向中标人提出附加条件的，招标人向中标人退还投标保证金；给中标人造成损失的，还应当赔偿损失。</w:t>
      </w:r>
    </w:p>
    <w:p>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7.7.3 联合体中标的，联合体各方应当共同与招标人签订合同，就中标项目向招标人承担连带责任。</w:t>
      </w:r>
    </w:p>
    <w:p>
      <w:pPr>
        <w:pBdr>
          <w:bottom w:val="single" w:color="auto" w:sz="6" w:space="1"/>
        </w:pBdr>
        <w:spacing w:line="360" w:lineRule="auto"/>
        <w:ind w:firstLine="540" w:firstLineChars="224"/>
        <w:rPr>
          <w:rFonts w:hint="eastAsia" w:ascii="宋体" w:hAnsi="宋体" w:eastAsia="宋体" w:cs="宋体"/>
          <w:color w:val="auto"/>
          <w:highlight w:val="none"/>
        </w:rPr>
      </w:pPr>
      <w:r>
        <w:rPr>
          <w:rFonts w:hint="eastAsia" w:ascii="宋体" w:hAnsi="宋体" w:eastAsia="宋体" w:cs="宋体"/>
          <w:b/>
          <w:bCs/>
          <w:color w:val="auto"/>
          <w:highlight w:val="none"/>
        </w:rPr>
        <w:t>现文：</w:t>
      </w:r>
      <w:r>
        <w:rPr>
          <w:rFonts w:hint="eastAsia" w:ascii="宋体" w:hAnsi="宋体" w:eastAsia="宋体" w:cs="宋体"/>
          <w:color w:val="auto"/>
          <w:highlight w:val="none"/>
          <w:u w:val="single"/>
        </w:rPr>
        <w:t>7.7  签订合同</w:t>
      </w:r>
    </w:p>
    <w:p>
      <w:pPr>
        <w:pBdr>
          <w:bottom w:val="single" w:color="auto" w:sz="6" w:space="1"/>
        </w:pBdr>
        <w:spacing w:line="360" w:lineRule="auto"/>
        <w:ind w:firstLine="537" w:firstLineChars="224"/>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招标人有权取消其中标资格；给招标人造成的损失，中标人还应当予以赔偿。</w:t>
      </w:r>
    </w:p>
    <w:p>
      <w:pPr>
        <w:pBdr>
          <w:bottom w:val="single" w:color="auto" w:sz="6" w:space="1"/>
        </w:pBdr>
        <w:spacing w:line="360" w:lineRule="auto"/>
        <w:ind w:firstLine="537" w:firstLineChars="224"/>
        <w:rPr>
          <w:rFonts w:hint="eastAsia" w:ascii="宋体" w:hAnsi="宋体" w:eastAsia="宋体" w:cs="宋体"/>
          <w:color w:val="auto"/>
          <w:highlight w:val="none"/>
        </w:rPr>
      </w:pPr>
      <w:r>
        <w:rPr>
          <w:rFonts w:hint="eastAsia" w:ascii="宋体" w:hAnsi="宋体" w:eastAsia="宋体" w:cs="宋体"/>
          <w:color w:val="auto"/>
          <w:highlight w:val="none"/>
          <w:u w:val="single"/>
        </w:rPr>
        <w:t>7.7.2 发出中标通知书后，招标人无正当理由拒签合同，或者在签订合同时向中标人提出附加条件的，给中标人造成损失的，还应当赔偿损失。</w:t>
      </w:r>
    </w:p>
    <w:p>
      <w:pPr>
        <w:spacing w:line="360" w:lineRule="auto"/>
        <w:ind w:firstLine="540" w:firstLineChars="224"/>
        <w:rPr>
          <w:rFonts w:hint="eastAsia" w:ascii="宋体" w:hAnsi="宋体" w:eastAsia="宋体" w:cs="宋体"/>
          <w:b/>
          <w:color w:val="auto"/>
          <w:highlight w:val="none"/>
        </w:rPr>
      </w:pPr>
      <w:r>
        <w:rPr>
          <w:rFonts w:hint="eastAsia" w:ascii="宋体" w:hAnsi="宋体" w:eastAsia="宋体" w:cs="宋体"/>
          <w:b/>
          <w:color w:val="auto"/>
          <w:highlight w:val="none"/>
        </w:rPr>
        <w:t>条款号：7.7.4         修改类型：增加</w:t>
      </w:r>
    </w:p>
    <w:p>
      <w:pPr>
        <w:pBdr>
          <w:bottom w:val="single" w:color="auto" w:sz="6" w:space="1"/>
        </w:pBdr>
        <w:spacing w:line="360" w:lineRule="auto"/>
        <w:ind w:firstLine="540" w:firstLineChars="224"/>
        <w:rPr>
          <w:rFonts w:hint="eastAsia" w:ascii="宋体" w:hAnsi="宋体" w:eastAsia="宋体" w:cs="宋体"/>
          <w:color w:val="auto"/>
          <w:highlight w:val="none"/>
          <w:u w:val="single"/>
        </w:rPr>
      </w:pPr>
      <w:r>
        <w:rPr>
          <w:rFonts w:hint="eastAsia" w:ascii="宋体" w:hAnsi="宋体" w:eastAsia="宋体" w:cs="宋体"/>
          <w:b/>
          <w:bCs/>
          <w:color w:val="auto"/>
          <w:highlight w:val="none"/>
          <w:u w:val="single"/>
        </w:rPr>
        <w:t>现文：</w:t>
      </w:r>
      <w:r>
        <w:rPr>
          <w:rFonts w:hint="eastAsia" w:ascii="宋体" w:hAnsi="宋体" w:eastAsia="宋体" w:cs="宋体"/>
          <w:color w:val="auto"/>
          <w:highlight w:val="none"/>
          <w:u w:val="single"/>
        </w:rPr>
        <w:t>7.7.4 如本项目委托代建单位，则可由代建单位作为发包人与中标人签订合同。</w:t>
      </w:r>
    </w:p>
    <w:p>
      <w:pPr>
        <w:spacing w:line="360" w:lineRule="auto"/>
        <w:rPr>
          <w:rFonts w:ascii="宋体" w:hAnsi="宋体"/>
          <w:color w:val="auto"/>
          <w:highlight w:val="none"/>
        </w:rPr>
      </w:pPr>
      <w:r>
        <w:rPr>
          <w:rFonts w:ascii="宋体" w:hAnsi="宋体"/>
          <w:color w:val="auto"/>
          <w:highlight w:val="none"/>
        </w:rPr>
        <w:t>注：以上修改，仅限于本范本中有可供选择条款的情形。</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6"/>
        <w:spacing w:before="120" w:after="120"/>
        <w:outlineLvl w:val="9"/>
        <w:rPr>
          <w:rFonts w:hint="eastAsia" w:ascii="宋体" w:hAnsi="宋体" w:eastAsia="宋体" w:cs="宋体"/>
          <w:color w:val="auto"/>
          <w:highlight w:val="none"/>
        </w:rPr>
        <w:sectPr>
          <w:footerReference r:id="rId5" w:type="default"/>
          <w:pgSz w:w="11905" w:h="16838"/>
          <w:pgMar w:top="1417" w:right="1417" w:bottom="1417" w:left="1417" w:header="992" w:footer="992" w:gutter="0"/>
          <w:cols w:space="720" w:num="1"/>
        </w:sectPr>
      </w:pPr>
    </w:p>
    <w:p>
      <w:pPr>
        <w:pStyle w:val="5"/>
        <w:outlineLvl w:val="2"/>
        <w:rPr>
          <w:rFonts w:hint="eastAsia" w:ascii="宋体" w:hAnsi="宋体" w:eastAsia="宋体" w:cs="宋体"/>
          <w:b w:val="0"/>
          <w:color w:val="auto"/>
          <w:sz w:val="24"/>
          <w:szCs w:val="24"/>
          <w:highlight w:val="none"/>
        </w:rPr>
      </w:pPr>
      <w:bookmarkStart w:id="35" w:name="_Toc28936"/>
      <w:r>
        <w:rPr>
          <w:rFonts w:hint="eastAsia" w:ascii="宋体" w:hAnsi="宋体" w:eastAsia="宋体" w:cs="宋体"/>
          <w:color w:val="auto"/>
          <w:sz w:val="24"/>
          <w:szCs w:val="24"/>
          <w:highlight w:val="none"/>
        </w:rPr>
        <w:t>1.总则</w:t>
      </w:r>
      <w:bookmarkEnd w:id="35"/>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6" w:name="bookmark21"/>
      <w:bookmarkEnd w:id="36"/>
      <w:r>
        <w:rPr>
          <w:rFonts w:hint="eastAsia" w:ascii="宋体" w:hAnsi="宋体" w:eastAsia="宋体" w:cs="宋体"/>
          <w:color w:val="auto"/>
          <w:highlight w:val="none"/>
        </w:rPr>
        <w:t>1.1 招标项目概况</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根据《中华人民共和国招标投标法》、《中华人民共和国招标投标法实施条例》等有关法律、法规和规章的规定，本招标项目已具备招标条件，现对</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进行招标。</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项目建设地点：见投标人须知前附表。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项目建设规模：见投标人须知前附表。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工程项目施工预计开工日期和建设周期：见投标人须知前附表。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建筑安装工程费/工程概算：见投标人须知前附表。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7" w:name="bookmark22"/>
      <w:bookmarkEnd w:id="37"/>
      <w:r>
        <w:rPr>
          <w:rFonts w:hint="eastAsia" w:ascii="宋体" w:hAnsi="宋体" w:eastAsia="宋体" w:cs="宋体"/>
          <w:color w:val="auto"/>
          <w:highlight w:val="none"/>
        </w:rPr>
        <w:t>1.2 招标项目的资金来源和落实情况</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8" w:name="bookmark23"/>
      <w:bookmarkEnd w:id="38"/>
      <w:r>
        <w:rPr>
          <w:rFonts w:hint="eastAsia" w:ascii="宋体" w:hAnsi="宋体" w:eastAsia="宋体" w:cs="宋体"/>
          <w:color w:val="auto"/>
          <w:highlight w:val="none"/>
        </w:rPr>
        <w:t>1.3 招标范围、服务期限和质量标准</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服务期限：见投标人须知前附表。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9" w:name="bookmark24"/>
      <w:bookmarkEnd w:id="39"/>
      <w:r>
        <w:rPr>
          <w:rFonts w:hint="eastAsia" w:ascii="宋体" w:hAnsi="宋体" w:eastAsia="宋体" w:cs="宋体"/>
          <w:color w:val="auto"/>
          <w:highlight w:val="none"/>
        </w:rPr>
        <w:t>1.4 投标人资格要求</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投标人应具备承担本招标项目资质条件、能力和信誉：</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项目负责人</w:t>
      </w:r>
      <w:r>
        <w:rPr>
          <w:rFonts w:hint="eastAsia" w:ascii="宋体" w:hAnsi="宋体" w:eastAsia="宋体" w:cs="宋体"/>
          <w:color w:val="auto"/>
          <w:sz w:val="24"/>
          <w:szCs w:val="24"/>
          <w:highlight w:val="none"/>
        </w:rPr>
        <w:t>的资格要求：投标人须知前附表；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（6）其他主要人员要求：见投标人须知前附表。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（7）试验检测仪器设备要求：见投标人须知前附表。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（8）其他要求：见投标人须知前附表。需要提交的相关证明材料见本章第 3.5 款的规定。</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投标人须知前附表规定接受联合体投标的，联合体除应符合本章第 1.4.1 项和投标人须知前附表的要求外，还应遵守以下规定：</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和各方权利义务，并承诺就中标项目向招标人承担连带责任；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投标人不得存在下列情形之一：</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（9）与本招标项目的检测机构、建设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单位以及建筑材料、建筑构配件和设备供应商有隶属关系或者其他利害关系有隶属关系或者其他利害关系；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（13）进入清算程序，或被宣布破产，或其他丧失履约能力的情形；</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）法律法规规定的其他情形。</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0" w:name="bookmark25"/>
      <w:bookmarkEnd w:id="40"/>
      <w:r>
        <w:rPr>
          <w:rFonts w:hint="eastAsia" w:ascii="宋体" w:hAnsi="宋体" w:eastAsia="宋体" w:cs="宋体"/>
          <w:color w:val="auto"/>
          <w:highlight w:val="none"/>
        </w:rPr>
        <w:t>1.5 费用承担</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1" w:name="bookmark26"/>
      <w:bookmarkEnd w:id="41"/>
      <w:r>
        <w:rPr>
          <w:rFonts w:hint="eastAsia" w:ascii="宋体" w:hAnsi="宋体" w:eastAsia="宋体" w:cs="宋体"/>
          <w:color w:val="auto"/>
          <w:highlight w:val="none"/>
        </w:rPr>
        <w:t>1.6 保密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 担相应的法律责任。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2" w:name="bookmark27"/>
      <w:bookmarkEnd w:id="42"/>
      <w:r>
        <w:rPr>
          <w:rFonts w:hint="eastAsia" w:ascii="宋体" w:hAnsi="宋体" w:eastAsia="宋体" w:cs="宋体"/>
          <w:color w:val="auto"/>
          <w:highlight w:val="none"/>
        </w:rPr>
        <w:t>1.7 语言文字</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3" w:name="bookmark28"/>
      <w:bookmarkEnd w:id="43"/>
      <w:r>
        <w:rPr>
          <w:rFonts w:hint="eastAsia" w:ascii="宋体" w:hAnsi="宋体" w:eastAsia="宋体" w:cs="宋体"/>
          <w:color w:val="auto"/>
          <w:highlight w:val="none"/>
        </w:rPr>
        <w:t>1.8 计量单位</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29"/>
      <w:bookmarkEnd w:id="44"/>
      <w:r>
        <w:rPr>
          <w:rFonts w:hint="eastAsia" w:ascii="宋体" w:hAnsi="宋体" w:eastAsia="宋体" w:cs="宋体"/>
          <w:color w:val="auto"/>
          <w:highlight w:val="none"/>
        </w:rPr>
        <w:t>1.9 踏勘现场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投标人须知前附表规定组织踏勘现场的，招标人按投标人须知前附表规定的时间、地 点组织投标人踏勘项目现场。部分投标人未按时参加踏勘现场的，不影响踏勘现场的正常进行。</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招标人在踏勘现场中介绍的工程场地和相关的周边环境情况，供投标人在编制投标文 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5" w:name="bookmark30"/>
      <w:bookmarkEnd w:id="45"/>
      <w:r>
        <w:rPr>
          <w:rFonts w:hint="eastAsia" w:ascii="宋体" w:hAnsi="宋体" w:eastAsia="宋体" w:cs="宋体"/>
          <w:color w:val="auto"/>
          <w:highlight w:val="none"/>
        </w:rPr>
        <w:t>1.10 投标预备会</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投标人须知前附表规定召开投标预备会的，招标人按投标人须知前附表规定的时间和地点召开投标预备会，澄清投标人提出的问题。</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投标人应按投标人须知前附表规定的时间和形式将提出的问题送达招标人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以便招标人在会议期间澄清。</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投标预备会后，招标人将对投标人所提问题的澄清，以投标人须知前附表规定的形式通知所有</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6" w:name="bookmark31"/>
      <w:bookmarkEnd w:id="46"/>
      <w:r>
        <w:rPr>
          <w:rFonts w:hint="eastAsia" w:ascii="宋体" w:hAnsi="宋体" w:eastAsia="宋体" w:cs="宋体"/>
          <w:color w:val="auto"/>
          <w:highlight w:val="none"/>
        </w:rPr>
        <w:t>1.11 分包</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本项目严禁分包。</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32"/>
      <w:bookmarkEnd w:id="47"/>
      <w:r>
        <w:rPr>
          <w:rFonts w:hint="eastAsia" w:ascii="宋体" w:hAnsi="宋体" w:eastAsia="宋体" w:cs="宋体"/>
          <w:color w:val="auto"/>
          <w:highlight w:val="none"/>
        </w:rPr>
        <w:t>1.12 响应和偏差</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投标人应根据招标文件的要求提供投标</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等内容以对招标文件作出响应。</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投标人须知前附表允许投标文件偏离招标文件某些要求的，偏差应当符合招标文件规定的偏差范围和幅度。</w:t>
      </w:r>
    </w:p>
    <w:p>
      <w:pPr>
        <w:pStyle w:val="5"/>
        <w:outlineLvl w:val="2"/>
        <w:rPr>
          <w:rFonts w:hint="eastAsia" w:ascii="宋体" w:hAnsi="宋体" w:eastAsia="宋体" w:cs="宋体"/>
          <w:color w:val="auto"/>
          <w:sz w:val="24"/>
          <w:szCs w:val="24"/>
          <w:highlight w:val="none"/>
        </w:rPr>
      </w:pPr>
      <w:bookmarkStart w:id="48" w:name="bookmark33"/>
      <w:bookmarkEnd w:id="48"/>
      <w:bookmarkStart w:id="49" w:name="_Toc8823"/>
      <w:r>
        <w:rPr>
          <w:rFonts w:hint="eastAsia" w:ascii="宋体" w:hAnsi="宋体" w:eastAsia="宋体" w:cs="宋体"/>
          <w:color w:val="auto"/>
          <w:sz w:val="24"/>
          <w:szCs w:val="24"/>
          <w:highlight w:val="none"/>
        </w:rPr>
        <w:t>2.招标文件</w:t>
      </w:r>
      <w:bookmarkEnd w:id="49"/>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0" w:name="bookmark34"/>
      <w:bookmarkEnd w:id="50"/>
      <w:r>
        <w:rPr>
          <w:rFonts w:hint="eastAsia" w:ascii="宋体" w:hAnsi="宋体" w:eastAsia="宋体" w:cs="宋体"/>
          <w:color w:val="auto"/>
          <w:highlight w:val="none"/>
        </w:rPr>
        <w:t>2.1 招标文件的组成</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1" w:name="bookmark35"/>
      <w:bookmarkEnd w:id="51"/>
      <w:bookmarkStart w:id="52" w:name="bookmark38"/>
      <w:bookmarkEnd w:id="52"/>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招标答疑采用网上答疑方式进行。投标人若对招标文件有疑问的，</w:t>
      </w:r>
      <w:r>
        <w:rPr>
          <w:rFonts w:hint="eastAsia" w:ascii="宋体" w:hAnsi="宋体" w:eastAsia="宋体" w:cs="宋体"/>
          <w:color w:val="auto"/>
          <w:sz w:val="24"/>
          <w:szCs w:val="24"/>
          <w:highlight w:val="none"/>
          <w:lang w:eastAsia="zh-CN"/>
        </w:rPr>
        <w:t>通过广州交易集团有限公司（广州公共资源交易中心）网站提交，</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eastAsia="zh-CN"/>
        </w:rPr>
        <w:t>问</w:t>
      </w:r>
      <w:r>
        <w:rPr>
          <w:rFonts w:hint="eastAsia" w:ascii="宋体" w:hAnsi="宋体" w:eastAsia="宋体" w:cs="宋体"/>
          <w:color w:val="auto"/>
          <w:sz w:val="24"/>
          <w:szCs w:val="24"/>
          <w:highlight w:val="none"/>
        </w:rPr>
        <w:t>一律不得署名。</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2.2.3  招标答疑会会议纪要将在提交投标文件截止时间 15 日前在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“项目答疑纪要”专区公开发布。答疑纪要一经在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发布，视作已发放给所有投标人</w:t>
      </w:r>
      <w:r>
        <w:rPr>
          <w:rFonts w:hint="eastAsia" w:ascii="宋体" w:hAnsi="宋体" w:eastAsia="宋体" w:cs="宋体"/>
          <w:color w:val="auto"/>
          <w:sz w:val="24"/>
          <w:szCs w:val="24"/>
          <w:highlight w:val="none"/>
          <w:lang w:eastAsia="zh-CN"/>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w:t>
      </w:r>
      <w:r>
        <w:rPr>
          <w:rFonts w:hint="eastAsia" w:ascii="宋体" w:hAnsi="宋体" w:eastAsia="宋体" w:cs="宋体"/>
          <w:color w:val="auto"/>
          <w:sz w:val="24"/>
          <w:szCs w:val="24"/>
          <w:highlight w:val="none"/>
        </w:rPr>
        <w:t>招标答疑</w:t>
      </w:r>
      <w:r>
        <w:rPr>
          <w:rFonts w:hint="eastAsia" w:ascii="宋体" w:hAnsi="宋体" w:eastAsia="宋体" w:cs="宋体"/>
          <w:color w:val="auto"/>
          <w:sz w:val="24"/>
          <w:szCs w:val="24"/>
          <w:highlight w:val="none"/>
          <w:lang w:eastAsia="zh-CN"/>
        </w:rPr>
        <w:t>会会议</w:t>
      </w:r>
      <w:r>
        <w:rPr>
          <w:rFonts w:hint="eastAsia" w:ascii="宋体" w:hAnsi="宋体" w:eastAsia="宋体" w:cs="宋体"/>
          <w:color w:val="auto"/>
          <w:sz w:val="24"/>
          <w:szCs w:val="24"/>
          <w:highlight w:val="none"/>
        </w:rPr>
        <w:t>纪要</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若招标答疑</w:t>
      </w:r>
      <w:r>
        <w:rPr>
          <w:rFonts w:hint="eastAsia" w:ascii="宋体" w:hAnsi="宋体" w:eastAsia="宋体" w:cs="宋体"/>
          <w:color w:val="auto"/>
          <w:sz w:val="24"/>
          <w:szCs w:val="24"/>
          <w:highlight w:val="none"/>
          <w:lang w:eastAsia="zh-CN"/>
        </w:rPr>
        <w:t>会会议</w:t>
      </w:r>
      <w:r>
        <w:rPr>
          <w:rFonts w:hint="eastAsia" w:ascii="宋体" w:hAnsi="宋体" w:eastAsia="宋体" w:cs="宋体"/>
          <w:color w:val="auto"/>
          <w:sz w:val="24"/>
          <w:szCs w:val="24"/>
          <w:highlight w:val="none"/>
        </w:rPr>
        <w:t>纪要与招标文件有矛盾时，以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最后发布的答疑纪要为准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2.3.1 </w:t>
      </w:r>
      <w:r>
        <w:rPr>
          <w:rFonts w:hint="eastAsia" w:ascii="宋体" w:hAnsi="宋体" w:eastAsia="宋体" w:cs="宋体"/>
          <w:color w:val="auto"/>
          <w:sz w:val="24"/>
          <w:szCs w:val="24"/>
          <w:highlight w:val="none"/>
          <w:lang w:val="en-US" w:eastAsia="zh-CN"/>
        </w:rPr>
        <w:t xml:space="preserve"> 招标文件发出后，在提交投标文件截止时间15日前，招标人可对招标文件进行必要的澄清或修改。</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2.3.2  </w:t>
      </w:r>
      <w:r>
        <w:rPr>
          <w:rFonts w:hint="eastAsia" w:ascii="宋体" w:hAnsi="宋体" w:eastAsia="宋体"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宋体" w:hAnsi="宋体" w:eastAsia="宋体" w:cs="宋体"/>
          <w:color w:val="auto"/>
          <w:sz w:val="24"/>
          <w:szCs w:val="24"/>
          <w:highlight w:val="none"/>
          <w:lang w:val="en-US" w:eastAsia="zh-CN"/>
        </w:rPr>
        <w:t>网站发布时间作为送达时间。</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2.3.3  </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文件的澄清或修改是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 xml:space="preserve"> 招标文件的澄清或修</w:t>
      </w:r>
      <w:r>
        <w:rPr>
          <w:rFonts w:hint="eastAsia" w:ascii="宋体" w:hAnsi="宋体" w:eastAsia="宋体" w:cs="宋体"/>
          <w:color w:val="auto"/>
          <w:sz w:val="24"/>
          <w:szCs w:val="24"/>
          <w:highlight w:val="none"/>
        </w:rPr>
        <w:t>改均以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发布的内容为准。当招标文件的澄清、修改</w:t>
      </w:r>
      <w:r>
        <w:rPr>
          <w:rFonts w:hint="eastAsia" w:ascii="宋体" w:hAnsi="宋体" w:eastAsia="宋体" w:cs="宋体"/>
          <w:color w:val="auto"/>
          <w:sz w:val="24"/>
          <w:szCs w:val="24"/>
          <w:highlight w:val="none"/>
          <w:lang w:eastAsia="zh-CN"/>
        </w:rPr>
        <w:t>、补充等</w:t>
      </w:r>
      <w:r>
        <w:rPr>
          <w:rFonts w:hint="eastAsia" w:ascii="宋体" w:hAnsi="宋体" w:eastAsia="宋体" w:cs="宋体"/>
          <w:color w:val="auto"/>
          <w:sz w:val="24"/>
          <w:szCs w:val="24"/>
          <w:highlight w:val="none"/>
        </w:rPr>
        <w:t>在同一内容的表述不一致时，以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最后发布的内容为准。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2.3.5  </w:t>
      </w:r>
      <w:r>
        <w:rPr>
          <w:rFonts w:hint="eastAsia" w:ascii="宋体" w:hAnsi="宋体" w:eastAsia="宋体"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ascii="宋体" w:hAnsi="宋体" w:eastAsia="宋体" w:cs="宋体"/>
          <w:color w:val="auto"/>
          <w:spacing w:val="-11"/>
          <w:sz w:val="24"/>
          <w:szCs w:val="24"/>
          <w:highlight w:val="none"/>
          <w:lang w:eastAsia="zh-CN"/>
        </w:rPr>
        <w:t>，即表示投标时间不延长。</w:t>
      </w:r>
    </w:p>
    <w:p>
      <w:pPr>
        <w:pStyle w:val="5"/>
        <w:outlineLvl w:val="2"/>
        <w:rPr>
          <w:rFonts w:hint="eastAsia" w:ascii="宋体" w:hAnsi="宋体" w:eastAsia="宋体" w:cs="宋体"/>
          <w:color w:val="auto"/>
          <w:sz w:val="24"/>
          <w:szCs w:val="24"/>
          <w:highlight w:val="none"/>
        </w:rPr>
      </w:pPr>
      <w:bookmarkStart w:id="53" w:name="_Toc20483"/>
      <w:r>
        <w:rPr>
          <w:rFonts w:hint="eastAsia" w:ascii="宋体" w:hAnsi="宋体" w:eastAsia="宋体" w:cs="宋体"/>
          <w:color w:val="auto"/>
          <w:sz w:val="24"/>
          <w:szCs w:val="24"/>
          <w:highlight w:val="none"/>
        </w:rPr>
        <w:t>3.投标文件</w:t>
      </w:r>
      <w:bookmarkEnd w:id="53"/>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4" w:name="bookmark39"/>
      <w:bookmarkEnd w:id="54"/>
      <w:r>
        <w:rPr>
          <w:rFonts w:hint="eastAsia" w:ascii="宋体" w:hAnsi="宋体" w:eastAsia="宋体" w:cs="宋体"/>
          <w:color w:val="auto"/>
          <w:highlight w:val="none"/>
        </w:rPr>
        <w:t>3.1 投标文件的组成</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服务清单</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（8）投标人须知前附表规定的其他资料。投标人在评标过程中作出的符合法律法规和招标文件规定的澄清确认，构成投标文件的组成部分。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投标人须知前附表未要求提交投标保证金的，投标文件不包括本章第 3.1.1（4）目所指的投标保证金。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5" w:name="bookmark40"/>
      <w:bookmarkEnd w:id="55"/>
      <w:r>
        <w:rPr>
          <w:rFonts w:hint="eastAsia" w:ascii="宋体" w:hAnsi="宋体" w:eastAsia="宋体" w:cs="宋体"/>
          <w:color w:val="auto"/>
          <w:highlight w:val="none"/>
        </w:rPr>
        <w:t>3.2 投标报价</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color w:val="auto"/>
          <w:sz w:val="24"/>
          <w:szCs w:val="24"/>
          <w:highlight w:val="none"/>
          <w:lang w:eastAsia="zh-CN"/>
        </w:rPr>
        <w:t>服务清单</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投标人应充分了解该项目的总体情况以及影响投标报价的其他要素。</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本项目的报价方式见投标人须知前附表。投标人在投标截止时间前修改投标函中的投标报价总额，应同时修改投标文件“</w:t>
      </w:r>
      <w:r>
        <w:rPr>
          <w:rFonts w:hint="eastAsia" w:ascii="宋体" w:hAnsi="宋体" w:eastAsia="宋体" w:cs="宋体"/>
          <w:color w:val="auto"/>
          <w:sz w:val="24"/>
          <w:szCs w:val="24"/>
          <w:highlight w:val="none"/>
          <w:lang w:eastAsia="zh-CN"/>
        </w:rPr>
        <w:t>服务清单</w:t>
      </w:r>
      <w:r>
        <w:rPr>
          <w:rFonts w:hint="eastAsia" w:ascii="宋体" w:hAnsi="宋体" w:eastAsia="宋体" w:cs="宋体"/>
          <w:color w:val="auto"/>
          <w:sz w:val="24"/>
          <w:szCs w:val="24"/>
          <w:highlight w:val="none"/>
        </w:rPr>
        <w:t>”中的相应报价。此修改须符合本章第4.3款的有关要求。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招标人设有最高投标限价的，投标人的投标报价不得超过最高投标限价，最高投标限价在投标人须知前附表中载明。</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6" w:name="bookmark41"/>
      <w:bookmarkEnd w:id="56"/>
      <w:r>
        <w:rPr>
          <w:rFonts w:hint="eastAsia" w:ascii="宋体" w:hAnsi="宋体" w:eastAsia="宋体" w:cs="宋体"/>
          <w:color w:val="auto"/>
          <w:highlight w:val="none"/>
        </w:rPr>
        <w:t>3.3 投标有效期</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 90 天。</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7" w:name="bookmark42"/>
      <w:bookmarkEnd w:id="57"/>
      <w:r>
        <w:rPr>
          <w:rFonts w:hint="eastAsia" w:ascii="宋体" w:hAnsi="宋体" w:eastAsia="宋体" w:cs="宋体"/>
          <w:color w:val="auto"/>
          <w:highlight w:val="none"/>
        </w:rPr>
        <w:t>3.4  投标保证金</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eastAsia" w:ascii="宋体" w:hAnsi="宋体" w:eastAsia="宋体" w:cs="宋体"/>
          <w:color w:val="auto"/>
          <w:sz w:val="24"/>
          <w:szCs w:val="24"/>
          <w:highlight w:val="none"/>
          <w:lang w:eastAsia="zh-CN"/>
        </w:rPr>
        <w:t>采用现金或者支票形式提交的，投标保证金须从投标人的银行基本账户转出。</w:t>
      </w:r>
      <w:r>
        <w:rPr>
          <w:rFonts w:hint="eastAsia" w:ascii="宋体" w:hAnsi="宋体" w:eastAsia="宋体" w:cs="宋体"/>
          <w:color w:val="auto"/>
          <w:sz w:val="24"/>
          <w:szCs w:val="24"/>
          <w:highlight w:val="none"/>
        </w:rPr>
        <w:t>联合体投标的，其投标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可以由</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递交，并应符合投标人须知前附表的规定</w:t>
      </w:r>
      <w:r>
        <w:rPr>
          <w:rFonts w:hint="eastAsia" w:ascii="宋体" w:hAnsi="宋体" w:eastAsia="宋体" w:cs="宋体"/>
          <w:color w:val="auto"/>
          <w:sz w:val="24"/>
          <w:szCs w:val="24"/>
          <w:highlight w:val="none"/>
          <w:lang w:eastAsia="zh-CN"/>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w:t>
      </w:r>
      <w:r>
        <w:rPr>
          <w:rFonts w:hint="eastAsia" w:ascii="宋体" w:hAnsi="宋体" w:eastAsia="宋体" w:cs="宋体"/>
          <w:color w:val="auto"/>
          <w:sz w:val="24"/>
          <w:szCs w:val="24"/>
          <w:highlight w:val="none"/>
          <w:lang w:eastAsia="zh-CN"/>
        </w:rPr>
        <w:t>开标时投标人没有按</w:t>
      </w:r>
      <w:r>
        <w:rPr>
          <w:rFonts w:hint="eastAsia" w:ascii="宋体" w:hAnsi="宋体" w:eastAsia="宋体" w:cs="宋体"/>
          <w:color w:val="auto"/>
          <w:sz w:val="24"/>
          <w:szCs w:val="24"/>
          <w:highlight w:val="none"/>
        </w:rPr>
        <w:t>要求提交投标保证金的，</w:t>
      </w:r>
      <w:r>
        <w:rPr>
          <w:rFonts w:hint="eastAsia" w:ascii="宋体" w:hAnsi="宋体" w:eastAsia="宋体" w:cs="宋体"/>
          <w:color w:val="auto"/>
          <w:sz w:val="24"/>
          <w:szCs w:val="24"/>
          <w:highlight w:val="none"/>
          <w:lang w:eastAsia="zh-CN"/>
        </w:rPr>
        <w:t>其投标文件将被否决</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中标候选人以外的投标人的投标保证金将尽快退还，最迟不超过中标通知书发出之日起五日内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中标人和其他中标候选人的投标保证金，在书面合同订立之日起五日内予以退还。</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有下列情形之一的，投标保证金将不予退还：</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投标人在规定的投标有效期内撤</w:t>
      </w:r>
      <w:r>
        <w:rPr>
          <w:rFonts w:hint="eastAsia" w:ascii="宋体" w:hAnsi="宋体" w:eastAsia="宋体" w:cs="宋体"/>
          <w:color w:val="auto"/>
          <w:sz w:val="24"/>
          <w:szCs w:val="24"/>
          <w:highlight w:val="none"/>
          <w:lang w:eastAsia="zh-CN"/>
        </w:rPr>
        <w:t>销</w:t>
      </w:r>
      <w:r>
        <w:rPr>
          <w:rFonts w:hint="eastAsia" w:ascii="宋体" w:hAnsi="宋体" w:eastAsia="宋体" w:cs="宋体"/>
          <w:color w:val="auto"/>
          <w:sz w:val="24"/>
          <w:szCs w:val="24"/>
          <w:highlight w:val="none"/>
        </w:rPr>
        <w:t>其投标文件；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中标人在收到中标通知书后，无正当理由不与招标人订立合同，在签订合同时向招标 人提出附加条件，或者不按照招标文件要求提交履约保证金</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8" w:name="bookmark43"/>
      <w:bookmarkEnd w:id="58"/>
      <w:bookmarkStart w:id="59" w:name="bookmark44"/>
      <w:bookmarkEnd w:id="59"/>
      <w:r>
        <w:rPr>
          <w:rFonts w:hint="eastAsia" w:ascii="宋体" w:hAnsi="宋体" w:eastAsia="宋体" w:cs="宋体"/>
          <w:color w:val="auto"/>
          <w:highlight w:val="none"/>
        </w:rPr>
        <w:t>3.5 资格审查资料</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 1.4 款规定的资质、财务、业绩、信誉等要求。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“投标人基本情况表”应附投标人营业执照、投标人</w:t>
      </w:r>
      <w:r>
        <w:rPr>
          <w:rFonts w:hint="eastAsia" w:ascii="宋体" w:hAnsi="宋体" w:eastAsia="宋体" w:cs="宋体"/>
          <w:color w:val="auto"/>
          <w:sz w:val="24"/>
          <w:szCs w:val="24"/>
          <w:highlight w:val="none"/>
          <w:lang w:eastAsia="zh-CN"/>
        </w:rPr>
        <w:t>测绘资质</w:t>
      </w:r>
      <w:r>
        <w:rPr>
          <w:rFonts w:hint="eastAsia" w:ascii="宋体" w:hAnsi="宋体" w:eastAsia="宋体" w:cs="宋体"/>
          <w:color w:val="auto"/>
          <w:sz w:val="24"/>
          <w:szCs w:val="24"/>
          <w:highlight w:val="none"/>
        </w:rPr>
        <w:t>证书副本等材料的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“近年完成的类似</w:t>
      </w:r>
      <w:r>
        <w:rPr>
          <w:rFonts w:hint="eastAsia" w:ascii="宋体" w:hAnsi="宋体" w:eastAsia="宋体" w:cs="宋体"/>
          <w:color w:val="auto"/>
          <w:sz w:val="24"/>
          <w:szCs w:val="24"/>
          <w:highlight w:val="none"/>
          <w:lang w:eastAsia="zh-CN"/>
        </w:rPr>
        <w:t>服务项目</w:t>
      </w:r>
      <w:r>
        <w:rPr>
          <w:rFonts w:hint="eastAsia" w:ascii="宋体" w:hAnsi="宋体" w:eastAsia="宋体" w:cs="宋体"/>
          <w:color w:val="auto"/>
          <w:sz w:val="24"/>
          <w:szCs w:val="24"/>
          <w:highlight w:val="none"/>
        </w:rPr>
        <w:t>情况表”应附中标通知书和（或）合同协议书、委托人出具的证明文件；具体时间要求见投标人须知前附表，每张表格只填写一个项目，并标明序号。</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“拟委任的主要人员汇总表”应填报满足本章第 1.4.1 项规定的</w:t>
      </w:r>
      <w:r>
        <w:rPr>
          <w:rFonts w:hint="eastAsia" w:ascii="宋体" w:hAnsi="宋体" w:eastAsia="宋体" w:cs="宋体"/>
          <w:color w:val="auto"/>
          <w:sz w:val="24"/>
          <w:szCs w:val="24"/>
          <w:highlight w:val="none"/>
          <w:lang w:eastAsia="zh-CN"/>
        </w:rPr>
        <w:t>项目负责人</w:t>
      </w:r>
      <w:r>
        <w:rPr>
          <w:rFonts w:hint="eastAsia" w:ascii="宋体" w:hAnsi="宋体" w:eastAsia="宋体" w:cs="宋体"/>
          <w:color w:val="auto"/>
          <w:sz w:val="24"/>
          <w:szCs w:val="24"/>
          <w:highlight w:val="none"/>
        </w:rPr>
        <w:t>和其他主要人员的相关信息。“主要人员简历表”中</w:t>
      </w:r>
      <w:r>
        <w:rPr>
          <w:rFonts w:hint="eastAsia" w:ascii="宋体" w:hAnsi="宋体" w:eastAsia="宋体" w:cs="宋体"/>
          <w:color w:val="auto"/>
          <w:sz w:val="24"/>
          <w:szCs w:val="24"/>
          <w:highlight w:val="none"/>
          <w:lang w:eastAsia="zh-CN"/>
        </w:rPr>
        <w:t>项目负责人</w:t>
      </w:r>
      <w:r>
        <w:rPr>
          <w:rFonts w:hint="eastAsia" w:ascii="宋体" w:hAnsi="宋体" w:eastAsia="宋体" w:cs="宋体"/>
          <w:color w:val="auto"/>
          <w:sz w:val="24"/>
          <w:szCs w:val="24"/>
          <w:highlight w:val="none"/>
        </w:rPr>
        <w:t>应附身份证、学历证、职称证和社保缴费证明，管理过的项目业绩须附合同协议书</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；其他主要人员应附身份证、学历证、职称证、有关证书和社保缴费证明</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（注：以上人员社保要求：具有离投标截止时间最近</w:t>
      </w:r>
      <w:r>
        <w:rPr>
          <w:rFonts w:hint="eastAsia" w:ascii="宋体" w:hAnsi="宋体" w:eastAsia="宋体" w:cs="宋体"/>
          <w:color w:val="auto"/>
          <w:sz w:val="24"/>
          <w:szCs w:val="24"/>
          <w:highlight w:val="none"/>
          <w:lang w:val="en-US" w:eastAsia="zh-CN"/>
        </w:rPr>
        <w:t>的至少1</w:t>
      </w:r>
      <w:r>
        <w:rPr>
          <w:rFonts w:hint="eastAsia" w:ascii="宋体" w:hAnsi="宋体" w:eastAsia="宋体" w:cs="宋体"/>
          <w:color w:val="auto"/>
          <w:sz w:val="24"/>
          <w:szCs w:val="24"/>
          <w:highlight w:val="none"/>
          <w:lang w:eastAsia="zh-CN"/>
        </w:rPr>
        <w:t xml:space="preserve">   个月在本单位缴纳的社保证明文件。）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投标人须知前附表规定接受联合体投标的，本章第3.5.1 项至第3.5.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项规定的表格和资料应包括联合体各方相关情况。</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0" w:name="bookmark45"/>
      <w:bookmarkEnd w:id="60"/>
      <w:r>
        <w:rPr>
          <w:rFonts w:hint="eastAsia" w:ascii="宋体" w:hAnsi="宋体" w:eastAsia="宋体" w:cs="宋体"/>
          <w:color w:val="auto"/>
          <w:highlight w:val="none"/>
        </w:rPr>
        <w:t>3.6 备选投标方案</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除投标人须知前附表规定允许外，投标人不得递交备选投标方案，否则其投标将被否决。</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w:t>
      </w:r>
      <w:r>
        <w:rPr>
          <w:rFonts w:hint="eastAsia" w:ascii="宋体" w:hAnsi="宋体" w:eastAsia="宋体" w:cs="宋体"/>
          <w:color w:val="auto"/>
          <w:sz w:val="24"/>
          <w:szCs w:val="24"/>
          <w:highlight w:val="none"/>
          <w:lang w:eastAsia="zh-CN"/>
        </w:rPr>
        <w:t>服务方案</w:t>
      </w:r>
      <w:r>
        <w:rPr>
          <w:rFonts w:hint="eastAsia" w:ascii="宋体" w:hAnsi="宋体" w:eastAsia="宋体" w:cs="宋体"/>
          <w:color w:val="auto"/>
          <w:sz w:val="24"/>
          <w:szCs w:val="24"/>
          <w:highlight w:val="none"/>
        </w:rPr>
        <w:t>的，视为提供备选方案。</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1" w:name="bookmark46"/>
      <w:bookmarkEnd w:id="61"/>
      <w:r>
        <w:rPr>
          <w:rFonts w:hint="eastAsia" w:ascii="宋体" w:hAnsi="宋体" w:eastAsia="宋体" w:cs="宋体"/>
          <w:color w:val="auto"/>
          <w:highlight w:val="none"/>
        </w:rPr>
        <w:t>3.7 投标文件的编制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投标文件应当对招标文件有关服务期限、投标有效期、委托人要求、招标范围等实质性内容作出响应。</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投标文件全部采用电子文档，投标文件所附证书证件均为原件扫描件</w:t>
      </w:r>
      <w:r>
        <w:rPr>
          <w:rFonts w:hint="eastAsia" w:ascii="宋体" w:hAnsi="宋体" w:eastAsia="宋体" w:cs="宋体"/>
          <w:color w:val="auto"/>
          <w:sz w:val="24"/>
          <w:szCs w:val="24"/>
          <w:highlight w:val="none"/>
          <w:lang w:eastAsia="zh-CN"/>
        </w:rPr>
        <w:t>或电子证书</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联合体投标时，</w:t>
      </w:r>
      <w:r>
        <w:rPr>
          <w:rFonts w:hint="eastAsia" w:ascii="宋体" w:hAnsi="宋体" w:eastAsia="宋体" w:cs="宋体"/>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color w:val="auto"/>
          <w:sz w:val="24"/>
          <w:szCs w:val="24"/>
          <w:highlight w:val="none"/>
        </w:rPr>
        <w:t>联合体共同投标协议需联合体各方按要求共同盖章签字，其余可由联合体</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签字、盖章即可，由联合体</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法人签字的电子投标文件需提供</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法定代表人证明书，若由联合体</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color w:val="auto"/>
          <w:sz w:val="24"/>
          <w:szCs w:val="24"/>
          <w:highlight w:val="none"/>
          <w:lang w:eastAsia="zh-CN"/>
        </w:rPr>
        <w:t>扫描</w:t>
      </w:r>
      <w:r>
        <w:rPr>
          <w:rFonts w:hint="eastAsia" w:ascii="宋体" w:hAnsi="宋体" w:eastAsia="宋体" w:cs="宋体"/>
          <w:color w:val="auto"/>
          <w:sz w:val="24"/>
          <w:szCs w:val="24"/>
          <w:highlight w:val="none"/>
        </w:rPr>
        <w:t>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pPr>
        <w:pStyle w:val="5"/>
        <w:outlineLvl w:val="2"/>
        <w:rPr>
          <w:rFonts w:hint="eastAsia" w:ascii="宋体" w:hAnsi="宋体" w:eastAsia="宋体" w:cs="宋体"/>
          <w:color w:val="auto"/>
          <w:sz w:val="24"/>
          <w:szCs w:val="24"/>
          <w:highlight w:val="none"/>
        </w:rPr>
      </w:pPr>
      <w:bookmarkStart w:id="62" w:name="bookmark47"/>
      <w:bookmarkEnd w:id="62"/>
      <w:bookmarkStart w:id="63" w:name="_Toc18372"/>
      <w:r>
        <w:rPr>
          <w:rFonts w:hint="eastAsia" w:ascii="宋体" w:hAnsi="宋体" w:eastAsia="宋体" w:cs="宋体"/>
          <w:color w:val="auto"/>
          <w:sz w:val="24"/>
          <w:szCs w:val="24"/>
          <w:highlight w:val="none"/>
        </w:rPr>
        <w:t>4.投标</w:t>
      </w:r>
      <w:bookmarkEnd w:id="63"/>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64" w:name="bookmark48"/>
      <w:bookmarkEnd w:id="64"/>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5" w:name="bookmark49"/>
      <w:bookmarkEnd w:id="65"/>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递交的电子投标文件（不含备用光盘）必须进行加密。按照</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关于全流程电子化项目的相关指南进行操作。</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lang w:eastAsia="zh-CN"/>
        </w:rPr>
        <w:t>广州交易集团有限公司（广州公共资源交易中心）网站交易</w:t>
      </w:r>
      <w:r>
        <w:rPr>
          <w:rFonts w:hint="eastAsia" w:ascii="宋体" w:hAnsi="宋体" w:eastAsia="宋体" w:cs="宋体"/>
          <w:color w:val="auto"/>
          <w:sz w:val="24"/>
          <w:szCs w:val="24"/>
          <w:highlight w:val="none"/>
        </w:rPr>
        <w:t>平台将予以拒收。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6" w:name="bookmark50"/>
      <w:bookmarkEnd w:id="66"/>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应在投标人须知前附表规定的投标截止时间前，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投标人完成电子投标文件上传后，</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交易平台将予以拒收。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投标截止前，招标人拒绝接收符合条件的投标文件，投标人可向招标监督机构投诉</w:t>
      </w:r>
      <w:r>
        <w:rPr>
          <w:rFonts w:hint="eastAsia" w:ascii="宋体" w:hAnsi="宋体" w:eastAsia="宋体" w:cs="宋体"/>
          <w:color w:val="auto"/>
          <w:sz w:val="24"/>
          <w:szCs w:val="24"/>
          <w:highlight w:val="none"/>
          <w:lang w:eastAsia="zh-CN"/>
        </w:rPr>
        <w:t>。</w:t>
      </w:r>
      <w:bookmarkStart w:id="67" w:name="_bookmark83"/>
      <w:bookmarkEnd w:id="67"/>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 投标人可以修改或撤回已递交的投标文件， 但应以书面形式通知招标人。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需在交易平台发出修改或撤回通知，并按要求加盖电子印章</w:t>
      </w:r>
      <w:r>
        <w:rPr>
          <w:rFonts w:hint="eastAsia" w:ascii="宋体" w:hAnsi="宋体" w:eastAsia="宋体" w:cs="宋体"/>
          <w:color w:val="auto"/>
          <w:sz w:val="24"/>
          <w:szCs w:val="24"/>
          <w:highlight w:val="none"/>
        </w:rPr>
        <w:t>。电子招标投标交易平台收到通知后，即时向投标人发出确认回执通知。</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修改后再次递交的，按第</w:t>
      </w:r>
      <w:r>
        <w:rPr>
          <w:rFonts w:hint="eastAsia" w:ascii="宋体" w:hAnsi="宋体" w:eastAsia="宋体" w:cs="宋体"/>
          <w:color w:val="auto"/>
          <w:sz w:val="24"/>
          <w:szCs w:val="24"/>
          <w:highlight w:val="none"/>
          <w:lang w:val="en-US" w:eastAsia="zh-CN"/>
        </w:rPr>
        <w:t>4.2项的规定执行</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在投标截止时间之后，投标人不得补充、修改和更换投标文件。</w:t>
      </w:r>
    </w:p>
    <w:p>
      <w:pPr>
        <w:pStyle w:val="5"/>
        <w:outlineLvl w:val="2"/>
        <w:rPr>
          <w:rFonts w:hint="eastAsia" w:ascii="宋体" w:hAnsi="宋体" w:eastAsia="宋体" w:cs="宋体"/>
          <w:color w:val="auto"/>
          <w:sz w:val="24"/>
          <w:szCs w:val="24"/>
          <w:highlight w:val="none"/>
        </w:rPr>
      </w:pPr>
      <w:bookmarkStart w:id="68" w:name="bookmark51"/>
      <w:bookmarkEnd w:id="68"/>
      <w:bookmarkStart w:id="69" w:name="_Toc19841"/>
      <w:r>
        <w:rPr>
          <w:rFonts w:hint="eastAsia" w:ascii="宋体" w:hAnsi="宋体" w:eastAsia="宋体" w:cs="宋体"/>
          <w:color w:val="auto"/>
          <w:sz w:val="24"/>
          <w:szCs w:val="24"/>
          <w:highlight w:val="none"/>
        </w:rPr>
        <w:t>5.开标</w:t>
      </w:r>
      <w:bookmarkEnd w:id="69"/>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0" w:name="bookmark53"/>
      <w:bookmarkEnd w:id="70"/>
      <w:bookmarkStart w:id="71" w:name="bookmark52"/>
      <w:bookmarkEnd w:id="71"/>
      <w:r>
        <w:rPr>
          <w:rFonts w:hint="eastAsia" w:ascii="宋体" w:hAnsi="宋体" w:eastAsia="宋体" w:cs="宋体"/>
          <w:color w:val="auto"/>
          <w:highlight w:val="none"/>
        </w:rPr>
        <w:t>5.1 开标时间和地点</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bookmarkStart w:id="72" w:name="bookmark54"/>
      <w:bookmarkEnd w:id="72"/>
      <w:r>
        <w:rPr>
          <w:rFonts w:hint="eastAsia" w:ascii="宋体" w:hAnsi="宋体" w:eastAsia="宋体" w:cs="宋体"/>
          <w:color w:val="auto"/>
          <w:sz w:val="24"/>
          <w:szCs w:val="24"/>
          <w:highlight w:val="none"/>
          <w:lang w:val="en-US" w:eastAsia="zh-CN"/>
        </w:rPr>
        <w:t xml:space="preserve">5.1.1  </w:t>
      </w:r>
      <w:r>
        <w:rPr>
          <w:rFonts w:hint="eastAsia" w:ascii="宋体" w:hAnsi="宋体" w:eastAsia="宋体"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5.1.2  </w:t>
      </w:r>
      <w:r>
        <w:rPr>
          <w:rFonts w:hint="eastAsia" w:ascii="宋体" w:hAnsi="宋体" w:eastAsia="宋体"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73" w:name="bookmark55"/>
      <w:bookmarkEnd w:id="73"/>
      <w:r>
        <w:rPr>
          <w:rFonts w:hint="eastAsia" w:ascii="宋体" w:hAnsi="宋体" w:eastAsia="宋体" w:cs="宋体"/>
          <w:color w:val="auto"/>
          <w:sz w:val="24"/>
          <w:szCs w:val="24"/>
          <w:highlight w:val="none"/>
          <w:lang w:val="en-US" w:eastAsia="zh-CN"/>
        </w:rPr>
        <w:t>5.2.1   在投标截止时间后</w:t>
      </w:r>
      <w:r>
        <w:rPr>
          <w:rFonts w:hint="eastAsia" w:ascii="宋体" w:hAnsi="宋体" w:eastAsia="宋体" w:cs="宋体"/>
          <w:color w:val="auto"/>
          <w:sz w:val="24"/>
          <w:szCs w:val="24"/>
          <w:highlight w:val="none"/>
          <w:u w:val="single"/>
          <w:lang w:val="en-US" w:eastAsia="zh-CN"/>
        </w:rPr>
        <w:t>半小时</w:t>
      </w:r>
      <w:r>
        <w:rPr>
          <w:rFonts w:hint="eastAsia" w:ascii="宋体" w:hAnsi="宋体" w:eastAsia="宋体"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项目负责人及其他内容。未在规定时间内解密的投标文件不参与开标、评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5.2.2  按开标记录表规定的内容进行唱标。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5.2.3  投标人代表、招标人代表、监标人、记录人等有关人员在开标记录上签字确认；若有关人员不签字的，不影响开标程序。</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  开标结束。</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5.2.6  开标时，两个（含两个）以上的投标人加密打包投标文件电脑机器特征码一致的，不参与下一程序，并由评标委员会否决其投标。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  参加现场开标的投标人对开标结果有异议的，应当在开标现场提出，招标人应当当场作出答复，并制作记录。</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  投标人未参加开标或在规定的时间内未提出异议的，视为对开标无异议。</w:t>
      </w:r>
    </w:p>
    <w:p>
      <w:pPr>
        <w:pStyle w:val="5"/>
        <w:outlineLvl w:val="2"/>
        <w:rPr>
          <w:rFonts w:hint="eastAsia" w:ascii="宋体" w:hAnsi="宋体" w:eastAsia="宋体" w:cs="宋体"/>
          <w:b w:val="0"/>
          <w:color w:val="auto"/>
          <w:sz w:val="30"/>
          <w:szCs w:val="24"/>
          <w:highlight w:val="none"/>
        </w:rPr>
      </w:pPr>
      <w:bookmarkStart w:id="74" w:name="bookmark56"/>
      <w:bookmarkEnd w:id="74"/>
      <w:bookmarkStart w:id="75" w:name="_Toc27326"/>
      <w:r>
        <w:rPr>
          <w:rFonts w:hint="eastAsia" w:ascii="宋体" w:hAnsi="宋体" w:eastAsia="宋体" w:cs="宋体"/>
          <w:color w:val="auto"/>
          <w:sz w:val="24"/>
          <w:szCs w:val="24"/>
          <w:highlight w:val="none"/>
        </w:rPr>
        <w:t>6.评标</w:t>
      </w:r>
      <w:bookmarkEnd w:id="75"/>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6" w:name="bookmark57"/>
      <w:bookmarkEnd w:id="76"/>
      <w:r>
        <w:rPr>
          <w:rFonts w:hint="eastAsia" w:ascii="宋体" w:hAnsi="宋体" w:eastAsia="宋体" w:cs="宋体"/>
          <w:color w:val="auto"/>
          <w:highlight w:val="none"/>
        </w:rPr>
        <w:t>6.1 评标委员会</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评标由招标人依法组建的评标委员会负责。评标委员会由有关技术、经济等方面的专家和招标人代表组成，专家</w:t>
      </w:r>
      <w:r>
        <w:rPr>
          <w:rFonts w:hint="eastAsia" w:ascii="宋体" w:hAnsi="宋体" w:eastAsia="宋体" w:cs="宋体"/>
          <w:color w:val="auto"/>
          <w:sz w:val="24"/>
          <w:szCs w:val="24"/>
          <w:highlight w:val="none"/>
          <w:lang w:eastAsia="zh-CN"/>
        </w:rPr>
        <w:t>从</w:t>
      </w:r>
      <w:r>
        <w:rPr>
          <w:rFonts w:hint="eastAsia" w:ascii="宋体" w:hAnsi="宋体" w:eastAsia="宋体" w:cs="宋体"/>
          <w:color w:val="auto"/>
          <w:sz w:val="24"/>
          <w:szCs w:val="24"/>
          <w:highlight w:val="none"/>
          <w:u w:val="single"/>
          <w:lang w:eastAsia="zh-CN"/>
        </w:rPr>
        <w:t>广东省综合评标评审</w:t>
      </w:r>
      <w:r>
        <w:rPr>
          <w:rFonts w:hint="eastAsia" w:ascii="宋体" w:hAnsi="宋体" w:eastAsia="宋体" w:cs="宋体"/>
          <w:color w:val="auto"/>
          <w:sz w:val="24"/>
          <w:szCs w:val="24"/>
          <w:highlight w:val="none"/>
          <w:u w:val="single"/>
        </w:rPr>
        <w:t>专家库</w:t>
      </w:r>
      <w:r>
        <w:rPr>
          <w:rFonts w:hint="eastAsia" w:ascii="宋体" w:hAnsi="宋体" w:eastAsia="宋体" w:cs="宋体"/>
          <w:color w:val="auto"/>
          <w:sz w:val="24"/>
          <w:szCs w:val="24"/>
          <w:highlight w:val="none"/>
        </w:rPr>
        <w:t>中抽取。评标委员会成员人数以及技术、经济等方面专家的确定方式见投标人须知前附表。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（3）招标人或投标人的工作人员、退休或离职未满3年的人员；</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）与投标人有经济利益关系，可能影响对投标公正评审的；</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）曾因在招标、评标以及其他与招标投标有关活动中从事违法行为而受过行政处罚或刑事处罚的；</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）与投标人有其他利害关系。</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7" w:name="bookmark58"/>
      <w:bookmarkEnd w:id="77"/>
      <w:r>
        <w:rPr>
          <w:rFonts w:hint="eastAsia" w:ascii="宋体" w:hAnsi="宋体" w:eastAsia="宋体" w:cs="宋体"/>
          <w:color w:val="auto"/>
          <w:highlight w:val="none"/>
        </w:rPr>
        <w:t>6.2 评标原则</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59"/>
      <w:bookmarkEnd w:id="78"/>
      <w:r>
        <w:rPr>
          <w:rFonts w:hint="eastAsia" w:ascii="宋体" w:hAnsi="宋体" w:eastAsia="宋体" w:cs="宋体"/>
          <w:color w:val="auto"/>
          <w:highlight w:val="none"/>
        </w:rPr>
        <w:t>6.3 评标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pPr>
        <w:pStyle w:val="5"/>
        <w:outlineLvl w:val="2"/>
        <w:rPr>
          <w:rFonts w:hint="eastAsia" w:ascii="宋体" w:hAnsi="宋体" w:eastAsia="宋体" w:cs="宋体"/>
          <w:color w:val="auto"/>
          <w:sz w:val="24"/>
          <w:szCs w:val="24"/>
          <w:highlight w:val="none"/>
        </w:rPr>
      </w:pPr>
      <w:bookmarkStart w:id="79" w:name="bookmark60"/>
      <w:bookmarkEnd w:id="79"/>
      <w:bookmarkStart w:id="80" w:name="_Toc26457"/>
      <w:r>
        <w:rPr>
          <w:rFonts w:hint="eastAsia" w:ascii="宋体" w:hAnsi="宋体" w:eastAsia="宋体" w:cs="宋体"/>
          <w:color w:val="auto"/>
          <w:sz w:val="24"/>
          <w:szCs w:val="24"/>
          <w:highlight w:val="none"/>
        </w:rPr>
        <w:t>7.合同授予</w:t>
      </w:r>
      <w:bookmarkEnd w:id="80"/>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1" w:name="bookmark61"/>
      <w:bookmarkEnd w:id="81"/>
      <w:r>
        <w:rPr>
          <w:rFonts w:hint="eastAsia" w:ascii="宋体" w:hAnsi="宋体" w:eastAsia="宋体" w:cs="宋体"/>
          <w:color w:val="auto"/>
          <w:highlight w:val="none"/>
        </w:rPr>
        <w:t>7.1 中标候选人公示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最后一天应为工作日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2" w:name="bookmark62"/>
      <w:bookmarkEnd w:id="82"/>
      <w:r>
        <w:rPr>
          <w:rFonts w:hint="eastAsia" w:ascii="宋体" w:hAnsi="宋体" w:eastAsia="宋体" w:cs="宋体"/>
          <w:color w:val="auto"/>
          <w:highlight w:val="none"/>
        </w:rPr>
        <w:t>7.2 评标结果异议</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3" w:name="bookmark63"/>
      <w:bookmarkEnd w:id="83"/>
      <w:r>
        <w:rPr>
          <w:rFonts w:hint="eastAsia" w:ascii="宋体" w:hAnsi="宋体" w:eastAsia="宋体" w:cs="宋体"/>
          <w:color w:val="auto"/>
          <w:highlight w:val="none"/>
        </w:rPr>
        <w:t>7.3 中标候选人履约能力审查</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4" w:name="bookmark64"/>
      <w:bookmarkEnd w:id="84"/>
      <w:r>
        <w:rPr>
          <w:rFonts w:hint="eastAsia" w:ascii="宋体" w:hAnsi="宋体" w:eastAsia="宋体" w:cs="宋体"/>
          <w:color w:val="auto"/>
          <w:highlight w:val="none"/>
        </w:rPr>
        <w:t>7.4 定标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5" w:name="bookmark65"/>
      <w:bookmarkEnd w:id="85"/>
      <w:r>
        <w:rPr>
          <w:rFonts w:hint="eastAsia" w:ascii="宋体" w:hAnsi="宋体" w:eastAsia="宋体" w:cs="宋体"/>
          <w:color w:val="auto"/>
          <w:highlight w:val="none"/>
        </w:rPr>
        <w:t>7.5 中标通知</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86" w:name="bookmark66"/>
      <w:bookmarkEnd w:id="86"/>
      <w:r>
        <w:rPr>
          <w:rFonts w:hint="eastAsia" w:ascii="宋体" w:hAnsi="宋体" w:eastAsia="宋体"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的名义提交。</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pPr>
        <w:pStyle w:val="12"/>
        <w:kinsoku w:val="0"/>
        <w:overflowPunct w:val="0"/>
        <w:spacing w:before="13"/>
        <w:ind w:left="0"/>
        <w:rPr>
          <w:rFonts w:hint="eastAsia" w:ascii="宋体" w:hAnsi="宋体" w:eastAsia="宋体" w:cs="宋体"/>
          <w:color w:val="auto"/>
          <w:sz w:val="13"/>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7" w:name="bookmark67"/>
      <w:bookmarkEnd w:id="87"/>
      <w:r>
        <w:rPr>
          <w:rFonts w:hint="eastAsia" w:ascii="宋体" w:hAnsi="宋体" w:eastAsia="宋体" w:cs="宋体"/>
          <w:color w:val="auto"/>
          <w:highlight w:val="none"/>
        </w:rPr>
        <w:t>7.7 签订合同</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7.7.3 联合体中标的，联合体各方应当共同与招标人签订合同，就中标项目向招标人承担连带责任。</w:t>
      </w:r>
    </w:p>
    <w:p>
      <w:pPr>
        <w:pStyle w:val="5"/>
        <w:outlineLvl w:val="2"/>
        <w:rPr>
          <w:rFonts w:hint="eastAsia" w:ascii="宋体" w:hAnsi="宋体" w:eastAsia="宋体" w:cs="宋体"/>
          <w:b w:val="0"/>
          <w:color w:val="auto"/>
          <w:sz w:val="30"/>
          <w:szCs w:val="24"/>
          <w:highlight w:val="none"/>
        </w:rPr>
      </w:pPr>
      <w:bookmarkStart w:id="88" w:name="bookmark68"/>
      <w:bookmarkEnd w:id="88"/>
      <w:bookmarkStart w:id="89" w:name="_Toc5503"/>
      <w:r>
        <w:rPr>
          <w:rFonts w:hint="eastAsia" w:ascii="宋体" w:hAnsi="宋体" w:eastAsia="宋体" w:cs="宋体"/>
          <w:color w:val="auto"/>
          <w:sz w:val="24"/>
          <w:szCs w:val="24"/>
          <w:highlight w:val="none"/>
        </w:rPr>
        <w:t>8.纪律和监督</w:t>
      </w:r>
      <w:bookmarkEnd w:id="89"/>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0" w:name="bookmark69"/>
      <w:bookmarkEnd w:id="90"/>
      <w:r>
        <w:rPr>
          <w:rFonts w:hint="eastAsia" w:ascii="宋体" w:hAnsi="宋体" w:eastAsia="宋体" w:cs="宋体"/>
          <w:color w:val="auto"/>
          <w:highlight w:val="none"/>
        </w:rPr>
        <w:t>8.1 对招标人的纪律要求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1" w:name="bookmark70"/>
      <w:bookmarkEnd w:id="91"/>
      <w:r>
        <w:rPr>
          <w:rFonts w:hint="eastAsia" w:ascii="宋体" w:hAnsi="宋体" w:eastAsia="宋体" w:cs="宋体"/>
          <w:color w:val="auto"/>
          <w:highlight w:val="none"/>
        </w:rPr>
        <w:t>8.2 对投标人的纪律要求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2" w:name="bookmark71"/>
      <w:bookmarkEnd w:id="92"/>
      <w:r>
        <w:rPr>
          <w:rFonts w:hint="eastAsia" w:ascii="宋体" w:hAnsi="宋体" w:eastAsia="宋体" w:cs="宋体"/>
          <w:color w:val="auto"/>
          <w:highlight w:val="none"/>
        </w:rPr>
        <w:t>8.3 对评标委员会成员的纪律要求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3" w:name="bookmark72"/>
      <w:bookmarkEnd w:id="93"/>
      <w:r>
        <w:rPr>
          <w:rFonts w:hint="eastAsia" w:ascii="宋体" w:hAnsi="宋体" w:eastAsia="宋体" w:cs="宋体"/>
          <w:color w:val="auto"/>
          <w:highlight w:val="none"/>
        </w:rPr>
        <w:t>8.4 对与评标活动有关的工作人员的纪律要求</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4" w:name="bookmark73"/>
      <w:bookmarkEnd w:id="94"/>
      <w:r>
        <w:rPr>
          <w:rFonts w:hint="eastAsia" w:ascii="宋体" w:hAnsi="宋体" w:eastAsia="宋体" w:cs="宋体"/>
          <w:color w:val="auto"/>
          <w:highlight w:val="none"/>
        </w:rPr>
        <w:t>8.5 投诉</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pPr>
        <w:pStyle w:val="5"/>
        <w:outlineLvl w:val="2"/>
        <w:rPr>
          <w:rFonts w:hint="eastAsia" w:ascii="宋体" w:hAnsi="宋体" w:eastAsia="宋体" w:cs="宋体"/>
          <w:b w:val="0"/>
          <w:color w:val="auto"/>
          <w:sz w:val="19"/>
          <w:szCs w:val="24"/>
          <w:highlight w:val="none"/>
        </w:rPr>
      </w:pPr>
      <w:bookmarkStart w:id="95" w:name="bookmark74"/>
      <w:bookmarkEnd w:id="95"/>
      <w:bookmarkStart w:id="96" w:name="_Toc31836"/>
      <w:r>
        <w:rPr>
          <w:rFonts w:hint="eastAsia" w:ascii="宋体" w:hAnsi="宋体" w:eastAsia="宋体" w:cs="宋体"/>
          <w:color w:val="auto"/>
          <w:sz w:val="24"/>
          <w:szCs w:val="24"/>
          <w:highlight w:val="none"/>
        </w:rPr>
        <w:t>9.采用电子招标投标</w:t>
      </w:r>
      <w:bookmarkEnd w:id="96"/>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pPr>
        <w:pStyle w:val="5"/>
        <w:outlineLvl w:val="2"/>
        <w:rPr>
          <w:rFonts w:hint="eastAsia" w:ascii="宋体" w:hAnsi="宋体" w:eastAsia="宋体" w:cs="宋体"/>
          <w:b w:val="0"/>
          <w:color w:val="auto"/>
          <w:sz w:val="19"/>
          <w:szCs w:val="24"/>
          <w:highlight w:val="none"/>
        </w:rPr>
      </w:pPr>
      <w:bookmarkStart w:id="97" w:name="bookmark75"/>
      <w:bookmarkEnd w:id="97"/>
      <w:bookmarkStart w:id="98" w:name="_Toc7238"/>
      <w:r>
        <w:rPr>
          <w:rFonts w:hint="eastAsia" w:ascii="宋体" w:hAnsi="宋体" w:eastAsia="宋体" w:cs="宋体"/>
          <w:color w:val="auto"/>
          <w:sz w:val="24"/>
          <w:szCs w:val="24"/>
          <w:highlight w:val="none"/>
        </w:rPr>
        <w:t>10.需要补充的其他内容</w:t>
      </w:r>
      <w:bookmarkEnd w:id="98"/>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highlight w:val="none"/>
        </w:rPr>
      </w:pP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highlight w:val="none"/>
        </w:rPr>
        <w:sectPr>
          <w:pgSz w:w="11905" w:h="16838"/>
          <w:pgMar w:top="1417" w:right="1417" w:bottom="1417" w:left="1417" w:header="992" w:footer="992" w:gutter="0"/>
          <w:cols w:space="720" w:num="1"/>
        </w:sectPr>
      </w:pPr>
    </w:p>
    <w:p>
      <w:pPr>
        <w:pStyle w:val="7"/>
        <w:outlineLvl w:val="4"/>
        <w:rPr>
          <w:rFonts w:hint="eastAsia" w:ascii="宋体" w:hAnsi="宋体" w:eastAsia="宋体" w:cs="宋体"/>
          <w:color w:val="auto"/>
          <w:highlight w:val="none"/>
        </w:rPr>
      </w:pPr>
      <w:bookmarkStart w:id="99" w:name="bookmark77"/>
      <w:bookmarkEnd w:id="99"/>
      <w:bookmarkStart w:id="100" w:name="bookmark76"/>
      <w:bookmarkEnd w:id="100"/>
      <w:bookmarkStart w:id="101" w:name="_Toc5057"/>
      <w:bookmarkStart w:id="102" w:name="_Toc10817"/>
      <w:bookmarkStart w:id="103" w:name="_Toc24188"/>
      <w:bookmarkStart w:id="104" w:name="_Toc14719"/>
      <w:r>
        <w:rPr>
          <w:rFonts w:hint="eastAsia" w:ascii="宋体" w:hAnsi="宋体" w:eastAsia="宋体" w:cs="宋体"/>
          <w:color w:val="auto"/>
          <w:highlight w:val="none"/>
        </w:rPr>
        <w:t>附件一：问题澄清通知</w:t>
      </w:r>
      <w:bookmarkEnd w:id="101"/>
      <w:bookmarkEnd w:id="102"/>
      <w:bookmarkEnd w:id="103"/>
      <w:bookmarkEnd w:id="104"/>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4"/>
        <w:ind w:left="0"/>
        <w:rPr>
          <w:rFonts w:hint="eastAsia" w:ascii="宋体" w:hAnsi="宋体" w:eastAsia="宋体" w:cs="宋体"/>
          <w:color w:val="auto"/>
          <w:sz w:val="17"/>
          <w:highlight w:val="none"/>
        </w:rPr>
      </w:pPr>
    </w:p>
    <w:p>
      <w:pPr>
        <w:pStyle w:val="12"/>
        <w:kinsoku w:val="0"/>
        <w:overflowPunct w:val="0"/>
        <w:spacing w:before="14"/>
        <w:ind w:left="0" w:right="13"/>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问题澄清通知</w:t>
      </w:r>
    </w:p>
    <w:p>
      <w:pPr>
        <w:pStyle w:val="12"/>
        <w:tabs>
          <w:tab w:val="left" w:pos="2937"/>
        </w:tabs>
        <w:kinsoku w:val="0"/>
        <w:overflowPunct w:val="0"/>
        <w:spacing w:before="157"/>
        <w:ind w:left="0" w:right="20"/>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（编号：</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5"/>
        <w:ind w:left="0"/>
        <w:rPr>
          <w:rFonts w:hint="eastAsia" w:ascii="宋体" w:hAnsi="宋体" w:eastAsia="宋体" w:cs="宋体"/>
          <w:color w:val="auto"/>
          <w:sz w:val="23"/>
          <w:highlight w:val="none"/>
        </w:rPr>
      </w:pPr>
    </w:p>
    <w:p>
      <w:pPr>
        <w:pStyle w:val="12"/>
        <w:tabs>
          <w:tab w:val="left" w:pos="2305"/>
        </w:tabs>
        <w:kinsoku w:val="0"/>
        <w:overflowPunct w:val="0"/>
        <w:spacing w:before="36"/>
        <w:ind w:left="100" w:right="113"/>
        <w:rPr>
          <w:rFonts w:hint="eastAsia" w:ascii="宋体" w:hAnsi="宋体" w:eastAsia="宋体" w:cs="宋体"/>
          <w:color w:val="auto"/>
          <w:spacing w:val="-15"/>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5"/>
          <w:highlight w:val="none"/>
        </w:rPr>
        <w:t>（投标人名称）：</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8"/>
        <w:ind w:left="0"/>
        <w:rPr>
          <w:rFonts w:hint="eastAsia" w:ascii="宋体" w:hAnsi="宋体" w:eastAsia="宋体" w:cs="宋体"/>
          <w:color w:val="auto"/>
          <w:sz w:val="23"/>
          <w:highlight w:val="none"/>
        </w:rPr>
      </w:pPr>
    </w:p>
    <w:p>
      <w:pPr>
        <w:pStyle w:val="12"/>
        <w:kinsoku w:val="0"/>
        <w:overflowPunct w:val="0"/>
        <w:spacing w:before="36" w:line="384" w:lineRule="auto"/>
        <w:ind w:left="100" w:right="113" w:firstLine="422"/>
        <w:rPr>
          <w:rFonts w:hint="eastAsia" w:ascii="宋体" w:hAnsi="宋体" w:eastAsia="宋体" w:cs="宋体"/>
          <w:color w:val="auto"/>
          <w:highlight w:val="none"/>
        </w:rPr>
      </w:pPr>
      <w:r>
        <w:rPr>
          <w:rFonts w:hint="eastAsia" w:ascii="宋体" w:hAnsi="宋体" w:eastAsia="宋体" w:cs="宋体"/>
          <w:color w:val="auto"/>
          <w:spacing w:val="-1"/>
          <w:highlight w:val="none"/>
        </w:rPr>
        <w:t>评标委员会对你方的投标文件进行了仔细的审查，现需你方对下列问题以书面形式予以澄</w:t>
      </w:r>
      <w:r>
        <w:rPr>
          <w:rFonts w:hint="eastAsia" w:ascii="宋体" w:hAnsi="宋体" w:eastAsia="宋体" w:cs="宋体"/>
          <w:color w:val="auto"/>
          <w:highlight w:val="none"/>
        </w:rPr>
        <w:t xml:space="preserve"> 清、说明或补正：</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6"/>
        <w:ind w:left="0"/>
        <w:rPr>
          <w:rFonts w:hint="eastAsia" w:ascii="宋体" w:hAnsi="宋体" w:eastAsia="宋体" w:cs="宋体"/>
          <w:color w:val="auto"/>
          <w:sz w:val="20"/>
          <w:highlight w:val="none"/>
        </w:rPr>
      </w:pPr>
    </w:p>
    <w:p>
      <w:pPr>
        <w:pStyle w:val="12"/>
        <w:kinsoku w:val="0"/>
        <w:overflowPunct w:val="0"/>
        <w:ind w:left="522" w:right="113"/>
        <w:rPr>
          <w:rFonts w:hint="eastAsia" w:ascii="宋体" w:hAnsi="宋体" w:eastAsia="宋体" w:cs="宋体"/>
          <w:color w:val="auto"/>
          <w:highlight w:val="none"/>
        </w:rPr>
      </w:pPr>
      <w:r>
        <w:rPr>
          <w:rFonts w:hint="eastAsia" w:ascii="宋体" w:hAnsi="宋体" w:eastAsia="宋体" w:cs="宋体"/>
          <w:color w:val="auto"/>
          <w:highlight w:val="none"/>
        </w:rPr>
        <w:t>1.</w:t>
      </w:r>
    </w:p>
    <w:p>
      <w:pPr>
        <w:pStyle w:val="12"/>
        <w:kinsoku w:val="0"/>
        <w:overflowPunct w:val="0"/>
        <w:spacing w:before="2"/>
        <w:ind w:left="0"/>
        <w:rPr>
          <w:rFonts w:hint="eastAsia" w:ascii="宋体" w:hAnsi="宋体" w:eastAsia="宋体" w:cs="宋体"/>
          <w:color w:val="auto"/>
          <w:sz w:val="17"/>
          <w:highlight w:val="none"/>
        </w:rPr>
      </w:pPr>
    </w:p>
    <w:p>
      <w:pPr>
        <w:pStyle w:val="12"/>
        <w:kinsoku w:val="0"/>
        <w:overflowPunct w:val="0"/>
        <w:ind w:left="522" w:right="113"/>
        <w:rPr>
          <w:rFonts w:hint="eastAsia" w:ascii="宋体" w:hAnsi="宋体" w:eastAsia="宋体" w:cs="宋体"/>
          <w:color w:val="auto"/>
          <w:highlight w:val="none"/>
        </w:rPr>
      </w:pPr>
      <w:r>
        <w:rPr>
          <w:rFonts w:hint="eastAsia" w:ascii="宋体" w:hAnsi="宋体" w:eastAsia="宋体" w:cs="宋体"/>
          <w:color w:val="auto"/>
          <w:highlight w:val="none"/>
        </w:rPr>
        <w:t>2.</w:t>
      </w:r>
    </w:p>
    <w:p>
      <w:pPr>
        <w:pStyle w:val="12"/>
        <w:kinsoku w:val="0"/>
        <w:overflowPunct w:val="0"/>
        <w:spacing w:before="5"/>
        <w:ind w:left="0"/>
        <w:rPr>
          <w:rFonts w:hint="eastAsia" w:ascii="宋体" w:hAnsi="宋体" w:eastAsia="宋体" w:cs="宋体"/>
          <w:color w:val="auto"/>
          <w:sz w:val="17"/>
          <w:highlight w:val="none"/>
        </w:rPr>
      </w:pPr>
    </w:p>
    <w:p>
      <w:pPr>
        <w:pStyle w:val="12"/>
        <w:kinsoku w:val="0"/>
        <w:overflowPunct w:val="0"/>
        <w:ind w:left="628" w:right="113"/>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tabs>
          <w:tab w:val="left" w:pos="4603"/>
          <w:tab w:val="left" w:pos="5549"/>
          <w:tab w:val="left" w:pos="6494"/>
          <w:tab w:val="left" w:pos="7438"/>
        </w:tabs>
        <w:kinsoku w:val="0"/>
        <w:overflowPunct w:val="0"/>
        <w:spacing w:before="127"/>
        <w:ind w:left="505" w:right="11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请将上述问题的澄清、说明或补正于</w:t>
      </w:r>
      <w:r>
        <w:rPr>
          <w:rFonts w:hint="eastAsia" w:ascii="宋体" w:hAnsi="宋体" w:eastAsia="宋体" w:cs="宋体"/>
          <w:color w:val="auto"/>
          <w:spacing w:val="-2"/>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日</w:t>
      </w:r>
      <w:r>
        <w:rPr>
          <w:rFonts w:hint="eastAsia" w:ascii="宋体" w:hAnsi="宋体" w:eastAsia="宋体" w:cs="宋体"/>
          <w:color w:val="auto"/>
          <w:spacing w:val="-3"/>
          <w:highlight w:val="none"/>
          <w:u w:val="single"/>
        </w:rPr>
        <w:tab/>
      </w:r>
      <w:r>
        <w:rPr>
          <w:rFonts w:hint="eastAsia" w:ascii="宋体" w:hAnsi="宋体" w:eastAsia="宋体" w:cs="宋体"/>
          <w:color w:val="auto"/>
          <w:spacing w:val="-2"/>
          <w:highlight w:val="none"/>
        </w:rPr>
        <w:t>时前递交至</w:t>
      </w:r>
    </w:p>
    <w:p>
      <w:pPr>
        <w:pStyle w:val="12"/>
        <w:kinsoku w:val="0"/>
        <w:overflowPunct w:val="0"/>
        <w:spacing w:before="13"/>
        <w:ind w:left="0"/>
        <w:rPr>
          <w:rFonts w:hint="eastAsia" w:ascii="宋体" w:hAnsi="宋体" w:eastAsia="宋体" w:cs="宋体"/>
          <w:color w:val="auto"/>
          <w:sz w:val="9"/>
          <w:highlight w:val="none"/>
        </w:rPr>
      </w:pPr>
    </w:p>
    <w:p>
      <w:pPr>
        <w:pStyle w:val="12"/>
        <w:tabs>
          <w:tab w:val="left" w:pos="3040"/>
          <w:tab w:val="left" w:pos="7296"/>
        </w:tabs>
        <w:kinsoku w:val="0"/>
        <w:overflowPunct w:val="0"/>
        <w:spacing w:before="36"/>
        <w:ind w:left="100"/>
        <w:rPr>
          <w:rFonts w:hint="eastAsia" w:ascii="宋体" w:hAnsi="宋体" w:eastAsia="宋体" w:cs="宋体"/>
          <w:color w:val="auto"/>
          <w:spacing w:val="-5"/>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5"/>
          <w:highlight w:val="none"/>
        </w:rPr>
        <w:t>（详细地址）或传真至</w:t>
      </w:r>
      <w:r>
        <w:rPr>
          <w:rFonts w:hint="eastAsia" w:ascii="宋体" w:hAnsi="宋体" w:eastAsia="宋体" w:cs="宋体"/>
          <w:color w:val="auto"/>
          <w:spacing w:val="-5"/>
          <w:highlight w:val="none"/>
          <w:u w:val="single"/>
        </w:rPr>
        <w:tab/>
      </w:r>
      <w:r>
        <w:rPr>
          <w:rFonts w:hint="eastAsia" w:ascii="宋体" w:hAnsi="宋体" w:eastAsia="宋体" w:cs="宋体"/>
          <w:color w:val="auto"/>
          <w:spacing w:val="-5"/>
          <w:highlight w:val="none"/>
        </w:rPr>
        <w:t>（传真号码）或</w:t>
      </w:r>
    </w:p>
    <w:p>
      <w:pPr>
        <w:pStyle w:val="12"/>
        <w:kinsoku w:val="0"/>
        <w:overflowPunct w:val="0"/>
        <w:spacing w:before="10"/>
        <w:ind w:left="0"/>
        <w:rPr>
          <w:rFonts w:hint="eastAsia" w:ascii="宋体" w:hAnsi="宋体" w:eastAsia="宋体" w:cs="宋体"/>
          <w:color w:val="auto"/>
          <w:sz w:val="9"/>
          <w:highlight w:val="none"/>
        </w:rPr>
      </w:pPr>
    </w:p>
    <w:p>
      <w:pPr>
        <w:pStyle w:val="12"/>
        <w:tabs>
          <w:tab w:val="left" w:pos="7138"/>
          <w:tab w:val="left" w:pos="8084"/>
        </w:tabs>
        <w:kinsoku w:val="0"/>
        <w:overflowPunct w:val="0"/>
        <w:spacing w:before="36"/>
        <w:ind w:left="100" w:right="113"/>
        <w:rPr>
          <w:rFonts w:hint="eastAsia" w:ascii="宋体" w:hAnsi="宋体" w:eastAsia="宋体" w:cs="宋体"/>
          <w:color w:val="auto"/>
          <w:highlight w:val="none"/>
        </w:rPr>
      </w:pPr>
      <w:r>
        <w:rPr>
          <w:rFonts w:hint="eastAsia" w:ascii="宋体" w:hAnsi="宋体" w:eastAsia="宋体" w:cs="宋体"/>
          <w:color w:val="auto"/>
          <w:spacing w:val="-2"/>
          <w:highlight w:val="none"/>
        </w:rPr>
        <w:t>通过下载招标文件的电子招标交易平台上传。采用传真方式的，应在</w:t>
      </w:r>
      <w:r>
        <w:rPr>
          <w:rFonts w:hint="eastAsia" w:ascii="宋体" w:hAnsi="宋体" w:eastAsia="宋体" w:cs="宋体"/>
          <w:color w:val="auto"/>
          <w:spacing w:val="-2"/>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p>
    <w:p>
      <w:pPr>
        <w:pStyle w:val="12"/>
        <w:kinsoku w:val="0"/>
        <w:overflowPunct w:val="0"/>
        <w:spacing w:before="10"/>
        <w:ind w:left="0"/>
        <w:rPr>
          <w:rFonts w:hint="eastAsia" w:ascii="宋体" w:hAnsi="宋体" w:eastAsia="宋体" w:cs="宋体"/>
          <w:color w:val="auto"/>
          <w:sz w:val="9"/>
          <w:highlight w:val="none"/>
        </w:rPr>
      </w:pPr>
    </w:p>
    <w:p>
      <w:pPr>
        <w:pStyle w:val="12"/>
        <w:tabs>
          <w:tab w:val="left" w:pos="837"/>
          <w:tab w:val="left" w:pos="1782"/>
          <w:tab w:val="left" w:pos="5669"/>
        </w:tabs>
        <w:kinsoku w:val="0"/>
        <w:overflowPunct w:val="0"/>
        <w:spacing w:before="36"/>
        <w:ind w:left="100" w:right="113"/>
        <w:rPr>
          <w:rFonts w:hint="eastAsia" w:ascii="宋体" w:hAnsi="宋体" w:eastAsia="宋体" w:cs="宋体"/>
          <w:color w:val="auto"/>
          <w:spacing w:val="-17"/>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r>
        <w:rPr>
          <w:rFonts w:hint="eastAsia" w:ascii="宋体" w:hAnsi="宋体" w:eastAsia="宋体" w:cs="宋体"/>
          <w:color w:val="auto"/>
          <w:highlight w:val="none"/>
          <w:u w:val="single"/>
        </w:rPr>
        <w:tab/>
      </w:r>
      <w:r>
        <w:rPr>
          <w:rFonts w:hint="eastAsia" w:ascii="宋体" w:hAnsi="宋体" w:eastAsia="宋体" w:cs="宋体"/>
          <w:color w:val="auto"/>
          <w:spacing w:val="-2"/>
          <w:highlight w:val="none"/>
        </w:rPr>
        <w:t>时前将原件递交至</w:t>
      </w:r>
      <w:r>
        <w:rPr>
          <w:rFonts w:hint="eastAsia" w:ascii="宋体" w:hAnsi="宋体" w:eastAsia="宋体" w:cs="宋体"/>
          <w:color w:val="auto"/>
          <w:spacing w:val="-2"/>
          <w:highlight w:val="none"/>
          <w:u w:val="single"/>
        </w:rPr>
        <w:tab/>
      </w:r>
      <w:r>
        <w:rPr>
          <w:rFonts w:hint="eastAsia" w:ascii="宋体" w:hAnsi="宋体" w:eastAsia="宋体" w:cs="宋体"/>
          <w:color w:val="auto"/>
          <w:spacing w:val="-17"/>
          <w:highlight w:val="none"/>
        </w:rPr>
        <w:t>（详细地址）。</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2"/>
        <w:ind w:left="0"/>
        <w:rPr>
          <w:rFonts w:hint="eastAsia" w:ascii="宋体" w:hAnsi="宋体" w:eastAsia="宋体" w:cs="宋体"/>
          <w:color w:val="auto"/>
          <w:sz w:val="17"/>
          <w:highlight w:val="none"/>
        </w:rPr>
      </w:pPr>
    </w:p>
    <w:p>
      <w:pPr>
        <w:pStyle w:val="12"/>
        <w:tabs>
          <w:tab w:val="left" w:pos="7032"/>
        </w:tabs>
        <w:kinsoku w:val="0"/>
        <w:overflowPunct w:val="0"/>
        <w:spacing w:before="36"/>
        <w:ind w:left="2200" w:right="113"/>
        <w:rPr>
          <w:rFonts w:hint="eastAsia" w:ascii="宋体" w:hAnsi="宋体" w:eastAsia="宋体" w:cs="宋体"/>
          <w:color w:val="auto"/>
          <w:spacing w:val="-1"/>
          <w:highlight w:val="none"/>
        </w:rPr>
      </w:pPr>
      <w:r>
        <w:rPr>
          <w:rFonts w:hint="eastAsia" w:ascii="宋体" w:hAnsi="宋体" w:eastAsia="宋体" w:cs="宋体"/>
          <w:color w:val="auto"/>
          <w:spacing w:val="-2"/>
          <w:highlight w:val="none"/>
        </w:rPr>
        <w:t>评标委员会签字：</w:t>
      </w:r>
      <w:r>
        <w:rPr>
          <w:rFonts w:hint="eastAsia" w:ascii="宋体" w:hAnsi="宋体" w:eastAsia="宋体" w:cs="宋体"/>
          <w:color w:val="auto"/>
          <w:spacing w:val="-2"/>
          <w:highlight w:val="none"/>
          <w:u w:val="single"/>
        </w:rPr>
        <w:tab/>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7"/>
        <w:ind w:left="0"/>
        <w:rPr>
          <w:rFonts w:hint="eastAsia" w:ascii="宋体" w:hAnsi="宋体" w:eastAsia="宋体" w:cs="宋体"/>
          <w:color w:val="auto"/>
          <w:sz w:val="23"/>
          <w:highlight w:val="none"/>
        </w:rPr>
      </w:pPr>
    </w:p>
    <w:p>
      <w:pPr>
        <w:pStyle w:val="12"/>
        <w:tabs>
          <w:tab w:val="left" w:pos="5803"/>
          <w:tab w:val="left" w:pos="6746"/>
          <w:tab w:val="left" w:pos="7692"/>
        </w:tabs>
        <w:kinsoku w:val="0"/>
        <w:overflowPunct w:val="0"/>
        <w:spacing w:before="36"/>
        <w:ind w:left="4961" w:right="113"/>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12"/>
        <w:tabs>
          <w:tab w:val="left" w:pos="5803"/>
          <w:tab w:val="left" w:pos="6746"/>
          <w:tab w:val="left" w:pos="7692"/>
        </w:tabs>
        <w:kinsoku w:val="0"/>
        <w:overflowPunct w:val="0"/>
        <w:spacing w:before="36"/>
        <w:ind w:left="4961" w:right="113"/>
        <w:rPr>
          <w:rFonts w:hint="eastAsia" w:ascii="宋体" w:hAnsi="宋体" w:eastAsia="宋体" w:cs="宋体"/>
          <w:color w:val="auto"/>
          <w:highlight w:val="none"/>
        </w:rPr>
        <w:sectPr>
          <w:pgSz w:w="11905" w:h="16838"/>
          <w:pgMar w:top="1417" w:right="1417" w:bottom="1417" w:left="1417" w:header="992" w:footer="992" w:gutter="0"/>
          <w:cols w:space="720" w:num="1"/>
        </w:sectPr>
      </w:pPr>
    </w:p>
    <w:p>
      <w:pPr>
        <w:pStyle w:val="7"/>
        <w:rPr>
          <w:rFonts w:hint="eastAsia" w:ascii="宋体" w:hAnsi="宋体" w:eastAsia="宋体" w:cs="宋体"/>
          <w:color w:val="auto"/>
          <w:highlight w:val="none"/>
        </w:rPr>
      </w:pPr>
      <w:bookmarkStart w:id="105" w:name="bookmark78"/>
      <w:bookmarkEnd w:id="105"/>
      <w:r>
        <w:rPr>
          <w:rFonts w:hint="eastAsia" w:ascii="宋体" w:hAnsi="宋体" w:eastAsia="宋体" w:cs="宋体"/>
          <w:color w:val="auto"/>
          <w:highlight w:val="none"/>
        </w:rPr>
        <w:t>附件二：问题的澄清</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168"/>
        <w:ind w:left="0" w:right="16"/>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问题的澄清</w:t>
      </w:r>
    </w:p>
    <w:p>
      <w:pPr>
        <w:pStyle w:val="12"/>
        <w:tabs>
          <w:tab w:val="left" w:pos="5947"/>
        </w:tabs>
        <w:kinsoku w:val="0"/>
        <w:overflowPunct w:val="0"/>
        <w:spacing w:before="113"/>
        <w:ind w:left="3566" w:right="113"/>
        <w:rPr>
          <w:rFonts w:hint="eastAsia" w:ascii="宋体" w:hAnsi="宋体" w:eastAsia="宋体" w:cs="宋体"/>
          <w:color w:val="auto"/>
          <w:highlight w:val="none"/>
        </w:rPr>
      </w:pPr>
      <w:r>
        <w:rPr>
          <w:rFonts w:hint="eastAsia" w:ascii="宋体" w:hAnsi="宋体" w:eastAsia="宋体" w:cs="宋体"/>
          <w:color w:val="auto"/>
          <w:spacing w:val="-1"/>
          <w:highlight w:val="none"/>
        </w:rPr>
        <w:t>（编号：</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1"/>
        <w:ind w:left="0"/>
        <w:rPr>
          <w:rFonts w:hint="eastAsia" w:ascii="宋体" w:hAnsi="宋体" w:eastAsia="宋体" w:cs="宋体"/>
          <w:color w:val="auto"/>
          <w:sz w:val="20"/>
          <w:highlight w:val="none"/>
        </w:rPr>
      </w:pPr>
    </w:p>
    <w:p>
      <w:pPr>
        <w:pStyle w:val="12"/>
        <w:kinsoku w:val="0"/>
        <w:overflowPunct w:val="0"/>
        <w:spacing w:before="36"/>
        <w:ind w:left="100" w:right="113"/>
        <w:rPr>
          <w:rFonts w:hint="eastAsia" w:ascii="宋体" w:hAnsi="宋体" w:eastAsia="宋体" w:cs="宋体"/>
          <w:color w:val="auto"/>
          <w:highlight w:val="none"/>
        </w:rPr>
      </w:pPr>
      <w:r>
        <w:rPr>
          <w:rFonts w:hint="eastAsia" w:ascii="宋体" w:hAnsi="宋体" w:eastAsia="宋体" w:cs="宋体"/>
          <w:color w:val="auto"/>
          <w:highlight w:val="none"/>
        </w:rPr>
        <w:t>评标委员会：</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2"/>
        <w:ind w:left="0"/>
        <w:rPr>
          <w:rFonts w:hint="eastAsia" w:ascii="宋体" w:hAnsi="宋体" w:eastAsia="宋体" w:cs="宋体"/>
          <w:color w:val="auto"/>
          <w:sz w:val="26"/>
          <w:highlight w:val="none"/>
        </w:rPr>
      </w:pPr>
    </w:p>
    <w:p>
      <w:pPr>
        <w:pStyle w:val="12"/>
        <w:tabs>
          <w:tab w:val="left" w:pos="3460"/>
        </w:tabs>
        <w:kinsoku w:val="0"/>
        <w:overflowPunct w:val="0"/>
        <w:ind w:left="522" w:right="11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问题澄清通知（编号：</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）已收悉，现澄清、说明或补正如下：</w:t>
      </w:r>
    </w:p>
    <w:p>
      <w:pPr>
        <w:pStyle w:val="12"/>
        <w:kinsoku w:val="0"/>
        <w:overflowPunct w:val="0"/>
        <w:spacing w:before="11"/>
        <w:ind w:left="0"/>
        <w:rPr>
          <w:rFonts w:hint="eastAsia" w:ascii="宋体" w:hAnsi="宋体" w:eastAsia="宋体" w:cs="宋体"/>
          <w:color w:val="auto"/>
          <w:sz w:val="10"/>
          <w:highlight w:val="none"/>
        </w:rPr>
      </w:pPr>
    </w:p>
    <w:p>
      <w:pPr>
        <w:pStyle w:val="12"/>
        <w:kinsoku w:val="0"/>
        <w:overflowPunct w:val="0"/>
        <w:spacing w:before="74"/>
        <w:ind w:left="0" w:right="7025"/>
        <w:jc w:val="center"/>
        <w:rPr>
          <w:rFonts w:hint="eastAsia" w:ascii="宋体" w:hAnsi="宋体" w:eastAsia="宋体" w:cs="宋体"/>
          <w:color w:val="auto"/>
          <w:highlight w:val="none"/>
        </w:rPr>
      </w:pPr>
      <w:r>
        <w:rPr>
          <w:rFonts w:hint="eastAsia" w:ascii="宋体" w:hAnsi="宋体" w:eastAsia="宋体" w:cs="宋体"/>
          <w:color w:val="auto"/>
          <w:highlight w:val="none"/>
        </w:rPr>
        <w:t>1.</w:t>
      </w:r>
    </w:p>
    <w:p>
      <w:pPr>
        <w:pStyle w:val="12"/>
        <w:kinsoku w:val="0"/>
        <w:overflowPunct w:val="0"/>
        <w:spacing w:before="2"/>
        <w:ind w:left="0"/>
        <w:rPr>
          <w:rFonts w:hint="eastAsia" w:ascii="宋体" w:hAnsi="宋体" w:eastAsia="宋体" w:cs="宋体"/>
          <w:color w:val="auto"/>
          <w:sz w:val="17"/>
          <w:highlight w:val="none"/>
        </w:rPr>
      </w:pPr>
    </w:p>
    <w:p>
      <w:pPr>
        <w:pStyle w:val="12"/>
        <w:kinsoku w:val="0"/>
        <w:overflowPunct w:val="0"/>
        <w:ind w:left="0" w:right="7025"/>
        <w:jc w:val="center"/>
        <w:rPr>
          <w:rFonts w:hint="eastAsia" w:ascii="宋体" w:hAnsi="宋体" w:eastAsia="宋体" w:cs="宋体"/>
          <w:color w:val="auto"/>
          <w:highlight w:val="none"/>
        </w:rPr>
      </w:pPr>
      <w:r>
        <w:rPr>
          <w:rFonts w:hint="eastAsia" w:ascii="宋体" w:hAnsi="宋体" w:eastAsia="宋体" w:cs="宋体"/>
          <w:color w:val="auto"/>
          <w:highlight w:val="none"/>
        </w:rPr>
        <w:t>2.</w:t>
      </w:r>
    </w:p>
    <w:p>
      <w:pPr>
        <w:pStyle w:val="12"/>
        <w:kinsoku w:val="0"/>
        <w:overflowPunct w:val="0"/>
        <w:spacing w:before="2"/>
        <w:ind w:left="0"/>
        <w:rPr>
          <w:rFonts w:hint="eastAsia" w:ascii="宋体" w:hAnsi="宋体" w:eastAsia="宋体" w:cs="宋体"/>
          <w:color w:val="auto"/>
          <w:sz w:val="17"/>
          <w:highlight w:val="none"/>
        </w:rPr>
      </w:pPr>
    </w:p>
    <w:p>
      <w:pPr>
        <w:pStyle w:val="12"/>
        <w:kinsoku w:val="0"/>
        <w:overflowPunct w:val="0"/>
        <w:ind w:left="0" w:right="7130"/>
        <w:jc w:val="center"/>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11"/>
        <w:ind w:left="0"/>
        <w:rPr>
          <w:rFonts w:hint="eastAsia" w:ascii="宋体" w:hAnsi="宋体" w:eastAsia="宋体" w:cs="宋体"/>
          <w:color w:val="auto"/>
          <w:sz w:val="27"/>
          <w:highlight w:val="none"/>
        </w:rPr>
      </w:pPr>
    </w:p>
    <w:p>
      <w:pPr>
        <w:pStyle w:val="12"/>
        <w:kinsoku w:val="0"/>
        <w:overflowPunct w:val="0"/>
        <w:spacing w:line="384" w:lineRule="auto"/>
        <w:ind w:left="100" w:right="113" w:firstLine="419"/>
        <w:rPr>
          <w:rFonts w:hint="eastAsia" w:ascii="宋体" w:hAnsi="宋体" w:eastAsia="宋体" w:cs="宋体"/>
          <w:color w:val="auto"/>
          <w:highlight w:val="none"/>
        </w:rPr>
      </w:pPr>
      <w:r>
        <w:rPr>
          <w:rFonts w:hint="eastAsia" w:ascii="宋体" w:hAnsi="宋体" w:eastAsia="宋体" w:cs="宋体"/>
          <w:color w:val="auto"/>
          <w:spacing w:val="-1"/>
          <w:highlight w:val="none"/>
        </w:rPr>
        <w:t>上述问题澄清、说明或补正，不改变我方投标文件的实质性内容，构成我方投标文件的组</w:t>
      </w:r>
      <w:r>
        <w:rPr>
          <w:rFonts w:hint="eastAsia" w:ascii="宋体" w:hAnsi="宋体" w:eastAsia="宋体" w:cs="宋体"/>
          <w:color w:val="auto"/>
          <w:highlight w:val="none"/>
        </w:rPr>
        <w:t xml:space="preserve"> 成部分。</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6"/>
        <w:ind w:left="0"/>
        <w:rPr>
          <w:rFonts w:hint="eastAsia" w:ascii="宋体" w:hAnsi="宋体" w:eastAsia="宋体" w:cs="宋体"/>
          <w:color w:val="auto"/>
          <w:sz w:val="19"/>
          <w:highlight w:val="none"/>
        </w:rPr>
      </w:pPr>
    </w:p>
    <w:p>
      <w:pPr>
        <w:pStyle w:val="12"/>
        <w:tabs>
          <w:tab w:val="left" w:pos="7382"/>
        </w:tabs>
        <w:kinsoku w:val="0"/>
        <w:overflowPunct w:val="0"/>
        <w:ind w:left="3043" w:right="1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投标人：</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rPr>
        <w:t>（盖单位章）</w:t>
      </w:r>
    </w:p>
    <w:p>
      <w:pPr>
        <w:pStyle w:val="12"/>
        <w:kinsoku w:val="0"/>
        <w:overflowPunct w:val="0"/>
        <w:spacing w:before="11"/>
        <w:ind w:left="0"/>
        <w:rPr>
          <w:rFonts w:hint="eastAsia" w:ascii="宋体" w:hAnsi="宋体" w:eastAsia="宋体" w:cs="宋体"/>
          <w:color w:val="auto"/>
          <w:sz w:val="17"/>
          <w:highlight w:val="none"/>
        </w:rPr>
      </w:pPr>
    </w:p>
    <w:p>
      <w:pPr>
        <w:pStyle w:val="12"/>
        <w:tabs>
          <w:tab w:val="left" w:pos="6612"/>
        </w:tabs>
        <w:kinsoku w:val="0"/>
        <w:overflowPunct w:val="0"/>
        <w:spacing w:before="36"/>
        <w:ind w:left="3041" w:right="11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法定代表人或其委托代理人：</w:t>
      </w:r>
      <w:r>
        <w:rPr>
          <w:rFonts w:hint="eastAsia" w:ascii="宋体" w:hAnsi="宋体" w:eastAsia="宋体" w:cs="宋体"/>
          <w:color w:val="auto"/>
          <w:spacing w:val="-2"/>
          <w:highlight w:val="none"/>
          <w:u w:val="single"/>
        </w:rPr>
        <w:tab/>
      </w:r>
      <w:r>
        <w:rPr>
          <w:rFonts w:hint="eastAsia" w:ascii="宋体" w:hAnsi="宋体" w:eastAsia="宋体" w:cs="宋体"/>
          <w:color w:val="auto"/>
          <w:spacing w:val="-2"/>
          <w:highlight w:val="none"/>
        </w:rPr>
        <w:t>（签字）</w:t>
      </w:r>
    </w:p>
    <w:p>
      <w:pPr>
        <w:pStyle w:val="12"/>
        <w:kinsoku w:val="0"/>
        <w:overflowPunct w:val="0"/>
        <w:ind w:left="0"/>
        <w:rPr>
          <w:rFonts w:hint="eastAsia" w:ascii="宋体" w:hAnsi="宋体" w:eastAsia="宋体" w:cs="宋体"/>
          <w:color w:val="auto"/>
          <w:sz w:val="20"/>
          <w:highlight w:val="none"/>
        </w:rPr>
      </w:pP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4"/>
        <w:ind w:left="0"/>
        <w:rPr>
          <w:rFonts w:hint="eastAsia" w:ascii="宋体" w:hAnsi="宋体" w:eastAsia="宋体" w:cs="宋体"/>
          <w:color w:val="auto"/>
          <w:sz w:val="22"/>
          <w:highlight w:val="none"/>
        </w:rPr>
      </w:pPr>
    </w:p>
    <w:p>
      <w:pPr>
        <w:pStyle w:val="12"/>
        <w:tabs>
          <w:tab w:val="left" w:pos="6434"/>
          <w:tab w:val="left" w:pos="7483"/>
          <w:tab w:val="left" w:pos="8533"/>
        </w:tabs>
        <w:kinsoku w:val="0"/>
        <w:overflowPunct w:val="0"/>
        <w:spacing w:before="36"/>
        <w:ind w:left="5595"/>
        <w:rPr>
          <w:rFonts w:hint="eastAsia" w:ascii="宋体" w:hAnsi="宋体" w:eastAsia="宋体" w:cs="宋体"/>
          <w:color w:val="auto"/>
          <w:highlight w:val="none"/>
        </w:rPr>
        <w:sectPr>
          <w:pgSz w:w="11905" w:h="16838"/>
          <w:pgMar w:top="1417" w:right="1417" w:bottom="1417" w:left="1417" w:header="992" w:footer="992" w:gutter="0"/>
          <w:cols w:space="720" w:num="1"/>
        </w:sect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6"/>
        <w:spacing w:line="360" w:lineRule="auto"/>
        <w:ind w:firstLineChars="0"/>
        <w:jc w:val="left"/>
        <w:outlineLvl w:val="9"/>
        <w:rPr>
          <w:rFonts w:hint="eastAsia" w:ascii="宋体" w:hAnsi="宋体" w:eastAsia="宋体" w:cs="宋体"/>
          <w:color w:val="auto"/>
          <w:sz w:val="32"/>
          <w:szCs w:val="32"/>
          <w:highlight w:val="none"/>
        </w:rPr>
      </w:pPr>
      <w:bookmarkStart w:id="106" w:name="bookmark79"/>
      <w:bookmarkEnd w:id="106"/>
      <w:bookmarkStart w:id="107" w:name="bookmark82"/>
      <w:bookmarkEnd w:id="107"/>
      <w:r>
        <w:rPr>
          <w:rFonts w:hint="eastAsia" w:ascii="宋体" w:hAnsi="宋体" w:eastAsia="宋体" w:cs="宋体"/>
          <w:color w:val="auto"/>
          <w:highlight w:val="none"/>
          <w:u w:val="single"/>
        </w:rPr>
        <w:t>附件三：评标委员会成员声明</w:t>
      </w:r>
    </w:p>
    <w:p>
      <w:pPr>
        <w:spacing w:line="36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评标委员会成员声明</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本项目招标人  </w:t>
      </w:r>
      <w:r>
        <w:rPr>
          <w:rFonts w:hint="eastAsia" w:ascii="宋体" w:hAnsi="宋体" w:eastAsia="宋体" w:cs="宋体"/>
          <w:color w:val="auto"/>
          <w:highlight w:val="none"/>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本人就参与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项目的评标工作，作出郑重声明：</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如果本人违反上述声明内容，造成的后果由本人自行承担。</w:t>
      </w:r>
    </w:p>
    <w:p>
      <w:pPr>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声明人：</w:t>
      </w:r>
      <w:r>
        <w:rPr>
          <w:rFonts w:hint="eastAsia" w:ascii="宋体" w:hAnsi="宋体" w:eastAsia="宋体" w:cs="宋体"/>
          <w:color w:val="auto"/>
          <w:highlight w:val="none"/>
          <w:u w:val="single"/>
        </w:rPr>
        <w:t xml:space="preserve">（签名）  </w:t>
      </w:r>
    </w:p>
    <w:p>
      <w:pPr>
        <w:spacing w:line="360" w:lineRule="auto"/>
        <w:ind w:firstLine="3840" w:firstLineChars="16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日期：   年  月  日</w:t>
      </w:r>
    </w:p>
    <w:p>
      <w:pPr>
        <w:spacing w:line="360" w:lineRule="auto"/>
        <w:rPr>
          <w:rFonts w:hint="eastAsia" w:ascii="宋体" w:hAnsi="宋体" w:eastAsia="宋体" w:cs="宋体"/>
          <w:color w:val="auto"/>
          <w:highlight w:val="none"/>
        </w:rPr>
      </w:pPr>
    </w:p>
    <w:p>
      <w:pPr>
        <w:pStyle w:val="4"/>
        <w:jc w:val="center"/>
        <w:outlineLvl w:val="1"/>
        <w:rPr>
          <w:rFonts w:hint="eastAsia" w:ascii="宋体" w:hAnsi="宋体" w:eastAsia="宋体" w:cs="宋体"/>
          <w:b w:val="0"/>
          <w:color w:val="auto"/>
          <w:sz w:val="57"/>
          <w:highlight w:val="none"/>
        </w:rPr>
      </w:pPr>
      <w:bookmarkStart w:id="108" w:name="_Toc4755"/>
      <w:bookmarkStart w:id="109" w:name="_Toc22225"/>
      <w:bookmarkStart w:id="110" w:name="_Toc5136"/>
      <w:bookmarkStart w:id="111" w:name="_Toc11233"/>
      <w:r>
        <w:rPr>
          <w:rFonts w:hint="eastAsia" w:ascii="宋体" w:hAnsi="宋体" w:eastAsia="宋体" w:cs="宋体"/>
          <w:color w:val="auto"/>
          <w:sz w:val="44"/>
          <w:highlight w:val="none"/>
        </w:rPr>
        <w:t>第三章 评</w:t>
      </w:r>
      <w:r>
        <w:rPr>
          <w:rFonts w:hint="eastAsia" w:ascii="宋体" w:hAnsi="宋体" w:eastAsia="宋体" w:cs="宋体"/>
          <w:color w:val="auto"/>
          <w:sz w:val="44"/>
          <w:highlight w:val="none"/>
          <w:lang w:val="en-US" w:eastAsia="zh-CN"/>
        </w:rPr>
        <w:t>标</w:t>
      </w:r>
      <w:r>
        <w:rPr>
          <w:rFonts w:hint="eastAsia" w:ascii="宋体" w:hAnsi="宋体" w:eastAsia="宋体" w:cs="宋体"/>
          <w:color w:val="auto"/>
          <w:sz w:val="44"/>
          <w:highlight w:val="none"/>
          <w:lang w:eastAsia="zh-CN"/>
        </w:rPr>
        <w:t>、</w:t>
      </w:r>
      <w:r>
        <w:rPr>
          <w:rFonts w:hint="eastAsia" w:ascii="宋体" w:hAnsi="宋体" w:eastAsia="宋体" w:cs="宋体"/>
          <w:color w:val="auto"/>
          <w:sz w:val="44"/>
          <w:highlight w:val="none"/>
          <w:lang w:val="en-US" w:eastAsia="zh-CN"/>
        </w:rPr>
        <w:t>定</w:t>
      </w:r>
      <w:r>
        <w:rPr>
          <w:rFonts w:hint="eastAsia" w:ascii="宋体" w:hAnsi="宋体" w:eastAsia="宋体" w:cs="宋体"/>
          <w:color w:val="auto"/>
          <w:sz w:val="44"/>
          <w:highlight w:val="none"/>
        </w:rPr>
        <w:t>标办法（</w:t>
      </w:r>
      <w:r>
        <w:rPr>
          <w:rFonts w:hint="eastAsia" w:ascii="宋体" w:hAnsi="宋体" w:eastAsia="宋体" w:cs="宋体"/>
          <w:color w:val="auto"/>
          <w:sz w:val="44"/>
          <w:highlight w:val="none"/>
          <w:lang w:val="en-US" w:eastAsia="zh-CN"/>
        </w:rPr>
        <w:t>评定分离</w:t>
      </w:r>
      <w:r>
        <w:rPr>
          <w:rFonts w:hint="eastAsia" w:ascii="宋体" w:hAnsi="宋体" w:eastAsia="宋体" w:cs="宋体"/>
          <w:color w:val="auto"/>
          <w:sz w:val="44"/>
          <w:highlight w:val="none"/>
        </w:rPr>
        <w:t>）</w:t>
      </w:r>
      <w:bookmarkEnd w:id="108"/>
      <w:bookmarkEnd w:id="109"/>
      <w:bookmarkEnd w:id="110"/>
      <w:bookmarkEnd w:id="111"/>
    </w:p>
    <w:p>
      <w:pPr>
        <w:pStyle w:val="6"/>
        <w:kinsoku w:val="0"/>
        <w:overflowPunct w:val="0"/>
        <w:spacing w:before="120" w:after="120"/>
        <w:ind w:left="120"/>
        <w:jc w:val="center"/>
        <w:rPr>
          <w:rFonts w:hint="eastAsia" w:ascii="宋体" w:hAnsi="宋体" w:eastAsia="宋体" w:cs="宋体"/>
          <w:color w:val="auto"/>
          <w:sz w:val="32"/>
          <w:highlight w:val="none"/>
        </w:rPr>
      </w:pPr>
      <w:bookmarkStart w:id="112" w:name="bookmark83"/>
      <w:bookmarkEnd w:id="112"/>
      <w:bookmarkStart w:id="113" w:name="_Toc17036"/>
      <w:r>
        <w:rPr>
          <w:rFonts w:hint="eastAsia" w:ascii="宋体" w:hAnsi="宋体" w:eastAsia="宋体" w:cs="宋体"/>
          <w:color w:val="auto"/>
          <w:sz w:val="32"/>
          <w:highlight w:val="none"/>
        </w:rPr>
        <w:t>评标办法前附表</w:t>
      </w:r>
      <w:bookmarkEnd w:id="113"/>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41"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41"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本项目采用评定分离办法。其中评标阶段采用“有限数量制”评标法，评标委员会对投标文件进行形式评审、资格评审、响应性评审，并对通过上述评审的投标单位进行资信业绩评审、</w:t>
            </w:r>
            <w:r>
              <w:rPr>
                <w:rFonts w:hint="eastAsia" w:ascii="宋体" w:hAnsi="宋体" w:cs="宋体"/>
                <w:color w:val="auto"/>
                <w:sz w:val="21"/>
                <w:szCs w:val="21"/>
                <w:highlight w:val="none"/>
                <w:u w:val="single"/>
                <w:lang w:eastAsia="zh-CN"/>
              </w:rPr>
              <w:t>技术服务方案</w:t>
            </w:r>
            <w:r>
              <w:rPr>
                <w:rFonts w:hint="eastAsia" w:ascii="宋体" w:hAnsi="宋体" w:eastAsia="宋体" w:cs="宋体"/>
                <w:color w:val="auto"/>
                <w:sz w:val="21"/>
                <w:szCs w:val="21"/>
                <w:highlight w:val="none"/>
                <w:u w:val="single"/>
              </w:rPr>
              <w:t>评审、投标报价评审。评标委员会计算各有效投标文件的综合得分，并按照综合得分从高到低排列先后次序（注;综合评分相同的，以</w:t>
            </w:r>
            <w:r>
              <w:rPr>
                <w:rFonts w:hint="eastAsia" w:ascii="宋体" w:hAnsi="宋体" w:cs="宋体"/>
                <w:color w:val="auto"/>
                <w:sz w:val="21"/>
                <w:szCs w:val="21"/>
                <w:highlight w:val="none"/>
                <w:u w:val="single"/>
                <w:lang w:eastAsia="zh-CN"/>
              </w:rPr>
              <w:t>技术服务方案</w:t>
            </w:r>
            <w:r>
              <w:rPr>
                <w:rFonts w:hint="eastAsia" w:ascii="宋体" w:hAnsi="宋体" w:eastAsia="宋体" w:cs="宋体"/>
                <w:color w:val="auto"/>
                <w:sz w:val="21"/>
                <w:szCs w:val="21"/>
                <w:highlight w:val="none"/>
                <w:u w:val="single"/>
              </w:rPr>
              <w:t>得分高的排前；</w:t>
            </w:r>
            <w:r>
              <w:rPr>
                <w:rFonts w:hint="eastAsia" w:ascii="宋体" w:hAnsi="宋体" w:cs="宋体"/>
                <w:color w:val="auto"/>
                <w:sz w:val="21"/>
                <w:szCs w:val="21"/>
                <w:highlight w:val="none"/>
                <w:u w:val="single"/>
                <w:lang w:eastAsia="zh-CN"/>
              </w:rPr>
              <w:t>技术服务方案</w:t>
            </w:r>
            <w:r>
              <w:rPr>
                <w:rFonts w:hint="eastAsia" w:ascii="宋体" w:hAnsi="宋体" w:eastAsia="宋体" w:cs="宋体"/>
                <w:color w:val="auto"/>
                <w:sz w:val="21"/>
                <w:szCs w:val="21"/>
                <w:highlight w:val="none"/>
                <w:u w:val="single"/>
              </w:rPr>
              <w:t>得分也相同的，以资信业绩得分高的排前；</w:t>
            </w:r>
            <w:r>
              <w:rPr>
                <w:rFonts w:hint="eastAsia" w:ascii="宋体" w:hAnsi="宋体" w:cs="宋体"/>
                <w:color w:val="auto"/>
                <w:sz w:val="21"/>
                <w:szCs w:val="21"/>
                <w:highlight w:val="none"/>
                <w:u w:val="single"/>
                <w:lang w:eastAsia="zh-CN"/>
              </w:rPr>
              <w:t>技术服务方案</w:t>
            </w:r>
            <w:r>
              <w:rPr>
                <w:rFonts w:hint="eastAsia" w:ascii="宋体" w:hAnsi="宋体" w:eastAsia="宋体" w:cs="宋体"/>
                <w:color w:val="auto"/>
                <w:sz w:val="21"/>
                <w:szCs w:val="21"/>
                <w:highlight w:val="none"/>
                <w:u w:val="single"/>
              </w:rPr>
              <w:t>得分和资信业绩得分也相同的，以投标报价低的排前；如仍存在相同情况，则对具有相同情况的投标人，由评标委员会采用记名投票方式，确定投标人最终名次的排序），向招标人推荐前3名（不足3名的，则本项目招标失败，招标人应依法重新组织招标)不排序的合格中标候选人进入定标阶段【进入定标阶段不排序，按统一社会信用代码后4位（除校验码外）大小排位（，如统一社会信用代码后4位出现字母情况的，字母以“0”进行代替大小排位；如出现后4位（除校验码外）大小一致的，则随机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tcPr>
          <w:p>
            <w:pPr>
              <w:pStyle w:val="33"/>
              <w:keepNext w:val="0"/>
              <w:keepLines w:val="0"/>
              <w:suppressLineNumbers w:val="0"/>
              <w:kinsoku w:val="0"/>
              <w:overflowPunct w:val="0"/>
              <w:spacing w:before="107"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3.5.1项规定，具备有效的营业执照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default"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default"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default"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项目负责人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default"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业绩要求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 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strike/>
                <w:color w:val="auto"/>
                <w:sz w:val="21"/>
                <w:szCs w:val="21"/>
                <w:highlight w:val="none"/>
              </w:rPr>
            </w:pPr>
            <w:r>
              <w:rPr>
                <w:rFonts w:hint="eastAsia" w:ascii="宋体" w:hAnsi="宋体" w:eastAsia="宋体" w:cs="宋体"/>
                <w:strike w:val="0"/>
                <w:dstrike w:val="0"/>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strike/>
                <w:color w:val="auto"/>
                <w:sz w:val="21"/>
                <w:szCs w:val="21"/>
                <w:highlight w:val="none"/>
              </w:rPr>
            </w:pPr>
            <w:bookmarkStart w:id="114" w:name="OLE_LINK20"/>
            <w:bookmarkStart w:id="115" w:name="OLE_LINK21"/>
            <w:r>
              <w:rPr>
                <w:rFonts w:hint="eastAsia" w:ascii="宋体" w:hAnsi="宋体" w:cs="宋体"/>
                <w:color w:val="auto"/>
                <w:sz w:val="21"/>
                <w:szCs w:val="21"/>
                <w:highlight w:val="none"/>
              </w:rPr>
              <w:t>本项目不接受联合体投标</w:t>
            </w:r>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spacing w:val="-2"/>
                <w:sz w:val="21"/>
                <w:szCs w:val="21"/>
                <w:highlight w:val="none"/>
              </w:rPr>
              <w:t>未被纳入失信联合惩戒名单且被限制参与相关项目投标的</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投标人无需提供资料，按投标截止时间交易系统比对的结果进行评审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投标人已按第六章“投标文件格式”规定的内容签署盖章《投标人声明》，且</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不存在第二章“投标人须知”第 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其他要求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1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1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vMerge w:val="continue"/>
            <w:tcBorders>
              <w:left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1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1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投标人声明、投标人廉洁承诺书、法定代表人证明书；委托投标的还应提供法人授权委托证明书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投标函及投标函附录格式及签字盖章符合招标文件要求</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由法定代表人签字的，应附</w:t>
            </w:r>
            <w:r>
              <w:rPr>
                <w:rFonts w:hint="eastAsia" w:ascii="宋体" w:hAnsi="宋体" w:eastAsia="宋体" w:cs="宋体"/>
                <w:bCs/>
                <w:color w:val="auto"/>
                <w:sz w:val="21"/>
                <w:szCs w:val="21"/>
                <w:highlight w:val="none"/>
                <w:u w:val="single"/>
              </w:rPr>
              <w:t>法定代表人证明书</w:t>
            </w:r>
            <w:r>
              <w:rPr>
                <w:rFonts w:hint="eastAsia" w:ascii="宋体" w:hAnsi="宋体" w:eastAsia="宋体" w:cs="宋体"/>
                <w:bCs/>
                <w:color w:val="auto"/>
                <w:sz w:val="21"/>
                <w:szCs w:val="21"/>
                <w:highlight w:val="none"/>
                <w:u w:val="single"/>
                <w:lang w:val="en-US" w:eastAsia="zh-CN"/>
              </w:rPr>
              <w:t>及有效的法定代表人身份证正反面扫描件</w:t>
            </w:r>
            <w:r>
              <w:rPr>
                <w:rFonts w:hint="eastAsia" w:ascii="宋体" w:hAnsi="宋体" w:eastAsia="宋体" w:cs="宋体"/>
                <w:color w:val="auto"/>
                <w:sz w:val="21"/>
                <w:szCs w:val="21"/>
                <w:highlight w:val="none"/>
              </w:rPr>
              <w:t>，由代理人签字的，应附</w:t>
            </w:r>
            <w:r>
              <w:rPr>
                <w:rFonts w:hint="eastAsia" w:ascii="宋体" w:hAnsi="宋体" w:eastAsia="宋体" w:cs="宋体"/>
                <w:bCs/>
                <w:color w:val="auto"/>
                <w:sz w:val="21"/>
                <w:szCs w:val="21"/>
                <w:highlight w:val="none"/>
                <w:u w:val="single"/>
              </w:rPr>
              <w:t>法定代表人签字或盖章的本投标文件授权委托证明书扫描件</w:t>
            </w:r>
            <w:r>
              <w:rPr>
                <w:rFonts w:hint="eastAsia" w:ascii="宋体" w:hAnsi="宋体" w:eastAsia="宋体" w:cs="宋体"/>
                <w:bCs/>
                <w:color w:val="auto"/>
                <w:sz w:val="21"/>
                <w:szCs w:val="21"/>
                <w:highlight w:val="none"/>
                <w:u w:val="single"/>
                <w:lang w:val="en-US" w:eastAsia="zh-CN"/>
              </w:rPr>
              <w:t>及有效的被授权人身份证正反面扫描件，身份证明或</w:t>
            </w:r>
            <w:r>
              <w:rPr>
                <w:rFonts w:hint="eastAsia" w:ascii="宋体" w:hAnsi="宋体" w:eastAsia="宋体" w:cs="宋体"/>
                <w:color w:val="auto"/>
                <w:sz w:val="21"/>
                <w:szCs w:val="21"/>
                <w:highlight w:val="none"/>
              </w:rPr>
              <w:t>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格式一、二、三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提交符合招标文件要求的联合体协议书，明确各方承担连带责任，并明确联合体主办方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107"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91" w:leftChars="38"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投标人与本项目其他投标人加密打包投标文件电脑机器特征码不一致的(以广州交易集团有限公司（广州公共资源交易中心）交易平台开标系统的检索信息为准)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5"/>
              <w:keepNext w:val="0"/>
              <w:keepLines w:val="0"/>
              <w:suppressLineNumbers w:val="0"/>
              <w:kinsoku w:val="0"/>
              <w:overflowPunct w:val="0"/>
              <w:spacing w:before="120" w:beforeAutospacing="0" w:after="120" w:afterAutospacing="0"/>
              <w:ind w:left="0" w:right="0"/>
              <w:jc w:val="both"/>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不存在串通投标情形，串通投标情形以《广东省实施&lt;中华人民共和国招标投标法&gt;办法》的规定为准。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pPr>
              <w:pStyle w:val="5"/>
              <w:keepNext w:val="0"/>
              <w:keepLines w:val="0"/>
              <w:suppressLineNumbers w:val="0"/>
              <w:kinsoku w:val="0"/>
              <w:overflowPunct w:val="0"/>
              <w:spacing w:before="120" w:beforeAutospacing="0" w:after="120" w:afterAutospacing="0"/>
              <w:ind w:left="0" w:right="0"/>
              <w:outlineLvl w:val="9"/>
              <w:rPr>
                <w:rFonts w:hint="eastAsia" w:ascii="宋体" w:hAnsi="宋体" w:eastAsia="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服务</w:t>
            </w:r>
            <w:r>
              <w:rPr>
                <w:rFonts w:hint="eastAsia" w:ascii="宋体" w:hAnsi="宋体" w:eastAsia="宋体" w:cs="宋体"/>
                <w:color w:val="auto"/>
                <w:sz w:val="21"/>
                <w:szCs w:val="21"/>
                <w:highlight w:val="none"/>
                <w:u w:val="single"/>
              </w:rPr>
              <w:t>承诺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按招标文件要求提交《投标人廉洁承诺书》（格式见第六章投标文件格式）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41"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cs="宋体"/>
                <w:color w:val="auto"/>
                <w:sz w:val="21"/>
                <w:szCs w:val="21"/>
                <w:highlight w:val="none"/>
                <w:u w:val="single"/>
                <w:lang w:val="en-US" w:eastAsia="zh-CN"/>
              </w:rPr>
              <w:t>40</w:t>
            </w:r>
            <w:r>
              <w:rPr>
                <w:rFonts w:hint="eastAsia" w:ascii="宋体" w:hAnsi="宋体" w:eastAsia="宋体" w:cs="宋体"/>
                <w:color w:val="auto"/>
                <w:sz w:val="21"/>
                <w:szCs w:val="21"/>
                <w:highlight w:val="none"/>
                <w:u w:val="single"/>
              </w:rPr>
              <w:t>分</w:t>
            </w:r>
          </w:p>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cs="宋体"/>
                <w:color w:val="auto"/>
                <w:sz w:val="21"/>
                <w:szCs w:val="21"/>
                <w:highlight w:val="none"/>
                <w:lang w:eastAsia="zh-CN"/>
              </w:rPr>
              <w:t>技术服务方案</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45</w:t>
            </w:r>
            <w:r>
              <w:rPr>
                <w:rFonts w:hint="eastAsia" w:ascii="宋体" w:hAnsi="宋体" w:eastAsia="宋体" w:cs="宋体"/>
                <w:color w:val="auto"/>
                <w:sz w:val="21"/>
                <w:szCs w:val="21"/>
                <w:highlight w:val="none"/>
                <w:u w:val="single"/>
              </w:rPr>
              <w:t>分</w:t>
            </w:r>
          </w:p>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分</w:t>
            </w:r>
            <w:bookmarkStart w:id="116" w:name="OLE_LINK22"/>
            <w:r>
              <w:rPr>
                <w:rFonts w:hint="eastAsia" w:ascii="宋体" w:hAnsi="宋体" w:cs="宋体"/>
                <w:color w:val="auto"/>
                <w:sz w:val="21"/>
                <w:szCs w:val="21"/>
                <w:highlight w:val="none"/>
              </w:rPr>
              <w:t>（</w:t>
            </w:r>
            <w:r>
              <w:rPr>
                <w:rFonts w:hint="eastAsia" w:ascii="宋体" w:hAnsi="宋体" w:cs="宋体"/>
                <w:bCs/>
                <w:color w:val="auto"/>
                <w:sz w:val="21"/>
                <w:szCs w:val="21"/>
                <w:highlight w:val="none"/>
                <w:u w:val="single"/>
              </w:rPr>
              <w:t>注：投标人如满足招标文件第二章《投标人须知前附表》规定的投标报价得分评审优惠政策的，若原报价己满分，仍可突破满分上限继续享受加分优惠，以实际计算结果作为最终价格分。</w:t>
            </w:r>
            <w:r>
              <w:rPr>
                <w:rFonts w:hint="eastAsia" w:ascii="宋体" w:hAnsi="宋体" w:cs="宋体"/>
                <w:color w:val="auto"/>
                <w:sz w:val="21"/>
                <w:szCs w:val="21"/>
                <w:highlight w:val="none"/>
              </w:rPr>
              <w:t>）</w:t>
            </w:r>
            <w:bookmarkEnd w:id="116"/>
          </w:p>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D.</w:t>
            </w:r>
            <w:r>
              <w:rPr>
                <w:rFonts w:hint="eastAsia" w:ascii="宋体" w:hAnsi="宋体" w:eastAsia="宋体" w:cs="宋体"/>
                <w:color w:val="auto"/>
                <w:sz w:val="21"/>
                <w:szCs w:val="21"/>
                <w:highlight w:val="none"/>
              </w:rPr>
              <w:t>诚信得分：</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none"/>
              </w:rPr>
              <w:t>。</w:t>
            </w:r>
          </w:p>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注：</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rPr>
              <w:t>投标人总得分=A+B+C</w:t>
            </w:r>
            <w:r>
              <w:rPr>
                <w:rFonts w:hint="eastAsia" w:ascii="宋体" w:hAnsi="宋体" w:eastAsia="宋体" w:cs="宋体"/>
                <w:color w:val="auto"/>
                <w:sz w:val="21"/>
                <w:szCs w:val="21"/>
                <w:highlight w:val="none"/>
                <w:u w:val="single"/>
                <w:lang w:eastAsia="zh-CN"/>
              </w:rPr>
              <w:t>。</w:t>
            </w:r>
          </w:p>
          <w:p>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2.资信业绩部分评审得分A为各评标专家打分的算术平均值，</w:t>
            </w:r>
            <w:r>
              <w:rPr>
                <w:rFonts w:hint="eastAsia" w:ascii="宋体" w:hAnsi="宋体" w:cs="宋体"/>
                <w:color w:val="auto"/>
                <w:sz w:val="21"/>
                <w:szCs w:val="21"/>
                <w:highlight w:val="none"/>
                <w:u w:val="none"/>
                <w:lang w:val="en-US" w:eastAsia="zh-CN"/>
              </w:rPr>
              <w:t>技术服务方案</w:t>
            </w:r>
            <w:r>
              <w:rPr>
                <w:rFonts w:hint="eastAsia" w:ascii="宋体" w:hAnsi="宋体" w:eastAsia="宋体" w:cs="宋体"/>
                <w:color w:val="auto"/>
                <w:sz w:val="21"/>
                <w:szCs w:val="21"/>
                <w:highlight w:val="none"/>
                <w:u w:val="none"/>
                <w:lang w:val="en-US" w:eastAsia="zh-CN"/>
              </w:rPr>
              <w:t>部分评审得分B为从各评标专家打分中去掉一个最高分和去掉一个最低分后的剩余评标专家打分的算术平均值</w:t>
            </w:r>
            <w:r>
              <w:rPr>
                <w:rFonts w:hint="eastAsia" w:ascii="宋体" w:hAnsi="宋体" w:eastAsia="宋体" w:cs="宋体"/>
                <w:color w:val="auto"/>
                <w:sz w:val="21"/>
                <w:szCs w:val="21"/>
                <w:highlight w:val="none"/>
                <w:u w:val="none"/>
              </w:rPr>
              <w:t>（分数出现小数点时，保留小数点后二位，第三位小数四舍五入）</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当通过初步评审的有效投标人大于或等于5名时，以各有效投标人的有效投标报价去掉一个最高价和一个最低价，取余下有效投标价的算术平均值作为评标基准价。当通过初步评审的有效投标人小于5名时，取所有入围的有效投标价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w:t>
            </w:r>
            <w:r>
              <w:rPr>
                <w:rFonts w:hint="eastAsia" w:ascii="宋体" w:hAnsi="宋体" w:eastAsia="宋体" w:cs="宋体"/>
                <w:color w:val="auto"/>
                <w:sz w:val="21"/>
                <w:szCs w:val="21"/>
                <w:highlight w:val="none"/>
                <w:u w:val="none"/>
              </w:rPr>
              <w:t>有效</w:t>
            </w:r>
            <w:r>
              <w:rPr>
                <w:rFonts w:hint="eastAsia" w:ascii="宋体" w:hAnsi="宋体" w:eastAsia="宋体" w:cs="宋体"/>
                <w:color w:val="auto"/>
                <w:sz w:val="21"/>
                <w:szCs w:val="21"/>
                <w:highlight w:val="none"/>
              </w:rPr>
              <w:t>投标报价-评标基准价）/评标基准价×100%。（偏差率出现小数点时，保留小数点后4位，第三位小数四舍五入。）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1938" w:right="-147" w:hanging="1938" w:hangingChars="9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技术服务方案</w:t>
            </w:r>
            <w:r>
              <w:rPr>
                <w:rFonts w:hint="eastAsia" w:ascii="宋体" w:hAnsi="宋体" w:eastAsia="宋体" w:cs="宋体"/>
                <w:color w:val="auto"/>
                <w:sz w:val="21"/>
                <w:szCs w:val="21"/>
                <w:highlight w:val="none"/>
              </w:rPr>
              <w:t>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3380"/>
              </w:tabs>
              <w:spacing w:before="0" w:beforeAutospacing="0" w:after="0" w:afterAutospacing="0"/>
              <w:ind w:left="1938" w:right="1412" w:hanging="1938" w:hangingChars="9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诚信得分评分标准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rPr>
            </w:pPr>
            <w:r>
              <w:rPr>
                <w:rStyle w:val="41"/>
                <w:rFonts w:hint="eastAsia" w:ascii="宋体" w:hAnsi="宋体" w:eastAsia="宋体" w:cs="宋体"/>
                <w:color w:val="auto"/>
                <w:sz w:val="21"/>
                <w:szCs w:val="21"/>
                <w:highlight w:val="none"/>
              </w:rPr>
              <w:t>诚信综合评价得分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pPr>
        <w:pStyle w:val="6"/>
        <w:kinsoku w:val="0"/>
        <w:overflowPunct w:val="0"/>
        <w:spacing w:before="120" w:after="120"/>
        <w:ind w:left="120"/>
        <w:outlineLvl w:val="9"/>
        <w:rPr>
          <w:rFonts w:hint="eastAsia" w:ascii="宋体" w:hAnsi="宋体" w:eastAsia="宋体" w:cs="宋体"/>
          <w:color w:val="auto"/>
          <w:sz w:val="32"/>
          <w:highlight w:val="none"/>
        </w:rPr>
        <w:sectPr>
          <w:headerReference r:id="rId6" w:type="default"/>
          <w:footerReference r:id="rId7" w:type="default"/>
          <w:pgSz w:w="11905" w:h="16838"/>
          <w:pgMar w:top="1417" w:right="1417" w:bottom="1417" w:left="1417" w:header="992" w:footer="992" w:gutter="0"/>
          <w:cols w:space="720" w:num="1"/>
        </w:sectPr>
      </w:pPr>
    </w:p>
    <w:p>
      <w:pPr>
        <w:pStyle w:val="30"/>
        <w:ind w:firstLine="0" w:firstLineChars="0"/>
        <w:rPr>
          <w:rFonts w:hint="eastAsia" w:ascii="宋体" w:hAnsi="宋体" w:eastAsia="宋体" w:cs="宋体"/>
          <w:color w:val="auto"/>
          <w:highlight w:val="none"/>
        </w:rPr>
      </w:pPr>
      <w:bookmarkStart w:id="117" w:name="bookmark84"/>
      <w:bookmarkEnd w:id="117"/>
    </w:p>
    <w:p>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w:t>
      </w:r>
      <w:r>
        <w:rPr>
          <w:rFonts w:hint="eastAsia" w:ascii="黑体" w:hAnsi="黑体" w:eastAsia="黑体"/>
          <w:color w:val="auto"/>
          <w:sz w:val="28"/>
          <w:szCs w:val="27"/>
          <w:highlight w:val="none"/>
          <w:u w:val="single"/>
        </w:rPr>
        <w:t>、定标</w:t>
      </w:r>
      <w:r>
        <w:rPr>
          <w:rFonts w:hint="eastAsia" w:ascii="黑体" w:hAnsi="黑体" w:eastAsia="黑体"/>
          <w:color w:val="auto"/>
          <w:sz w:val="28"/>
          <w:szCs w:val="27"/>
          <w:highlight w:val="none"/>
        </w:rPr>
        <w:t>办法修改表</w:t>
      </w:r>
    </w:p>
    <w:p>
      <w:pPr>
        <w:pStyle w:val="23"/>
        <w:spacing w:line="360" w:lineRule="auto"/>
        <w:rPr>
          <w:rFonts w:hint="default" w:ascii="宋体" w:hAnsi="宋体" w:eastAsia="宋体"/>
          <w:color w:val="auto"/>
          <w:sz w:val="24"/>
          <w:highlight w:val="none"/>
        </w:rPr>
      </w:pPr>
      <w:r>
        <w:rPr>
          <w:rFonts w:ascii="宋体" w:hAnsi="宋体" w:eastAsia="宋体"/>
          <w:color w:val="auto"/>
          <w:sz w:val="24"/>
          <w:highlight w:val="none"/>
        </w:rPr>
        <w:t>声明：本评标办法使用</w:t>
      </w:r>
      <w:r>
        <w:rPr>
          <w:rFonts w:ascii="仿宋_GB2312" w:hAnsi="宋体" w:eastAsia="仿宋_GB2312"/>
          <w:color w:val="auto"/>
          <w:sz w:val="24"/>
          <w:highlight w:val="none"/>
        </w:rPr>
        <w:t>SWZB2024-06</w:t>
      </w:r>
      <w:r>
        <w:rPr>
          <w:rFonts w:ascii="宋体" w:hAnsi="宋体" w:eastAsia="宋体"/>
          <w:color w:val="auto"/>
          <w:sz w:val="24"/>
          <w:highlight w:val="none"/>
        </w:rPr>
        <w:t>招标文件范本的评标办法条款，与该条款不同之处，均在本表中列明，并以现文为准，原文不再有效。</w:t>
      </w:r>
    </w:p>
    <w:p>
      <w:pPr>
        <w:pStyle w:val="23"/>
        <w:pBdr>
          <w:bottom w:val="single" w:color="auto" w:sz="4" w:space="0"/>
        </w:pBdr>
        <w:adjustRightInd/>
        <w:spacing w:line="360" w:lineRule="auto"/>
        <w:ind w:firstLine="40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color w:val="auto"/>
          <w:highlight w:val="none"/>
        </w:rPr>
        <w:t>1.评标方法</w:t>
      </w:r>
      <w:r>
        <w:rPr>
          <w:rFonts w:hint="eastAsia" w:ascii="宋体" w:hAnsi="宋体" w:eastAsia="宋体" w:cs="宋体"/>
          <w:b/>
          <w:color w:val="auto"/>
          <w:szCs w:val="21"/>
          <w:highlight w:val="none"/>
        </w:rPr>
        <w:t xml:space="preserve">             修改类型：修改</w:t>
      </w:r>
    </w:p>
    <w:p>
      <w:pPr>
        <w:adjustRightInd/>
        <w:spacing w:line="360" w:lineRule="auto"/>
        <w:ind w:firstLine="540" w:firstLineChars="22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w:t>
      </w:r>
      <w:r>
        <w:rPr>
          <w:rFonts w:hint="eastAsia" w:ascii="宋体" w:hAnsi="宋体" w:eastAsia="宋体" w:cs="宋体"/>
          <w:color w:val="auto"/>
          <w:highlight w:val="none"/>
          <w:lang w:eastAsia="zh-CN"/>
        </w:rPr>
        <w:t>服务大纲</w:t>
      </w:r>
      <w:r>
        <w:rPr>
          <w:rFonts w:hint="eastAsia" w:ascii="宋体" w:hAnsi="宋体" w:eastAsia="宋体" w:cs="宋体"/>
          <w:color w:val="auto"/>
          <w:highlight w:val="none"/>
        </w:rPr>
        <w:t>得分高的优先；如果</w:t>
      </w:r>
      <w:r>
        <w:rPr>
          <w:rFonts w:hint="eastAsia" w:ascii="宋体" w:hAnsi="宋体" w:eastAsia="宋体" w:cs="宋体"/>
          <w:color w:val="auto"/>
          <w:highlight w:val="none"/>
          <w:lang w:eastAsia="zh-CN"/>
        </w:rPr>
        <w:t>服务大纲</w:t>
      </w:r>
      <w:r>
        <w:rPr>
          <w:rFonts w:hint="eastAsia" w:ascii="宋体" w:hAnsi="宋体" w:eastAsia="宋体" w:cs="宋体"/>
          <w:color w:val="auto"/>
          <w:highlight w:val="none"/>
        </w:rPr>
        <w:t>得分也相等，按照评标办法前附表的规定确定中标候选人顺序。</w:t>
      </w:r>
    </w:p>
    <w:p>
      <w:pPr>
        <w:pBdr>
          <w:bottom w:val="single" w:color="auto" w:sz="6" w:space="1"/>
        </w:pBdr>
        <w:spacing w:line="360" w:lineRule="auto"/>
        <w:ind w:firstLine="540" w:firstLineChars="224"/>
        <w:jc w:val="both"/>
        <w:rPr>
          <w:rFonts w:ascii="宋体" w:hAnsi="宋体"/>
          <w:b/>
          <w:bCs/>
          <w:color w:val="auto"/>
          <w:sz w:val="24"/>
          <w:szCs w:val="24"/>
          <w:highlight w:val="none"/>
          <w:u w:val="single"/>
        </w:rPr>
      </w:pPr>
      <w:r>
        <w:rPr>
          <w:rFonts w:hint="eastAsia" w:ascii="宋体" w:hAnsi="宋体" w:eastAsia="宋体" w:cs="宋体"/>
          <w:b/>
          <w:bCs/>
          <w:color w:val="auto"/>
          <w:szCs w:val="21"/>
          <w:highlight w:val="none"/>
        </w:rPr>
        <w:t>现文：</w:t>
      </w:r>
      <w:r>
        <w:rPr>
          <w:rFonts w:hint="eastAsia" w:ascii="宋体" w:hAnsi="宋体"/>
          <w:color w:val="auto"/>
          <w:sz w:val="24"/>
          <w:szCs w:val="24"/>
          <w:highlight w:val="none"/>
        </w:rPr>
        <w:t>1.评定分离办法</w:t>
      </w:r>
    </w:p>
    <w:p>
      <w:pPr>
        <w:pBdr>
          <w:bottom w:val="single" w:color="auto" w:sz="6" w:space="1"/>
        </w:pBdr>
        <w:adjustRightInd/>
        <w:spacing w:line="360" w:lineRule="auto"/>
        <w:ind w:firstLine="540" w:firstLineChars="224"/>
        <w:rPr>
          <w:rFonts w:hint="eastAsia" w:ascii="宋体" w:hAnsi="宋体" w:eastAsia="宋体" w:cs="宋体"/>
          <w:color w:val="auto"/>
          <w:szCs w:val="21"/>
          <w:highlight w:val="none"/>
          <w:u w:val="single"/>
        </w:rPr>
      </w:pPr>
      <w:r>
        <w:rPr>
          <w:rFonts w:ascii="宋体" w:hAnsi="宋体"/>
          <w:b/>
          <w:bCs/>
          <w:color w:val="auto"/>
          <w:sz w:val="24"/>
          <w:szCs w:val="24"/>
          <w:highlight w:val="none"/>
          <w:u w:val="single"/>
        </w:rPr>
        <w:t>本项目采用评定分离办法。</w:t>
      </w:r>
      <w:r>
        <w:rPr>
          <w:rFonts w:hint="eastAsia" w:ascii="宋体" w:hAnsi="宋体"/>
          <w:b/>
          <w:bCs/>
          <w:color w:val="auto"/>
          <w:sz w:val="24"/>
          <w:szCs w:val="24"/>
          <w:highlight w:val="none"/>
          <w:u w:val="single"/>
        </w:rPr>
        <w:t>其中</w:t>
      </w:r>
      <w:r>
        <w:rPr>
          <w:rFonts w:ascii="宋体" w:hAnsi="宋体"/>
          <w:b/>
          <w:bCs/>
          <w:color w:val="auto"/>
          <w:sz w:val="24"/>
          <w:szCs w:val="24"/>
          <w:highlight w:val="none"/>
          <w:u w:val="single"/>
        </w:rPr>
        <w:t>评标阶段采用“有限数量制”评标法，评标委员会对投标文件进行形式评审、资格评审、响应性评审，并对通过上述评审的投标单位进行</w:t>
      </w:r>
      <w:r>
        <w:rPr>
          <w:rFonts w:hint="eastAsia" w:ascii="宋体" w:hAnsi="宋体"/>
          <w:b/>
          <w:bCs/>
          <w:color w:val="auto"/>
          <w:sz w:val="24"/>
          <w:szCs w:val="24"/>
          <w:highlight w:val="none"/>
          <w:u w:val="single"/>
          <w:lang w:val="en-US" w:eastAsia="zh-CN"/>
        </w:rPr>
        <w:t>资信业绩</w:t>
      </w:r>
      <w:r>
        <w:rPr>
          <w:rFonts w:ascii="宋体" w:hAnsi="宋体"/>
          <w:b/>
          <w:bCs/>
          <w:color w:val="auto"/>
          <w:sz w:val="24"/>
          <w:szCs w:val="24"/>
          <w:highlight w:val="none"/>
          <w:u w:val="single"/>
        </w:rPr>
        <w:t>评</w:t>
      </w:r>
      <w:r>
        <w:rPr>
          <w:rFonts w:hint="eastAsia" w:ascii="宋体" w:hAnsi="宋体"/>
          <w:b/>
          <w:bCs/>
          <w:color w:val="auto"/>
          <w:sz w:val="24"/>
          <w:szCs w:val="24"/>
          <w:highlight w:val="none"/>
          <w:u w:val="single"/>
          <w:lang w:val="en-US" w:eastAsia="zh-CN"/>
        </w:rPr>
        <w:t>审</w:t>
      </w:r>
      <w:r>
        <w:rPr>
          <w:rFonts w:ascii="宋体" w:hAnsi="宋体"/>
          <w:b/>
          <w:bCs/>
          <w:color w:val="auto"/>
          <w:sz w:val="24"/>
          <w:szCs w:val="24"/>
          <w:highlight w:val="none"/>
          <w:u w:val="single"/>
        </w:rPr>
        <w:t>、</w:t>
      </w:r>
      <w:r>
        <w:rPr>
          <w:rFonts w:hint="eastAsia" w:ascii="宋体" w:hAnsi="宋体"/>
          <w:b/>
          <w:bCs/>
          <w:color w:val="auto"/>
          <w:sz w:val="24"/>
          <w:szCs w:val="24"/>
          <w:highlight w:val="none"/>
          <w:u w:val="single"/>
          <w:lang w:val="en-US" w:eastAsia="zh-CN"/>
        </w:rPr>
        <w:t>技术服务方案</w:t>
      </w:r>
      <w:r>
        <w:rPr>
          <w:rFonts w:ascii="宋体" w:hAnsi="宋体"/>
          <w:b/>
          <w:bCs/>
          <w:color w:val="auto"/>
          <w:sz w:val="24"/>
          <w:szCs w:val="24"/>
          <w:highlight w:val="none"/>
          <w:u w:val="single"/>
        </w:rPr>
        <w:t>评审、投标报价评审。评标委员会计算各有效投标文件的综合得分，并按照综合得分从高到低排列先后次序</w:t>
      </w:r>
      <w:r>
        <w:rPr>
          <w:rFonts w:hint="eastAsia" w:ascii="宋体" w:hAnsi="宋体" w:cs="宋体"/>
          <w:b/>
          <w:bCs/>
          <w:color w:val="auto"/>
          <w:sz w:val="24"/>
          <w:szCs w:val="24"/>
          <w:highlight w:val="none"/>
          <w:u w:val="single"/>
        </w:rPr>
        <w:t>（注;综合评分相同的，以</w:t>
      </w:r>
      <w:r>
        <w:rPr>
          <w:rFonts w:hint="eastAsia" w:ascii="宋体" w:hAnsi="宋体" w:cs="宋体"/>
          <w:b/>
          <w:bCs/>
          <w:color w:val="auto"/>
          <w:sz w:val="24"/>
          <w:szCs w:val="24"/>
          <w:highlight w:val="none"/>
          <w:u w:val="single"/>
          <w:lang w:val="en-US" w:eastAsia="zh-CN"/>
        </w:rPr>
        <w:t>技术服务方案</w:t>
      </w:r>
      <w:r>
        <w:rPr>
          <w:rFonts w:hint="eastAsia" w:ascii="宋体" w:hAnsi="宋体" w:cs="宋体"/>
          <w:b/>
          <w:bCs/>
          <w:color w:val="auto"/>
          <w:sz w:val="24"/>
          <w:szCs w:val="24"/>
          <w:highlight w:val="none"/>
          <w:u w:val="single"/>
        </w:rPr>
        <w:t>得分高的排前；</w:t>
      </w:r>
      <w:r>
        <w:rPr>
          <w:rFonts w:hint="eastAsia" w:ascii="宋体" w:hAnsi="宋体" w:cs="宋体"/>
          <w:b/>
          <w:bCs/>
          <w:color w:val="auto"/>
          <w:sz w:val="24"/>
          <w:szCs w:val="24"/>
          <w:highlight w:val="none"/>
          <w:u w:val="single"/>
          <w:lang w:val="en-US" w:eastAsia="zh-CN"/>
        </w:rPr>
        <w:t>技术服务方案</w:t>
      </w:r>
      <w:r>
        <w:rPr>
          <w:rFonts w:hint="eastAsia" w:ascii="宋体" w:hAnsi="宋体" w:cs="宋体"/>
          <w:b/>
          <w:bCs/>
          <w:color w:val="auto"/>
          <w:sz w:val="24"/>
          <w:szCs w:val="24"/>
          <w:highlight w:val="none"/>
          <w:u w:val="single"/>
        </w:rPr>
        <w:t>得分也相同的，以</w:t>
      </w:r>
      <w:r>
        <w:rPr>
          <w:rFonts w:hint="eastAsia" w:ascii="宋体" w:hAnsi="宋体"/>
          <w:b/>
          <w:bCs/>
          <w:color w:val="auto"/>
          <w:sz w:val="24"/>
          <w:szCs w:val="24"/>
          <w:highlight w:val="none"/>
          <w:u w:val="single"/>
          <w:lang w:val="en-US" w:eastAsia="zh-CN"/>
        </w:rPr>
        <w:t>资信业绩</w:t>
      </w:r>
      <w:r>
        <w:rPr>
          <w:rFonts w:hint="eastAsia" w:ascii="宋体" w:hAnsi="宋体" w:cs="宋体"/>
          <w:b/>
          <w:bCs/>
          <w:color w:val="auto"/>
          <w:sz w:val="24"/>
          <w:szCs w:val="24"/>
          <w:highlight w:val="none"/>
          <w:u w:val="single"/>
        </w:rPr>
        <w:t>得分高的排前；</w:t>
      </w:r>
      <w:r>
        <w:rPr>
          <w:rFonts w:hint="eastAsia" w:ascii="宋体" w:hAnsi="宋体" w:cs="宋体"/>
          <w:b/>
          <w:bCs/>
          <w:color w:val="auto"/>
          <w:sz w:val="24"/>
          <w:szCs w:val="24"/>
          <w:highlight w:val="none"/>
          <w:u w:val="single"/>
          <w:lang w:val="en-US" w:eastAsia="zh-CN"/>
        </w:rPr>
        <w:t>技术服务方案</w:t>
      </w:r>
      <w:r>
        <w:rPr>
          <w:rFonts w:hint="eastAsia" w:ascii="宋体" w:hAnsi="宋体" w:cs="宋体"/>
          <w:b/>
          <w:bCs/>
          <w:color w:val="auto"/>
          <w:sz w:val="24"/>
          <w:szCs w:val="24"/>
          <w:highlight w:val="none"/>
          <w:u w:val="single"/>
        </w:rPr>
        <w:t>得分</w:t>
      </w:r>
      <w:r>
        <w:rPr>
          <w:rFonts w:hint="eastAsia" w:ascii="宋体" w:hAnsi="宋体" w:cs="宋体"/>
          <w:b/>
          <w:bCs/>
          <w:color w:val="auto"/>
          <w:sz w:val="24"/>
          <w:szCs w:val="24"/>
          <w:highlight w:val="none"/>
          <w:u w:val="single"/>
          <w:lang w:val="en-US" w:eastAsia="zh-CN"/>
        </w:rPr>
        <w:t>和</w:t>
      </w:r>
      <w:r>
        <w:rPr>
          <w:rFonts w:hint="eastAsia" w:ascii="宋体" w:hAnsi="宋体"/>
          <w:b/>
          <w:bCs/>
          <w:color w:val="auto"/>
          <w:sz w:val="24"/>
          <w:szCs w:val="24"/>
          <w:highlight w:val="none"/>
          <w:u w:val="single"/>
          <w:lang w:val="en-US" w:eastAsia="zh-CN"/>
        </w:rPr>
        <w:t>资信业绩</w:t>
      </w:r>
      <w:r>
        <w:rPr>
          <w:rFonts w:hint="eastAsia" w:ascii="宋体" w:hAnsi="宋体" w:cs="宋体"/>
          <w:b/>
          <w:bCs/>
          <w:color w:val="auto"/>
          <w:sz w:val="24"/>
          <w:szCs w:val="24"/>
          <w:highlight w:val="none"/>
          <w:u w:val="single"/>
        </w:rPr>
        <w:t>得分也相同的，以</w:t>
      </w:r>
      <w:r>
        <w:rPr>
          <w:rFonts w:ascii="宋体" w:hAnsi="宋体"/>
          <w:b/>
          <w:bCs/>
          <w:color w:val="auto"/>
          <w:sz w:val="24"/>
          <w:szCs w:val="24"/>
          <w:highlight w:val="none"/>
          <w:u w:val="single"/>
        </w:rPr>
        <w:t>投标报价</w:t>
      </w:r>
      <w:r>
        <w:rPr>
          <w:rFonts w:hint="eastAsia" w:ascii="宋体" w:hAnsi="宋体" w:cs="宋体"/>
          <w:b/>
          <w:bCs/>
          <w:color w:val="auto"/>
          <w:sz w:val="24"/>
          <w:szCs w:val="24"/>
          <w:highlight w:val="none"/>
          <w:u w:val="single"/>
          <w:lang w:val="en-US" w:eastAsia="zh-CN"/>
        </w:rPr>
        <w:t>低</w:t>
      </w:r>
      <w:r>
        <w:rPr>
          <w:rFonts w:hint="eastAsia" w:ascii="宋体" w:hAnsi="宋体" w:cs="宋体"/>
          <w:b/>
          <w:bCs/>
          <w:color w:val="auto"/>
          <w:sz w:val="24"/>
          <w:szCs w:val="24"/>
          <w:highlight w:val="none"/>
          <w:u w:val="single"/>
        </w:rPr>
        <w:t>的排前</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rPr>
        <w:t>如仍存在相同情况，则对具有相同情况的投标人，由评标委员会采用记名投票方式，确定投标人最终名次的排序）</w:t>
      </w:r>
      <w:r>
        <w:rPr>
          <w:rFonts w:ascii="宋体" w:hAnsi="宋体"/>
          <w:b/>
          <w:bCs/>
          <w:color w:val="auto"/>
          <w:sz w:val="24"/>
          <w:szCs w:val="24"/>
          <w:highlight w:val="none"/>
          <w:u w:val="single"/>
        </w:rPr>
        <w:t>，向招标人推荐前</w:t>
      </w:r>
      <w:r>
        <w:rPr>
          <w:rFonts w:hint="eastAsia" w:ascii="宋体" w:hAnsi="宋体"/>
          <w:b/>
          <w:bCs/>
          <w:color w:val="auto"/>
          <w:sz w:val="24"/>
          <w:szCs w:val="24"/>
          <w:highlight w:val="none"/>
          <w:u w:val="single"/>
        </w:rPr>
        <w:t>3</w:t>
      </w:r>
      <w:r>
        <w:rPr>
          <w:rFonts w:ascii="宋体" w:hAnsi="宋体"/>
          <w:b/>
          <w:bCs/>
          <w:color w:val="auto"/>
          <w:sz w:val="24"/>
          <w:szCs w:val="24"/>
          <w:highlight w:val="none"/>
          <w:u w:val="single"/>
        </w:rPr>
        <w:t>名</w:t>
      </w:r>
      <w:r>
        <w:rPr>
          <w:rFonts w:hint="eastAsia" w:ascii="宋体" w:hAnsi="宋体" w:cs="宋体"/>
          <w:color w:val="auto"/>
          <w:sz w:val="24"/>
          <w:szCs w:val="24"/>
          <w:highlight w:val="none"/>
          <w:u w:val="single"/>
          <w:shd w:val="clear" w:color="auto" w:fill="FFFFFF"/>
        </w:rPr>
        <w:t>（不足</w:t>
      </w:r>
      <w:r>
        <w:rPr>
          <w:rStyle w:val="27"/>
          <w:rFonts w:hint="eastAsia" w:ascii="宋体" w:hAnsi="宋体" w:cs="宋体"/>
          <w:bCs/>
          <w:color w:val="auto"/>
          <w:sz w:val="24"/>
          <w:szCs w:val="24"/>
          <w:highlight w:val="none"/>
          <w:u w:val="single"/>
          <w:shd w:val="clear" w:color="auto" w:fill="FFFFFF"/>
        </w:rPr>
        <w:t>3名</w:t>
      </w:r>
      <w:r>
        <w:rPr>
          <w:rFonts w:hint="eastAsia" w:ascii="宋体" w:hAnsi="宋体" w:cs="宋体"/>
          <w:color w:val="auto"/>
          <w:sz w:val="24"/>
          <w:szCs w:val="24"/>
          <w:highlight w:val="none"/>
          <w:u w:val="single"/>
          <w:shd w:val="clear" w:color="auto" w:fill="FFFFFF"/>
        </w:rPr>
        <w:t>的，则</w:t>
      </w:r>
      <w:r>
        <w:rPr>
          <w:rStyle w:val="27"/>
          <w:rFonts w:hint="eastAsia" w:ascii="宋体" w:hAnsi="宋体" w:cs="宋体"/>
          <w:bCs/>
          <w:color w:val="auto"/>
          <w:sz w:val="24"/>
          <w:szCs w:val="24"/>
          <w:highlight w:val="none"/>
          <w:u w:val="single"/>
          <w:shd w:val="clear" w:color="auto" w:fill="FFFFFF"/>
        </w:rPr>
        <w:t>本项目招标失败，招标人应依法重新组织招标</w:t>
      </w:r>
      <w:r>
        <w:rPr>
          <w:rFonts w:hint="eastAsia" w:ascii="宋体" w:hAnsi="宋体" w:cs="宋体"/>
          <w:color w:val="auto"/>
          <w:sz w:val="24"/>
          <w:szCs w:val="24"/>
          <w:highlight w:val="none"/>
          <w:u w:val="single"/>
          <w:shd w:val="clear" w:color="auto" w:fill="FFFFFF"/>
        </w:rPr>
        <w:t>)</w:t>
      </w:r>
      <w:r>
        <w:rPr>
          <w:rFonts w:ascii="宋体" w:hAnsi="宋体"/>
          <w:b/>
          <w:bCs/>
          <w:color w:val="auto"/>
          <w:sz w:val="24"/>
          <w:szCs w:val="24"/>
          <w:highlight w:val="none"/>
          <w:u w:val="single"/>
        </w:rPr>
        <w:t>不排序的合格中标候选人进入定标阶段</w:t>
      </w:r>
      <w:r>
        <w:rPr>
          <w:rFonts w:hint="eastAsia" w:ascii="宋体" w:hAnsi="宋体"/>
          <w:b/>
          <w:bCs/>
          <w:color w:val="auto"/>
          <w:sz w:val="24"/>
          <w:szCs w:val="24"/>
          <w:highlight w:val="none"/>
          <w:u w:val="single"/>
        </w:rPr>
        <w:t>【进入定标阶段不排序，按统一社会信用代码后4位（除校验码外）大小排位，如统一社会信用代码后4位出现字母情况的，字母以“0”进行代替大小排位；如出现后4位（除校验码外）大小一致的，则随机排位】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color w:val="auto"/>
          <w:highlight w:val="none"/>
          <w:u w:val="single"/>
        </w:rPr>
        <w:t>。</w:t>
      </w:r>
    </w:p>
    <w:p>
      <w:pPr>
        <w:adjustRightInd/>
        <w:spacing w:line="360" w:lineRule="auto"/>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hint="eastAsia" w:ascii="宋体" w:hAnsi="宋体" w:eastAsia="宋体" w:cs="宋体"/>
          <w:b/>
          <w:bCs/>
          <w:color w:val="auto"/>
          <w:highlight w:val="none"/>
        </w:rPr>
        <w:t>3.1.1</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修改类型：修改</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1"/>
          <w:highlight w:val="none"/>
        </w:rPr>
        <w:t>原文：</w:t>
      </w:r>
      <w:r>
        <w:rPr>
          <w:rFonts w:hint="eastAsia" w:ascii="宋体" w:hAnsi="宋体" w:eastAsia="宋体" w:cs="宋体"/>
          <w:color w:val="auto"/>
          <w:sz w:val="24"/>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1"/>
          <w:highlight w:val="none"/>
        </w:rPr>
        <w:t>现文：</w:t>
      </w:r>
      <w:r>
        <w:rPr>
          <w:rFonts w:hint="eastAsia" w:ascii="宋体" w:hAnsi="宋体" w:eastAsia="宋体" w:cs="宋体"/>
          <w:color w:val="auto"/>
          <w:sz w:val="24"/>
          <w:highlight w:val="none"/>
        </w:rPr>
        <w:t>3.1.1  评标委员会可以要求投标人提交第二章“投标人须知”规定的有关证明和证件的原件，以便核验。评标委员会依据本章第2.1款规定的标准对投标文件进行初步评审。</w:t>
      </w:r>
      <w:r>
        <w:rPr>
          <w:rFonts w:hint="eastAsia" w:ascii="宋体" w:hAnsi="宋体" w:eastAsia="宋体" w:cs="宋体"/>
          <w:color w:val="auto"/>
          <w:sz w:val="24"/>
          <w:highlight w:val="none"/>
          <w:u w:val="single"/>
        </w:rPr>
        <w:t>如评标委员会成员的评审意见不一致时，以评标委员会过半数成员的意见作为评标委员会对该情形的认定结论，</w:t>
      </w:r>
      <w:r>
        <w:rPr>
          <w:rFonts w:hint="eastAsia" w:ascii="宋体" w:hAnsi="宋体" w:eastAsia="宋体" w:cs="宋体"/>
          <w:color w:val="auto"/>
          <w:sz w:val="24"/>
          <w:highlight w:val="none"/>
        </w:rPr>
        <w:t>有一项不符合评审标准的，评标委员会应当否决其投标。</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条款号：3.1.3（3）             修改类型：新增</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rPr>
        <w:t>现文：</w:t>
      </w:r>
      <w:r>
        <w:rPr>
          <w:rFonts w:hint="eastAsia" w:ascii="宋体" w:hAnsi="宋体" w:eastAsia="宋体" w:cs="宋体"/>
          <w:color w:val="auto"/>
          <w:sz w:val="24"/>
          <w:highlight w:val="none"/>
        </w:rPr>
        <w:t>（3）当本项目最高投标限价*（1-投标人填报的投标下浮率）与投标人报价不一致时，按最高投标限价*（1-投标人填报的投标下浮率）修正投标人报价。</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条款号：3.1.4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修改类型：新增</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highlight w:val="none"/>
        </w:rPr>
        <w:t>现文：</w:t>
      </w:r>
      <w:r>
        <w:rPr>
          <w:rFonts w:hint="eastAsia" w:ascii="宋体" w:hAnsi="宋体" w:eastAsia="宋体" w:cs="宋体"/>
          <w:b/>
          <w:color w:val="auto"/>
          <w:sz w:val="24"/>
          <w:highlight w:val="none"/>
        </w:rPr>
        <w:t>3.1.4</w:t>
      </w:r>
      <w:r>
        <w:rPr>
          <w:rFonts w:hint="eastAsia" w:ascii="宋体" w:hAnsi="宋体" w:eastAsia="宋体" w:cs="宋体"/>
          <w:color w:val="auto"/>
          <w:sz w:val="24"/>
          <w:highlight w:val="none"/>
        </w:rPr>
        <w:t xml:space="preserve"> 只有通过初步评审的投标人才能进入下一阶段详细评审。当通过初步评审的有效投标人不足三名时，招标人应当依法重新组织招标。</w:t>
      </w:r>
    </w:p>
    <w:p>
      <w:pPr>
        <w:adjustRightInd/>
        <w:spacing w:line="360" w:lineRule="auto"/>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hint="eastAsia" w:ascii="宋体" w:hAnsi="宋体" w:eastAsia="宋体" w:cs="宋体"/>
          <w:b/>
          <w:bCs/>
          <w:color w:val="auto"/>
          <w:highlight w:val="none"/>
        </w:rPr>
        <w:t>3.2.1</w:t>
      </w:r>
      <w:r>
        <w:rPr>
          <w:rFonts w:hint="eastAsia" w:ascii="宋体" w:hAnsi="宋体" w:eastAsia="宋体" w:cs="宋体"/>
          <w:b/>
          <w:bCs/>
          <w:color w:val="auto"/>
          <w:szCs w:val="21"/>
          <w:highlight w:val="none"/>
        </w:rPr>
        <w:t xml:space="preserve">             修改类型：修改</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1"/>
          <w:highlight w:val="none"/>
        </w:rPr>
        <w:t>原文：</w:t>
      </w:r>
      <w:r>
        <w:rPr>
          <w:rFonts w:hint="eastAsia" w:ascii="宋体" w:hAnsi="宋体" w:eastAsia="宋体" w:cs="宋体"/>
          <w:color w:val="auto"/>
          <w:sz w:val="24"/>
          <w:highlight w:val="none"/>
        </w:rPr>
        <w:t>3.2.1 评标委员会按本章第 2.2 款规定的量化因素和分值进行打分，并计算出综合评估得分。</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（1）按本章第2.2.4（1）目规定的评审因素和分值对资信业绩部分计算出得分A，资信业绩部分评审得分A为各评标专家打分的算术平均值；</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（2）按本章第2.2.4（2）目规定的评审因素和分值对</w:t>
      </w:r>
      <w:r>
        <w:rPr>
          <w:rFonts w:hint="eastAsia" w:ascii="宋体" w:hAnsi="宋体" w:eastAsia="宋体" w:cs="宋体"/>
          <w:color w:val="auto"/>
          <w:sz w:val="24"/>
          <w:highlight w:val="none"/>
          <w:lang w:eastAsia="zh-CN"/>
        </w:rPr>
        <w:t>服务大纲</w:t>
      </w:r>
      <w:r>
        <w:rPr>
          <w:rFonts w:hint="eastAsia" w:ascii="宋体" w:hAnsi="宋体" w:eastAsia="宋体" w:cs="宋体"/>
          <w:color w:val="auto"/>
          <w:sz w:val="24"/>
          <w:highlight w:val="none"/>
        </w:rPr>
        <w:t>部分计算出得分B，</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sz w:val="24"/>
          <w:highlight w:val="none"/>
          <w:lang w:eastAsia="zh-CN"/>
        </w:rPr>
        <w:t>服务大纲</w:t>
      </w:r>
      <w:r>
        <w:rPr>
          <w:rFonts w:hint="eastAsia" w:ascii="宋体" w:hAnsi="宋体" w:eastAsia="宋体" w:cs="宋体"/>
          <w:color w:val="auto"/>
          <w:sz w:val="24"/>
          <w:highlight w:val="none"/>
        </w:rPr>
        <w:t>部分评审得分B为从各评标专家打分中去掉一个最高分和去掉一个最低分后的剩余评标专家打分的算术平均值或</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sz w:val="24"/>
          <w:highlight w:val="none"/>
          <w:lang w:eastAsia="zh-CN"/>
        </w:rPr>
        <w:t>服务大纲</w:t>
      </w:r>
      <w:r>
        <w:rPr>
          <w:rFonts w:hint="eastAsia" w:ascii="宋体" w:hAnsi="宋体" w:eastAsia="宋体" w:cs="宋体"/>
          <w:color w:val="auto"/>
          <w:sz w:val="24"/>
          <w:highlight w:val="none"/>
        </w:rPr>
        <w:t>部分评审得分B为各评标专家打分的算术平均值</w:t>
      </w:r>
      <w:r>
        <w:rPr>
          <w:rFonts w:hint="eastAsia" w:ascii="宋体" w:hAnsi="宋体" w:eastAsia="宋体" w:cs="宋体"/>
          <w:i/>
          <w:iCs/>
          <w:color w:val="auto"/>
          <w:sz w:val="24"/>
          <w:highlight w:val="none"/>
        </w:rPr>
        <w:t>（二选一，招标人自行选择）</w:t>
      </w:r>
      <w:r>
        <w:rPr>
          <w:rFonts w:hint="eastAsia" w:ascii="宋体" w:hAnsi="宋体" w:eastAsia="宋体" w:cs="宋体"/>
          <w:color w:val="auto"/>
          <w:sz w:val="24"/>
          <w:highlight w:val="none"/>
        </w:rPr>
        <w:t>；</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（3）按本章第2.2.4（3）目规定的评审因素和分值对投标报价计算出得分C；</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（4）按本章第2.2.4（4）目规定的评审因素和分值对诚信评价计算出得分D。</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1"/>
          <w:highlight w:val="none"/>
        </w:rPr>
        <w:t>现文：</w:t>
      </w:r>
      <w:r>
        <w:rPr>
          <w:rFonts w:hint="eastAsia" w:ascii="宋体" w:hAnsi="宋体" w:eastAsia="宋体" w:cs="宋体"/>
          <w:color w:val="auto"/>
          <w:sz w:val="24"/>
          <w:highlight w:val="none"/>
        </w:rPr>
        <w:t>3.2.1 评标委员会按本章第 2.2 款规定的量化因素和分值进行打分，并计算出综合评估得分。</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（1）按本章第2.2.4（1）目规定的评审因素和分值对资信业绩部分计算出得分A，</w:t>
      </w:r>
      <w:r>
        <w:rPr>
          <w:rFonts w:hint="eastAsia" w:ascii="宋体" w:hAnsi="宋体" w:eastAsia="宋体" w:cs="宋体"/>
          <w:color w:val="auto"/>
          <w:sz w:val="24"/>
          <w:highlight w:val="none"/>
          <w:u w:val="none"/>
        </w:rPr>
        <w:t>资信业绩部分评审得分A为各评标专家打分的算术平均值；</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（2）按本章第2.2.4（2）目规定的评审因素和分值对</w:t>
      </w:r>
      <w:r>
        <w:rPr>
          <w:rFonts w:hint="eastAsia" w:cs="宋体"/>
          <w:color w:val="auto"/>
          <w:sz w:val="24"/>
          <w:highlight w:val="none"/>
          <w:lang w:eastAsia="zh-CN"/>
        </w:rPr>
        <w:t>技术服务方案</w:t>
      </w:r>
      <w:r>
        <w:rPr>
          <w:rFonts w:hint="eastAsia" w:ascii="宋体" w:hAnsi="宋体" w:eastAsia="宋体" w:cs="宋体"/>
          <w:color w:val="auto"/>
          <w:sz w:val="24"/>
          <w:highlight w:val="none"/>
        </w:rPr>
        <w:t>部分计算出得分B，</w:t>
      </w:r>
      <w:r>
        <w:rPr>
          <w:rFonts w:hint="eastAsia" w:cs="宋体"/>
          <w:color w:val="auto"/>
          <w:sz w:val="24"/>
          <w:highlight w:val="none"/>
          <w:u w:val="single"/>
          <w:lang w:eastAsia="zh-CN"/>
        </w:rPr>
        <w:t>技术服务方案</w:t>
      </w:r>
      <w:r>
        <w:rPr>
          <w:rFonts w:hint="eastAsia" w:ascii="宋体" w:hAnsi="宋体" w:eastAsia="宋体" w:cs="宋体"/>
          <w:color w:val="auto"/>
          <w:sz w:val="24"/>
          <w:highlight w:val="none"/>
          <w:u w:val="single"/>
        </w:rPr>
        <w:t>部分评审得分B为从各评标专家打分中去掉一个最高分和去掉一个最低分后的剩余评标专家打分的算术平均值；</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strike w:val="0"/>
          <w:dstrike w:val="0"/>
          <w:color w:val="auto"/>
          <w:sz w:val="24"/>
          <w:highlight w:val="none"/>
        </w:rPr>
      </w:pPr>
      <w:r>
        <w:rPr>
          <w:rFonts w:hint="eastAsia" w:ascii="宋体" w:hAnsi="宋体" w:eastAsia="宋体" w:cs="宋体"/>
          <w:color w:val="auto"/>
          <w:sz w:val="24"/>
          <w:highlight w:val="none"/>
        </w:rPr>
        <w:t>（3）按本章第2.2.4（3）目规定的评审因素和分值对投标报价计算出得分C；</w:t>
      </w:r>
      <w:r>
        <w:rPr>
          <w:rFonts w:hint="eastAsia" w:ascii="宋体" w:hAnsi="宋体" w:eastAsia="宋体" w:cs="宋体"/>
          <w:color w:val="auto"/>
          <w:sz w:val="24"/>
          <w:highlight w:val="none"/>
          <w:u w:val="single"/>
        </w:rPr>
        <w:t>根据第二章“投标人须知前附表”第10.7项规定实施投标报价评审优惠政策(如有)。得出投标报价得分，精确到小数点后两位</w:t>
      </w:r>
      <w:r>
        <w:rPr>
          <w:rFonts w:hint="eastAsia" w:ascii="宋体" w:hAnsi="宋体" w:eastAsia="宋体" w:cs="宋体"/>
          <w:strike w:val="0"/>
          <w:dstrike w:val="0"/>
          <w:color w:val="auto"/>
          <w:sz w:val="24"/>
          <w:highlight w:val="none"/>
        </w:rPr>
        <w:t>。</w:t>
      </w:r>
    </w:p>
    <w:p>
      <w:pPr>
        <w:adjustRightInd/>
        <w:spacing w:line="360" w:lineRule="auto"/>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hint="eastAsia" w:ascii="宋体" w:hAnsi="宋体" w:eastAsia="宋体" w:cs="宋体"/>
          <w:b/>
          <w:bCs/>
          <w:color w:val="auto"/>
          <w:highlight w:val="none"/>
        </w:rPr>
        <w:t>3.2.3</w:t>
      </w:r>
      <w:r>
        <w:rPr>
          <w:rFonts w:hint="eastAsia" w:ascii="宋体" w:hAnsi="宋体" w:eastAsia="宋体" w:cs="宋体"/>
          <w:b/>
          <w:bCs/>
          <w:color w:val="auto"/>
          <w:szCs w:val="21"/>
          <w:highlight w:val="none"/>
        </w:rPr>
        <w:t xml:space="preserve">             修改类型：修改</w:t>
      </w:r>
    </w:p>
    <w:p>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1"/>
          <w:highlight w:val="none"/>
        </w:rPr>
        <w:t>原文：</w:t>
      </w:r>
      <w:r>
        <w:rPr>
          <w:rFonts w:hint="eastAsia" w:ascii="宋体" w:hAnsi="宋体" w:eastAsia="宋体" w:cs="宋体"/>
          <w:color w:val="auto"/>
          <w:sz w:val="24"/>
          <w:highlight w:val="none"/>
        </w:rPr>
        <w:t>3.2.3 投标人得分=A+B+C+D。</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color w:val="auto"/>
          <w:highlight w:val="none"/>
        </w:rPr>
      </w:pPr>
      <w:r>
        <w:rPr>
          <w:rFonts w:hint="eastAsia" w:ascii="宋体" w:hAnsi="宋体" w:eastAsia="宋体" w:cs="宋体"/>
          <w:b/>
          <w:bCs w:val="0"/>
          <w:color w:val="auto"/>
          <w:sz w:val="24"/>
          <w:szCs w:val="21"/>
          <w:highlight w:val="none"/>
        </w:rPr>
        <w:t>现文：</w:t>
      </w:r>
      <w:r>
        <w:rPr>
          <w:rFonts w:hint="eastAsia" w:ascii="宋体" w:hAnsi="宋体" w:eastAsia="宋体" w:cs="宋体"/>
          <w:color w:val="auto"/>
          <w:sz w:val="24"/>
          <w:highlight w:val="none"/>
        </w:rPr>
        <w:t xml:space="preserve">3.2.3 </w:t>
      </w:r>
      <w:r>
        <w:rPr>
          <w:rFonts w:hint="eastAsia" w:ascii="宋体" w:hAnsi="宋体" w:eastAsia="宋体" w:cs="宋体"/>
          <w:color w:val="auto"/>
          <w:sz w:val="24"/>
          <w:highlight w:val="none"/>
          <w:u w:val="single"/>
        </w:rPr>
        <w:t>投标人</w:t>
      </w:r>
      <w:r>
        <w:rPr>
          <w:rFonts w:hint="eastAsia" w:ascii="宋体" w:hAnsi="宋体" w:eastAsia="宋体" w:cs="宋体"/>
          <w:color w:val="auto"/>
          <w:sz w:val="24"/>
          <w:highlight w:val="none"/>
          <w:u w:val="single"/>
          <w:lang w:val="en-US" w:eastAsia="zh-CN"/>
        </w:rPr>
        <w:t>总</w:t>
      </w:r>
      <w:r>
        <w:rPr>
          <w:rFonts w:hint="eastAsia" w:ascii="宋体" w:hAnsi="宋体" w:eastAsia="宋体" w:cs="宋体"/>
          <w:color w:val="auto"/>
          <w:sz w:val="24"/>
          <w:highlight w:val="none"/>
          <w:u w:val="single"/>
        </w:rPr>
        <w:t>得分=A+B+C</w:t>
      </w:r>
      <w:r>
        <w:rPr>
          <w:rFonts w:hint="eastAsia" w:ascii="宋体" w:hAnsi="宋体" w:eastAsia="宋体" w:cs="宋体"/>
          <w:color w:val="auto"/>
          <w:sz w:val="24"/>
          <w:highlight w:val="none"/>
        </w:rPr>
        <w:t>。</w:t>
      </w:r>
    </w:p>
    <w:p>
      <w:pPr>
        <w:adjustRightInd/>
        <w:spacing w:line="360" w:lineRule="auto"/>
        <w:ind w:firstLine="48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条款号：</w:t>
      </w:r>
      <w:r>
        <w:rPr>
          <w:rFonts w:hint="eastAsia" w:ascii="宋体" w:hAnsi="宋体" w:eastAsia="宋体" w:cs="宋体"/>
          <w:b/>
          <w:bCs/>
          <w:color w:val="auto"/>
          <w:highlight w:val="none"/>
          <w:lang w:val="en-US" w:eastAsia="zh-CN"/>
        </w:rPr>
        <w:t>4.定标</w:t>
      </w:r>
      <w:r>
        <w:rPr>
          <w:rFonts w:hint="eastAsia" w:ascii="宋体" w:hAnsi="宋体" w:eastAsia="宋体" w:cs="宋体"/>
          <w:b/>
          <w:bCs/>
          <w:color w:val="auto"/>
          <w:szCs w:val="21"/>
          <w:highlight w:val="none"/>
        </w:rPr>
        <w:t xml:space="preserve">             修改类型：</w:t>
      </w:r>
      <w:r>
        <w:rPr>
          <w:rFonts w:hint="eastAsia" w:ascii="宋体" w:hAnsi="宋体" w:eastAsia="宋体" w:cs="宋体"/>
          <w:b/>
          <w:bCs/>
          <w:color w:val="auto"/>
          <w:szCs w:val="21"/>
          <w:highlight w:val="none"/>
          <w:lang w:val="en-US" w:eastAsia="zh-CN"/>
        </w:rPr>
        <w:t>增加</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bCs w:val="0"/>
          <w:color w:val="auto"/>
          <w:sz w:val="24"/>
          <w:szCs w:val="21"/>
          <w:highlight w:val="none"/>
        </w:rPr>
        <w:t>现文：</w:t>
      </w:r>
      <w:r>
        <w:rPr>
          <w:rFonts w:hint="eastAsia" w:ascii="宋体" w:hAnsi="宋体" w:eastAsia="宋体" w:cs="宋体"/>
          <w:b w:val="0"/>
          <w:bCs/>
          <w:color w:val="auto"/>
          <w:sz w:val="24"/>
          <w:szCs w:val="21"/>
          <w:highlight w:val="none"/>
          <w:u w:val="single"/>
        </w:rPr>
        <w:t>4.定标</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在合格中标候选人公示期间或在定标前，如有合格中标候选人放弃中标候选人资格或者被查实存在影响中标候选人资格的违法行为等情形，且合格中标候选人至少有 1 名的，招标人不再递补其他合格中标候选人，可以继续定标或依法重新招标；如没有合格中标候选人的，则依法重新招标。</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4.1定标时间和地点</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招标人在合格中标候选人公示结束后5个工作日内在广州交易集团有限公司（广州公共资源交易中心）开展定标工作，招标人按规定程序完成定标工作。</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4.2定标委员会</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成员数量为5人，由招标人组建。</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4.3监督小组</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成员数量为2人，由招标人组建。</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4.4定标办法</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4.4.1定标办法：采用直接票决定标法（记名投票+撰写评语），定标委员会从合格中标候选人当中以“记名投票+撰写评语”方式产生中标人。对进入定标阶段的全部合格的中标候选人撰写评语。</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4.4.2定标因素：为答辩因素，具体因素标准详见附表三：《定标因素表》（定标阶段用表）。</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4.5定标程序</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招标人或其委托的招标代理机构应安排1名熟悉情况的工作人员在定标会场担任招标项目负责人，按程序组织定标工作：</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4.5.1招标项目负责人宣读定标委员会组建情况及成员名单，宣读定标纪律，签订廉政责任书。</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4.5.2 定标工作开始后，定标委员会应推荐一人为定标委员会组长，主持当次定标会议。</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4.5.3 发放定标辅助资料：评标阶段的评标报告、合格的中标候选人提交的投标文件等，并发放选票。</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4.5.4  合格中标候选人答辩程序：</w:t>
      </w:r>
    </w:p>
    <w:p>
      <w:pPr>
        <w:pStyle w:val="9"/>
        <w:spacing w:line="360" w:lineRule="auto"/>
        <w:ind w:firstLine="482"/>
        <w:rPr>
          <w:rFonts w:ascii="宋体" w:hAnsi="宋体" w:eastAsia="宋体" w:cs="宋体"/>
          <w:b/>
          <w:bCs/>
          <w:color w:val="auto"/>
          <w:sz w:val="24"/>
          <w:szCs w:val="24"/>
          <w:highlight w:val="none"/>
          <w:u w:val="single"/>
          <w:lang w:eastAsia="zh-CN"/>
        </w:rPr>
      </w:pPr>
      <w:r>
        <w:rPr>
          <w:rFonts w:ascii="宋体" w:hAnsi="宋体" w:eastAsia="宋体"/>
          <w:b/>
          <w:bCs/>
          <w:color w:val="auto"/>
          <w:sz w:val="24"/>
          <w:szCs w:val="24"/>
          <w:highlight w:val="none"/>
          <w:u w:val="single"/>
          <w:lang w:eastAsia="zh-CN"/>
        </w:rPr>
        <w:t>1）答辩签到：招标人或招标代理将《定标会议通知》以</w:t>
      </w:r>
      <w:r>
        <w:rPr>
          <w:rFonts w:hint="eastAsia" w:ascii="宋体" w:hAnsi="宋体"/>
          <w:b/>
          <w:bCs/>
          <w:color w:val="auto"/>
          <w:sz w:val="24"/>
          <w:szCs w:val="24"/>
          <w:highlight w:val="none"/>
          <w:u w:val="single"/>
          <w:lang w:val="en-US" w:eastAsia="zh-CN"/>
        </w:rPr>
        <w:t>电子</w:t>
      </w:r>
      <w:r>
        <w:rPr>
          <w:rFonts w:ascii="宋体" w:hAnsi="宋体" w:eastAsia="宋体"/>
          <w:b/>
          <w:bCs/>
          <w:color w:val="auto"/>
          <w:sz w:val="24"/>
          <w:szCs w:val="24"/>
          <w:highlight w:val="none"/>
          <w:u w:val="single"/>
          <w:lang w:eastAsia="zh-CN"/>
        </w:rPr>
        <w:t>邮件送达各合格中标候选人，各合格中标候选人收到邮件后需在《定标会议通知》上盖章后回复邮件。各合格中标候选人须拟派项目负责人作为</w:t>
      </w:r>
      <w:r>
        <w:rPr>
          <w:rFonts w:hint="eastAsia" w:ascii="宋体" w:hAnsi="宋体" w:eastAsia="宋体"/>
          <w:b/>
          <w:bCs/>
          <w:color w:val="auto"/>
          <w:sz w:val="24"/>
          <w:szCs w:val="24"/>
          <w:highlight w:val="none"/>
          <w:u w:val="single"/>
          <w:lang w:eastAsia="zh-CN"/>
        </w:rPr>
        <w:t>答辩人员</w:t>
      </w:r>
      <w:r>
        <w:rPr>
          <w:rFonts w:hint="eastAsia" w:ascii="宋体" w:hAnsi="宋体" w:eastAsia="宋体" w:cs="宋体"/>
          <w:b/>
          <w:bCs/>
          <w:color w:val="auto"/>
          <w:sz w:val="24"/>
          <w:szCs w:val="24"/>
          <w:highlight w:val="none"/>
          <w:u w:val="single"/>
          <w:lang w:eastAsia="zh-CN"/>
        </w:rPr>
        <w:t>出席答辩会，未出席的将被视为放弃答辩资格。</w:t>
      </w:r>
      <w:r>
        <w:rPr>
          <w:rFonts w:hint="eastAsia" w:ascii="宋体" w:hAnsi="宋体" w:eastAsia="宋体"/>
          <w:b/>
          <w:bCs/>
          <w:color w:val="auto"/>
          <w:sz w:val="24"/>
          <w:szCs w:val="24"/>
          <w:highlight w:val="none"/>
          <w:u w:val="single"/>
          <w:lang w:eastAsia="zh-CN"/>
        </w:rPr>
        <w:t>）</w:t>
      </w:r>
    </w:p>
    <w:p>
      <w:pPr>
        <w:snapToGrid w:val="0"/>
        <w:spacing w:line="360" w:lineRule="auto"/>
        <w:ind w:firstLine="482" w:firstLineChars="200"/>
        <w:rPr>
          <w:rFonts w:ascii="宋体" w:hAnsi="宋体"/>
          <w:b/>
          <w:bCs/>
          <w:color w:val="auto"/>
          <w:highlight w:val="none"/>
          <w:u w:val="single"/>
        </w:rPr>
      </w:pPr>
      <w:bookmarkStart w:id="118" w:name="OLE_LINK26"/>
      <w:bookmarkStart w:id="119" w:name="OLE_LINK27"/>
      <w:r>
        <w:rPr>
          <w:rFonts w:hint="eastAsia" w:ascii="宋体" w:hAnsi="宋体" w:cs="宋体"/>
          <w:b/>
          <w:bCs/>
          <w:color w:val="auto"/>
          <w:highlight w:val="none"/>
          <w:u w:val="single"/>
        </w:rPr>
        <w:t>答辩</w:t>
      </w:r>
      <w:bookmarkEnd w:id="118"/>
      <w:bookmarkEnd w:id="119"/>
      <w:r>
        <w:rPr>
          <w:rFonts w:ascii="宋体" w:hAnsi="宋体" w:cs="宋体"/>
          <w:b/>
          <w:bCs/>
          <w:color w:val="auto"/>
          <w:highlight w:val="none"/>
          <w:u w:val="single"/>
        </w:rPr>
        <w:t>人员（</w:t>
      </w:r>
      <w:r>
        <w:rPr>
          <w:rFonts w:ascii="宋体" w:hAnsi="宋体"/>
          <w:b/>
          <w:bCs/>
          <w:color w:val="auto"/>
          <w:highlight w:val="none"/>
          <w:u w:val="single"/>
        </w:rPr>
        <w:t>项目负责人）</w:t>
      </w:r>
      <w:r>
        <w:rPr>
          <w:rFonts w:hint="eastAsia" w:ascii="宋体" w:hAnsi="宋体"/>
          <w:b/>
          <w:bCs/>
          <w:color w:val="auto"/>
          <w:highlight w:val="none"/>
          <w:u w:val="single"/>
        </w:rPr>
        <w:t>须按时携带本单位法定代表人证明书原件、法定代表人授权委托证明书原件、本人身份证原件及身份证正反面复印件、</w:t>
      </w:r>
      <w:bookmarkStart w:id="120" w:name="OLE_LINK24"/>
      <w:bookmarkStart w:id="121" w:name="OLE_LINK23"/>
      <w:r>
        <w:rPr>
          <w:rFonts w:hint="eastAsia" w:ascii="宋体" w:hAnsi="宋体" w:cs="宋体"/>
          <w:b/>
          <w:bCs/>
          <w:color w:val="auto"/>
          <w:highlight w:val="none"/>
          <w:u w:val="single"/>
        </w:rPr>
        <w:t>答辩</w:t>
      </w:r>
      <w:bookmarkStart w:id="122" w:name="OLE_LINK25"/>
      <w:r>
        <w:rPr>
          <w:rFonts w:ascii="宋体" w:hAnsi="宋体" w:cs="宋体"/>
          <w:b/>
          <w:bCs/>
          <w:color w:val="auto"/>
          <w:highlight w:val="none"/>
          <w:u w:val="single"/>
        </w:rPr>
        <w:t>人员</w:t>
      </w:r>
      <w:bookmarkEnd w:id="120"/>
      <w:bookmarkEnd w:id="121"/>
      <w:bookmarkEnd w:id="122"/>
      <w:r>
        <w:rPr>
          <w:rFonts w:ascii="宋体" w:hAnsi="宋体" w:cs="宋体"/>
          <w:b/>
          <w:bCs/>
          <w:color w:val="auto"/>
          <w:highlight w:val="none"/>
          <w:u w:val="single"/>
        </w:rPr>
        <w:t>2025年</w:t>
      </w:r>
      <w:r>
        <w:rPr>
          <w:rFonts w:hint="eastAsia" w:ascii="宋体" w:hAnsi="宋体" w:cs="宋体"/>
          <w:b/>
          <w:bCs/>
          <w:color w:val="auto"/>
          <w:highlight w:val="none"/>
          <w:u w:val="single"/>
        </w:rPr>
        <w:t>6月或7月</w:t>
      </w:r>
      <w:r>
        <w:rPr>
          <w:rFonts w:ascii="宋体" w:hAnsi="宋体" w:cs="宋体"/>
          <w:b/>
          <w:bCs/>
          <w:color w:val="auto"/>
          <w:highlight w:val="none"/>
          <w:u w:val="single"/>
        </w:rPr>
        <w:t>在本单位参保的社保缴纳记录证明文件复印件</w:t>
      </w:r>
      <w:r>
        <w:rPr>
          <w:rFonts w:hint="eastAsia" w:ascii="宋体" w:hAnsi="宋体" w:cs="宋体"/>
          <w:b/>
          <w:bCs/>
          <w:color w:val="auto"/>
          <w:highlight w:val="none"/>
          <w:u w:val="single"/>
        </w:rPr>
        <w:t>（</w:t>
      </w:r>
      <w:r>
        <w:rPr>
          <w:rFonts w:ascii="宋体" w:hAnsi="宋体" w:cs="宋体"/>
          <w:b/>
          <w:bCs/>
          <w:color w:val="auto"/>
          <w:highlight w:val="none"/>
          <w:u w:val="single"/>
        </w:rPr>
        <w:t>加盖单位公章</w:t>
      </w:r>
      <w:r>
        <w:rPr>
          <w:rFonts w:hint="eastAsia" w:ascii="宋体" w:hAnsi="宋体" w:cs="宋体"/>
          <w:b/>
          <w:bCs/>
          <w:color w:val="auto"/>
          <w:highlight w:val="none"/>
          <w:u w:val="single"/>
        </w:rPr>
        <w:t>）</w:t>
      </w:r>
      <w:r>
        <w:rPr>
          <w:rFonts w:hint="eastAsia" w:ascii="宋体" w:hAnsi="宋体"/>
          <w:b/>
          <w:bCs/>
          <w:color w:val="auto"/>
          <w:highlight w:val="none"/>
          <w:u w:val="single"/>
        </w:rPr>
        <w:t>到达《定标会议通知》通知的开标室进行签到并递交以</w:t>
      </w:r>
      <w:r>
        <w:rPr>
          <w:rFonts w:ascii="宋体" w:hAnsi="宋体"/>
          <w:b/>
          <w:bCs/>
          <w:color w:val="auto"/>
          <w:highlight w:val="none"/>
          <w:u w:val="single"/>
        </w:rPr>
        <w:t>U盘为载体的PPT演示文件（如有），签到具体时间以《定标会议通知》为准。签到完成后，拟派答辩</w:t>
      </w:r>
      <w:r>
        <w:rPr>
          <w:rFonts w:ascii="宋体" w:hAnsi="宋体" w:cs="宋体"/>
          <w:b/>
          <w:bCs/>
          <w:color w:val="auto"/>
          <w:highlight w:val="none"/>
          <w:u w:val="single"/>
        </w:rPr>
        <w:t>人员</w:t>
      </w:r>
      <w:r>
        <w:rPr>
          <w:rFonts w:ascii="宋体" w:hAnsi="宋体"/>
          <w:b/>
          <w:bCs/>
          <w:color w:val="auto"/>
          <w:highlight w:val="none"/>
          <w:u w:val="single"/>
        </w:rPr>
        <w:t>需签署《答辩纪律》、《答辩人员承诺书》等文件(签署的文件以实际下发的为准)。合格中标候选人拟派答辩</w:t>
      </w:r>
      <w:r>
        <w:rPr>
          <w:rFonts w:ascii="宋体" w:hAnsi="宋体" w:cs="宋体"/>
          <w:b/>
          <w:bCs/>
          <w:color w:val="auto"/>
          <w:highlight w:val="none"/>
          <w:u w:val="single"/>
        </w:rPr>
        <w:t>人员</w:t>
      </w:r>
      <w:r>
        <w:rPr>
          <w:rFonts w:ascii="宋体" w:hAnsi="宋体"/>
          <w:b/>
          <w:bCs/>
          <w:color w:val="auto"/>
          <w:highlight w:val="none"/>
          <w:u w:val="single"/>
        </w:rPr>
        <w:t>签到时未能提供上述携带证明资料的,或未能在规定的时候内进行签到的，视为放弃答辩。答辩时，拟派答辩</w:t>
      </w:r>
      <w:r>
        <w:rPr>
          <w:rFonts w:ascii="宋体" w:hAnsi="宋体" w:cs="宋体"/>
          <w:b/>
          <w:bCs/>
          <w:color w:val="auto"/>
          <w:highlight w:val="none"/>
          <w:u w:val="single"/>
        </w:rPr>
        <w:t>人员</w:t>
      </w:r>
      <w:r>
        <w:rPr>
          <w:rFonts w:ascii="宋体" w:hAnsi="宋体"/>
          <w:b/>
          <w:bCs/>
          <w:color w:val="auto"/>
          <w:highlight w:val="none"/>
          <w:u w:val="single"/>
        </w:rPr>
        <w:t>需将其所有通讯设备调成关机或静音状态交招标代理保管，待其答辩完成后退还。</w:t>
      </w:r>
    </w:p>
    <w:p>
      <w:pPr>
        <w:snapToGrid w:val="0"/>
        <w:spacing w:line="360" w:lineRule="auto"/>
        <w:ind w:firstLine="482" w:firstLineChars="200"/>
        <w:rPr>
          <w:rFonts w:ascii="宋体" w:hAnsi="宋体"/>
          <w:b/>
          <w:bCs/>
          <w:color w:val="auto"/>
          <w:highlight w:val="none"/>
          <w:u w:val="single"/>
        </w:rPr>
      </w:pPr>
      <w:r>
        <w:rPr>
          <w:rFonts w:ascii="宋体" w:hAnsi="宋体"/>
          <w:b/>
          <w:bCs/>
          <w:color w:val="auto"/>
          <w:highlight w:val="none"/>
          <w:u w:val="single"/>
        </w:rPr>
        <w:t>2）答辩进场顺序：采用现场答辩形式,按拟派答辩</w:t>
      </w:r>
      <w:r>
        <w:rPr>
          <w:rFonts w:ascii="宋体" w:hAnsi="宋体" w:cs="宋体"/>
          <w:b/>
          <w:bCs/>
          <w:color w:val="auto"/>
          <w:highlight w:val="none"/>
          <w:u w:val="single"/>
        </w:rPr>
        <w:t>人员</w:t>
      </w:r>
      <w:r>
        <w:rPr>
          <w:rFonts w:ascii="宋体" w:hAnsi="宋体"/>
          <w:b/>
          <w:bCs/>
          <w:color w:val="auto"/>
          <w:highlight w:val="none"/>
          <w:u w:val="singl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pPr>
        <w:snapToGrid w:val="0"/>
        <w:spacing w:line="360" w:lineRule="auto"/>
        <w:ind w:firstLine="482" w:firstLineChars="200"/>
        <w:rPr>
          <w:rFonts w:ascii="宋体" w:hAnsi="宋体"/>
          <w:b/>
          <w:bCs/>
          <w:color w:val="auto"/>
          <w:highlight w:val="none"/>
          <w:u w:val="single"/>
        </w:rPr>
      </w:pPr>
      <w:r>
        <w:rPr>
          <w:rFonts w:ascii="宋体" w:hAnsi="宋体"/>
          <w:b/>
          <w:bCs/>
          <w:color w:val="auto"/>
          <w:highlight w:val="none"/>
          <w:u w:val="single"/>
        </w:rPr>
        <w:t>3）答辩人员的要求：答辩的人员在参加答辩时，应向招标人（招标代理）出示身份证原件，招标人（招标代理）核对确认身份无误后再进行答辩。答辩人员未能出示前述证明文件的不予参加答辩环节。</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22" w:firstLineChars="200"/>
        <w:jc w:val="both"/>
        <w:rPr>
          <w:rFonts w:hint="eastAsia" w:ascii="宋体" w:hAnsi="宋体" w:eastAsia="宋体" w:cs="宋体"/>
          <w:b w:val="0"/>
          <w:bCs/>
          <w:color w:val="auto"/>
          <w:sz w:val="24"/>
          <w:szCs w:val="21"/>
          <w:highlight w:val="none"/>
          <w:u w:val="single"/>
        </w:rPr>
      </w:pPr>
      <w:r>
        <w:rPr>
          <w:rFonts w:ascii="宋体" w:hAnsi="宋体"/>
          <w:b/>
          <w:bCs/>
          <w:color w:val="auto"/>
          <w:highlight w:val="none"/>
          <w:u w:val="single"/>
        </w:rPr>
        <w:t>4）答辩的要点与时限：答辩的要点与时限详见附件</w:t>
      </w:r>
      <w:r>
        <w:rPr>
          <w:rFonts w:hint="eastAsia" w:ascii="宋体" w:hAnsi="宋体"/>
          <w:b/>
          <w:bCs/>
          <w:color w:val="auto"/>
          <w:highlight w:val="none"/>
          <w:u w:val="single"/>
        </w:rPr>
        <w:t>一</w:t>
      </w:r>
      <w:r>
        <w:rPr>
          <w:rFonts w:ascii="宋体" w:hAnsi="宋体"/>
          <w:b/>
          <w:bCs/>
          <w:color w:val="auto"/>
          <w:highlight w:val="none"/>
          <w:u w:val="single"/>
        </w:rPr>
        <w:t>《定标因素表》（定标阶段用表）。中标候选人拟派项目答辩</w:t>
      </w:r>
      <w:r>
        <w:rPr>
          <w:rFonts w:hint="eastAsia" w:ascii="宋体" w:hAnsi="宋体"/>
          <w:b/>
          <w:bCs/>
          <w:color w:val="auto"/>
          <w:highlight w:val="none"/>
          <w:u w:val="single"/>
        </w:rPr>
        <w:t>人</w:t>
      </w:r>
      <w:r>
        <w:rPr>
          <w:rFonts w:ascii="宋体" w:hAnsi="宋体"/>
          <w:b/>
          <w:bCs/>
          <w:color w:val="auto"/>
          <w:highlight w:val="none"/>
          <w:u w:val="single"/>
        </w:rPr>
        <w:t>员介绍时，可借助广州交易集团有限公司（广州</w:t>
      </w:r>
      <w:r>
        <w:rPr>
          <w:rFonts w:hint="eastAsia" w:ascii="宋体" w:hAnsi="宋体"/>
          <w:b/>
          <w:bCs/>
          <w:color w:val="auto"/>
          <w:highlight w:val="none"/>
          <w:u w:val="single"/>
        </w:rPr>
        <w:t>公共资源交易中心）开标室电脑播放事先准备的</w:t>
      </w:r>
      <w:r>
        <w:rPr>
          <w:rFonts w:ascii="宋体" w:hAnsi="宋体"/>
          <w:b/>
          <w:bCs/>
          <w:color w:val="auto"/>
          <w:highlight w:val="none"/>
          <w:u w:val="single"/>
        </w:rPr>
        <w:t>PPT（如有），并同步至定标室进行介绍。并对定标委员会提出的问题进行答辩。</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4.5.5 定标委员会按照定标因素对进入定标阶段合格中标候选人进行评审及投票。</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4.5.6 投票规则：定标委员会根据定标因素对各合格中标候选人进行综合评审后，进行一轮一次性票决，每位定标委员会成员只有1票表决权（即只能对其中1家中标候选人投票），得票数最多的合格中标候选人确定为中标人，若出现票数相同且无法决出中标人时，对票数相同的中标候选人再进行一次性票决，直至决出中标人。定标委员会成员投票时，应按照招标文件规定的投票规则独立行使投票权，不得弃权或产生废票。</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4.5.7 定标委员会根据选票情况向招标人推荐中标人。</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4.5.8 编写定标报告，定标委员会全体确认后签署定标报告。定标报告由定标委员会全体成员签字。</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4.6 招标人应当在定标工作完成后3日内公示中标结果。</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4.7如出现中标人放弃中标、或者因不可抗力提出不能履行合同、或者被查实存在影响中标结果的违法行为等情形，招标人有权取消其中标人资格或解除合同，且当合格中标候选人至少有1名时,招标人有权不再递补其他合格中标候选人，可采用上述定标办法在其他合格中标候选人中重新票决确定中标人，也可依法重新招标。</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b w:val="0"/>
          <w:bCs/>
          <w:color w:val="auto"/>
          <w:sz w:val="24"/>
          <w:szCs w:val="21"/>
          <w:highlight w:val="none"/>
          <w:u w:val="single"/>
        </w:rPr>
      </w:pPr>
      <w:r>
        <w:rPr>
          <w:rFonts w:hint="eastAsia" w:ascii="宋体" w:hAnsi="宋体" w:eastAsia="宋体" w:cs="宋体"/>
          <w:b w:val="0"/>
          <w:bCs/>
          <w:color w:val="auto"/>
          <w:sz w:val="24"/>
          <w:szCs w:val="21"/>
          <w:highlight w:val="none"/>
          <w:u w:val="single"/>
        </w:rPr>
        <w:t>4.8定标表格</w:t>
      </w:r>
    </w:p>
    <w:p>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b w:val="0"/>
          <w:bCs/>
          <w:color w:val="auto"/>
          <w:sz w:val="24"/>
          <w:szCs w:val="21"/>
          <w:highlight w:val="none"/>
          <w:u w:val="single"/>
        </w:rPr>
        <w:t>详见附表</w:t>
      </w:r>
      <w:r>
        <w:rPr>
          <w:rFonts w:hint="eastAsia" w:cs="宋体"/>
          <w:b w:val="0"/>
          <w:bCs/>
          <w:color w:val="auto"/>
          <w:sz w:val="24"/>
          <w:szCs w:val="21"/>
          <w:highlight w:val="none"/>
          <w:u w:val="single"/>
          <w:lang w:val="en-US" w:eastAsia="zh-CN"/>
        </w:rPr>
        <w:t>二</w:t>
      </w:r>
      <w:r>
        <w:rPr>
          <w:rFonts w:hint="eastAsia" w:ascii="宋体" w:hAnsi="宋体" w:eastAsia="宋体" w:cs="宋体"/>
          <w:b w:val="0"/>
          <w:bCs/>
          <w:color w:val="auto"/>
          <w:sz w:val="24"/>
          <w:szCs w:val="21"/>
          <w:highlight w:val="none"/>
          <w:u w:val="single"/>
        </w:rPr>
        <w:t>至附表八</w:t>
      </w:r>
      <w:r>
        <w:rPr>
          <w:rFonts w:hint="eastAsia" w:ascii="宋体" w:hAnsi="宋体" w:eastAsia="宋体" w:cs="宋体"/>
          <w:color w:val="auto"/>
          <w:sz w:val="24"/>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注：以上修改，仅限于本范本中有可供选择条</w:t>
      </w:r>
    </w:p>
    <w:p>
      <w:pPr>
        <w:pStyle w:val="30"/>
        <w:ind w:firstLine="0" w:firstLineChars="0"/>
        <w:rPr>
          <w:rFonts w:hint="eastAsia" w:ascii="宋体" w:hAnsi="宋体" w:eastAsia="宋体" w:cs="宋体"/>
          <w:color w:val="auto"/>
          <w:highlight w:val="none"/>
        </w:rPr>
        <w:sectPr>
          <w:pgSz w:w="11906" w:h="16838"/>
          <w:pgMar w:top="1417" w:right="1417" w:bottom="1417" w:left="1417" w:header="0" w:footer="940" w:gutter="0"/>
          <w:cols w:space="720" w:num="1"/>
        </w:sectPr>
      </w:pPr>
      <w:r>
        <w:rPr>
          <w:rFonts w:hint="eastAsia" w:ascii="宋体" w:hAnsi="宋体" w:eastAsia="宋体" w:cs="宋体"/>
          <w:color w:val="auto"/>
          <w:szCs w:val="21"/>
          <w:highlight w:val="none"/>
        </w:rPr>
        <w:br w:type="page"/>
      </w:r>
    </w:p>
    <w:p>
      <w:pPr>
        <w:pStyle w:val="5"/>
        <w:outlineLvl w:val="2"/>
        <w:rPr>
          <w:rFonts w:hint="eastAsia" w:ascii="宋体" w:hAnsi="宋体" w:eastAsia="宋体" w:cs="宋体"/>
          <w:b w:val="0"/>
          <w:color w:val="auto"/>
          <w:sz w:val="30"/>
          <w:szCs w:val="24"/>
          <w:highlight w:val="none"/>
        </w:rPr>
      </w:pPr>
      <w:bookmarkStart w:id="123" w:name="_Toc10219"/>
      <w:r>
        <w:rPr>
          <w:rFonts w:hint="eastAsia" w:ascii="宋体" w:hAnsi="宋体" w:eastAsia="宋体" w:cs="宋体"/>
          <w:color w:val="auto"/>
          <w:sz w:val="24"/>
          <w:szCs w:val="24"/>
          <w:highlight w:val="none"/>
        </w:rPr>
        <w:t>1.评标方法</w:t>
      </w:r>
      <w:bookmarkEnd w:id="123"/>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得分高的优先；如果</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得分也相等，按照评标办法前附表的规定确定中标候选人顺序。</w:t>
      </w:r>
    </w:p>
    <w:p>
      <w:pPr>
        <w:pStyle w:val="5"/>
        <w:outlineLvl w:val="2"/>
        <w:rPr>
          <w:rFonts w:hint="eastAsia" w:ascii="宋体" w:hAnsi="宋体" w:eastAsia="宋体" w:cs="宋体"/>
          <w:b w:val="0"/>
          <w:color w:val="auto"/>
          <w:sz w:val="30"/>
          <w:szCs w:val="24"/>
          <w:highlight w:val="none"/>
        </w:rPr>
      </w:pPr>
      <w:bookmarkStart w:id="124" w:name="bookmark85"/>
      <w:bookmarkEnd w:id="124"/>
      <w:bookmarkStart w:id="125" w:name="_Toc17929"/>
      <w:r>
        <w:rPr>
          <w:rFonts w:hint="eastAsia" w:ascii="宋体" w:hAnsi="宋体" w:eastAsia="宋体" w:cs="宋体"/>
          <w:color w:val="auto"/>
          <w:sz w:val="24"/>
          <w:szCs w:val="24"/>
          <w:highlight w:val="none"/>
        </w:rPr>
        <w:t>2.评审标准</w:t>
      </w:r>
      <w:bookmarkEnd w:id="125"/>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6" w:name="bookmark86"/>
      <w:bookmarkEnd w:id="126"/>
      <w:r>
        <w:rPr>
          <w:rFonts w:hint="eastAsia" w:ascii="宋体" w:hAnsi="宋体" w:eastAsia="宋体" w:cs="宋体"/>
          <w:color w:val="auto"/>
          <w:highlight w:val="none"/>
        </w:rPr>
        <w:t>2.1 初步评审标准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资格评审标准：见评标办法前附表。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形式评审标准：见评标办法前附表。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7" w:name="bookmark87"/>
      <w:bookmarkEnd w:id="127"/>
      <w:r>
        <w:rPr>
          <w:rFonts w:hint="eastAsia" w:ascii="宋体" w:hAnsi="宋体" w:eastAsia="宋体" w:cs="宋体"/>
          <w:color w:val="auto"/>
          <w:highlight w:val="none"/>
        </w:rPr>
        <w:t>2.2 分值构成与评分标准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部分：见评标办法前附表；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诚信得分</w:t>
      </w:r>
      <w:r>
        <w:rPr>
          <w:rFonts w:hint="eastAsia" w:ascii="宋体" w:hAnsi="宋体" w:eastAsia="宋体" w:cs="宋体"/>
          <w:color w:val="auto"/>
          <w:sz w:val="24"/>
          <w:szCs w:val="24"/>
          <w:highlight w:val="none"/>
        </w:rPr>
        <w:t xml:space="preserve">：见评标办法前附表。 </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评标基准价计算评标基准价计算方法：见评标办法前附表。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评分标准：见评标办法前附表；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诚信得分</w:t>
      </w:r>
      <w:r>
        <w:rPr>
          <w:rFonts w:hint="eastAsia" w:ascii="宋体" w:hAnsi="宋体" w:eastAsia="宋体" w:cs="宋体"/>
          <w:color w:val="auto"/>
          <w:sz w:val="24"/>
          <w:szCs w:val="24"/>
          <w:highlight w:val="none"/>
        </w:rPr>
        <w:t>评分标准：见评标办法前附表。</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注：投标人的诚信评价总分取自本项目招标公告发布第1天所在季度的上一季度的诚信综合评价分。</w:t>
      </w:r>
    </w:p>
    <w:p>
      <w:pPr>
        <w:pStyle w:val="5"/>
        <w:outlineLvl w:val="2"/>
        <w:rPr>
          <w:rFonts w:hint="eastAsia" w:ascii="宋体" w:hAnsi="宋体" w:eastAsia="宋体" w:cs="宋体"/>
          <w:color w:val="auto"/>
          <w:sz w:val="24"/>
          <w:szCs w:val="24"/>
          <w:highlight w:val="none"/>
        </w:rPr>
      </w:pPr>
      <w:bookmarkStart w:id="128" w:name="bookmark88"/>
      <w:bookmarkEnd w:id="128"/>
      <w:bookmarkStart w:id="129" w:name="_Toc15176"/>
      <w:r>
        <w:rPr>
          <w:rFonts w:hint="eastAsia" w:ascii="宋体" w:hAnsi="宋体" w:eastAsia="宋体" w:cs="宋体"/>
          <w:color w:val="auto"/>
          <w:sz w:val="24"/>
          <w:szCs w:val="24"/>
          <w:highlight w:val="none"/>
        </w:rPr>
        <w:t>3.评标程序</w:t>
      </w:r>
      <w:bookmarkEnd w:id="129"/>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30" w:name="bookmark89"/>
      <w:bookmarkEnd w:id="130"/>
      <w:r>
        <w:rPr>
          <w:rFonts w:hint="eastAsia" w:ascii="宋体" w:hAnsi="宋体" w:eastAsia="宋体" w:cs="宋体"/>
          <w:color w:val="auto"/>
          <w:highlight w:val="none"/>
        </w:rPr>
        <w:t>3.1  初步评审</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）两个（含两个）以上</w:t>
      </w:r>
      <w:r>
        <w:rPr>
          <w:rFonts w:hint="eastAsia" w:ascii="宋体" w:hAnsi="宋体" w:eastAsia="宋体" w:cs="宋体"/>
          <w:color w:val="auto"/>
          <w:sz w:val="24"/>
          <w:szCs w:val="24"/>
          <w:highlight w:val="none"/>
        </w:rPr>
        <w:t>投标人加密打包投标文件</w:t>
      </w:r>
      <w:r>
        <w:rPr>
          <w:rFonts w:hint="eastAsia" w:ascii="宋体" w:hAnsi="宋体" w:eastAsia="宋体" w:cs="宋体"/>
          <w:color w:val="auto"/>
          <w:sz w:val="24"/>
          <w:szCs w:val="24"/>
          <w:highlight w:val="none"/>
          <w:lang w:eastAsia="zh-CN"/>
        </w:rPr>
        <w:t>工程量清单编制</w:t>
      </w:r>
      <w:r>
        <w:rPr>
          <w:rFonts w:hint="eastAsia" w:ascii="宋体" w:hAnsi="宋体" w:eastAsia="宋体" w:cs="宋体"/>
          <w:color w:val="auto"/>
          <w:sz w:val="24"/>
          <w:szCs w:val="24"/>
          <w:highlight w:val="none"/>
        </w:rPr>
        <w:t>机器</w:t>
      </w:r>
      <w:r>
        <w:rPr>
          <w:rFonts w:hint="eastAsia" w:ascii="宋体" w:hAnsi="宋体" w:eastAsia="宋体" w:cs="宋体"/>
          <w:color w:val="auto"/>
          <w:sz w:val="24"/>
          <w:szCs w:val="24"/>
          <w:highlight w:val="none"/>
          <w:lang w:eastAsia="zh-CN"/>
        </w:rPr>
        <w:t>硬件信息</w:t>
      </w:r>
      <w:r>
        <w:rPr>
          <w:rFonts w:hint="eastAsia" w:ascii="宋体" w:hAnsi="宋体" w:eastAsia="宋体" w:cs="宋体"/>
          <w:color w:val="auto"/>
          <w:sz w:val="24"/>
          <w:szCs w:val="24"/>
          <w:highlight w:val="none"/>
        </w:rPr>
        <w:t>一致的</w:t>
      </w:r>
      <w:r>
        <w:rPr>
          <w:rFonts w:hint="eastAsia" w:ascii="宋体" w:hAnsi="宋体" w:eastAsia="宋体" w:cs="宋体"/>
          <w:color w:val="auto"/>
          <w:sz w:val="24"/>
          <w:szCs w:val="24"/>
          <w:highlight w:val="none"/>
          <w:lang w:eastAsia="zh-CN"/>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31" w:name="bookmark90"/>
      <w:bookmarkEnd w:id="131"/>
      <w:r>
        <w:rPr>
          <w:rFonts w:hint="eastAsia" w:ascii="宋体" w:hAnsi="宋体" w:eastAsia="宋体" w:cs="宋体"/>
          <w:color w:val="auto"/>
          <w:highlight w:val="none"/>
        </w:rPr>
        <w:t>3.2  详细评审</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款规定的量化因素和分值进行打分，并计算出综合评估得分。</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评审得分A为各评标专家打分的算术平均值</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ascii="宋体" w:hAnsi="宋体" w:eastAsia="宋体" w:cs="宋体"/>
          <w:color w:val="auto"/>
          <w:sz w:val="24"/>
          <w:szCs w:val="24"/>
          <w:highlight w:val="none"/>
          <w:lang w:eastAsia="zh-CN"/>
        </w:rPr>
        <w:t>服务大纲</w:t>
      </w:r>
      <w:r>
        <w:rPr>
          <w:rFonts w:hint="eastAsia" w:ascii="宋体" w:hAnsi="宋体" w:eastAsia="宋体" w:cs="宋体"/>
          <w:color w:val="auto"/>
          <w:sz w:val="24"/>
          <w:szCs w:val="24"/>
          <w:highlight w:val="none"/>
        </w:rPr>
        <w:t>部分计算出得分B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1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1"/>
          <w:szCs w:val="24"/>
          <w:highlight w:val="none"/>
          <w:u w:val="single"/>
        </w:rPr>
        <w:t>①</w:t>
      </w:r>
      <w:r>
        <w:rPr>
          <w:rFonts w:hint="eastAsia" w:ascii="宋体" w:hAnsi="宋体" w:eastAsia="宋体" w:cs="宋体"/>
          <w:color w:val="auto"/>
          <w:sz w:val="21"/>
          <w:szCs w:val="24"/>
          <w:highlight w:val="none"/>
          <w:u w:val="single"/>
        </w:rPr>
        <w:fldChar w:fldCharType="end"/>
      </w:r>
      <w:r>
        <w:rPr>
          <w:rFonts w:hint="eastAsia" w:ascii="宋体" w:hAnsi="宋体" w:eastAsia="宋体" w:cs="宋体"/>
          <w:color w:val="auto"/>
          <w:sz w:val="24"/>
          <w:szCs w:val="24"/>
          <w:highlight w:val="none"/>
          <w:u w:val="single"/>
          <w:lang w:eastAsia="zh-CN"/>
        </w:rPr>
        <w:t>服务大纲</w:t>
      </w:r>
      <w:r>
        <w:rPr>
          <w:rFonts w:hint="eastAsia" w:ascii="宋体" w:hAnsi="宋体" w:eastAsia="宋体" w:cs="宋体"/>
          <w:color w:val="auto"/>
          <w:sz w:val="24"/>
          <w:szCs w:val="24"/>
          <w:highlight w:val="none"/>
          <w:u w:val="single"/>
        </w:rPr>
        <w:t>部分评审得分</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u w:val="single"/>
        </w:rPr>
        <w:t>为从各评标专家打分中去掉一个最高分和去掉一个最低分后的剩余评标专家打分的算术平均值</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2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1"/>
          <w:szCs w:val="24"/>
          <w:highlight w:val="none"/>
          <w:u w:val="single"/>
        </w:rPr>
        <w:t>②</w:t>
      </w:r>
      <w:r>
        <w:rPr>
          <w:rFonts w:hint="eastAsia" w:ascii="宋体" w:hAnsi="宋体" w:eastAsia="宋体" w:cs="宋体"/>
          <w:color w:val="auto"/>
          <w:sz w:val="21"/>
          <w:szCs w:val="24"/>
          <w:highlight w:val="none"/>
          <w:u w:val="single"/>
        </w:rPr>
        <w:fldChar w:fldCharType="end"/>
      </w:r>
      <w:r>
        <w:rPr>
          <w:rFonts w:hint="eastAsia" w:ascii="宋体" w:hAnsi="宋体" w:eastAsia="宋体" w:cs="宋体"/>
          <w:color w:val="auto"/>
          <w:sz w:val="24"/>
          <w:szCs w:val="24"/>
          <w:highlight w:val="none"/>
          <w:u w:val="single"/>
          <w:lang w:eastAsia="zh-CN"/>
        </w:rPr>
        <w:t>服务大纲部分</w:t>
      </w:r>
      <w:r>
        <w:rPr>
          <w:rFonts w:hint="eastAsia" w:ascii="宋体" w:hAnsi="宋体" w:eastAsia="宋体" w:cs="宋体"/>
          <w:color w:val="auto"/>
          <w:sz w:val="24"/>
          <w:szCs w:val="24"/>
          <w:highlight w:val="none"/>
          <w:u w:val="single"/>
        </w:rPr>
        <w:t>评审得分</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u w:val="single"/>
        </w:rPr>
        <w:t>为各评标专家打分的算术平均值</w:t>
      </w:r>
      <w:r>
        <w:rPr>
          <w:rFonts w:hint="eastAsia" w:ascii="宋体" w:hAnsi="宋体" w:eastAsia="宋体" w:cs="宋体"/>
          <w:i/>
          <w:iCs/>
          <w:color w:val="auto"/>
          <w:sz w:val="24"/>
          <w:szCs w:val="24"/>
          <w:highlight w:val="none"/>
          <w:u w:val="single"/>
          <w:lang w:eastAsia="zh-CN"/>
        </w:rPr>
        <w:t>（二选一，招标人自行选择）</w:t>
      </w:r>
      <w:r>
        <w:rPr>
          <w:rFonts w:hint="eastAsia" w:ascii="宋体" w:hAnsi="宋体" w:eastAsia="宋体" w:cs="宋体"/>
          <w:color w:val="auto"/>
          <w:sz w:val="24"/>
          <w:szCs w:val="24"/>
          <w:highlight w:val="none"/>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（4）按本章第2.2.4（4）目规定的评审因素和分值对</w:t>
      </w:r>
      <w:r>
        <w:rPr>
          <w:rFonts w:hint="eastAsia" w:ascii="宋体" w:hAnsi="宋体" w:eastAsia="宋体" w:cs="宋体"/>
          <w:color w:val="auto"/>
          <w:sz w:val="24"/>
          <w:szCs w:val="24"/>
          <w:highlight w:val="none"/>
          <w:lang w:eastAsia="zh-CN"/>
        </w:rPr>
        <w:t>诚信评价</w:t>
      </w:r>
      <w:r>
        <w:rPr>
          <w:rFonts w:hint="eastAsia" w:ascii="宋体" w:hAnsi="宋体" w:eastAsia="宋体" w:cs="宋体"/>
          <w:color w:val="auto"/>
          <w:sz w:val="24"/>
          <w:szCs w:val="24"/>
          <w:highlight w:val="none"/>
        </w:rPr>
        <w:t>计算出得分D</w:t>
      </w:r>
      <w:r>
        <w:rPr>
          <w:rFonts w:hint="eastAsia" w:ascii="宋体" w:hAnsi="宋体" w:eastAsia="宋体" w:cs="宋体"/>
          <w:color w:val="auto"/>
          <w:sz w:val="24"/>
          <w:szCs w:val="24"/>
          <w:highlight w:val="none"/>
          <w:lang w:eastAsia="zh-CN"/>
        </w:rPr>
        <w:t>。</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投标人得分=A+B+C+D。</w:t>
      </w:r>
    </w:p>
    <w:p>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32" w:name="bookmark91"/>
      <w:bookmarkEnd w:id="132"/>
      <w:r>
        <w:rPr>
          <w:rFonts w:hint="eastAsia" w:ascii="宋体" w:hAnsi="宋体" w:eastAsia="宋体" w:cs="宋体"/>
          <w:color w:val="auto"/>
          <w:highlight w:val="none"/>
        </w:rPr>
        <w:t>3.3  投标文件的澄清</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w:t>
      </w:r>
      <w:r>
        <w:rPr>
          <w:rFonts w:hint="eastAsia" w:ascii="宋体" w:hAnsi="宋体" w:eastAsia="宋体" w:cs="宋体"/>
          <w:color w:val="auto"/>
          <w:sz w:val="24"/>
          <w:highlight w:val="none"/>
        </w:rPr>
        <w:t>经评标委员会中两人以上（含两人）以书面形式提出动议，评标委员会</w:t>
      </w:r>
      <w:r>
        <w:rPr>
          <w:rFonts w:hint="eastAsia" w:ascii="宋体" w:hAnsi="宋体" w:eastAsia="宋体"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 说明或补正，直至满足评标委员会的要求。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33" w:name="bookmark92"/>
      <w:bookmarkEnd w:id="133"/>
      <w:r>
        <w:rPr>
          <w:rFonts w:hint="eastAsia" w:ascii="宋体" w:hAnsi="宋体" w:eastAsia="宋体" w:cs="宋体"/>
          <w:color w:val="auto"/>
          <w:highlight w:val="none"/>
        </w:rPr>
        <w:t>3.4  评标结果</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 的顺序推荐中标候选人，并标明排序。</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highlight w:val="none"/>
        </w:rPr>
      </w:pPr>
    </w:p>
    <w:p>
      <w:pPr>
        <w:snapToGrid/>
        <w:spacing w:line="24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br w:type="page"/>
      </w:r>
    </w:p>
    <w:p>
      <w:pPr>
        <w:spacing w:line="240" w:lineRule="auto"/>
        <w:ind w:firstLine="0" w:firstLineChars="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附表</w:t>
      </w:r>
      <w:r>
        <w:rPr>
          <w:rFonts w:hint="eastAsia" w:ascii="宋体" w:hAnsi="宋体" w:cs="宋体"/>
          <w:b/>
          <w:color w:val="auto"/>
          <w:sz w:val="32"/>
          <w:szCs w:val="32"/>
          <w:highlight w:val="none"/>
          <w:lang w:val="en-US" w:eastAsia="zh-CN"/>
        </w:rPr>
        <w:t>一</w:t>
      </w:r>
    </w:p>
    <w:p>
      <w:pPr>
        <w:tabs>
          <w:tab w:val="left" w:pos="720"/>
        </w:tabs>
        <w:snapToGrid w:val="0"/>
        <w:spacing w:line="240" w:lineRule="auto"/>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综合评分表</w:t>
      </w:r>
    </w:p>
    <w:p>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项目名称：</w:t>
      </w:r>
    </w:p>
    <w:tbl>
      <w:tblPr>
        <w:tblStyle w:val="25"/>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988"/>
        <w:gridCol w:w="1100"/>
        <w:gridCol w:w="573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57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求</w:t>
            </w:r>
          </w:p>
        </w:tc>
        <w:tc>
          <w:tcPr>
            <w:tcW w:w="14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分项内容</w:t>
            </w:r>
          </w:p>
        </w:tc>
        <w:tc>
          <w:tcPr>
            <w:tcW w:w="5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c>
          <w:tcPr>
            <w:tcW w:w="14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1024"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A、资信业绩（</w:t>
            </w:r>
            <w:r>
              <w:rPr>
                <w:rFonts w:hint="eastAsia" w:ascii="宋体" w:hAnsi="宋体" w:cs="宋体"/>
                <w:color w:val="auto"/>
                <w:szCs w:val="21"/>
                <w:highlight w:val="none"/>
                <w:lang w:val="en-US" w:eastAsia="zh-CN"/>
              </w:rPr>
              <w:t>40分</w:t>
            </w:r>
            <w:r>
              <w:rPr>
                <w:rFonts w:hint="eastAsia" w:ascii="宋体" w:hAnsi="宋体" w:eastAsia="宋体" w:cs="宋体"/>
                <w:color w:val="auto"/>
                <w:szCs w:val="21"/>
                <w:highlight w:val="none"/>
              </w:rPr>
              <w:t>）</w:t>
            </w:r>
          </w:p>
        </w:tc>
        <w:tc>
          <w:tcPr>
            <w:tcW w:w="208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类似</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val="en-US" w:eastAsia="zh-CN"/>
              </w:rPr>
              <w:t>15分</w:t>
            </w:r>
            <w:r>
              <w:rPr>
                <w:rFonts w:hint="eastAsia" w:ascii="宋体" w:hAnsi="宋体" w:eastAsia="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自20</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年1月1日至今</w:t>
            </w:r>
            <w:r>
              <w:rPr>
                <w:rFonts w:hint="eastAsia" w:ascii="宋体" w:hAnsi="宋体" w:cs="宋体"/>
                <w:color w:val="auto"/>
                <w:szCs w:val="21"/>
                <w:highlight w:val="none"/>
                <w:lang w:val="en-US" w:eastAsia="zh-CN" w:bidi="ar"/>
              </w:rPr>
              <w:t>承接</w:t>
            </w:r>
            <w:r>
              <w:rPr>
                <w:rFonts w:hint="eastAsia" w:ascii="宋体" w:hAnsi="宋体" w:eastAsia="宋体" w:cs="宋体"/>
                <w:color w:val="auto"/>
                <w:szCs w:val="21"/>
                <w:highlight w:val="none"/>
                <w:lang w:bidi="ar"/>
              </w:rPr>
              <w:t>过</w:t>
            </w:r>
            <w:r>
              <w:rPr>
                <w:rFonts w:hint="eastAsia" w:ascii="宋体" w:hAnsi="宋体" w:cs="宋体"/>
                <w:color w:val="auto"/>
                <w:highlight w:val="none"/>
              </w:rPr>
              <w:t>用地报批征地前期工作咨询服务</w:t>
            </w:r>
            <w:r>
              <w:rPr>
                <w:rFonts w:hint="eastAsia" w:ascii="宋体" w:hAnsi="宋体" w:eastAsia="宋体" w:cs="宋体"/>
                <w:color w:val="auto"/>
                <w:szCs w:val="21"/>
                <w:highlight w:val="none"/>
                <w:lang w:bidi="ar"/>
              </w:rPr>
              <w:t>的</w:t>
            </w:r>
            <w:r>
              <w:rPr>
                <w:rFonts w:hint="eastAsia" w:ascii="宋体" w:hAnsi="宋体" w:cs="宋体"/>
                <w:color w:val="auto"/>
                <w:szCs w:val="21"/>
                <w:highlight w:val="none"/>
                <w:lang w:val="en-US" w:eastAsia="zh-CN" w:bidi="ar"/>
              </w:rPr>
              <w:t>类似</w:t>
            </w:r>
            <w:r>
              <w:rPr>
                <w:rFonts w:hint="eastAsia" w:ascii="宋体" w:hAnsi="宋体" w:eastAsia="宋体" w:cs="宋体"/>
                <w:color w:val="auto"/>
                <w:szCs w:val="21"/>
                <w:highlight w:val="none"/>
              </w:rPr>
              <w:t>业绩，每项得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分，本项最高不超过</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联合体业绩的，应能证明投标人在联合体业绩中承包的业务。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c>
          <w:tcPr>
            <w:tcW w:w="2088"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项目负责人</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10分</w:t>
            </w:r>
            <w:r>
              <w:rPr>
                <w:rFonts w:hint="eastAsia" w:ascii="宋体" w:hAnsi="宋体" w:eastAsia="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080"/>
              </w:tabs>
              <w:spacing w:before="0" w:beforeAutospacing="0" w:after="0" w:afterAutospacing="0" w:line="24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具有</w:t>
            </w:r>
            <w:r>
              <w:rPr>
                <w:rFonts w:hint="eastAsia" w:ascii="宋体" w:hAnsi="宋体" w:eastAsia="宋体" w:cs="宋体"/>
                <w:color w:val="auto"/>
                <w:kern w:val="2"/>
                <w:sz w:val="24"/>
                <w:szCs w:val="24"/>
                <w:highlight w:val="none"/>
                <w:u w:val="single"/>
                <w:lang w:val="en-US" w:eastAsia="zh-CN"/>
              </w:rPr>
              <w:t>工程类</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rPr>
              <w:t>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kern w:val="2"/>
                <w:sz w:val="24"/>
                <w:szCs w:val="24"/>
                <w:highlight w:val="none"/>
                <w:u w:val="single"/>
                <w:lang w:val="en-US" w:eastAsia="zh-CN"/>
              </w:rPr>
              <w:t>工程师职称</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具有</w:t>
            </w:r>
            <w:r>
              <w:rPr>
                <w:rFonts w:hint="eastAsia" w:ascii="宋体" w:hAnsi="宋体" w:eastAsia="宋体" w:cs="宋体"/>
                <w:color w:val="auto"/>
                <w:kern w:val="2"/>
                <w:sz w:val="24"/>
                <w:szCs w:val="24"/>
                <w:highlight w:val="none"/>
                <w:u w:val="single"/>
                <w:lang w:val="en-US" w:eastAsia="zh-CN"/>
              </w:rPr>
              <w:t>工程类</w:t>
            </w:r>
            <w:r>
              <w:rPr>
                <w:rFonts w:hint="eastAsia" w:ascii="宋体" w:hAnsi="宋体" w:cs="宋体"/>
                <w:color w:val="auto"/>
                <w:szCs w:val="21"/>
                <w:highlight w:val="none"/>
                <w:lang w:val="en-US" w:eastAsia="zh-CN"/>
              </w:rPr>
              <w:t>中级工程师</w:t>
            </w:r>
            <w:r>
              <w:rPr>
                <w:rFonts w:hint="eastAsia" w:ascii="宋体" w:hAnsi="宋体" w:eastAsia="宋体" w:cs="宋体"/>
                <w:color w:val="auto"/>
                <w:kern w:val="2"/>
                <w:sz w:val="24"/>
                <w:szCs w:val="24"/>
                <w:highlight w:val="none"/>
                <w:u w:val="single"/>
                <w:lang w:val="en-US" w:eastAsia="zh-CN"/>
              </w:rPr>
              <w:t>职称</w:t>
            </w:r>
            <w:r>
              <w:rPr>
                <w:rFonts w:hint="eastAsia" w:ascii="宋体" w:hAnsi="宋体" w:cs="宋体"/>
                <w:color w:val="auto"/>
                <w:szCs w:val="21"/>
                <w:highlight w:val="none"/>
                <w:lang w:val="en-US" w:eastAsia="zh-CN"/>
              </w:rPr>
              <w:t>的得4分</w:t>
            </w:r>
            <w:r>
              <w:rPr>
                <w:rFonts w:hint="eastAsia" w:ascii="宋体" w:hAnsi="宋体" w:eastAsia="宋体" w:cs="宋体"/>
                <w:color w:val="auto"/>
                <w:szCs w:val="21"/>
                <w:highlight w:val="none"/>
              </w:rPr>
              <w:t>。</w:t>
            </w:r>
          </w:p>
          <w:p>
            <w:pPr>
              <w:keepNext w:val="0"/>
              <w:keepLines w:val="0"/>
              <w:suppressLineNumbers w:val="0"/>
              <w:tabs>
                <w:tab w:val="left" w:pos="4080"/>
              </w:tabs>
              <w:spacing w:before="0" w:beforeAutospacing="0" w:after="0" w:afterAutospacing="0" w:line="240" w:lineRule="auto"/>
              <w:ind w:left="0" w:leftChars="0" w:right="0" w:rightChars="0"/>
              <w:jc w:val="left"/>
              <w:rPr>
                <w:rFonts w:hint="eastAsia" w:ascii="宋体" w:hAnsi="宋体" w:eastAsia="宋体" w:cs="宋体"/>
                <w:color w:val="auto"/>
                <w:szCs w:val="21"/>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自</w:t>
            </w:r>
            <w:r>
              <w:rPr>
                <w:rFonts w:hint="default" w:ascii="宋体" w:hAnsi="宋体" w:cs="宋体"/>
                <w:color w:val="auto"/>
                <w:sz w:val="24"/>
                <w:szCs w:val="24"/>
                <w:highlight w:val="none"/>
              </w:rPr>
              <w:t>2020</w:t>
            </w:r>
            <w:r>
              <w:rPr>
                <w:rFonts w:hint="eastAsia" w:ascii="宋体" w:hAnsi="宋体" w:cs="宋体"/>
                <w:color w:val="auto"/>
                <w:sz w:val="24"/>
                <w:szCs w:val="24"/>
                <w:highlight w:val="none"/>
              </w:rPr>
              <w:t>年</w:t>
            </w:r>
            <w:r>
              <w:rPr>
                <w:rFonts w:hint="default" w:ascii="宋体" w:hAnsi="宋体" w:cs="宋体"/>
                <w:color w:val="auto"/>
                <w:sz w:val="24"/>
                <w:szCs w:val="24"/>
                <w:highlight w:val="none"/>
              </w:rPr>
              <w:t>1月1日至今担任项目负责人</w:t>
            </w:r>
            <w:r>
              <w:rPr>
                <w:rFonts w:hint="eastAsia" w:ascii="宋体" w:hAnsi="宋体" w:cs="宋体"/>
                <w:color w:val="auto"/>
                <w:sz w:val="24"/>
                <w:szCs w:val="24"/>
                <w:highlight w:val="none"/>
              </w:rPr>
              <w:t>承担</w:t>
            </w:r>
            <w:r>
              <w:rPr>
                <w:rFonts w:hint="default" w:ascii="宋体" w:hAnsi="宋体" w:cs="宋体"/>
                <w:color w:val="auto"/>
                <w:sz w:val="24"/>
                <w:szCs w:val="24"/>
                <w:highlight w:val="none"/>
              </w:rPr>
              <w:t>过</w:t>
            </w:r>
            <w:r>
              <w:rPr>
                <w:rFonts w:hint="eastAsia" w:ascii="宋体" w:hAnsi="宋体" w:cs="宋体"/>
                <w:color w:val="auto"/>
                <w:highlight w:val="none"/>
              </w:rPr>
              <w:t>用地报批征地前期工作咨询服务</w:t>
            </w:r>
            <w:r>
              <w:rPr>
                <w:rFonts w:hint="eastAsia" w:ascii="宋体" w:hAnsi="宋体" w:eastAsia="宋体" w:cs="宋体"/>
                <w:color w:val="auto"/>
                <w:szCs w:val="21"/>
                <w:highlight w:val="none"/>
                <w:lang w:bidi="ar"/>
              </w:rPr>
              <w:t>的</w:t>
            </w:r>
            <w:r>
              <w:rPr>
                <w:rFonts w:hint="eastAsia" w:ascii="宋体" w:hAnsi="宋体" w:cs="宋体"/>
                <w:color w:val="auto"/>
                <w:szCs w:val="21"/>
                <w:highlight w:val="none"/>
                <w:lang w:val="en-US" w:eastAsia="zh-CN" w:bidi="ar"/>
              </w:rPr>
              <w:t>类似</w:t>
            </w:r>
            <w:r>
              <w:rPr>
                <w:rFonts w:hint="eastAsia" w:ascii="宋体" w:hAnsi="宋体" w:eastAsia="宋体" w:cs="宋体"/>
                <w:color w:val="auto"/>
                <w:szCs w:val="21"/>
                <w:highlight w:val="none"/>
              </w:rPr>
              <w:t>业绩</w:t>
            </w:r>
            <w:r>
              <w:rPr>
                <w:rFonts w:hint="eastAsia" w:ascii="宋体" w:hAnsi="宋体" w:cs="宋体"/>
                <w:color w:val="auto"/>
                <w:sz w:val="24"/>
                <w:szCs w:val="24"/>
                <w:highlight w:val="none"/>
              </w:rPr>
              <w:t>的每项得2分</w:t>
            </w:r>
            <w:r>
              <w:rPr>
                <w:rFonts w:hint="eastAsia" w:ascii="宋体" w:hAnsi="宋体" w:cs="宋体"/>
                <w:color w:val="auto"/>
                <w:sz w:val="24"/>
                <w:szCs w:val="24"/>
                <w:highlight w:val="none"/>
                <w:lang w:eastAsia="zh-CN"/>
              </w:rPr>
              <w:t>。</w:t>
            </w:r>
          </w:p>
          <w:p>
            <w:pPr>
              <w:keepNext w:val="0"/>
              <w:keepLines w:val="0"/>
              <w:suppressLineNumbers w:val="0"/>
              <w:tabs>
                <w:tab w:val="left" w:pos="4080"/>
              </w:tabs>
              <w:spacing w:before="0" w:beforeAutospacing="0" w:after="0" w:afterAutospacing="0" w:line="24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本项最高不超过</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148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suppressLineNumbers w:val="0"/>
              <w:kinsoku w:val="0"/>
              <w:overflowPunct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项目管理班子的能力（项目负责人除外）（</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734" w:type="dxa"/>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suppressLineNumbers w:val="0"/>
              <w:kinsoku w:val="0"/>
              <w:overflowPunct w:val="0"/>
              <w:spacing w:before="0" w:beforeAutospacing="0" w:after="0" w:afterAutospacing="0"/>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工程类高级或以上工程师职称的的，每人得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工程类</w:t>
            </w:r>
            <w:r>
              <w:rPr>
                <w:rFonts w:hint="eastAsia" w:ascii="宋体" w:hAnsi="宋体" w:eastAsia="宋体" w:cs="宋体"/>
                <w:color w:val="auto"/>
                <w:sz w:val="24"/>
                <w:szCs w:val="24"/>
                <w:highlight w:val="none"/>
              </w:rPr>
              <w:t>中级</w:t>
            </w:r>
            <w:r>
              <w:rPr>
                <w:rFonts w:hint="eastAsia" w:ascii="宋体" w:hAnsi="宋体" w:eastAsia="宋体" w:cs="宋体"/>
                <w:color w:val="auto"/>
                <w:sz w:val="24"/>
                <w:szCs w:val="24"/>
                <w:highlight w:val="none"/>
                <w:lang w:val="en-US" w:eastAsia="zh-CN"/>
              </w:rPr>
              <w:t>工程师</w:t>
            </w:r>
            <w:r>
              <w:rPr>
                <w:rFonts w:hint="eastAsia" w:ascii="宋体" w:hAnsi="宋体" w:eastAsia="宋体" w:cs="宋体"/>
                <w:color w:val="auto"/>
                <w:sz w:val="24"/>
                <w:szCs w:val="24"/>
                <w:highlight w:val="none"/>
              </w:rPr>
              <w:t>职称的，每人得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分，本项最高得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r>
              <w:rPr>
                <w:rFonts w:hint="eastAsia" w:ascii="宋体" w:hAnsi="宋体" w:cs="宋体"/>
                <w:color w:val="auto"/>
                <w:szCs w:val="21"/>
                <w:highlight w:val="none"/>
                <w:lang w:eastAsia="zh-CN"/>
              </w:rPr>
              <w:t>技术服务方案</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45分</w:t>
            </w:r>
            <w:r>
              <w:rPr>
                <w:rFonts w:hint="eastAsia" w:ascii="宋体" w:hAnsi="宋体" w:eastAsia="宋体" w:cs="宋体"/>
                <w:color w:val="auto"/>
                <w:szCs w:val="21"/>
                <w:highlight w:val="none"/>
              </w:rPr>
              <w:t>）</w:t>
            </w: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2"/>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对项目的认识(10分)</w:t>
            </w:r>
          </w:p>
        </w:tc>
        <w:tc>
          <w:tcPr>
            <w:tcW w:w="57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2"/>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1、投标人对本项目需求的理解透彻深入，对本项目所提出的合理性建设意见与建议合理可行，项目重点，难点分析准确到位，得10分； 2、投标人对本项目需求的理解较透彻，对本项目所提出的合理性建设意见与建议较合理，项目重点，难点分析较准确到位，得7分； 3、投标人对本项目需求的理解一般，对本项目所提出的建设意见与建议具有一定的合理性，得4分； 4、投标人对本项目需求的理解较差，对本项目所提出的建设意见与建议不合理，项目重点，难点分析不到位，得1分。 5、不提供不得分。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2"/>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实施方案(10分)</w:t>
            </w:r>
          </w:p>
        </w:tc>
        <w:tc>
          <w:tcPr>
            <w:tcW w:w="57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2"/>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投标人根据本项目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需求编制整体技术方案： 1、实施方案原理、阐述全面、合理，具体方案切合实际，完整详尽，得10分； 2、实施方案、原理阐述较为全面合理，方案较切合实际，较完整，得7分； 3、实施方案、原理阐述不够全面，方案与实际切合性一般，完整性一般，得4分； 4、实施方案技术原理阐述差，具体方案不切合实际，不完整，得1分。 5、不提供不得分。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2"/>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机构设置(10分)</w:t>
            </w:r>
          </w:p>
        </w:tc>
        <w:tc>
          <w:tcPr>
            <w:tcW w:w="57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2"/>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1、机构岗位设置、人员配置完全符合实际需求；岗位职责与岗位设置完全匹配、明确清晰，得10分； 2、机构岗位设置、人员配置较符合实际需求；岗位职责与岗位设置较为匹配、较为明确清晰，得7分； 3、机构岗位设置、人员配置对实际需求的符合性一般，岗位职责与岗位设置匹配度与清晰度一般，得4分； 4、机构岗位设置脱离项目实际需求、岗位职责的不明确、人员配置不合理，得1分。 5、不提供不得分。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2"/>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服务承诺和质量保证措施(10分)</w:t>
            </w:r>
          </w:p>
        </w:tc>
        <w:tc>
          <w:tcPr>
            <w:tcW w:w="57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2"/>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根据投标人技术方案中对本项目的质量控制、质量保证等工作措施的科学性、合理性进行综合分析与评价： 1、对本项目服务承诺完整、具体、有针对性且措施齐全、保障得力，得10分； 2、对本项目服务承诺较为完整、具体，针对性较强，措施齐全、保障得力，得7 分； 3、对本项目服务承诺不够完整，具有一定的针对性，质量保障措施计划一般，得4分； 4、对本项目服务承诺不完整，不具体，质量保障措施计划差，得1分。 5、不提供不得分。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2"/>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工作进度计划(5分)</w:t>
            </w:r>
          </w:p>
        </w:tc>
        <w:tc>
          <w:tcPr>
            <w:tcW w:w="57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2"/>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针对本项目的工作内容及要求，根据投标人对本项目制定的工作进度计划，科学性、合理性进行综合分析与评价： 1、工作计划详细，时间进度安排合理的，得5分； 2、工作计划较详细，时间进度安排一般的,得3分； 3、工作计划不够详细，时间进度安排不合理的，得1分。 4、不提供不得分。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C、投标报价（</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c>
          <w:tcPr>
            <w:tcW w:w="78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以评标基准价作为计算各有效投标价得分的基础，当有效投标价等于评标参考值时得</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；投标有效投价与评标参考价相比，每上偏</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扣</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，每下偏</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扣</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分</w:t>
            </w:r>
            <w:r>
              <w:rPr>
                <w:rFonts w:hint="default" w:ascii="宋体" w:hAnsi="宋体" w:cs="宋体"/>
                <w:color w:val="auto"/>
                <w:sz w:val="21"/>
                <w:szCs w:val="21"/>
                <w:highlight w:val="none"/>
              </w:rPr>
              <w:t>，扣至0分为止</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（如有）计算价格分时，对小微企业投标的，在采用原报价进行评分的基础上增加其价格得分</w:t>
            </w:r>
            <w:r>
              <w:rPr>
                <w:rFonts w:hint="eastAsia" w:ascii="宋体" w:hAnsi="宋体" w:eastAsia="宋体" w:cs="宋体"/>
                <w:color w:val="auto"/>
                <w:sz w:val="24"/>
                <w:szCs w:val="24"/>
                <w:highlight w:val="none"/>
                <w:u w:val="none"/>
              </w:rPr>
              <w:t>（分数出现小数点时，保留小数点后二位，第三位小数四舍五入）</w:t>
            </w:r>
            <w:r>
              <w:rPr>
                <w:rFonts w:hint="eastAsia" w:ascii="宋体" w:hAnsi="宋体" w:eastAsia="宋体" w:cs="宋体"/>
                <w:color w:val="auto"/>
                <w:szCs w:val="21"/>
                <w:highlight w:val="none"/>
              </w:rPr>
              <w:t>的5%作为其价格分，若原报价己满分，仍突破满分上限继续享受加分优惠，以实际计算结果作为最终价格分。</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说明：</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业绩</w:t>
      </w:r>
      <w:r>
        <w:rPr>
          <w:rFonts w:hint="eastAsia" w:ascii="宋体" w:hAnsi="宋体" w:eastAsia="宋体" w:cs="宋体"/>
          <w:color w:val="auto"/>
          <w:szCs w:val="21"/>
          <w:highlight w:val="none"/>
        </w:rPr>
        <w:t>需同时提供中标通知书（或免招标的相关证明）、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合同的扫描件并加盖投标人电子印章，业绩时间以</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签订</w:t>
      </w:r>
      <w:r>
        <w:rPr>
          <w:rFonts w:hint="eastAsia" w:ascii="宋体" w:hAnsi="宋体" w:eastAsia="宋体" w:cs="宋体"/>
          <w:color w:val="auto"/>
          <w:szCs w:val="21"/>
          <w:highlight w:val="none"/>
        </w:rPr>
        <w:t>时间为准。</w:t>
      </w:r>
    </w:p>
    <w:p>
      <w:pPr>
        <w:spacing w:line="360" w:lineRule="auto"/>
        <w:ind w:firstLine="48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不符合条件或无提交上述证明材料的不计分。</w:t>
      </w:r>
    </w:p>
    <w:p>
      <w:pPr>
        <w:spacing w:line="360" w:lineRule="auto"/>
        <w:ind w:firstLine="48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项目管理班子</w:t>
      </w:r>
      <w:r>
        <w:rPr>
          <w:rFonts w:hint="eastAsia" w:ascii="宋体" w:hAnsi="宋体" w:cs="宋体"/>
          <w:color w:val="auto"/>
          <w:sz w:val="24"/>
          <w:szCs w:val="24"/>
          <w:highlight w:val="none"/>
          <w:lang w:val="en-US" w:eastAsia="zh-CN"/>
        </w:rPr>
        <w:t>的</w:t>
      </w:r>
      <w:r>
        <w:rPr>
          <w:rFonts w:hint="eastAsia" w:ascii="宋体" w:hAnsi="宋体" w:eastAsia="宋体" w:cs="宋体"/>
          <w:color w:val="auto"/>
          <w:szCs w:val="21"/>
          <w:highlight w:val="none"/>
        </w:rPr>
        <w:t>人员：应根据评审要求提供对应的毕业证（如有）、职称证书（如有）（须在投标人注册或执业，并在有效期内）及社保证明；如证书没显示有效期时间，需提供相关证明材料）等扫描件，否则不得分。</w:t>
      </w:r>
    </w:p>
    <w:p>
      <w:pPr>
        <w:spacing w:line="360" w:lineRule="auto"/>
        <w:ind w:firstLine="48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社保证明：投标人提供的人员须为投标人在职员工，并提供投标截止前一个月</w:t>
      </w:r>
      <w:r>
        <w:rPr>
          <w:rFonts w:hint="eastAsia" w:ascii="宋体" w:hAnsi="宋体" w:eastAsia="宋体" w:cs="宋体"/>
          <w:b/>
          <w:color w:val="auto"/>
          <w:szCs w:val="21"/>
          <w:highlight w:val="none"/>
        </w:rPr>
        <w:t>（2025年</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月</w:t>
      </w:r>
      <w:r>
        <w:rPr>
          <w:rFonts w:hint="eastAsia" w:ascii="宋体" w:hAnsi="宋体" w:cs="宋体"/>
          <w:b/>
          <w:color w:val="auto"/>
          <w:szCs w:val="21"/>
          <w:highlight w:val="none"/>
          <w:lang w:val="en-US" w:eastAsia="zh-CN"/>
        </w:rPr>
        <w:t>或7月</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投标人或者投标人非独立法人分支机构</w:t>
      </w:r>
      <w:r>
        <w:rPr>
          <w:rFonts w:hint="eastAsia" w:ascii="宋体" w:hAnsi="宋体" w:eastAsia="宋体" w:cs="宋体"/>
          <w:color w:val="auto"/>
          <w:szCs w:val="21"/>
          <w:highlight w:val="none"/>
        </w:rPr>
        <w:t>社保缴纳证明扫描件，社保证明文件以加盖社会保险基金管理中心印章的相关资料为准。不符合条件或无提交上述证明材料的不计分。</w:t>
      </w:r>
    </w:p>
    <w:p>
      <w:pPr>
        <w:spacing w:line="360" w:lineRule="auto"/>
        <w:ind w:firstLine="484" w:firstLineChars="20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、评分如出现小数点，则保留小数点后两位，第三位四舍五入。</w:t>
      </w:r>
    </w:p>
    <w:p>
      <w:pPr>
        <w:spacing w:line="360" w:lineRule="auto"/>
        <w:ind w:firstLine="48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、资信业绩部分评审得分A为各评标专家打分的算术平均值，</w:t>
      </w:r>
      <w:r>
        <w:rPr>
          <w:rFonts w:hint="eastAsia" w:ascii="宋体" w:hAnsi="宋体" w:cs="宋体"/>
          <w:color w:val="auto"/>
          <w:szCs w:val="21"/>
          <w:highlight w:val="none"/>
          <w:lang w:eastAsia="zh-CN"/>
        </w:rPr>
        <w:t>技术服务方案</w:t>
      </w:r>
      <w:r>
        <w:rPr>
          <w:rFonts w:hint="eastAsia" w:ascii="宋体" w:hAnsi="宋体" w:eastAsia="宋体" w:cs="宋体"/>
          <w:color w:val="auto"/>
          <w:szCs w:val="21"/>
          <w:highlight w:val="none"/>
        </w:rPr>
        <w:t>部分评审得分B为从各评标专家打分中去掉一个最高分和去掉一个最低分后的剩余评标专家打分的算术平均值。</w:t>
      </w:r>
    </w:p>
    <w:p>
      <w:pPr>
        <w:spacing w:line="360" w:lineRule="auto"/>
        <w:ind w:firstLine="480" w:firstLineChars="200"/>
        <w:rPr>
          <w:rFonts w:hint="eastAsia" w:ascii="宋体" w:hAnsi="宋体" w:eastAsia="宋体" w:cs="宋体"/>
          <w:color w:val="auto"/>
          <w:szCs w:val="21"/>
          <w:highlight w:val="none"/>
        </w:rPr>
      </w:pPr>
    </w:p>
    <w:p>
      <w:pPr>
        <w:spacing w:line="360" w:lineRule="auto"/>
        <w:ind w:firstLine="48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 w:val="21"/>
          <w:szCs w:val="21"/>
          <w:highlight w:val="none"/>
        </w:rPr>
      </w:pPr>
    </w:p>
    <w:p>
      <w:pPr>
        <w:ind w:firstLine="424" w:firstLineChars="202"/>
        <w:rPr>
          <w:rFonts w:hint="eastAsia" w:ascii="宋体" w:hAnsi="宋体" w:eastAsia="宋体" w:cs="宋体"/>
          <w:color w:val="auto"/>
          <w:sz w:val="21"/>
          <w:szCs w:val="21"/>
          <w:highlight w:val="none"/>
        </w:rPr>
      </w:pPr>
    </w:p>
    <w:p>
      <w:pPr>
        <w:spacing w:line="240" w:lineRule="auto"/>
        <w:ind w:firstLine="0" w:firstLineChars="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240" w:lineRule="auto"/>
        <w:ind w:firstLine="321" w:firstLineChars="1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附表</w:t>
      </w:r>
      <w:r>
        <w:rPr>
          <w:rFonts w:hint="eastAsia" w:ascii="宋体" w:hAnsi="宋体" w:cs="宋体"/>
          <w:b/>
          <w:color w:val="auto"/>
          <w:sz w:val="32"/>
          <w:szCs w:val="32"/>
          <w:highlight w:val="none"/>
          <w:lang w:val="en-US" w:eastAsia="zh-CN"/>
        </w:rPr>
        <w:t>二</w:t>
      </w:r>
    </w:p>
    <w:p>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总得分汇总表</w:t>
      </w:r>
    </w:p>
    <w:p>
      <w:pPr>
        <w:spacing w:line="360" w:lineRule="auto"/>
        <w:ind w:firstLine="708" w:firstLineChars="29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工程名称：             </w:t>
      </w:r>
    </w:p>
    <w:tbl>
      <w:tblPr>
        <w:tblStyle w:val="25"/>
        <w:tblW w:w="9429" w:type="dxa"/>
        <w:jc w:val="center"/>
        <w:tblLayout w:type="fixed"/>
        <w:tblCellMar>
          <w:top w:w="0" w:type="dxa"/>
          <w:left w:w="108" w:type="dxa"/>
          <w:bottom w:w="0" w:type="dxa"/>
          <w:right w:w="108" w:type="dxa"/>
        </w:tblCellMar>
      </w:tblPr>
      <w:tblGrid>
        <w:gridCol w:w="1641"/>
        <w:gridCol w:w="4355"/>
        <w:gridCol w:w="1581"/>
        <w:gridCol w:w="1852"/>
      </w:tblGrid>
      <w:tr>
        <w:tblPrEx>
          <w:tblCellMar>
            <w:top w:w="0" w:type="dxa"/>
            <w:left w:w="108" w:type="dxa"/>
            <w:bottom w:w="0" w:type="dxa"/>
            <w:right w:w="108" w:type="dxa"/>
          </w:tblCellMar>
        </w:tblPrEx>
        <w:trPr>
          <w:trHeight w:val="618"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35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得分           </w:t>
            </w:r>
          </w:p>
          <w:p>
            <w:pPr>
              <w:keepNext w:val="0"/>
              <w:keepLines w:val="0"/>
              <w:suppressLineNumbers w:val="0"/>
              <w:spacing w:before="0" w:beforeAutospacing="0" w:after="0" w:afterAutospacing="0"/>
              <w:ind w:left="0" w:right="0"/>
              <w:rPr>
                <w:rFonts w:hint="eastAsia" w:ascii="宋体" w:hAnsi="宋体" w:eastAsia="宋体" w:cs="宋体"/>
                <w:b/>
                <w:color w:val="auto"/>
                <w:sz w:val="20"/>
                <w:szCs w:val="24"/>
                <w:highlight w:val="none"/>
              </w:rPr>
            </w:pPr>
          </w:p>
          <w:p>
            <w:pPr>
              <w:keepNext w:val="0"/>
              <w:keepLines w:val="0"/>
              <w:suppressLineNumbers w:val="0"/>
              <w:spacing w:before="0" w:beforeAutospacing="0" w:after="0" w:afterAutospacing="0"/>
              <w:ind w:left="0" w:right="0"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总得分</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排名</w:t>
            </w: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spacing w:line="360" w:lineRule="auto"/>
        <w:ind w:firstLine="708" w:firstLineChars="29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spacing w:line="48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注：本表适用于采用“百分制综合评估评标法”评标的项目。</w:t>
      </w:r>
    </w:p>
    <w:p>
      <w:pPr>
        <w:tabs>
          <w:tab w:val="left" w:pos="720"/>
        </w:tabs>
        <w:snapToGrid w:val="0"/>
        <w:ind w:firstLine="1446" w:firstLineChars="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评委签名：                           日期：</w:t>
      </w:r>
    </w:p>
    <w:p>
      <w:pP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pPr>
        <w:rPr>
          <w:rFonts w:ascii="宋体" w:hAnsi="宋体"/>
          <w:b/>
          <w:color w:val="auto"/>
          <w:sz w:val="24"/>
          <w:szCs w:val="24"/>
          <w:highlight w:val="none"/>
        </w:rPr>
      </w:pPr>
      <w:r>
        <w:rPr>
          <w:rFonts w:hint="eastAsia" w:ascii="宋体" w:hAnsi="宋体"/>
          <w:b/>
          <w:color w:val="auto"/>
          <w:kern w:val="2"/>
          <w:sz w:val="28"/>
          <w:szCs w:val="28"/>
          <w:highlight w:val="none"/>
        </w:rPr>
        <w:t>附表</w:t>
      </w:r>
      <w:r>
        <w:rPr>
          <w:rFonts w:hint="eastAsia" w:ascii="宋体" w:hAnsi="宋体"/>
          <w:b/>
          <w:color w:val="auto"/>
          <w:kern w:val="2"/>
          <w:sz w:val="28"/>
          <w:szCs w:val="28"/>
          <w:highlight w:val="none"/>
          <w:lang w:val="en-US" w:eastAsia="zh-CN"/>
        </w:rPr>
        <w:t>三</w:t>
      </w:r>
    </w:p>
    <w:p>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定标因素表（定标阶段用表）</w:t>
      </w:r>
    </w:p>
    <w:p>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72" w:type="pct"/>
            <w:noWrap w:val="0"/>
            <w:vAlign w:val="center"/>
          </w:tcPr>
          <w:p>
            <w:pPr>
              <w:keepNext w:val="0"/>
              <w:keepLines w:val="0"/>
              <w:suppressLineNumbers w:val="0"/>
              <w:adjustRightInd w:val="0"/>
              <w:spacing w:before="0" w:beforeAutospacing="0" w:after="0" w:afterAutospacing="0" w:line="312" w:lineRule="auto"/>
              <w:ind w:left="0" w:right="0"/>
              <w:jc w:val="center"/>
              <w:textAlignment w:val="baseline"/>
              <w:outlineLvl w:val="0"/>
              <w:rPr>
                <w:rFonts w:hint="eastAsia" w:ascii="宋体" w:hAnsi="宋体" w:cs="宋体"/>
                <w:b/>
                <w:color w:val="auto"/>
                <w:sz w:val="24"/>
                <w:szCs w:val="24"/>
                <w:highlight w:val="none"/>
                <w:lang w:val="zh-CN"/>
              </w:rPr>
            </w:pPr>
            <w:bookmarkStart w:id="134" w:name="_Toc199940734"/>
            <w:bookmarkStart w:id="135" w:name="_Toc201077366"/>
            <w:r>
              <w:rPr>
                <w:rFonts w:hint="eastAsia" w:ascii="宋体" w:hAnsi="宋体" w:cs="宋体"/>
                <w:b/>
                <w:color w:val="auto"/>
                <w:sz w:val="24"/>
                <w:szCs w:val="24"/>
                <w:highlight w:val="none"/>
                <w:lang w:val="zh-CN"/>
              </w:rPr>
              <w:t>评价项目</w:t>
            </w:r>
            <w:bookmarkEnd w:id="134"/>
            <w:bookmarkEnd w:id="135"/>
          </w:p>
        </w:tc>
        <w:tc>
          <w:tcPr>
            <w:tcW w:w="3827" w:type="pct"/>
            <w:noWrap w:val="0"/>
            <w:vAlign w:val="center"/>
          </w:tcPr>
          <w:p>
            <w:pPr>
              <w:keepNext w:val="0"/>
              <w:keepLines w:val="0"/>
              <w:suppressLineNumbers w:val="0"/>
              <w:adjustRightInd w:val="0"/>
              <w:spacing w:before="0" w:beforeAutospacing="0" w:after="0" w:afterAutospacing="0" w:line="312" w:lineRule="auto"/>
              <w:ind w:left="0" w:right="0"/>
              <w:jc w:val="center"/>
              <w:textAlignment w:val="baseline"/>
              <w:outlineLvl w:val="0"/>
              <w:rPr>
                <w:rFonts w:hint="eastAsia" w:ascii="宋体" w:hAnsi="宋体" w:cs="宋体"/>
                <w:b/>
                <w:color w:val="auto"/>
                <w:sz w:val="24"/>
                <w:szCs w:val="24"/>
                <w:highlight w:val="none"/>
                <w:lang w:val="zh-CN"/>
              </w:rPr>
            </w:pPr>
            <w:bookmarkStart w:id="136" w:name="_Toc199940735"/>
            <w:bookmarkStart w:id="137" w:name="_Toc201077367"/>
            <w:r>
              <w:rPr>
                <w:rFonts w:hint="eastAsia" w:ascii="宋体" w:hAnsi="宋体" w:cs="宋体"/>
                <w:b/>
                <w:color w:val="auto"/>
                <w:sz w:val="24"/>
                <w:szCs w:val="24"/>
                <w:highlight w:val="none"/>
                <w:lang w:val="zh-CN"/>
              </w:rPr>
              <w:t>定标评价的内容</w:t>
            </w:r>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trPr>
        <w:tc>
          <w:tcPr>
            <w:tcW w:w="1172" w:type="pct"/>
            <w:noWrap w:val="0"/>
            <w:vAlign w:val="center"/>
          </w:tcPr>
          <w:p>
            <w:pPr>
              <w:keepNext w:val="0"/>
              <w:keepLines w:val="0"/>
              <w:suppressLineNumbers w:val="0"/>
              <w:adjustRightInd w:val="0"/>
              <w:spacing w:before="0" w:beforeAutospacing="0" w:after="0" w:afterAutospacing="0" w:line="312" w:lineRule="auto"/>
              <w:ind w:left="0" w:right="0"/>
              <w:jc w:val="center"/>
              <w:textAlignment w:val="baseline"/>
              <w:outlineLvl w:val="0"/>
              <w:rPr>
                <w:rFonts w:hint="eastAsia" w:ascii="宋体" w:hAnsi="宋体" w:cs="宋体"/>
                <w:bCs/>
                <w:color w:val="auto"/>
                <w:sz w:val="24"/>
                <w:szCs w:val="24"/>
                <w:highlight w:val="none"/>
                <w:lang w:val="zh-CN"/>
              </w:rPr>
            </w:pPr>
            <w:bookmarkStart w:id="138" w:name="_Toc199940736"/>
            <w:bookmarkStart w:id="139" w:name="_Toc201077368"/>
            <w:r>
              <w:rPr>
                <w:rFonts w:hint="eastAsia" w:ascii="宋体" w:hAnsi="宋体" w:cs="宋体"/>
                <w:bCs/>
                <w:color w:val="auto"/>
                <w:sz w:val="24"/>
                <w:szCs w:val="24"/>
                <w:highlight w:val="none"/>
              </w:rPr>
              <w:t>答辩</w:t>
            </w:r>
            <w:r>
              <w:rPr>
                <w:rFonts w:hint="eastAsia" w:ascii="宋体" w:hAnsi="宋体" w:cs="宋体"/>
                <w:bCs/>
                <w:color w:val="auto"/>
                <w:sz w:val="24"/>
                <w:szCs w:val="24"/>
                <w:highlight w:val="none"/>
                <w:lang w:val="zh-CN"/>
              </w:rPr>
              <w:t>因素</w:t>
            </w:r>
            <w:bookmarkEnd w:id="138"/>
            <w:bookmarkEnd w:id="139"/>
          </w:p>
        </w:tc>
        <w:tc>
          <w:tcPr>
            <w:tcW w:w="3827" w:type="pct"/>
            <w:noWrap w:val="0"/>
            <w:vAlign w:val="center"/>
          </w:tcPr>
          <w:p>
            <w:pPr>
              <w:keepNext w:val="0"/>
              <w:keepLines w:val="0"/>
              <w:suppressLineNumbers w:val="0"/>
              <w:adjustRightInd w:val="0"/>
              <w:spacing w:before="0" w:beforeAutospacing="0" w:after="0" w:afterAutospacing="0" w:line="360" w:lineRule="auto"/>
              <w:ind w:left="0" w:right="0"/>
              <w:textAlignment w:val="baseline"/>
              <w:outlineLvl w:val="0"/>
              <w:rPr>
                <w:rFonts w:hint="eastAsia" w:ascii="宋体" w:hAnsi="宋体"/>
                <w:color w:val="auto"/>
                <w:sz w:val="24"/>
                <w:szCs w:val="24"/>
                <w:highlight w:val="none"/>
              </w:rPr>
            </w:pPr>
            <w:bookmarkStart w:id="140" w:name="_Toc199940737"/>
            <w:bookmarkStart w:id="141" w:name="_Toc201077369"/>
            <w:r>
              <w:rPr>
                <w:rFonts w:hint="eastAsia" w:ascii="宋体" w:hAnsi="宋体"/>
                <w:color w:val="auto"/>
                <w:sz w:val="24"/>
                <w:szCs w:val="24"/>
                <w:highlight w:val="none"/>
              </w:rPr>
              <w:t>一、合格中标候选人拟派的答辩</w:t>
            </w:r>
            <w:r>
              <w:rPr>
                <w:rFonts w:hint="eastAsia" w:ascii="宋体" w:hAnsi="宋体"/>
                <w:color w:val="auto"/>
                <w:sz w:val="24"/>
                <w:szCs w:val="24"/>
                <w:highlight w:val="none"/>
                <w:lang w:val="en-US" w:eastAsia="zh-CN"/>
              </w:rPr>
              <w:t>人员</w:t>
            </w:r>
            <w:r>
              <w:rPr>
                <w:rFonts w:hint="eastAsia" w:ascii="宋体" w:hAnsi="宋体"/>
                <w:color w:val="auto"/>
                <w:sz w:val="24"/>
                <w:szCs w:val="24"/>
                <w:highlight w:val="none"/>
              </w:rPr>
              <w:t>先进行现场陈述，陈述内容包括但不限于：</w:t>
            </w:r>
            <w:bookmarkEnd w:id="140"/>
            <w:bookmarkEnd w:id="141"/>
          </w:p>
          <w:p>
            <w:pPr>
              <w:keepNext w:val="0"/>
              <w:keepLines w:val="0"/>
              <w:suppressLineNumbers w:val="0"/>
              <w:adjustRightInd w:val="0"/>
              <w:spacing w:before="0" w:beforeAutospacing="0" w:after="0" w:afterAutospacing="0" w:line="360" w:lineRule="auto"/>
              <w:ind w:left="0" w:right="0"/>
              <w:textAlignment w:val="baseline"/>
              <w:outlineLvl w:val="0"/>
              <w:rPr>
                <w:rFonts w:hint="eastAsia" w:ascii="宋体" w:hAnsi="宋体"/>
                <w:color w:val="auto"/>
                <w:sz w:val="24"/>
                <w:szCs w:val="24"/>
                <w:highlight w:val="none"/>
              </w:rPr>
            </w:pPr>
            <w:bookmarkStart w:id="142" w:name="_Toc199940738"/>
            <w:bookmarkStart w:id="143" w:name="_Toc201077370"/>
            <w:r>
              <w:rPr>
                <w:rFonts w:hint="eastAsia" w:ascii="宋体" w:hAnsi="宋体"/>
                <w:color w:val="auto"/>
                <w:sz w:val="24"/>
                <w:szCs w:val="24"/>
                <w:highlight w:val="none"/>
              </w:rPr>
              <w:t>1、对工作目标、任务、重难点的理解程度；</w:t>
            </w:r>
            <w:bookmarkEnd w:id="142"/>
            <w:bookmarkEnd w:id="143"/>
          </w:p>
          <w:p>
            <w:pPr>
              <w:keepNext w:val="0"/>
              <w:keepLines w:val="0"/>
              <w:suppressLineNumbers w:val="0"/>
              <w:adjustRightInd w:val="0"/>
              <w:spacing w:before="0" w:beforeAutospacing="0" w:after="0" w:afterAutospacing="0" w:line="360" w:lineRule="auto"/>
              <w:ind w:left="0" w:right="0"/>
              <w:textAlignment w:val="baseline"/>
              <w:outlineLvl w:val="0"/>
              <w:rPr>
                <w:rFonts w:hint="eastAsia" w:ascii="宋体" w:hAnsi="宋体"/>
                <w:color w:val="auto"/>
                <w:sz w:val="24"/>
                <w:szCs w:val="24"/>
                <w:highlight w:val="none"/>
              </w:rPr>
            </w:pPr>
            <w:bookmarkStart w:id="144" w:name="_Toc199940739"/>
            <w:bookmarkStart w:id="145" w:name="_Toc201077371"/>
            <w:r>
              <w:rPr>
                <w:rFonts w:hint="eastAsia" w:ascii="宋体" w:hAnsi="宋体"/>
                <w:color w:val="auto"/>
                <w:sz w:val="24"/>
                <w:szCs w:val="24"/>
                <w:highlight w:val="none"/>
              </w:rPr>
              <w:t>2、结合情况、项目存在的问题及需求分析；</w:t>
            </w:r>
            <w:bookmarkEnd w:id="144"/>
            <w:bookmarkEnd w:id="145"/>
          </w:p>
          <w:p>
            <w:pPr>
              <w:keepNext w:val="0"/>
              <w:keepLines w:val="0"/>
              <w:suppressLineNumbers w:val="0"/>
              <w:adjustRightInd w:val="0"/>
              <w:spacing w:before="0" w:beforeAutospacing="0" w:after="0" w:afterAutospacing="0" w:line="360" w:lineRule="auto"/>
              <w:ind w:left="0" w:right="0"/>
              <w:textAlignment w:val="baseline"/>
              <w:outlineLvl w:val="0"/>
              <w:rPr>
                <w:rFonts w:hint="eastAsia" w:ascii="宋体" w:hAnsi="宋体" w:cs="宋体"/>
                <w:bCs/>
                <w:color w:val="auto"/>
                <w:sz w:val="24"/>
                <w:szCs w:val="24"/>
                <w:highlight w:val="none"/>
              </w:rPr>
            </w:pPr>
            <w:bookmarkStart w:id="146" w:name="_Toc199940740"/>
            <w:bookmarkStart w:id="147" w:name="_Toc201077372"/>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方案讲解；</w:t>
            </w:r>
            <w:bookmarkEnd w:id="146"/>
            <w:bookmarkEnd w:id="147"/>
          </w:p>
          <w:p>
            <w:pPr>
              <w:keepNext w:val="0"/>
              <w:keepLines w:val="0"/>
              <w:suppressLineNumbers w:val="0"/>
              <w:adjustRightInd w:val="0"/>
              <w:spacing w:before="0" w:beforeAutospacing="0" w:after="0" w:afterAutospacing="0" w:line="312" w:lineRule="auto"/>
              <w:ind w:left="0" w:right="0"/>
              <w:jc w:val="both"/>
              <w:textAlignment w:val="baseline"/>
              <w:outlineLvl w:val="0"/>
              <w:rPr>
                <w:rFonts w:hint="eastAsia" w:ascii="宋体" w:hAnsi="宋体" w:cs="宋体"/>
                <w:bCs/>
                <w:color w:val="auto"/>
                <w:sz w:val="24"/>
                <w:szCs w:val="24"/>
                <w:highlight w:val="none"/>
              </w:rPr>
            </w:pPr>
            <w:bookmarkStart w:id="148" w:name="_Toc201077373"/>
            <w:bookmarkStart w:id="149" w:name="_Toc199940741"/>
            <w:r>
              <w:rPr>
                <w:rFonts w:hint="eastAsia" w:ascii="宋体" w:hAnsi="宋体" w:cs="宋体"/>
                <w:bCs/>
                <w:color w:val="auto"/>
                <w:sz w:val="24"/>
                <w:szCs w:val="24"/>
                <w:highlight w:val="none"/>
              </w:rPr>
              <w:t>4、对</w:t>
            </w: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进度、质量保证措施等方面讲解。</w:t>
            </w:r>
            <w:bookmarkEnd w:id="148"/>
            <w:bookmarkEnd w:id="149"/>
          </w:p>
          <w:p>
            <w:pPr>
              <w:pStyle w:val="9"/>
              <w:keepNext w:val="0"/>
              <w:keepLines w:val="0"/>
              <w:suppressLineNumbers w:val="0"/>
              <w:spacing w:before="0" w:beforeAutospacing="0" w:after="0" w:afterAutospacing="0" w:line="312" w:lineRule="auto"/>
              <w:ind w:left="0" w:right="0" w:firstLine="0" w:firstLineChars="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w:t>
            </w:r>
            <w:r>
              <w:rPr>
                <w:rFonts w:hint="eastAsia" w:ascii="宋体" w:hAnsi="宋体" w:eastAsia="宋体"/>
                <w:color w:val="auto"/>
                <w:sz w:val="24"/>
                <w:szCs w:val="24"/>
                <w:highlight w:val="none"/>
                <w:lang w:eastAsia="zh-CN"/>
              </w:rPr>
              <w:t>定标委员会对答辩</w:t>
            </w:r>
            <w:r>
              <w:rPr>
                <w:rFonts w:hint="eastAsia" w:ascii="宋体" w:hAnsi="宋体"/>
                <w:color w:val="auto"/>
                <w:sz w:val="24"/>
                <w:szCs w:val="24"/>
                <w:highlight w:val="none"/>
                <w:lang w:val="en-US" w:eastAsia="zh-CN"/>
              </w:rPr>
              <w:t>人员</w:t>
            </w:r>
            <w:r>
              <w:rPr>
                <w:rFonts w:hint="eastAsia" w:ascii="宋体" w:hAnsi="宋体" w:eastAsia="宋体"/>
                <w:color w:val="auto"/>
                <w:sz w:val="24"/>
                <w:szCs w:val="24"/>
                <w:highlight w:val="none"/>
                <w:lang w:eastAsia="zh-CN"/>
              </w:rPr>
              <w:t>的陈述内容对其进行提问，再由答辩</w:t>
            </w:r>
            <w:r>
              <w:rPr>
                <w:rFonts w:hint="eastAsia" w:ascii="宋体" w:hAnsi="宋体"/>
                <w:color w:val="auto"/>
                <w:sz w:val="24"/>
                <w:szCs w:val="24"/>
                <w:highlight w:val="none"/>
                <w:lang w:val="en-US" w:eastAsia="zh-CN"/>
              </w:rPr>
              <w:t>人员</w:t>
            </w:r>
            <w:r>
              <w:rPr>
                <w:rFonts w:hint="eastAsia" w:ascii="宋体" w:hAnsi="宋体" w:eastAsia="宋体"/>
                <w:color w:val="auto"/>
                <w:sz w:val="24"/>
                <w:szCs w:val="24"/>
                <w:highlight w:val="none"/>
                <w:lang w:eastAsia="zh-CN"/>
              </w:rPr>
              <w:t>进行答辩。</w:t>
            </w:r>
          </w:p>
          <w:p>
            <w:pPr>
              <w:pStyle w:val="9"/>
              <w:keepNext w:val="0"/>
              <w:keepLines w:val="0"/>
              <w:suppressLineNumbers w:val="0"/>
              <w:spacing w:before="0" w:beforeAutospacing="0" w:after="0" w:afterAutospacing="0" w:line="312" w:lineRule="auto"/>
              <w:ind w:left="0" w:right="0" w:firstLine="0" w:firstLineChars="0"/>
              <w:rPr>
                <w:rFonts w:hint="default" w:ascii="宋体" w:hAnsi="宋体" w:eastAsia="宋体" w:cs="宋体"/>
                <w:bCs/>
                <w:color w:val="auto"/>
                <w:sz w:val="24"/>
                <w:szCs w:val="24"/>
                <w:highlight w:val="none"/>
                <w:lang w:eastAsia="zh-CN"/>
              </w:rPr>
            </w:pPr>
            <w:r>
              <w:rPr>
                <w:rFonts w:hint="default" w:ascii="宋体" w:hAnsi="宋体" w:eastAsia="宋体" w:cs="宋体"/>
                <w:b/>
                <w:color w:val="auto"/>
                <w:sz w:val="24"/>
                <w:szCs w:val="24"/>
                <w:highlight w:val="none"/>
                <w:lang w:eastAsia="zh-CN"/>
              </w:rPr>
              <w:t>备注：</w:t>
            </w:r>
            <w:r>
              <w:rPr>
                <w:rFonts w:hint="eastAsia" w:ascii="宋体" w:hAnsi="宋体" w:eastAsia="宋体" w:cs="宋体"/>
                <w:bCs/>
                <w:color w:val="auto"/>
                <w:szCs w:val="21"/>
                <w:highlight w:val="none"/>
                <w:u w:val="single"/>
                <w:lang w:eastAsia="zh-CN"/>
              </w:rPr>
              <w:t>答辩</w:t>
            </w:r>
            <w:r>
              <w:rPr>
                <w:rFonts w:hint="default" w:ascii="宋体" w:hAnsi="宋体" w:eastAsia="宋体" w:cs="宋体"/>
                <w:bCs/>
                <w:color w:val="auto"/>
                <w:szCs w:val="21"/>
                <w:highlight w:val="none"/>
                <w:u w:val="single"/>
                <w:lang w:eastAsia="zh-CN"/>
              </w:rPr>
              <w:t>时长控制</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zh-CN" w:eastAsia="zh-CN"/>
              </w:rPr>
              <w:t>每组答辩人员的</w:t>
            </w:r>
            <w:r>
              <w:rPr>
                <w:rFonts w:hint="eastAsia" w:ascii="宋体" w:hAnsi="宋体" w:eastAsia="宋体" w:cs="宋体"/>
                <w:b/>
                <w:bCs/>
                <w:color w:val="auto"/>
                <w:szCs w:val="21"/>
                <w:highlight w:val="none"/>
                <w:u w:val="single"/>
                <w:lang w:eastAsia="zh-CN"/>
              </w:rPr>
              <w:t>陈述及答辩总时间不超过</w:t>
            </w:r>
            <w:r>
              <w:rPr>
                <w:rFonts w:hint="default" w:ascii="宋体" w:hAnsi="宋体" w:eastAsia="宋体" w:cs="宋体"/>
                <w:b/>
                <w:bCs/>
                <w:color w:val="auto"/>
                <w:szCs w:val="21"/>
                <w:highlight w:val="none"/>
                <w:u w:val="single"/>
                <w:lang w:eastAsia="zh-CN"/>
              </w:rPr>
              <w:t>20分钟</w:t>
            </w:r>
            <w:r>
              <w:rPr>
                <w:rFonts w:hint="eastAsia" w:ascii="宋体" w:hAnsi="宋体" w:eastAsia="宋体" w:cs="宋体"/>
                <w:bCs/>
                <w:color w:val="auto"/>
                <w:szCs w:val="21"/>
                <w:highlight w:val="none"/>
                <w:u w:val="single"/>
                <w:lang w:val="zh-CN" w:eastAsia="zh-CN"/>
              </w:rPr>
              <w:t>，其中</w:t>
            </w:r>
            <w:r>
              <w:rPr>
                <w:rFonts w:hint="default" w:ascii="宋体" w:hAnsi="宋体" w:eastAsia="宋体" w:cs="宋体"/>
                <w:bCs/>
                <w:color w:val="auto"/>
                <w:szCs w:val="21"/>
                <w:highlight w:val="none"/>
                <w:u w:val="single"/>
                <w:lang w:eastAsia="zh-CN"/>
              </w:rPr>
              <w:t>陈述</w:t>
            </w:r>
            <w:r>
              <w:rPr>
                <w:rFonts w:hint="eastAsia" w:ascii="宋体" w:hAnsi="宋体" w:eastAsia="宋体" w:cs="宋体"/>
                <w:bCs/>
                <w:color w:val="auto"/>
                <w:szCs w:val="21"/>
                <w:highlight w:val="none"/>
                <w:u w:val="single"/>
                <w:lang w:val="zh-CN" w:eastAsia="zh-CN"/>
              </w:rPr>
              <w:t>时间不超过</w:t>
            </w:r>
            <w:r>
              <w:rPr>
                <w:rFonts w:hint="default" w:ascii="宋体" w:hAnsi="宋体" w:eastAsia="宋体" w:cs="宋体"/>
                <w:bCs/>
                <w:color w:val="auto"/>
                <w:szCs w:val="21"/>
                <w:highlight w:val="none"/>
                <w:u w:val="single"/>
                <w:lang w:eastAsia="zh-CN"/>
              </w:rPr>
              <w:t>10分钟。</w:t>
            </w:r>
          </w:p>
        </w:tc>
      </w:tr>
    </w:tbl>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b/>
          <w:color w:val="auto"/>
          <w:kern w:val="2"/>
          <w:sz w:val="28"/>
          <w:szCs w:val="28"/>
          <w:highlight w:val="none"/>
        </w:rPr>
      </w:pPr>
    </w:p>
    <w:p>
      <w:pPr>
        <w:rPr>
          <w:rFonts w:hint="eastAsia" w:ascii="宋体" w:hAnsi="宋体"/>
          <w:b/>
          <w:color w:val="auto"/>
          <w:kern w:val="2"/>
          <w:sz w:val="28"/>
          <w:szCs w:val="28"/>
          <w:highlight w:val="none"/>
        </w:rPr>
        <w:sectPr>
          <w:pgSz w:w="11905" w:h="16838"/>
          <w:pgMar w:top="1440" w:right="1440" w:bottom="1440" w:left="1440" w:header="567" w:footer="850" w:gutter="0"/>
          <w:cols w:space="720" w:num="1"/>
          <w:docGrid w:linePitch="312" w:charSpace="0"/>
        </w:sectPr>
      </w:pPr>
    </w:p>
    <w:p>
      <w:pPr>
        <w:rPr>
          <w:rFonts w:hint="eastAsia" w:ascii="宋体" w:hAnsi="宋体" w:eastAsia="宋体"/>
          <w:b/>
          <w:color w:val="auto"/>
          <w:sz w:val="24"/>
          <w:szCs w:val="24"/>
          <w:highlight w:val="none"/>
          <w:lang w:eastAsia="zh-CN"/>
        </w:rPr>
      </w:pPr>
      <w:r>
        <w:rPr>
          <w:rFonts w:hint="eastAsia" w:ascii="宋体" w:hAnsi="宋体"/>
          <w:b/>
          <w:color w:val="auto"/>
          <w:kern w:val="2"/>
          <w:sz w:val="28"/>
          <w:szCs w:val="28"/>
          <w:highlight w:val="none"/>
        </w:rPr>
        <w:t>附表</w:t>
      </w:r>
      <w:r>
        <w:rPr>
          <w:rFonts w:hint="eastAsia" w:ascii="宋体" w:hAnsi="宋体"/>
          <w:b/>
          <w:color w:val="auto"/>
          <w:kern w:val="2"/>
          <w:sz w:val="28"/>
          <w:szCs w:val="28"/>
          <w:highlight w:val="none"/>
          <w:lang w:val="en-US" w:eastAsia="zh-CN"/>
        </w:rPr>
        <w:t>四</w:t>
      </w:r>
    </w:p>
    <w:p>
      <w:pPr>
        <w:jc w:val="center"/>
        <w:rPr>
          <w:rFonts w:ascii="宋体" w:hAnsi="宋体" w:cs="宋体"/>
          <w:b/>
          <w:color w:val="auto"/>
          <w:sz w:val="32"/>
          <w:highlight w:val="none"/>
        </w:rPr>
      </w:pPr>
      <w:r>
        <w:rPr>
          <w:rFonts w:hint="eastAsia" w:ascii="宋体" w:hAnsi="宋体" w:cs="宋体"/>
          <w:b/>
          <w:color w:val="auto"/>
          <w:sz w:val="32"/>
          <w:highlight w:val="none"/>
        </w:rPr>
        <w:t>直接票决定标选票表（定标阶段）</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8"/>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支持的中标候选人名称</w:t>
            </w:r>
          </w:p>
        </w:tc>
        <w:tc>
          <w:tcPr>
            <w:tcW w:w="299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606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90" w:type="dxa"/>
            <w:tcBorders>
              <w:top w:val="single" w:color="auto" w:sz="4" w:space="0"/>
              <w:left w:val="nil"/>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定标委员签名：                                  日期：</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b/>
          <w:color w:val="auto"/>
          <w:highlight w:val="none"/>
        </w:rPr>
      </w:pPr>
      <w:r>
        <w:rPr>
          <w:rFonts w:hint="eastAsia" w:ascii="宋体" w:hAnsi="宋体" w:cs="宋体"/>
          <w:b/>
          <w:color w:val="auto"/>
          <w:sz w:val="24"/>
          <w:szCs w:val="24"/>
          <w:highlight w:val="none"/>
        </w:rPr>
        <w:t>注：由定标委员会成员进行投票，各定标委员会成员只能投票一家中标候选人。</w:t>
      </w:r>
    </w:p>
    <w:p>
      <w:pPr>
        <w:rPr>
          <w:rFonts w:hint="eastAsia" w:ascii="宋体" w:hAnsi="宋体" w:eastAsia="宋体"/>
          <w:b/>
          <w:color w:val="auto"/>
          <w:kern w:val="2"/>
          <w:sz w:val="28"/>
          <w:szCs w:val="28"/>
          <w:highlight w:val="none"/>
          <w:lang w:eastAsia="zh-CN"/>
        </w:rPr>
      </w:pPr>
      <w:r>
        <w:rPr>
          <w:rFonts w:hint="eastAsia" w:ascii="宋体" w:hAnsi="宋体" w:cs="宋体"/>
          <w:color w:val="auto"/>
          <w:highlight w:val="none"/>
        </w:rPr>
        <w:br w:type="page"/>
      </w:r>
      <w:r>
        <w:rPr>
          <w:rFonts w:hint="eastAsia" w:ascii="宋体" w:hAnsi="宋体"/>
          <w:b/>
          <w:color w:val="auto"/>
          <w:kern w:val="2"/>
          <w:sz w:val="28"/>
          <w:szCs w:val="28"/>
          <w:highlight w:val="none"/>
        </w:rPr>
        <w:t>附表</w:t>
      </w:r>
      <w:r>
        <w:rPr>
          <w:rFonts w:hint="eastAsia" w:ascii="宋体" w:hAnsi="宋体"/>
          <w:b/>
          <w:color w:val="auto"/>
          <w:kern w:val="2"/>
          <w:sz w:val="28"/>
          <w:szCs w:val="28"/>
          <w:highlight w:val="none"/>
          <w:lang w:val="en-US" w:eastAsia="zh-CN"/>
        </w:rPr>
        <w:t>五</w:t>
      </w:r>
    </w:p>
    <w:p>
      <w:pPr>
        <w:jc w:val="center"/>
        <w:rPr>
          <w:rFonts w:ascii="宋体" w:hAnsi="宋体" w:cs="宋体"/>
          <w:b/>
          <w:color w:val="auto"/>
          <w:sz w:val="32"/>
          <w:highlight w:val="none"/>
        </w:rPr>
      </w:pPr>
      <w:r>
        <w:rPr>
          <w:rFonts w:hint="eastAsia" w:ascii="宋体" w:hAnsi="宋体" w:cs="宋体"/>
          <w:b/>
          <w:color w:val="auto"/>
          <w:sz w:val="32"/>
          <w:highlight w:val="none"/>
        </w:rPr>
        <w:t>直接票决定标选票汇总表（定标阶段）</w:t>
      </w:r>
    </w:p>
    <w:p>
      <w:pPr>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25"/>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740"/>
        <w:gridCol w:w="1197"/>
        <w:gridCol w:w="156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序号</w:t>
            </w:r>
          </w:p>
        </w:tc>
        <w:tc>
          <w:tcPr>
            <w:tcW w:w="198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合格中标候选人名称</w:t>
            </w:r>
          </w:p>
        </w:tc>
        <w:tc>
          <w:tcPr>
            <w:tcW w:w="63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得票数</w:t>
            </w: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附加投票（如有）</w:t>
            </w:r>
          </w:p>
        </w:tc>
        <w:tc>
          <w:tcPr>
            <w:tcW w:w="823"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是否被推荐</w:t>
            </w:r>
          </w:p>
          <w:p>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98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textAlignment w:val="center"/>
              <w:rPr>
                <w:rFonts w:hint="default" w:ascii="宋体" w:hAnsi="宋体" w:cs="宋体"/>
                <w:color w:val="auto"/>
                <w:sz w:val="24"/>
                <w:highlight w:val="none"/>
              </w:rPr>
            </w:pPr>
          </w:p>
        </w:tc>
        <w:tc>
          <w:tcPr>
            <w:tcW w:w="63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23"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98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textAlignment w:val="center"/>
              <w:rPr>
                <w:rFonts w:hint="default" w:ascii="宋体" w:hAnsi="宋体" w:cs="宋体"/>
                <w:color w:val="auto"/>
                <w:sz w:val="24"/>
                <w:highlight w:val="none"/>
              </w:rPr>
            </w:pPr>
          </w:p>
        </w:tc>
        <w:tc>
          <w:tcPr>
            <w:tcW w:w="63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23"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98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textAlignment w:val="center"/>
              <w:rPr>
                <w:rFonts w:hint="default" w:ascii="宋体" w:hAnsi="宋体" w:cs="宋体"/>
                <w:color w:val="auto"/>
                <w:sz w:val="24"/>
                <w:highlight w:val="none"/>
              </w:rPr>
            </w:pPr>
          </w:p>
        </w:tc>
        <w:tc>
          <w:tcPr>
            <w:tcW w:w="63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30"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823"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bl>
    <w:p>
      <w:pPr>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定标委员签名：                                         日期：</w:t>
      </w:r>
    </w:p>
    <w:p>
      <w:pPr>
        <w:adjustRightInd w:val="0"/>
        <w:spacing w:before="240" w:after="60" w:line="420" w:lineRule="atLeast"/>
        <w:jc w:val="both"/>
        <w:textAlignment w:val="baseline"/>
        <w:outlineLvl w:val="0"/>
        <w:rPr>
          <w:rFonts w:hint="eastAsia" w:ascii="宋体" w:hAnsi="宋体" w:eastAsia="宋体" w:cs="宋体"/>
          <w:b/>
          <w:color w:val="auto"/>
          <w:sz w:val="32"/>
          <w:highlight w:val="none"/>
          <w:lang w:eastAsia="zh-CN"/>
        </w:rPr>
      </w:pPr>
      <w:r>
        <w:rPr>
          <w:rFonts w:hint="eastAsia" w:ascii="宋体" w:hAnsi="宋体" w:cs="宋体"/>
          <w:color w:val="auto"/>
          <w:highlight w:val="none"/>
        </w:rPr>
        <w:br w:type="page"/>
      </w:r>
      <w:bookmarkStart w:id="150" w:name="_Toc199940742"/>
      <w:bookmarkStart w:id="151" w:name="_Toc201077374"/>
      <w:r>
        <w:rPr>
          <w:rFonts w:hint="eastAsia" w:ascii="宋体" w:hAnsi="宋体"/>
          <w:b/>
          <w:color w:val="auto"/>
          <w:kern w:val="2"/>
          <w:sz w:val="28"/>
          <w:szCs w:val="28"/>
          <w:highlight w:val="none"/>
        </w:rPr>
        <w:t>附表</w:t>
      </w:r>
      <w:bookmarkEnd w:id="150"/>
      <w:bookmarkEnd w:id="151"/>
      <w:r>
        <w:rPr>
          <w:rFonts w:hint="eastAsia" w:ascii="宋体" w:hAnsi="宋体"/>
          <w:b/>
          <w:color w:val="auto"/>
          <w:kern w:val="2"/>
          <w:sz w:val="28"/>
          <w:szCs w:val="28"/>
          <w:highlight w:val="none"/>
          <w:lang w:val="en-US" w:eastAsia="zh-CN"/>
        </w:rPr>
        <w:t>六</w:t>
      </w:r>
    </w:p>
    <w:p>
      <w:pPr>
        <w:adjustRightInd w:val="0"/>
        <w:spacing w:before="240" w:after="60" w:line="420" w:lineRule="atLeast"/>
        <w:jc w:val="center"/>
        <w:textAlignment w:val="baseline"/>
        <w:outlineLvl w:val="0"/>
        <w:rPr>
          <w:rFonts w:ascii="宋体" w:hAnsi="宋体" w:cs="宋体"/>
          <w:b/>
          <w:color w:val="auto"/>
          <w:sz w:val="32"/>
          <w:highlight w:val="none"/>
        </w:rPr>
      </w:pPr>
      <w:bookmarkStart w:id="152" w:name="_Toc201077375"/>
      <w:bookmarkStart w:id="153" w:name="_Toc199940743"/>
      <w:r>
        <w:rPr>
          <w:rFonts w:hint="eastAsia" w:ascii="宋体" w:hAnsi="宋体" w:cs="宋体"/>
          <w:b/>
          <w:color w:val="auto"/>
          <w:sz w:val="32"/>
          <w:highlight w:val="none"/>
        </w:rPr>
        <w:t>（定标阶段-票数相同时定标委员会个人用表）</w:t>
      </w:r>
      <w:bookmarkEnd w:id="152"/>
      <w:bookmarkEnd w:id="153"/>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2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100"/>
        <w:gridCol w:w="215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szCs w:val="24"/>
                <w:highlight w:val="none"/>
              </w:rPr>
            </w:pPr>
            <w:r>
              <w:rPr>
                <w:rFonts w:hint="eastAsia" w:ascii="宋体" w:hAnsi="宋体" w:cs="宋体"/>
                <w:b/>
                <w:color w:val="auto"/>
                <w:sz w:val="24"/>
                <w:highlight w:val="none"/>
              </w:rPr>
              <w:t>合格中标候选人名称</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13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票决意见</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13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定标委员签名：                                日期：</w:t>
      </w:r>
    </w:p>
    <w:p>
      <w:pPr>
        <w:spacing w:line="360" w:lineRule="auto"/>
        <w:rPr>
          <w:rFonts w:ascii="宋体" w:hAnsi="宋体" w:cs="宋体"/>
          <w:color w:val="auto"/>
          <w:sz w:val="24"/>
          <w:szCs w:val="24"/>
          <w:highlight w:val="none"/>
        </w:rPr>
      </w:pP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1、本表用于投票出现票数相同的情况。</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由定标委员会成员进行附加投票，票决意见分别为“投票”或“不投票”，各定标委员会成员只有1票表决权（即只能对其中一名中标候选人“投票”），票决意见为“投票”的，用“○”表示；票决意见为“不投票”，用“×”表示。</w:t>
      </w:r>
    </w:p>
    <w:p>
      <w:pPr>
        <w:adjustRightInd w:val="0"/>
        <w:spacing w:before="240" w:after="60" w:line="420" w:lineRule="atLeast"/>
        <w:jc w:val="both"/>
        <w:textAlignment w:val="baseline"/>
        <w:outlineLvl w:val="0"/>
        <w:rPr>
          <w:rFonts w:hint="eastAsia" w:ascii="宋体" w:hAnsi="宋体" w:eastAsia="宋体" w:cs="宋体"/>
          <w:b/>
          <w:color w:val="auto"/>
          <w:sz w:val="32"/>
          <w:highlight w:val="none"/>
          <w:lang w:eastAsia="zh-CN"/>
        </w:rPr>
      </w:pPr>
      <w:r>
        <w:rPr>
          <w:rFonts w:hint="eastAsia" w:ascii="宋体" w:hAnsi="宋体" w:cs="宋体"/>
          <w:color w:val="auto"/>
          <w:highlight w:val="none"/>
        </w:rPr>
        <w:br w:type="page"/>
      </w:r>
      <w:bookmarkStart w:id="154" w:name="_Toc201077376"/>
      <w:bookmarkStart w:id="155" w:name="_Toc199940744"/>
      <w:r>
        <w:rPr>
          <w:rFonts w:hint="eastAsia" w:ascii="宋体" w:hAnsi="宋体"/>
          <w:b/>
          <w:color w:val="auto"/>
          <w:kern w:val="2"/>
          <w:sz w:val="28"/>
          <w:szCs w:val="28"/>
          <w:highlight w:val="none"/>
        </w:rPr>
        <w:t>附表</w:t>
      </w:r>
      <w:bookmarkEnd w:id="154"/>
      <w:bookmarkEnd w:id="155"/>
      <w:r>
        <w:rPr>
          <w:rFonts w:hint="eastAsia" w:ascii="宋体" w:hAnsi="宋体"/>
          <w:b/>
          <w:color w:val="auto"/>
          <w:kern w:val="2"/>
          <w:sz w:val="28"/>
          <w:szCs w:val="28"/>
          <w:highlight w:val="none"/>
          <w:lang w:val="en-US" w:eastAsia="zh-CN"/>
        </w:rPr>
        <w:t>七</w:t>
      </w:r>
    </w:p>
    <w:p>
      <w:pPr>
        <w:adjustRightInd w:val="0"/>
        <w:spacing w:before="240" w:after="60" w:line="420" w:lineRule="atLeast"/>
        <w:jc w:val="center"/>
        <w:textAlignment w:val="baseline"/>
        <w:outlineLvl w:val="0"/>
        <w:rPr>
          <w:rFonts w:ascii="宋体" w:hAnsi="宋体" w:cs="宋体"/>
          <w:b/>
          <w:color w:val="auto"/>
          <w:sz w:val="28"/>
          <w:szCs w:val="28"/>
          <w:highlight w:val="none"/>
        </w:rPr>
      </w:pPr>
      <w:bookmarkStart w:id="156" w:name="_Toc199940745"/>
      <w:bookmarkStart w:id="157" w:name="_Toc201077377"/>
      <w:r>
        <w:rPr>
          <w:rFonts w:hint="eastAsia" w:ascii="宋体" w:hAnsi="宋体" w:cs="宋体"/>
          <w:b/>
          <w:color w:val="auto"/>
          <w:sz w:val="32"/>
          <w:highlight w:val="none"/>
        </w:rPr>
        <w:t>（定标阶段-票数相同时定标委员会汇总用表）</w:t>
      </w:r>
      <w:bookmarkEnd w:id="156"/>
      <w:bookmarkEnd w:id="157"/>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52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color w:val="auto"/>
                <w:sz w:val="24"/>
                <w:highlight w:val="none"/>
              </w:rPr>
              <w:t>合格中标候选人名称</w:t>
            </w:r>
          </w:p>
        </w:tc>
        <w:tc>
          <w:tcPr>
            <w:tcW w:w="122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0"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3</w:t>
            </w:r>
          </w:p>
        </w:tc>
        <w:tc>
          <w:tcPr>
            <w:tcW w:w="2823"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227"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pPr>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定标委员签名：                                日期：</w:t>
      </w:r>
    </w:p>
    <w:p>
      <w:pPr>
        <w:spacing w:line="360" w:lineRule="auto"/>
        <w:ind w:firstLine="960" w:firstLineChars="400"/>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sectPr>
          <w:pgSz w:w="11905" w:h="16838"/>
          <w:pgMar w:top="1440" w:right="1440" w:bottom="1440" w:left="1440" w:header="567" w:footer="850" w:gutter="0"/>
          <w:cols w:space="720" w:num="1"/>
          <w:docGrid w:linePitch="312" w:charSpace="0"/>
        </w:sectPr>
      </w:pPr>
    </w:p>
    <w:p>
      <w:pPr>
        <w:adjustRightInd w:val="0"/>
        <w:spacing w:before="240" w:after="60" w:line="420" w:lineRule="atLeast"/>
        <w:jc w:val="both"/>
        <w:textAlignment w:val="baseline"/>
        <w:outlineLvl w:val="0"/>
        <w:rPr>
          <w:rFonts w:hint="eastAsia" w:ascii="宋体" w:hAnsi="宋体" w:eastAsia="宋体"/>
          <w:b/>
          <w:color w:val="auto"/>
          <w:kern w:val="2"/>
          <w:sz w:val="28"/>
          <w:szCs w:val="28"/>
          <w:highlight w:val="none"/>
          <w:lang w:eastAsia="zh-CN"/>
        </w:rPr>
      </w:pPr>
      <w:bookmarkStart w:id="158" w:name="_Toc201077378"/>
      <w:bookmarkStart w:id="159" w:name="_Toc199940746"/>
      <w:r>
        <w:rPr>
          <w:rFonts w:hint="eastAsia" w:ascii="宋体" w:hAnsi="宋体"/>
          <w:b/>
          <w:color w:val="auto"/>
          <w:kern w:val="2"/>
          <w:sz w:val="28"/>
          <w:szCs w:val="28"/>
          <w:highlight w:val="none"/>
        </w:rPr>
        <w:t>附表</w:t>
      </w:r>
      <w:bookmarkEnd w:id="158"/>
      <w:bookmarkEnd w:id="159"/>
      <w:r>
        <w:rPr>
          <w:rFonts w:hint="eastAsia" w:ascii="宋体" w:hAnsi="宋体"/>
          <w:b/>
          <w:color w:val="auto"/>
          <w:kern w:val="2"/>
          <w:sz w:val="28"/>
          <w:szCs w:val="28"/>
          <w:highlight w:val="none"/>
          <w:lang w:val="en-US" w:eastAsia="zh-CN"/>
        </w:rPr>
        <w:t>八</w:t>
      </w:r>
    </w:p>
    <w:p>
      <w:pPr>
        <w:adjustRightInd w:val="0"/>
        <w:spacing w:before="240" w:after="60" w:line="420" w:lineRule="atLeast"/>
        <w:jc w:val="center"/>
        <w:textAlignment w:val="baseline"/>
        <w:outlineLvl w:val="0"/>
        <w:rPr>
          <w:rFonts w:ascii="宋体" w:hAnsi="宋体" w:cs="宋体"/>
          <w:b/>
          <w:color w:val="auto"/>
          <w:sz w:val="32"/>
          <w:highlight w:val="none"/>
        </w:rPr>
      </w:pPr>
      <w:bookmarkStart w:id="160" w:name="_Toc201077379"/>
      <w:bookmarkStart w:id="161" w:name="_Toc199940747"/>
      <w:r>
        <w:rPr>
          <w:rFonts w:hint="eastAsia" w:ascii="宋体" w:hAnsi="宋体" w:cs="宋体"/>
          <w:b/>
          <w:color w:val="auto"/>
          <w:sz w:val="32"/>
          <w:highlight w:val="none"/>
        </w:rPr>
        <w:t>定标阶段各合格的中标候选人评语</w:t>
      </w:r>
      <w:bookmarkEnd w:id="160"/>
      <w:bookmarkEnd w:id="161"/>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tbl>
      <w:tblPr>
        <w:tblStyle w:val="25"/>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b/>
                <w:color w:val="auto"/>
                <w:sz w:val="24"/>
                <w:szCs w:val="24"/>
                <w:highlight w:val="none"/>
              </w:rPr>
            </w:pPr>
            <w:r>
              <w:rPr>
                <w:rFonts w:hint="eastAsia" w:ascii="宋体" w:hAnsi="宋体" w:cs="宋体"/>
                <w:b/>
                <w:color w:val="auto"/>
                <w:sz w:val="24"/>
                <w:szCs w:val="24"/>
                <w:highlight w:val="none"/>
              </w:rPr>
              <w:t>合格的中标候选人</w:t>
            </w:r>
            <w:r>
              <w:rPr>
                <w:rFonts w:hint="default" w:ascii="宋体" w:hAnsi="宋体"/>
                <w:b/>
                <w:color w:val="auto"/>
                <w:sz w:val="24"/>
                <w:szCs w:val="24"/>
                <w:highlight w:val="none"/>
              </w:rPr>
              <w:t>名称</w:t>
            </w:r>
          </w:p>
        </w:tc>
        <w:tc>
          <w:tcPr>
            <w:tcW w:w="50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szCs w:val="24"/>
                <w:highlight w:val="none"/>
                <w:u w:val="single"/>
              </w:rPr>
            </w:pPr>
          </w:p>
        </w:tc>
      </w:tr>
    </w:tbl>
    <w:p>
      <w:pPr>
        <w:adjustRightInd w:val="0"/>
        <w:snapToGrid w:val="0"/>
        <w:spacing w:line="360" w:lineRule="auto"/>
        <w:ind w:right="713" w:rightChars="297"/>
        <w:jc w:val="both"/>
        <w:rPr>
          <w:rFonts w:hint="eastAsia" w:ascii="宋体" w:hAnsi="宋体"/>
          <w:color w:val="auto"/>
          <w:sz w:val="24"/>
          <w:szCs w:val="24"/>
          <w:highlight w:val="none"/>
        </w:rPr>
      </w:pPr>
    </w:p>
    <w:p>
      <w:pPr>
        <w:adjustRightInd w:val="0"/>
        <w:snapToGrid w:val="0"/>
        <w:spacing w:line="360" w:lineRule="auto"/>
        <w:ind w:right="713" w:rightChars="297"/>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定标委员签名：                                日期：</w:t>
      </w:r>
    </w:p>
    <w:p>
      <w:pPr>
        <w:adjustRightInd w:val="0"/>
        <w:snapToGrid w:val="0"/>
        <w:spacing w:line="360" w:lineRule="auto"/>
        <w:ind w:right="713" w:rightChars="297"/>
        <w:rPr>
          <w:rFonts w:hint="default" w:eastAsia="宋体"/>
          <w:color w:val="auto"/>
          <w:highlight w:val="none"/>
          <w:lang w:val="en-US" w:eastAsia="zh-CN"/>
        </w:rPr>
      </w:pPr>
      <w:r>
        <w:rPr>
          <w:rFonts w:hint="eastAsia" w:ascii="宋体" w:hAnsi="宋体" w:cs="宋体"/>
          <w:b/>
          <w:color w:val="auto"/>
          <w:sz w:val="24"/>
          <w:szCs w:val="24"/>
          <w:highlight w:val="none"/>
          <w:u w:val="single"/>
        </w:rPr>
        <w:t>注：由定标委员会各成员依据</w:t>
      </w:r>
      <w:r>
        <w:rPr>
          <w:rFonts w:ascii="宋体" w:hAnsi="宋体" w:cs="宋体"/>
          <w:b/>
          <w:color w:val="auto"/>
          <w:sz w:val="24"/>
          <w:szCs w:val="24"/>
          <w:highlight w:val="none"/>
          <w:u w:val="single"/>
        </w:rPr>
        <w:t>招标文件中列出的各定标因素，</w:t>
      </w:r>
      <w:r>
        <w:rPr>
          <w:rFonts w:hint="eastAsia" w:ascii="宋体" w:hAnsi="宋体" w:cs="宋体"/>
          <w:b/>
          <w:color w:val="auto"/>
          <w:sz w:val="24"/>
          <w:szCs w:val="24"/>
          <w:highlight w:val="none"/>
          <w:u w:val="single"/>
        </w:rPr>
        <w:t>给予进入定标环节的各合格的中标候选人客观</w:t>
      </w:r>
      <w:r>
        <w:rPr>
          <w:rFonts w:ascii="宋体" w:hAnsi="宋体" w:cs="宋体"/>
          <w:b/>
          <w:color w:val="auto"/>
          <w:sz w:val="24"/>
          <w:szCs w:val="24"/>
          <w:highlight w:val="none"/>
          <w:u w:val="single"/>
        </w:rPr>
        <w:t>实际的评语</w:t>
      </w:r>
      <w:r>
        <w:rPr>
          <w:rFonts w:hint="eastAsia" w:ascii="宋体" w:hAnsi="宋体" w:cs="宋体"/>
          <w:b/>
          <w:color w:val="auto"/>
          <w:sz w:val="24"/>
          <w:szCs w:val="24"/>
          <w:highlight w:val="none"/>
          <w:u w:val="single"/>
        </w:rPr>
        <w:t>，</w:t>
      </w:r>
      <w:r>
        <w:rPr>
          <w:rFonts w:ascii="宋体" w:hAnsi="宋体" w:cs="宋体"/>
          <w:b/>
          <w:color w:val="auto"/>
          <w:sz w:val="24"/>
          <w:szCs w:val="24"/>
          <w:highlight w:val="none"/>
          <w:u w:val="single"/>
        </w:rPr>
        <w:t>并作为投票依据。</w:t>
      </w:r>
      <w:r>
        <w:rPr>
          <w:rFonts w:hint="eastAsia" w:ascii="宋体" w:hAnsi="宋体"/>
          <w:color w:val="auto"/>
          <w:sz w:val="24"/>
          <w:szCs w:val="24"/>
          <w:highlight w:val="none"/>
        </w:rPr>
        <w:br w:type="page"/>
      </w:r>
    </w:p>
    <w:p>
      <w:pPr>
        <w:pStyle w:val="4"/>
        <w:jc w:val="center"/>
        <w:outlineLvl w:val="1"/>
        <w:rPr>
          <w:rFonts w:hint="eastAsia" w:ascii="宋体" w:hAnsi="宋体" w:eastAsia="宋体" w:cs="宋体"/>
          <w:color w:val="auto"/>
          <w:sz w:val="44"/>
          <w:highlight w:val="none"/>
        </w:rPr>
      </w:pPr>
      <w:r>
        <w:rPr>
          <w:rFonts w:hint="eastAsia" w:ascii="宋体" w:hAnsi="宋体" w:eastAsia="宋体" w:cs="宋体"/>
          <w:color w:val="auto"/>
          <w:sz w:val="44"/>
          <w:highlight w:val="none"/>
        </w:rPr>
        <w:t>第四章合同条款及格式</w:t>
      </w:r>
    </w:p>
    <w:p>
      <w:pPr>
        <w:pStyle w:val="12"/>
        <w:kinsoku w:val="0"/>
        <w:overflowPunct w:val="0"/>
        <w:ind w:left="0"/>
        <w:rPr>
          <w:rFonts w:ascii="Microsoft JhengHei" w:hAnsi="Microsoft JhengHei" w:eastAsia="Microsoft JhengHei"/>
          <w:b/>
          <w:color w:val="auto"/>
          <w:sz w:val="20"/>
          <w:highlight w:val="none"/>
        </w:rPr>
      </w:pPr>
    </w:p>
    <w:p>
      <w:pPr>
        <w:pStyle w:val="30"/>
        <w:ind w:firstLine="480"/>
        <w:rPr>
          <w:rFonts w:hint="default"/>
          <w:color w:val="auto"/>
          <w:highlight w:val="none"/>
        </w:rPr>
      </w:pP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64135</wp:posOffset>
            </wp:positionH>
            <wp:positionV relativeFrom="paragraph">
              <wp:posOffset>78740</wp:posOffset>
            </wp:positionV>
            <wp:extent cx="4444365" cy="1478915"/>
            <wp:effectExtent l="0" t="0" r="13335" b="6985"/>
            <wp:wrapNone/>
            <wp:docPr id="7" name="图片 3" descr="SSGKC Inline_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SSGKC Inline_Colour Logo"/>
                    <pic:cNvPicPr>
                      <a:picLocks noChangeAspect="1"/>
                    </pic:cNvPicPr>
                  </pic:nvPicPr>
                  <pic:blipFill>
                    <a:blip r:embed="rId18"/>
                    <a:stretch>
                      <a:fillRect/>
                    </a:stretch>
                  </pic:blipFill>
                  <pic:spPr>
                    <a:xfrm>
                      <a:off x="0" y="0"/>
                      <a:ext cx="4444365" cy="1478915"/>
                    </a:xfrm>
                    <a:prstGeom prst="rect">
                      <a:avLst/>
                    </a:prstGeom>
                    <a:noFill/>
                    <a:ln>
                      <a:noFill/>
                    </a:ln>
                  </pic:spPr>
                </pic:pic>
              </a:graphicData>
            </a:graphic>
          </wp:anchor>
        </w:drawing>
      </w:r>
    </w:p>
    <w:p>
      <w:pPr>
        <w:spacing w:line="240" w:lineRule="auto"/>
        <w:ind w:firstLine="2520" w:firstLineChars="900"/>
        <w:rPr>
          <w:rFonts w:hint="eastAsia" w:ascii="宋体" w:hAnsi="宋体" w:eastAsia="宋体" w:cs="宋体"/>
          <w:color w:val="auto"/>
          <w:sz w:val="28"/>
          <w:szCs w:val="21"/>
          <w:highlight w:val="none"/>
        </w:rPr>
      </w:pPr>
    </w:p>
    <w:p>
      <w:pPr>
        <w:spacing w:line="240" w:lineRule="auto"/>
        <w:ind w:firstLine="2520" w:firstLineChars="900"/>
        <w:rPr>
          <w:rFonts w:hint="eastAsia" w:ascii="宋体" w:hAnsi="宋体" w:eastAsia="宋体" w:cs="宋体"/>
          <w:color w:val="auto"/>
          <w:sz w:val="28"/>
          <w:szCs w:val="21"/>
          <w:highlight w:val="none"/>
        </w:rPr>
      </w:pPr>
    </w:p>
    <w:p>
      <w:pPr>
        <w:spacing w:line="240" w:lineRule="auto"/>
        <w:ind w:firstLine="2520" w:firstLineChars="900"/>
        <w:rPr>
          <w:rFonts w:hint="eastAsia" w:ascii="宋体" w:hAnsi="宋体" w:eastAsia="宋体" w:cs="宋体"/>
          <w:color w:val="auto"/>
          <w:sz w:val="28"/>
          <w:szCs w:val="21"/>
          <w:highlight w:val="none"/>
        </w:rPr>
      </w:pPr>
    </w:p>
    <w:p>
      <w:pPr>
        <w:spacing w:line="240" w:lineRule="auto"/>
        <w:ind w:left="1457" w:leftChars="607"/>
        <w:jc w:val="left"/>
        <w:rPr>
          <w:rFonts w:hint="eastAsia" w:ascii="宋体" w:hAnsi="宋体" w:eastAsia="宋体" w:cs="宋体"/>
          <w:color w:val="auto"/>
          <w:sz w:val="24"/>
          <w:szCs w:val="21"/>
          <w:highlight w:val="none"/>
        </w:rPr>
      </w:pPr>
    </w:p>
    <w:p>
      <w:pPr>
        <w:spacing w:line="240" w:lineRule="auto"/>
        <w:ind w:left="1457" w:leftChars="607"/>
        <w:jc w:val="left"/>
        <w:rPr>
          <w:rFonts w:hint="eastAsia" w:ascii="宋体" w:hAnsi="宋体" w:eastAsia="宋体" w:cs="宋体"/>
          <w:color w:val="auto"/>
          <w:sz w:val="24"/>
          <w:szCs w:val="21"/>
          <w:highlight w:val="none"/>
        </w:rPr>
      </w:pPr>
    </w:p>
    <w:p>
      <w:pPr>
        <w:spacing w:line="240" w:lineRule="auto"/>
        <w:ind w:left="1457" w:leftChars="607"/>
        <w:jc w:val="left"/>
        <w:rPr>
          <w:rFonts w:hint="eastAsia" w:ascii="宋体" w:hAnsi="宋体" w:eastAsia="宋体" w:cs="宋体"/>
          <w:color w:val="auto"/>
          <w:sz w:val="24"/>
          <w:szCs w:val="21"/>
          <w:highlight w:val="none"/>
        </w:rPr>
      </w:pPr>
    </w:p>
    <w:p>
      <w:pPr>
        <w:spacing w:line="240" w:lineRule="auto"/>
        <w:ind w:left="1457" w:leftChars="607" w:firstLine="2640" w:firstLineChars="1100"/>
        <w:jc w:val="left"/>
        <w:rPr>
          <w:rFonts w:hint="eastAsia" w:ascii="宋体" w:hAnsi="宋体" w:eastAsia="宋体" w:cs="宋体"/>
          <w:b/>
          <w:color w:val="auto"/>
          <w:sz w:val="20"/>
          <w:szCs w:val="24"/>
          <w:highlight w:val="none"/>
        </w:rPr>
      </w:pPr>
      <w:r>
        <w:rPr>
          <w:rFonts w:hint="eastAsia" w:ascii="宋体" w:hAnsi="宋体" w:eastAsia="宋体" w:cs="宋体"/>
          <w:color w:val="auto"/>
          <w:sz w:val="24"/>
          <w:szCs w:val="21"/>
          <w:highlight w:val="none"/>
        </w:rPr>
        <w:t>合同编号：中新知建管  [20</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 xml:space="preserve"> ]  号/</w:t>
      </w:r>
    </w:p>
    <w:p>
      <w:pPr>
        <w:spacing w:line="240" w:lineRule="auto"/>
        <w:rPr>
          <w:rFonts w:hint="eastAsia" w:ascii="宋体" w:hAnsi="宋体" w:eastAsia="宋体" w:cs="宋体"/>
          <w:b/>
          <w:color w:val="auto"/>
          <w:szCs w:val="24"/>
          <w:highlight w:val="none"/>
        </w:rPr>
      </w:pPr>
    </w:p>
    <w:p>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line="240" w:lineRule="auto"/>
        <w:jc w:val="center"/>
        <w:rPr>
          <w:rFonts w:hint="eastAsia" w:cs="宋体"/>
          <w:color w:val="auto"/>
          <w:sz w:val="44"/>
          <w:highlight w:val="none"/>
          <w:lang w:val="en-US" w:eastAsia="zh-CN"/>
        </w:rPr>
      </w:pPr>
      <w:r>
        <w:rPr>
          <w:rFonts w:hint="eastAsia" w:cs="宋体"/>
          <w:color w:val="auto"/>
          <w:sz w:val="44"/>
          <w:highlight w:val="none"/>
        </w:rPr>
        <w:t>用地报批征地前期工作咨询</w:t>
      </w:r>
      <w:r>
        <w:rPr>
          <w:rFonts w:cs="宋体"/>
          <w:color w:val="auto"/>
          <w:sz w:val="44"/>
          <w:highlight w:val="none"/>
        </w:rPr>
        <w:t>服务</w:t>
      </w:r>
    </w:p>
    <w:p>
      <w:pPr>
        <w:spacing w:line="240" w:lineRule="auto"/>
        <w:jc w:val="center"/>
        <w:rPr>
          <w:rFonts w:hint="default" w:ascii="宋体" w:hAnsi="宋体" w:eastAsia="宋体" w:cs="宋体"/>
          <w:color w:val="auto"/>
          <w:szCs w:val="24"/>
          <w:highlight w:val="none"/>
          <w:lang w:val="en-US"/>
        </w:rPr>
      </w:pPr>
      <w:r>
        <w:rPr>
          <w:rFonts w:hint="eastAsia" w:cs="宋体"/>
          <w:color w:val="auto"/>
          <w:sz w:val="44"/>
          <w:highlight w:val="none"/>
          <w:lang w:val="en-US" w:eastAsia="zh-CN"/>
        </w:rPr>
        <w:t>框架协议</w:t>
      </w:r>
    </w:p>
    <w:p>
      <w:pPr>
        <w:spacing w:line="240" w:lineRule="auto"/>
        <w:rPr>
          <w:rFonts w:hint="eastAsia" w:ascii="宋体" w:hAnsi="宋体" w:eastAsia="宋体" w:cs="宋体"/>
          <w:color w:val="auto"/>
          <w:szCs w:val="24"/>
          <w:highlight w:val="none"/>
        </w:rPr>
      </w:pPr>
    </w:p>
    <w:p>
      <w:pPr>
        <w:spacing w:line="240" w:lineRule="auto"/>
        <w:rPr>
          <w:rFonts w:hint="eastAsia" w:ascii="宋体" w:hAnsi="宋体" w:eastAsia="宋体" w:cs="宋体"/>
          <w:color w:val="auto"/>
          <w:szCs w:val="24"/>
          <w:highlight w:val="none"/>
        </w:rPr>
      </w:pPr>
    </w:p>
    <w:p>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480" w:lineRule="exact"/>
        <w:ind w:firstLine="1400" w:firstLineChars="5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cs="宋体"/>
          <w:color w:val="auto"/>
          <w:sz w:val="28"/>
          <w:szCs w:val="18"/>
          <w:highlight w:val="none"/>
        </w:rPr>
        <w:t>知识城塘面村河整治工程等11个水利项目</w:t>
      </w:r>
    </w:p>
    <w:p>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委托人（甲方）：</w:t>
      </w:r>
      <w:r>
        <w:rPr>
          <w:rFonts w:hint="eastAsia" w:ascii="宋体" w:hAnsi="宋体" w:eastAsia="宋体" w:cs="宋体"/>
          <w:color w:val="auto"/>
          <w:sz w:val="28"/>
          <w:szCs w:val="28"/>
          <w:highlight w:val="none"/>
          <w:u w:val="single"/>
        </w:rPr>
        <w:t xml:space="preserve">                                 </w:t>
      </w:r>
    </w:p>
    <w:p>
      <w:pPr>
        <w:snapToGrid w:val="0"/>
        <w:spacing w:line="44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受托</w:t>
      </w:r>
      <w:r>
        <w:rPr>
          <w:rFonts w:hint="eastAsia" w:ascii="宋体" w:hAnsi="宋体" w:eastAsia="宋体" w:cs="宋体"/>
          <w:color w:val="auto"/>
          <w:sz w:val="28"/>
          <w:szCs w:val="28"/>
          <w:highlight w:val="none"/>
        </w:rPr>
        <w:t>人（乙方）：</w:t>
      </w:r>
      <w:r>
        <w:rPr>
          <w:rFonts w:hint="eastAsia" w:ascii="宋体" w:hAnsi="宋体" w:eastAsia="宋体" w:cs="宋体"/>
          <w:color w:val="auto"/>
          <w:sz w:val="28"/>
          <w:szCs w:val="28"/>
          <w:highlight w:val="none"/>
          <w:u w:val="single"/>
        </w:rPr>
        <w:t xml:space="preserve">                                 </w:t>
      </w:r>
    </w:p>
    <w:p>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合同签订日期：</w:t>
      </w:r>
      <w:r>
        <w:rPr>
          <w:rFonts w:hint="eastAsia" w:ascii="宋体" w:hAnsi="宋体" w:eastAsia="宋体" w:cs="宋体"/>
          <w:color w:val="auto"/>
          <w:sz w:val="28"/>
          <w:szCs w:val="28"/>
          <w:highlight w:val="none"/>
          <w:u w:val="single"/>
        </w:rPr>
        <w:t xml:space="preserve">       年  月    日 </w:t>
      </w:r>
    </w:p>
    <w:p>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签订地点：</w:t>
      </w:r>
      <w:r>
        <w:rPr>
          <w:rFonts w:hint="eastAsia" w:ascii="宋体" w:hAnsi="宋体" w:eastAsia="宋体" w:cs="宋体"/>
          <w:color w:val="auto"/>
          <w:sz w:val="28"/>
          <w:szCs w:val="28"/>
          <w:highlight w:val="none"/>
          <w:u w:val="single"/>
        </w:rPr>
        <w:t xml:space="preserve">广州市黄埔区 </w:t>
      </w:r>
    </w:p>
    <w:p>
      <w:pPr>
        <w:adjustRightInd w:val="0"/>
        <w:snapToGrid w:val="0"/>
        <w:spacing w:line="500" w:lineRule="exact"/>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color w:val="auto"/>
          <w:highlight w:val="none"/>
        </w:rPr>
        <w:drawing>
          <wp:anchor distT="0" distB="0" distL="114300" distR="114300" simplePos="0" relativeHeight="251662336" behindDoc="0" locked="0" layoutInCell="1" allowOverlap="0">
            <wp:simplePos x="0" y="0"/>
            <wp:positionH relativeFrom="column">
              <wp:posOffset>-977900</wp:posOffset>
            </wp:positionH>
            <wp:positionV relativeFrom="paragraph">
              <wp:posOffset>365760</wp:posOffset>
            </wp:positionV>
            <wp:extent cx="7562850" cy="2633980"/>
            <wp:effectExtent l="0" t="0" r="0" b="13970"/>
            <wp:wrapSquare wrapText="bothSides"/>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9"/>
                    <a:stretch>
                      <a:fillRect/>
                    </a:stretch>
                  </pic:blipFill>
                  <pic:spPr>
                    <a:xfrm>
                      <a:off x="0" y="0"/>
                      <a:ext cx="7562850" cy="2633980"/>
                    </a:xfrm>
                    <a:prstGeom prst="rect">
                      <a:avLst/>
                    </a:prstGeom>
                    <a:noFill/>
                    <a:ln>
                      <a:noFill/>
                    </a:ln>
                  </pic:spPr>
                </pic:pic>
              </a:graphicData>
            </a:graphic>
          </wp:anchor>
        </w:drawing>
      </w:r>
    </w:p>
    <w:p>
      <w:pPr>
        <w:rPr>
          <w:rFonts w:hint="eastAsia" w:ascii="宋体" w:hAnsi="宋体" w:eastAsia="宋体" w:cs="宋体"/>
          <w:b/>
          <w:snapToGrid w:val="0"/>
          <w:color w:val="auto"/>
          <w:kern w:val="0"/>
          <w:sz w:val="32"/>
          <w:szCs w:val="32"/>
          <w:highlight w:val="none"/>
        </w:rPr>
      </w:pPr>
    </w:p>
    <w:p>
      <w:pPr>
        <w:spacing w:line="500" w:lineRule="exact"/>
        <w:jc w:val="center"/>
        <w:rPr>
          <w:rFonts w:hint="eastAsia" w:hAnsi="仿宋" w:eastAsia="仿宋_GB2312"/>
          <w:b/>
          <w:color w:val="auto"/>
          <w:sz w:val="28"/>
          <w:szCs w:val="28"/>
          <w:highlight w:val="none"/>
        </w:rPr>
      </w:pPr>
      <w:r>
        <w:rPr>
          <w:rFonts w:hint="eastAsia" w:ascii="Times New Roman" w:hAnsi="仿宋" w:eastAsia="仿宋_GB2312" w:cs="Times New Roman"/>
          <w:b/>
          <w:color w:val="auto"/>
          <w:sz w:val="28"/>
          <w:szCs w:val="28"/>
          <w:highlight w:val="none"/>
          <w:lang w:val="en-US" w:eastAsia="zh-CN"/>
        </w:rPr>
        <w:t>知识城塘面村河整治工程等11个水利项目用地报批征地前期工作咨询服务</w:t>
      </w:r>
      <w:r>
        <w:rPr>
          <w:rFonts w:hint="eastAsia" w:hAnsi="仿宋" w:eastAsia="仿宋_GB2312"/>
          <w:b/>
          <w:color w:val="auto"/>
          <w:sz w:val="28"/>
          <w:szCs w:val="28"/>
          <w:highlight w:val="none"/>
        </w:rPr>
        <w:t>框架合同</w:t>
      </w:r>
    </w:p>
    <w:p>
      <w:pPr>
        <w:spacing w:line="500" w:lineRule="exact"/>
        <w:rPr>
          <w:rFonts w:hint="eastAsia" w:hAnsi="宋体" w:eastAsia="仿宋_GB2312"/>
          <w:color w:val="auto"/>
          <w:sz w:val="28"/>
          <w:szCs w:val="28"/>
          <w:highlight w:val="none"/>
          <w:u w:val="single"/>
        </w:rPr>
      </w:pPr>
      <w:r>
        <w:rPr>
          <w:rFonts w:hint="eastAsia" w:hAnsi="宋体" w:eastAsia="仿宋_GB2312"/>
          <w:color w:val="auto"/>
          <w:sz w:val="28"/>
          <w:szCs w:val="28"/>
          <w:highlight w:val="none"/>
        </w:rPr>
        <w:t>甲方：</w:t>
      </w:r>
      <w:r>
        <w:rPr>
          <w:rFonts w:hint="eastAsia" w:hAnsi="仿宋" w:eastAsia="仿宋_GB2312"/>
          <w:color w:val="auto"/>
          <w:sz w:val="28"/>
          <w:szCs w:val="28"/>
          <w:highlight w:val="none"/>
          <w:u w:val="single"/>
        </w:rPr>
        <w:t>中新广州知识城财政投资建设项目管理中心</w:t>
      </w:r>
    </w:p>
    <w:p>
      <w:pPr>
        <w:spacing w:line="480" w:lineRule="exact"/>
        <w:ind w:firstLine="0" w:firstLineChars="0"/>
        <w:rPr>
          <w:rFonts w:hint="eastAsia"/>
          <w:color w:val="auto"/>
          <w:highlight w:val="none"/>
        </w:rPr>
      </w:pPr>
      <w:r>
        <w:rPr>
          <w:rFonts w:hint="eastAsia" w:hAnsi="宋体" w:eastAsia="仿宋_GB2312"/>
          <w:color w:val="auto"/>
          <w:sz w:val="28"/>
          <w:szCs w:val="28"/>
          <w:highlight w:val="none"/>
        </w:rPr>
        <w:t>乙方：</w:t>
      </w:r>
      <w:r>
        <w:rPr>
          <w:rFonts w:hint="eastAsia" w:ascii="Times New Roman" w:hAnsi="仿宋" w:eastAsia="仿宋_GB2312" w:cs="Times New Roman"/>
          <w:color w:val="auto"/>
          <w:sz w:val="28"/>
          <w:szCs w:val="28"/>
          <w:highlight w:val="none"/>
          <w:u w:val="single"/>
          <w:lang w:val="en-US" w:eastAsia="zh-CN"/>
        </w:rPr>
        <w:t xml:space="preserve"> </w:t>
      </w:r>
    </w:p>
    <w:p>
      <w:pPr>
        <w:adjustRightInd w:val="0"/>
        <w:snapToGrid w:val="0"/>
        <w:spacing w:line="500" w:lineRule="exact"/>
        <w:ind w:right="11"/>
        <w:rPr>
          <w:rFonts w:hint="eastAsia" w:eastAsia="仿宋_GB2312"/>
          <w:color w:val="auto"/>
          <w:sz w:val="28"/>
          <w:szCs w:val="28"/>
          <w:highlight w:val="none"/>
        </w:rPr>
      </w:pP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鉴于</w:t>
      </w:r>
      <w:r>
        <w:rPr>
          <w:rFonts w:hint="eastAsia" w:hAnsi="宋体" w:eastAsia="仿宋_GB2312"/>
          <w:b/>
          <w:color w:val="auto"/>
          <w:sz w:val="28"/>
          <w:szCs w:val="28"/>
          <w:highlight w:val="none"/>
          <w:u w:val="single"/>
        </w:rPr>
        <w:t>中新广州知识城财政投资建设项目管理中心</w:t>
      </w:r>
      <w:r>
        <w:rPr>
          <w:rFonts w:hint="eastAsia" w:hAnsi="宋体" w:eastAsia="仿宋_GB2312"/>
          <w:color w:val="auto"/>
          <w:sz w:val="28"/>
          <w:szCs w:val="28"/>
          <w:highlight w:val="none"/>
        </w:rPr>
        <w:t>（以下称甲方）就</w:t>
      </w:r>
      <w:r>
        <w:rPr>
          <w:rFonts w:hint="eastAsia" w:ascii="Times New Roman" w:hAnsi="仿宋" w:eastAsia="仿宋_GB2312" w:cs="Times New Roman"/>
          <w:b/>
          <w:color w:val="auto"/>
          <w:sz w:val="28"/>
          <w:szCs w:val="28"/>
          <w:highlight w:val="none"/>
          <w:lang w:val="en-US" w:eastAsia="zh-CN"/>
        </w:rPr>
        <w:t>知识城塘面村河整治工程等11个水利项目用地报批征地前期工作咨询服务</w:t>
      </w:r>
      <w:r>
        <w:rPr>
          <w:rFonts w:hint="eastAsia" w:hAnsi="宋体" w:eastAsia="仿宋_GB2312"/>
          <w:color w:val="auto"/>
          <w:sz w:val="28"/>
          <w:szCs w:val="28"/>
          <w:highlight w:val="none"/>
        </w:rPr>
        <w:t>进行了公开招标，中标人为</w:t>
      </w:r>
      <w:r>
        <w:rPr>
          <w:rFonts w:hint="eastAsia" w:ascii="Calibri" w:hAnsi="宋体" w:eastAsia="仿宋_GB2312" w:cs="Times New Roman"/>
          <w:b/>
          <w:bCs/>
          <w:color w:val="auto"/>
          <w:sz w:val="28"/>
          <w:szCs w:val="28"/>
          <w:highlight w:val="none"/>
          <w:u w:val="single"/>
          <w:lang w:val="en-US" w:eastAsia="zh-CN"/>
        </w:rPr>
        <w:t xml:space="preserve">       </w:t>
      </w:r>
      <w:r>
        <w:rPr>
          <w:rFonts w:hint="eastAsia" w:hAnsi="宋体" w:eastAsia="仿宋_GB2312"/>
          <w:color w:val="auto"/>
          <w:sz w:val="28"/>
          <w:szCs w:val="28"/>
          <w:highlight w:val="none"/>
        </w:rPr>
        <w:t>（下称乙方），甲方与乙方依照《中华人民共和国民法典》、《中华人民共和国建筑法》及其他有关法律、行政法规、部门规章、地方性法规和规章，遵循平等、自愿、公平和诚实信用的原则，双方就</w:t>
      </w:r>
      <w:r>
        <w:rPr>
          <w:rFonts w:hint="eastAsia" w:ascii="Times New Roman" w:hAnsi="仿宋" w:eastAsia="仿宋_GB2312" w:cs="Times New Roman"/>
          <w:b/>
          <w:color w:val="auto"/>
          <w:sz w:val="28"/>
          <w:szCs w:val="28"/>
          <w:highlight w:val="none"/>
          <w:lang w:val="en-US" w:eastAsia="zh-CN"/>
        </w:rPr>
        <w:t>知识城塘面村河整治工程等11个水利项目用地报批征地前期工作咨询服务</w:t>
      </w:r>
      <w:r>
        <w:rPr>
          <w:rFonts w:hint="eastAsia" w:hAnsi="宋体" w:eastAsia="仿宋_GB2312"/>
          <w:color w:val="auto"/>
          <w:sz w:val="28"/>
          <w:szCs w:val="28"/>
          <w:highlight w:val="none"/>
        </w:rPr>
        <w:t>事宜协商一致，订立本框架合同。</w:t>
      </w:r>
    </w:p>
    <w:p>
      <w:pPr>
        <w:adjustRightInd w:val="0"/>
        <w:snapToGrid w:val="0"/>
        <w:spacing w:line="500" w:lineRule="exact"/>
        <w:ind w:firstLine="560" w:firstLineChars="200"/>
        <w:rPr>
          <w:rFonts w:hint="eastAsia" w:hAnsi="宋体" w:eastAsia="仿宋_GB2312"/>
          <w:bCs/>
          <w:color w:val="auto"/>
          <w:sz w:val="28"/>
          <w:szCs w:val="28"/>
          <w:highlight w:val="none"/>
        </w:rPr>
      </w:pPr>
      <w:r>
        <w:rPr>
          <w:rFonts w:hint="eastAsia" w:hAnsi="宋体" w:eastAsia="仿宋_GB2312"/>
          <w:bCs/>
          <w:color w:val="auto"/>
          <w:sz w:val="28"/>
          <w:szCs w:val="28"/>
          <w:highlight w:val="none"/>
        </w:rPr>
        <w:t>一、工程概况</w:t>
      </w:r>
    </w:p>
    <w:p>
      <w:pPr>
        <w:adjustRightInd w:val="0"/>
        <w:snapToGrid w:val="0"/>
        <w:spacing w:line="500" w:lineRule="exact"/>
        <w:ind w:left="2598" w:leftChars="266" w:hanging="1960" w:hangingChars="700"/>
        <w:rPr>
          <w:rFonts w:hint="eastAsia" w:ascii="Times New Roman" w:hAnsi="宋体" w:eastAsia="仿宋_GB2312" w:cs="Times New Roman"/>
          <w:color w:val="auto"/>
          <w:sz w:val="28"/>
          <w:szCs w:val="28"/>
          <w:highlight w:val="none"/>
        </w:rPr>
      </w:pPr>
      <w:r>
        <w:rPr>
          <w:rFonts w:hint="eastAsia" w:hAnsi="宋体" w:eastAsia="仿宋_GB2312"/>
          <w:color w:val="auto"/>
          <w:sz w:val="28"/>
          <w:szCs w:val="28"/>
          <w:highlight w:val="none"/>
        </w:rPr>
        <w:t>（1）工程名称：</w:t>
      </w:r>
      <w:r>
        <w:rPr>
          <w:rFonts w:hint="eastAsia" w:ascii="Times New Roman" w:hAnsi="仿宋" w:eastAsia="仿宋_GB2312" w:cs="Times New Roman"/>
          <w:b/>
          <w:color w:val="auto"/>
          <w:sz w:val="28"/>
          <w:szCs w:val="28"/>
          <w:highlight w:val="none"/>
          <w:lang w:val="en-US" w:eastAsia="zh-CN"/>
        </w:rPr>
        <w:t>知识城塘面村河整治工程等11个水利项目用地报批征地前期工作咨询服务</w:t>
      </w:r>
      <w:r>
        <w:rPr>
          <w:rFonts w:hint="eastAsia" w:ascii="Times New Roman" w:hAnsi="宋体" w:eastAsia="仿宋_GB2312" w:cs="Times New Roman"/>
          <w:color w:val="auto"/>
          <w:sz w:val="28"/>
          <w:szCs w:val="28"/>
          <w:highlight w:val="none"/>
        </w:rPr>
        <w:t xml:space="preserve"> </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（2）工程地点：</w:t>
      </w:r>
      <w:r>
        <w:rPr>
          <w:rFonts w:hint="eastAsia" w:hAnsi="宋体" w:eastAsia="仿宋_GB2312"/>
          <w:color w:val="auto"/>
          <w:sz w:val="28"/>
          <w:szCs w:val="28"/>
          <w:highlight w:val="none"/>
          <w:lang w:val="en-US" w:eastAsia="zh-CN"/>
        </w:rPr>
        <w:t>广东省广州市黄埔区</w:t>
      </w:r>
      <w:r>
        <w:rPr>
          <w:rFonts w:hint="eastAsia" w:hAnsi="宋体" w:eastAsia="仿宋_GB2312"/>
          <w:color w:val="auto"/>
          <w:sz w:val="28"/>
          <w:szCs w:val="28"/>
          <w:highlight w:val="none"/>
        </w:rPr>
        <w:t xml:space="preserve"> </w:t>
      </w:r>
    </w:p>
    <w:p>
      <w:pPr>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二、</w:t>
      </w:r>
      <w:r>
        <w:rPr>
          <w:rFonts w:hint="eastAsia" w:ascii="Times New Roman" w:hAnsi="仿宋" w:eastAsia="仿宋_GB2312" w:cs="Times New Roman"/>
          <w:b/>
          <w:color w:val="auto"/>
          <w:sz w:val="28"/>
          <w:szCs w:val="28"/>
          <w:highlight w:val="none"/>
          <w:lang w:val="en-US" w:eastAsia="zh-CN"/>
        </w:rPr>
        <w:t>知识城塘面村河整治工程等11个水利项目用地报批征地前期工作咨询服务</w:t>
      </w:r>
      <w:r>
        <w:rPr>
          <w:rFonts w:hint="eastAsia" w:hAnsi="宋体" w:eastAsia="仿宋_GB2312"/>
          <w:color w:val="auto"/>
          <w:sz w:val="28"/>
          <w:szCs w:val="28"/>
          <w:highlight w:val="none"/>
        </w:rPr>
        <w:t>含多个单独立项的</w:t>
      </w:r>
      <w:r>
        <w:rPr>
          <w:rFonts w:hint="eastAsia" w:hAnsi="宋体" w:eastAsia="仿宋_GB2312"/>
          <w:color w:val="auto"/>
          <w:sz w:val="28"/>
          <w:szCs w:val="28"/>
          <w:highlight w:val="none"/>
          <w:lang w:val="en-US" w:eastAsia="zh-CN"/>
        </w:rPr>
        <w:t>水利</w:t>
      </w:r>
      <w:r>
        <w:rPr>
          <w:rFonts w:hint="eastAsia" w:hAnsi="宋体" w:eastAsia="仿宋_GB2312"/>
          <w:color w:val="auto"/>
          <w:sz w:val="28"/>
          <w:szCs w:val="28"/>
          <w:highlight w:val="none"/>
        </w:rPr>
        <w:t>项目（以下简称单项工程）。</w:t>
      </w:r>
      <w:r>
        <w:rPr>
          <w:rFonts w:hint="eastAsia" w:hAnsi="宋体" w:eastAsia="仿宋_GB2312"/>
          <w:color w:val="auto"/>
          <w:sz w:val="28"/>
          <w:szCs w:val="28"/>
          <w:highlight w:val="none"/>
          <w:u w:val="single"/>
        </w:rPr>
        <w:t>单项工程具备实施</w:t>
      </w:r>
      <w:r>
        <w:rPr>
          <w:rFonts w:hint="eastAsia" w:hAnsi="宋体" w:eastAsia="仿宋_GB2312"/>
          <w:color w:val="auto"/>
          <w:sz w:val="28"/>
          <w:szCs w:val="28"/>
          <w:highlight w:val="none"/>
          <w:u w:val="single"/>
          <w:lang w:val="en-US" w:eastAsia="zh-CN"/>
        </w:rPr>
        <w:t>条件后须</w:t>
      </w:r>
      <w:r>
        <w:rPr>
          <w:rFonts w:hint="eastAsia" w:hAnsi="宋体" w:eastAsia="仿宋_GB2312"/>
          <w:color w:val="auto"/>
          <w:sz w:val="28"/>
          <w:szCs w:val="28"/>
          <w:highlight w:val="none"/>
          <w:u w:val="single"/>
        </w:rPr>
        <w:t>另行签订单项工程的</w:t>
      </w:r>
      <w:r>
        <w:rPr>
          <w:rFonts w:hint="eastAsia" w:ascii="Times New Roman" w:hAnsi="仿宋" w:eastAsia="仿宋_GB2312" w:cs="Times New Roman"/>
          <w:b/>
          <w:color w:val="auto"/>
          <w:sz w:val="28"/>
          <w:szCs w:val="28"/>
          <w:highlight w:val="none"/>
          <w:lang w:val="en-US" w:eastAsia="zh-CN"/>
        </w:rPr>
        <w:t>用地报批征地前期工作咨询服务</w:t>
      </w:r>
      <w:r>
        <w:rPr>
          <w:rFonts w:hint="eastAsia" w:hAnsi="宋体" w:eastAsia="仿宋_GB2312"/>
          <w:color w:val="auto"/>
          <w:sz w:val="28"/>
          <w:szCs w:val="28"/>
          <w:highlight w:val="none"/>
          <w:u w:val="single"/>
        </w:rPr>
        <w:t>合同。</w:t>
      </w:r>
      <w:r>
        <w:rPr>
          <w:rFonts w:hint="eastAsia" w:hAnsi="宋体" w:eastAsia="仿宋_GB2312"/>
          <w:color w:val="auto"/>
          <w:sz w:val="28"/>
          <w:szCs w:val="28"/>
          <w:highlight w:val="none"/>
        </w:rPr>
        <w:t>具体单项工程</w:t>
      </w:r>
      <w:r>
        <w:rPr>
          <w:rFonts w:hint="eastAsia" w:ascii="Times New Roman" w:hAnsi="仿宋" w:eastAsia="仿宋_GB2312" w:cs="Times New Roman"/>
          <w:b/>
          <w:color w:val="auto"/>
          <w:sz w:val="28"/>
          <w:szCs w:val="28"/>
          <w:highlight w:val="none"/>
          <w:lang w:val="en-US" w:eastAsia="zh-CN"/>
        </w:rPr>
        <w:t>用地报批征地前期工作咨询服务</w:t>
      </w:r>
      <w:r>
        <w:rPr>
          <w:rFonts w:hint="eastAsia" w:hAnsi="宋体" w:eastAsia="仿宋_GB2312"/>
          <w:color w:val="auto"/>
          <w:sz w:val="28"/>
          <w:szCs w:val="28"/>
          <w:highlight w:val="none"/>
        </w:rPr>
        <w:t>合同文本附后。单项工程</w:t>
      </w:r>
      <w:r>
        <w:rPr>
          <w:rFonts w:hint="eastAsia" w:ascii="Times New Roman" w:hAnsi="仿宋" w:eastAsia="仿宋_GB2312" w:cs="Times New Roman"/>
          <w:b/>
          <w:color w:val="auto"/>
          <w:sz w:val="28"/>
          <w:szCs w:val="28"/>
          <w:highlight w:val="none"/>
          <w:lang w:val="en-US" w:eastAsia="zh-CN"/>
        </w:rPr>
        <w:t>用地报批征地前期工作咨询服务</w:t>
      </w:r>
      <w:r>
        <w:rPr>
          <w:rFonts w:hint="eastAsia" w:hAnsi="宋体" w:eastAsia="仿宋_GB2312"/>
          <w:color w:val="auto"/>
          <w:sz w:val="28"/>
          <w:szCs w:val="28"/>
          <w:highlight w:val="none"/>
        </w:rPr>
        <w:t>合同与本框架合同内容互为解释和补充，内容不一致的，以单项工程</w:t>
      </w:r>
      <w:r>
        <w:rPr>
          <w:rFonts w:hint="eastAsia" w:ascii="Times New Roman" w:hAnsi="仿宋" w:eastAsia="仿宋_GB2312" w:cs="Times New Roman"/>
          <w:b/>
          <w:color w:val="auto"/>
          <w:sz w:val="28"/>
          <w:szCs w:val="28"/>
          <w:highlight w:val="none"/>
          <w:lang w:val="en-US" w:eastAsia="zh-CN"/>
        </w:rPr>
        <w:t>用地报批征地前期工作咨询服务</w:t>
      </w:r>
      <w:r>
        <w:rPr>
          <w:rFonts w:hint="eastAsia" w:hAnsi="宋体" w:eastAsia="仿宋_GB2312"/>
          <w:color w:val="auto"/>
          <w:sz w:val="28"/>
          <w:szCs w:val="28"/>
          <w:highlight w:val="none"/>
        </w:rPr>
        <w:t>合同为准。</w:t>
      </w:r>
    </w:p>
    <w:p>
      <w:pPr>
        <w:adjustRightInd w:val="0"/>
        <w:snapToGrid w:val="0"/>
        <w:spacing w:line="500" w:lineRule="exact"/>
        <w:ind w:right="11" w:firstLine="560" w:firstLineChars="200"/>
        <w:rPr>
          <w:rFonts w:hint="eastAsia" w:hAnsi="宋体" w:eastAsia="仿宋_GB2312"/>
          <w:bCs/>
          <w:color w:val="auto"/>
          <w:sz w:val="28"/>
          <w:szCs w:val="28"/>
          <w:highlight w:val="none"/>
        </w:rPr>
      </w:pPr>
      <w:r>
        <w:rPr>
          <w:rFonts w:hint="eastAsia" w:hAnsi="宋体" w:eastAsia="仿宋_GB2312"/>
          <w:bCs/>
          <w:color w:val="auto"/>
          <w:sz w:val="28"/>
          <w:szCs w:val="28"/>
          <w:highlight w:val="none"/>
          <w:lang w:val="en-US" w:eastAsia="zh-CN"/>
        </w:rPr>
        <w:t>三</w:t>
      </w:r>
      <w:r>
        <w:rPr>
          <w:rFonts w:hint="eastAsia" w:hAnsi="宋体" w:eastAsia="仿宋_GB2312"/>
          <w:bCs/>
          <w:color w:val="auto"/>
          <w:sz w:val="28"/>
          <w:szCs w:val="28"/>
          <w:highlight w:val="none"/>
        </w:rPr>
        <w:t>、合同价款</w:t>
      </w:r>
    </w:p>
    <w:p>
      <w:pPr>
        <w:adjustRightInd w:val="0"/>
        <w:snapToGrid w:val="0"/>
        <w:spacing w:line="500" w:lineRule="exact"/>
        <w:ind w:right="11" w:firstLine="560" w:firstLineChars="200"/>
        <w:rPr>
          <w:rFonts w:hint="eastAsia" w:hAnsi="宋体" w:eastAsia="仿宋_GB2312"/>
          <w:b/>
          <w:color w:val="auto"/>
          <w:sz w:val="28"/>
          <w:szCs w:val="28"/>
          <w:highlight w:val="none"/>
        </w:rPr>
      </w:pPr>
      <w:r>
        <w:rPr>
          <w:rFonts w:hint="eastAsia" w:hAnsi="宋体" w:eastAsia="仿宋_GB2312"/>
          <w:color w:val="auto"/>
          <w:sz w:val="28"/>
          <w:szCs w:val="28"/>
          <w:highlight w:val="none"/>
        </w:rPr>
        <w:t>中标价为¥</w:t>
      </w:r>
      <w:r>
        <w:rPr>
          <w:rFonts w:hint="eastAsia" w:hAnsi="宋体" w:eastAsia="仿宋_GB2312"/>
          <w:color w:val="auto"/>
          <w:sz w:val="28"/>
          <w:szCs w:val="28"/>
          <w:highlight w:val="none"/>
          <w:u w:val="single"/>
          <w:lang w:val="en-US" w:eastAsia="zh-CN"/>
        </w:rPr>
        <w:t xml:space="preserve">   </w:t>
      </w:r>
      <w:r>
        <w:rPr>
          <w:rFonts w:hint="eastAsia" w:hAnsi="宋体" w:eastAsia="仿宋_GB2312"/>
          <w:color w:val="auto"/>
          <w:sz w:val="28"/>
          <w:szCs w:val="28"/>
          <w:highlight w:val="none"/>
        </w:rPr>
        <w:t>万元，投标下浮率为</w:t>
      </w:r>
      <w:r>
        <w:rPr>
          <w:rFonts w:hint="eastAsia" w:hAnsi="宋体" w:eastAsia="仿宋_GB2312"/>
          <w:color w:val="auto"/>
          <w:sz w:val="28"/>
          <w:szCs w:val="28"/>
          <w:highlight w:val="none"/>
          <w:u w:val="single"/>
          <w:lang w:val="en-US" w:eastAsia="zh-CN"/>
        </w:rPr>
        <w:t xml:space="preserve">  </w:t>
      </w:r>
      <w:r>
        <w:rPr>
          <w:rFonts w:hint="eastAsia" w:hAnsi="宋体" w:eastAsia="仿宋_GB2312"/>
          <w:color w:val="auto"/>
          <w:sz w:val="28"/>
          <w:szCs w:val="28"/>
          <w:highlight w:val="none"/>
        </w:rPr>
        <w:t>%。</w:t>
      </w:r>
      <w:r>
        <w:rPr>
          <w:rFonts w:hint="eastAsia" w:hAnsi="宋体" w:eastAsia="仿宋_GB2312"/>
          <w:color w:val="auto"/>
          <w:sz w:val="28"/>
          <w:szCs w:val="28"/>
          <w:highlight w:val="none"/>
          <w:lang w:val="en-US" w:eastAsia="zh-CN"/>
        </w:rPr>
        <w:t xml:space="preserve">其中          </w:t>
      </w:r>
      <w:r>
        <w:rPr>
          <w:rFonts w:hint="eastAsia" w:ascii="Times New Roman" w:hAnsi="宋体" w:eastAsia="仿宋_GB2312" w:cs="Times New Roman"/>
          <w:color w:val="auto"/>
          <w:sz w:val="28"/>
          <w:szCs w:val="28"/>
          <w:highlight w:val="none"/>
          <w:u w:val="single"/>
          <w:lang w:val="en-US" w:eastAsia="zh-CN"/>
        </w:rPr>
        <w:t>。</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hAnsi="宋体" w:eastAsia="仿宋_GB2312"/>
          <w:b/>
          <w:color w:val="auto"/>
          <w:sz w:val="28"/>
          <w:szCs w:val="28"/>
          <w:highlight w:val="none"/>
        </w:rPr>
        <w:t>费</w:t>
      </w:r>
      <w:r>
        <w:rPr>
          <w:rFonts w:hint="eastAsia" w:hAnsi="宋体" w:eastAsia="仿宋_GB2312"/>
          <w:color w:val="auto"/>
          <w:sz w:val="28"/>
          <w:szCs w:val="28"/>
          <w:highlight w:val="none"/>
        </w:rPr>
        <w:t>按各单项工程分别计算及支付。</w:t>
      </w:r>
      <w:r>
        <w:rPr>
          <w:rFonts w:hint="eastAsia" w:hAnsi="宋体" w:eastAsia="仿宋_GB2312"/>
          <w:b/>
          <w:color w:val="auto"/>
          <w:sz w:val="28"/>
          <w:szCs w:val="28"/>
          <w:highlight w:val="none"/>
        </w:rPr>
        <w:t>单项工程</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hAnsi="宋体" w:eastAsia="仿宋_GB2312"/>
          <w:b/>
          <w:color w:val="auto"/>
          <w:sz w:val="28"/>
          <w:szCs w:val="28"/>
          <w:highlight w:val="none"/>
        </w:rPr>
        <w:t>费按实际工程量结算</w:t>
      </w:r>
      <w:r>
        <w:rPr>
          <w:rFonts w:hint="eastAsia" w:hAnsi="宋体" w:eastAsia="仿宋_GB2312"/>
          <w:b/>
          <w:color w:val="auto"/>
          <w:sz w:val="28"/>
          <w:szCs w:val="28"/>
          <w:highlight w:val="none"/>
          <w:lang w:eastAsia="zh-CN"/>
        </w:rPr>
        <w:t>，</w:t>
      </w:r>
      <w:r>
        <w:rPr>
          <w:rFonts w:hint="eastAsia" w:hAnsi="宋体" w:eastAsia="仿宋_GB2312"/>
          <w:b/>
          <w:color w:val="auto"/>
          <w:sz w:val="28"/>
          <w:szCs w:val="28"/>
          <w:highlight w:val="none"/>
          <w:lang w:val="en-US" w:eastAsia="zh-CN"/>
        </w:rPr>
        <w:t>计费标准详见《</w:t>
      </w:r>
      <w:r>
        <w:rPr>
          <w:rFonts w:hint="eastAsia" w:hAnsi="宋体" w:eastAsia="仿宋_GB2312"/>
          <w:b/>
          <w:color w:val="auto"/>
          <w:sz w:val="28"/>
          <w:szCs w:val="28"/>
          <w:highlight w:val="none"/>
        </w:rPr>
        <w:t>知识城塘面村河整治工程等11个水利项目用地报批征地前期工作咨询服务费用测算</w:t>
      </w:r>
      <w:r>
        <w:rPr>
          <w:rFonts w:hint="eastAsia" w:hAnsi="宋体" w:eastAsia="仿宋_GB2312"/>
          <w:b/>
          <w:color w:val="auto"/>
          <w:sz w:val="28"/>
          <w:szCs w:val="28"/>
          <w:highlight w:val="none"/>
          <w:lang w:val="en-US" w:eastAsia="zh-CN"/>
        </w:rPr>
        <w:t>》</w:t>
      </w:r>
      <w:r>
        <w:rPr>
          <w:rFonts w:hint="eastAsia" w:hAnsi="宋体" w:eastAsia="仿宋_GB2312"/>
          <w:b/>
          <w:color w:val="auto"/>
          <w:sz w:val="28"/>
          <w:szCs w:val="28"/>
          <w:highlight w:val="none"/>
        </w:rPr>
        <w:t>，最终结算价以广州开发区财政局审定为准</w:t>
      </w:r>
      <w:r>
        <w:rPr>
          <w:rFonts w:hint="eastAsia" w:hAnsi="宋体" w:eastAsia="仿宋_GB2312"/>
          <w:b/>
          <w:strike w:val="0"/>
          <w:color w:val="auto"/>
          <w:sz w:val="28"/>
          <w:szCs w:val="28"/>
          <w:highlight w:val="none"/>
        </w:rPr>
        <w:t>，且不得超过对应单项工程</w:t>
      </w:r>
      <w:r>
        <w:rPr>
          <w:rFonts w:hint="eastAsia" w:hAnsi="仿宋" w:eastAsia="仿宋_GB2312" w:cs="Times New Roman"/>
          <w:b/>
          <w:strike w:val="0"/>
          <w:color w:val="auto"/>
          <w:sz w:val="28"/>
          <w:szCs w:val="28"/>
          <w:highlight w:val="none"/>
          <w:lang w:val="en-US" w:eastAsia="zh-CN"/>
        </w:rPr>
        <w:t>用地报批征地前期工作</w:t>
      </w:r>
      <w:r>
        <w:rPr>
          <w:rFonts w:hint="eastAsia" w:ascii="Times New Roman" w:hAnsi="仿宋" w:eastAsia="仿宋_GB2312" w:cs="Times New Roman"/>
          <w:b/>
          <w:strike w:val="0"/>
          <w:color w:val="auto"/>
          <w:sz w:val="28"/>
          <w:szCs w:val="28"/>
          <w:highlight w:val="none"/>
          <w:lang w:val="en-US" w:eastAsia="zh-CN"/>
        </w:rPr>
        <w:t>咨询服务</w:t>
      </w:r>
      <w:r>
        <w:rPr>
          <w:rFonts w:hint="eastAsia" w:hAnsi="宋体" w:eastAsia="仿宋_GB2312"/>
          <w:b/>
          <w:strike w:val="0"/>
          <w:color w:val="auto"/>
          <w:sz w:val="28"/>
          <w:szCs w:val="28"/>
          <w:highlight w:val="none"/>
        </w:rPr>
        <w:t>最高投标限价</w:t>
      </w:r>
      <w:r>
        <w:rPr>
          <w:rFonts w:hint="eastAsia" w:hAnsi="宋体" w:eastAsia="仿宋_GB2312"/>
          <w:b/>
          <w:color w:val="auto"/>
          <w:sz w:val="28"/>
          <w:szCs w:val="28"/>
          <w:highlight w:val="none"/>
        </w:rPr>
        <w:t>。如遇审计部门审计发现本合同结算价款存在超付的情形，甲方有权据实要求乙方返还该部分款项。</w:t>
      </w:r>
    </w:p>
    <w:p>
      <w:pPr>
        <w:adjustRightInd w:val="0"/>
        <w:snapToGrid w:val="0"/>
        <w:spacing w:line="500" w:lineRule="exact"/>
        <w:ind w:right="11" w:firstLine="560" w:firstLineChars="200"/>
        <w:rPr>
          <w:rFonts w:hint="eastAsia" w:hAnsi="宋体" w:eastAsia="仿宋_GB2312"/>
          <w:bCs/>
          <w:color w:val="auto"/>
          <w:sz w:val="28"/>
          <w:szCs w:val="28"/>
          <w:highlight w:val="none"/>
        </w:rPr>
      </w:pPr>
      <w:r>
        <w:rPr>
          <w:rFonts w:hint="eastAsia" w:hAnsi="宋体" w:eastAsia="仿宋_GB2312"/>
          <w:color w:val="auto"/>
          <w:sz w:val="28"/>
          <w:szCs w:val="28"/>
          <w:highlight w:val="none"/>
          <w:lang w:val="en-US" w:eastAsia="zh-CN"/>
        </w:rPr>
        <w:t>四</w:t>
      </w:r>
      <w:r>
        <w:rPr>
          <w:rFonts w:hint="eastAsia" w:hAnsi="宋体" w:eastAsia="仿宋_GB2312"/>
          <w:color w:val="auto"/>
          <w:sz w:val="28"/>
          <w:szCs w:val="28"/>
          <w:highlight w:val="none"/>
        </w:rPr>
        <w:t>、</w:t>
      </w:r>
      <w:r>
        <w:rPr>
          <w:rFonts w:hint="eastAsia" w:hAnsi="宋体" w:eastAsia="仿宋_GB2312"/>
          <w:bCs/>
          <w:color w:val="auto"/>
          <w:sz w:val="28"/>
          <w:szCs w:val="28"/>
          <w:highlight w:val="none"/>
        </w:rPr>
        <w:t>下列文件应被认为是组成本合同的一部分，并互为补充和解释，如各文件存在冲突之处，以如下排列次序在前者优先适用：</w:t>
      </w:r>
    </w:p>
    <w:p>
      <w:pPr>
        <w:adjustRightInd w:val="0"/>
        <w:snapToGrid w:val="0"/>
        <w:spacing w:line="500" w:lineRule="exact"/>
        <w:ind w:right="11" w:firstLine="560" w:firstLineChars="200"/>
        <w:rPr>
          <w:rFonts w:hint="eastAsia" w:hAnsi="宋体" w:eastAsia="仿宋_GB2312"/>
          <w:bCs/>
          <w:color w:val="auto"/>
          <w:sz w:val="28"/>
          <w:szCs w:val="28"/>
          <w:highlight w:val="none"/>
        </w:rPr>
      </w:pPr>
      <w:r>
        <w:rPr>
          <w:rFonts w:hint="eastAsia" w:hAnsi="宋体" w:eastAsia="仿宋_GB2312"/>
          <w:bCs/>
          <w:color w:val="auto"/>
          <w:sz w:val="28"/>
          <w:szCs w:val="28"/>
          <w:highlight w:val="none"/>
        </w:rPr>
        <w:t>（1）国家和广东省、广州市、黄埔区、开发区关于本工程的有关文件；</w:t>
      </w:r>
    </w:p>
    <w:p>
      <w:pPr>
        <w:spacing w:line="500" w:lineRule="exact"/>
        <w:rPr>
          <w:rFonts w:hint="eastAsia" w:eastAsia="仿宋_GB2312"/>
          <w:color w:val="auto"/>
          <w:sz w:val="28"/>
          <w:szCs w:val="28"/>
          <w:highlight w:val="none"/>
        </w:rPr>
      </w:pPr>
      <w:r>
        <w:rPr>
          <w:rFonts w:hint="eastAsia" w:eastAsia="仿宋_GB2312"/>
          <w:color w:val="auto"/>
          <w:sz w:val="28"/>
          <w:szCs w:val="28"/>
          <w:highlight w:val="none"/>
        </w:rPr>
        <w:t xml:space="preserve">    （2）本框架合同实施期间双方签订的各单项工程</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eastAsia="仿宋_GB2312"/>
          <w:color w:val="auto"/>
          <w:sz w:val="28"/>
          <w:szCs w:val="28"/>
          <w:highlight w:val="none"/>
        </w:rPr>
        <w:t>合同及其补充协议；</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（3）中标通知书；</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（4）</w:t>
      </w:r>
      <w:r>
        <w:rPr>
          <w:rFonts w:hint="eastAsia" w:ascii="Times New Roman" w:hAnsi="仿宋" w:eastAsia="仿宋_GB2312" w:cs="Times New Roman"/>
          <w:b/>
          <w:color w:val="auto"/>
          <w:sz w:val="28"/>
          <w:szCs w:val="28"/>
          <w:highlight w:val="none"/>
          <w:lang w:val="en-US" w:eastAsia="zh-CN"/>
        </w:rPr>
        <w:t>知识城塘面村河整治工程等11个水利项目</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hAnsi="宋体" w:eastAsia="仿宋_GB2312"/>
          <w:color w:val="auto"/>
          <w:sz w:val="28"/>
          <w:szCs w:val="28"/>
          <w:highlight w:val="none"/>
        </w:rPr>
        <w:t>招标文件</w:t>
      </w:r>
      <w:r>
        <w:rPr>
          <w:rFonts w:hint="eastAsia" w:hAnsi="宋体" w:eastAsia="仿宋_GB2312"/>
          <w:bCs/>
          <w:color w:val="auto"/>
          <w:sz w:val="28"/>
          <w:szCs w:val="28"/>
          <w:highlight w:val="none"/>
        </w:rPr>
        <w:t>（含招标文件补充文件、澄清文件、答疑文件等）</w:t>
      </w:r>
      <w:r>
        <w:rPr>
          <w:rFonts w:hint="eastAsia" w:hAnsi="宋体" w:eastAsia="仿宋_GB2312"/>
          <w:color w:val="auto"/>
          <w:sz w:val="28"/>
          <w:szCs w:val="28"/>
          <w:highlight w:val="none"/>
        </w:rPr>
        <w:t>；</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（5）</w:t>
      </w:r>
      <w:r>
        <w:rPr>
          <w:rFonts w:hint="eastAsia" w:ascii="Times New Roman" w:hAnsi="仿宋" w:eastAsia="仿宋_GB2312" w:cs="Times New Roman"/>
          <w:b/>
          <w:color w:val="auto"/>
          <w:sz w:val="28"/>
          <w:szCs w:val="28"/>
          <w:highlight w:val="none"/>
          <w:lang w:val="en-US" w:eastAsia="zh-CN"/>
        </w:rPr>
        <w:t>知识城塘面村河整治工程等11个水利项目</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hAnsi="宋体" w:eastAsia="仿宋_GB2312"/>
          <w:color w:val="auto"/>
          <w:sz w:val="28"/>
          <w:szCs w:val="28"/>
          <w:highlight w:val="none"/>
        </w:rPr>
        <w:t>投标文件</w:t>
      </w:r>
      <w:r>
        <w:rPr>
          <w:rFonts w:hint="eastAsia" w:hAnsi="宋体" w:eastAsia="仿宋_GB2312"/>
          <w:bCs/>
          <w:color w:val="auto"/>
          <w:sz w:val="28"/>
          <w:szCs w:val="28"/>
          <w:highlight w:val="none"/>
        </w:rPr>
        <w:t>（含投标文件澄清等）；</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（6）组成本框架合同的其他文件。</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通过上述顺序解释仍无法明确的事项，由甲方与乙方协商解决；如协商不成，由甲方按照公平合理和有利于本合同工程建设的原则作出决定，乙方应无条件执行。</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lang w:val="en-US" w:eastAsia="zh-CN"/>
        </w:rPr>
        <w:t>五</w:t>
      </w:r>
      <w:r>
        <w:rPr>
          <w:rFonts w:hint="eastAsia" w:hAnsi="宋体" w:eastAsia="仿宋_GB2312"/>
          <w:color w:val="auto"/>
          <w:sz w:val="28"/>
          <w:szCs w:val="28"/>
          <w:highlight w:val="none"/>
        </w:rPr>
        <w:t>、因履行本合同发生争议，双方协商解决，协商不成的，提交工程所在地人民法院诉讼。</w:t>
      </w:r>
    </w:p>
    <w:p>
      <w:pPr>
        <w:spacing w:line="500" w:lineRule="exact"/>
        <w:ind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lang w:val="en-US" w:eastAsia="zh-CN"/>
        </w:rPr>
        <w:t>六</w:t>
      </w:r>
      <w:r>
        <w:rPr>
          <w:rFonts w:hint="eastAsia" w:hAnsi="宋体" w:eastAsia="仿宋_GB2312"/>
          <w:color w:val="auto"/>
          <w:sz w:val="28"/>
          <w:szCs w:val="28"/>
          <w:highlight w:val="none"/>
        </w:rPr>
        <w:t>、</w:t>
      </w:r>
      <w:r>
        <w:rPr>
          <w:rFonts w:hint="eastAsia" w:hAnsi="宋体" w:eastAsia="仿宋_GB2312"/>
          <w:bCs/>
          <w:color w:val="auto"/>
          <w:sz w:val="28"/>
          <w:szCs w:val="28"/>
          <w:highlight w:val="none"/>
        </w:rPr>
        <w:t>本框架合同自</w:t>
      </w:r>
      <w:r>
        <w:rPr>
          <w:rFonts w:hint="eastAsia" w:hAnsi="宋体" w:eastAsia="仿宋_GB2312"/>
          <w:color w:val="auto"/>
          <w:sz w:val="28"/>
          <w:szCs w:val="28"/>
          <w:highlight w:val="none"/>
        </w:rPr>
        <w:t>甲方</w:t>
      </w:r>
      <w:r>
        <w:rPr>
          <w:rFonts w:hint="eastAsia" w:hAnsi="宋体" w:eastAsia="仿宋_GB2312"/>
          <w:bCs/>
          <w:color w:val="auto"/>
          <w:sz w:val="28"/>
          <w:szCs w:val="28"/>
          <w:highlight w:val="none"/>
        </w:rPr>
        <w:t>、</w:t>
      </w:r>
      <w:r>
        <w:rPr>
          <w:rFonts w:hint="eastAsia" w:hAnsi="宋体" w:eastAsia="仿宋_GB2312"/>
          <w:color w:val="auto"/>
          <w:sz w:val="28"/>
          <w:szCs w:val="28"/>
          <w:highlight w:val="none"/>
        </w:rPr>
        <w:t>乙方</w:t>
      </w:r>
      <w:r>
        <w:rPr>
          <w:rFonts w:hint="eastAsia" w:hAnsi="宋体" w:eastAsia="仿宋_GB2312"/>
          <w:bCs/>
          <w:color w:val="auto"/>
          <w:sz w:val="28"/>
          <w:szCs w:val="28"/>
          <w:highlight w:val="none"/>
        </w:rPr>
        <w:t>双方</w:t>
      </w:r>
      <w:r>
        <w:rPr>
          <w:rFonts w:hint="eastAsia" w:hAnsi="宋体" w:eastAsia="仿宋_GB2312"/>
          <w:color w:val="auto"/>
          <w:sz w:val="28"/>
          <w:szCs w:val="28"/>
          <w:highlight w:val="none"/>
        </w:rPr>
        <w:t>法定代表人（或其授权代理人）签字并加盖法人印章</w:t>
      </w:r>
      <w:r>
        <w:rPr>
          <w:rFonts w:hint="eastAsia" w:hAnsi="宋体" w:eastAsia="仿宋_GB2312"/>
          <w:bCs/>
          <w:color w:val="auto"/>
          <w:sz w:val="28"/>
          <w:szCs w:val="28"/>
          <w:highlight w:val="none"/>
        </w:rPr>
        <w:t>之日起生效，至甲方、乙方</w:t>
      </w:r>
      <w:r>
        <w:rPr>
          <w:rFonts w:hint="eastAsia" w:hAnsi="宋体" w:eastAsia="仿宋_GB2312"/>
          <w:color w:val="auto"/>
          <w:sz w:val="28"/>
          <w:szCs w:val="28"/>
          <w:highlight w:val="none"/>
        </w:rPr>
        <w:t>履行完本框架合同及</w:t>
      </w:r>
      <w:r>
        <w:rPr>
          <w:rFonts w:hint="eastAsia" w:eastAsia="仿宋_GB2312"/>
          <w:color w:val="auto"/>
          <w:sz w:val="28"/>
          <w:szCs w:val="28"/>
          <w:highlight w:val="none"/>
        </w:rPr>
        <w:t>本合同实施期间双方签订的各单项工程检测服务合同及其补充协议</w:t>
      </w:r>
      <w:r>
        <w:rPr>
          <w:rFonts w:hint="eastAsia" w:hAnsi="宋体" w:eastAsia="仿宋_GB2312"/>
          <w:color w:val="auto"/>
          <w:sz w:val="28"/>
          <w:szCs w:val="28"/>
          <w:highlight w:val="none"/>
        </w:rPr>
        <w:t>约定的义务后，本合同终止。</w:t>
      </w:r>
    </w:p>
    <w:p>
      <w:pPr>
        <w:pStyle w:val="24"/>
        <w:ind w:left="0" w:leftChars="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七、</w:t>
      </w:r>
      <w:r>
        <w:rPr>
          <w:rFonts w:hint="eastAsia" w:ascii="仿宋_GB2312" w:hAnsi="仿宋_GB2312" w:eastAsia="仿宋_GB2312" w:cs="仿宋_GB2312"/>
          <w:color w:val="auto"/>
          <w:sz w:val="28"/>
          <w:szCs w:val="28"/>
          <w:highlight w:val="none"/>
          <w:u w:val="single"/>
        </w:rPr>
        <w:t>如本合同需缴纳合同印花税，乙方需在有关税务部门规定期限及结清本合同费用前，代缴按规定属甲方缴纳的部分，代缴后甲方按代缴金额实报实销。乙方未按规定期限代缴印花税的，因此产生的滞纳金由乙方承担。</w:t>
      </w:r>
    </w:p>
    <w:p>
      <w:pPr>
        <w:adjustRightInd w:val="0"/>
        <w:snapToGrid w:val="0"/>
        <w:spacing w:line="500" w:lineRule="exact"/>
        <w:ind w:firstLine="560" w:firstLineChars="200"/>
        <w:rPr>
          <w:rFonts w:hint="eastAsia" w:hAnsi="宋体" w:eastAsia="仿宋_GB2312"/>
          <w:color w:val="auto"/>
          <w:sz w:val="28"/>
          <w:szCs w:val="28"/>
          <w:highlight w:val="none"/>
        </w:rPr>
      </w:pPr>
      <w:r>
        <w:rPr>
          <w:rFonts w:hint="eastAsia" w:ascii="仿宋_GB2312" w:hAnsi="仿宋_GB2312" w:eastAsia="仿宋_GB2312" w:cs="仿宋_GB2312"/>
          <w:color w:val="auto"/>
          <w:sz w:val="28"/>
          <w:szCs w:val="28"/>
          <w:highlight w:val="none"/>
          <w:u w:val="single"/>
          <w:lang w:val="en-US" w:eastAsia="zh-CN"/>
        </w:rPr>
        <w:t>八、</w:t>
      </w:r>
      <w:r>
        <w:rPr>
          <w:rFonts w:hint="eastAsia" w:hAnsi="宋体" w:eastAsia="仿宋_GB2312"/>
          <w:bCs/>
          <w:color w:val="auto"/>
          <w:sz w:val="28"/>
          <w:szCs w:val="28"/>
          <w:highlight w:val="none"/>
        </w:rPr>
        <w:t>本框架合同正本一式</w:t>
      </w:r>
      <w:r>
        <w:rPr>
          <w:rFonts w:hint="eastAsia" w:hAnsi="宋体" w:eastAsia="仿宋_GB2312"/>
          <w:bCs/>
          <w:color w:val="auto"/>
          <w:sz w:val="28"/>
          <w:szCs w:val="28"/>
          <w:highlight w:val="none"/>
          <w:lang w:val="en-US" w:eastAsia="zh-CN"/>
        </w:rPr>
        <w:t xml:space="preserve">  </w:t>
      </w:r>
      <w:r>
        <w:rPr>
          <w:rFonts w:hint="eastAsia" w:hAnsi="宋体" w:eastAsia="仿宋_GB2312"/>
          <w:bCs/>
          <w:color w:val="auto"/>
          <w:sz w:val="28"/>
          <w:szCs w:val="28"/>
          <w:highlight w:val="none"/>
        </w:rPr>
        <w:t>份，</w:t>
      </w:r>
      <w:r>
        <w:rPr>
          <w:rFonts w:hint="eastAsia" w:hAnsi="宋体" w:eastAsia="仿宋_GB2312"/>
          <w:color w:val="auto"/>
          <w:sz w:val="28"/>
          <w:szCs w:val="28"/>
          <w:highlight w:val="none"/>
        </w:rPr>
        <w:t>甲方、乙方</w:t>
      </w:r>
      <w:r>
        <w:rPr>
          <w:rFonts w:hint="eastAsia" w:hAnsi="宋体" w:eastAsia="仿宋_GB2312"/>
          <w:bCs/>
          <w:color w:val="auto"/>
          <w:sz w:val="28"/>
          <w:szCs w:val="28"/>
          <w:highlight w:val="none"/>
        </w:rPr>
        <w:t>各执一份；副本</w:t>
      </w:r>
      <w:r>
        <w:rPr>
          <w:rFonts w:hint="eastAsia" w:hAnsi="宋体" w:eastAsia="仿宋_GB2312"/>
          <w:bCs/>
          <w:color w:val="auto"/>
          <w:sz w:val="28"/>
          <w:szCs w:val="28"/>
          <w:highlight w:val="none"/>
          <w:lang w:val="en-US" w:eastAsia="zh-CN"/>
        </w:rPr>
        <w:t>九</w:t>
      </w:r>
      <w:r>
        <w:rPr>
          <w:rFonts w:hint="eastAsia" w:hAnsi="宋体" w:eastAsia="仿宋_GB2312"/>
          <w:bCs/>
          <w:color w:val="auto"/>
          <w:sz w:val="28"/>
          <w:szCs w:val="28"/>
          <w:highlight w:val="none"/>
        </w:rPr>
        <w:t>份，</w:t>
      </w:r>
      <w:r>
        <w:rPr>
          <w:rFonts w:hint="eastAsia" w:hAnsi="宋体" w:eastAsia="仿宋_GB2312"/>
          <w:color w:val="auto"/>
          <w:sz w:val="28"/>
          <w:szCs w:val="28"/>
          <w:highlight w:val="none"/>
        </w:rPr>
        <w:t>甲方</w:t>
      </w:r>
      <w:r>
        <w:rPr>
          <w:rFonts w:hint="eastAsia" w:hAnsi="宋体" w:eastAsia="仿宋_GB2312"/>
          <w:bCs/>
          <w:color w:val="auto"/>
          <w:sz w:val="28"/>
          <w:szCs w:val="28"/>
          <w:highlight w:val="none"/>
        </w:rPr>
        <w:t>执五份，</w:t>
      </w:r>
      <w:r>
        <w:rPr>
          <w:rFonts w:hint="eastAsia" w:hAnsi="宋体" w:eastAsia="仿宋_GB2312"/>
          <w:color w:val="auto"/>
          <w:sz w:val="28"/>
          <w:szCs w:val="28"/>
          <w:highlight w:val="none"/>
        </w:rPr>
        <w:t>乙方</w:t>
      </w:r>
      <w:r>
        <w:rPr>
          <w:rFonts w:hint="eastAsia" w:hAnsi="宋体" w:eastAsia="仿宋_GB2312"/>
          <w:bCs/>
          <w:color w:val="auto"/>
          <w:sz w:val="28"/>
          <w:szCs w:val="28"/>
          <w:highlight w:val="none"/>
        </w:rPr>
        <w:t>执</w:t>
      </w:r>
      <w:r>
        <w:rPr>
          <w:rFonts w:hint="eastAsia" w:hAnsi="宋体" w:eastAsia="仿宋_GB2312"/>
          <w:bCs/>
          <w:color w:val="auto"/>
          <w:sz w:val="28"/>
          <w:szCs w:val="28"/>
          <w:highlight w:val="none"/>
          <w:lang w:val="en-US" w:eastAsia="zh-CN"/>
        </w:rPr>
        <w:t>四</w:t>
      </w:r>
      <w:r>
        <w:rPr>
          <w:rFonts w:hint="eastAsia" w:hAnsi="宋体" w:eastAsia="仿宋_GB2312"/>
          <w:bCs/>
          <w:color w:val="auto"/>
          <w:sz w:val="28"/>
          <w:szCs w:val="28"/>
          <w:highlight w:val="none"/>
        </w:rPr>
        <w:t>份。</w:t>
      </w:r>
      <w:r>
        <w:rPr>
          <w:rFonts w:hint="eastAsia" w:hAnsi="宋体" w:eastAsia="仿宋_GB2312"/>
          <w:color w:val="auto"/>
          <w:sz w:val="28"/>
          <w:szCs w:val="28"/>
          <w:highlight w:val="none"/>
        </w:rPr>
        <w:t>合同正、副本具有同等效力，但当合同正本与副本的表述不一致时，以合同正本为准。</w:t>
      </w:r>
    </w:p>
    <w:p>
      <w:pPr>
        <w:adjustRightInd w:val="0"/>
        <w:snapToGrid w:val="0"/>
        <w:spacing w:line="500" w:lineRule="exact"/>
        <w:ind w:firstLine="560" w:firstLineChars="200"/>
        <w:rPr>
          <w:rFonts w:hint="eastAsia" w:hAnsi="宋体" w:eastAsia="仿宋_GB2312"/>
          <w:color w:val="auto"/>
          <w:sz w:val="28"/>
          <w:szCs w:val="28"/>
          <w:highlight w:val="none"/>
        </w:rPr>
      </w:pPr>
    </w:p>
    <w:p>
      <w:pPr>
        <w:adjustRightInd w:val="0"/>
        <w:snapToGrid w:val="0"/>
        <w:spacing w:line="500" w:lineRule="exact"/>
        <w:ind w:right="11"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附件：</w:t>
      </w:r>
    </w:p>
    <w:p>
      <w:pPr>
        <w:pStyle w:val="16"/>
        <w:spacing w:line="500" w:lineRule="exact"/>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1.工程建设项目廉政责任书。</w:t>
      </w:r>
    </w:p>
    <w:p>
      <w:pPr>
        <w:adjustRightInd w:val="0"/>
        <w:snapToGrid w:val="0"/>
        <w:spacing w:line="500" w:lineRule="exact"/>
        <w:ind w:right="11" w:firstLine="560" w:firstLineChars="200"/>
        <w:rPr>
          <w:rFonts w:hint="eastAsia" w:hAnsi="宋体" w:eastAsia="仿宋_GB2312"/>
          <w:color w:val="auto"/>
          <w:sz w:val="28"/>
          <w:szCs w:val="28"/>
          <w:highlight w:val="none"/>
        </w:rPr>
      </w:pPr>
      <w:r>
        <w:rPr>
          <w:rFonts w:hint="eastAsia" w:hAnsi="宋体" w:eastAsia="仿宋_GB2312"/>
          <w:color w:val="auto"/>
          <w:sz w:val="28"/>
          <w:szCs w:val="28"/>
          <w:highlight w:val="none"/>
        </w:rPr>
        <w:t>2.单项工程</w:t>
      </w:r>
      <w:r>
        <w:rPr>
          <w:rFonts w:hint="eastAsia" w:hAnsi="仿宋" w:eastAsia="仿宋_GB2312" w:cs="Times New Roman"/>
          <w:b/>
          <w:color w:val="auto"/>
          <w:sz w:val="28"/>
          <w:szCs w:val="28"/>
          <w:highlight w:val="none"/>
          <w:lang w:val="en-US" w:eastAsia="zh-CN"/>
        </w:rPr>
        <w:t>用地报批征地前期工作</w:t>
      </w:r>
      <w:r>
        <w:rPr>
          <w:rFonts w:hint="eastAsia" w:ascii="Times New Roman" w:hAnsi="仿宋" w:eastAsia="仿宋_GB2312" w:cs="Times New Roman"/>
          <w:b/>
          <w:color w:val="auto"/>
          <w:sz w:val="28"/>
          <w:szCs w:val="28"/>
          <w:highlight w:val="none"/>
          <w:lang w:val="en-US" w:eastAsia="zh-CN"/>
        </w:rPr>
        <w:t>咨询服务</w:t>
      </w:r>
      <w:r>
        <w:rPr>
          <w:rFonts w:hint="eastAsia" w:hAnsi="宋体" w:eastAsia="仿宋_GB2312"/>
          <w:color w:val="auto"/>
          <w:sz w:val="28"/>
          <w:szCs w:val="28"/>
          <w:highlight w:val="none"/>
        </w:rPr>
        <w:t>合同文本（格式）</w:t>
      </w:r>
    </w:p>
    <w:p>
      <w:pPr>
        <w:pStyle w:val="5"/>
        <w:ind w:firstLine="562" w:firstLineChars="200"/>
        <w:rPr>
          <w:rFonts w:hint="default" w:eastAsia="仿宋_GB2312"/>
          <w:color w:val="auto"/>
          <w:highlight w:val="none"/>
          <w:lang w:val="en-US" w:eastAsia="zh-CN"/>
        </w:rPr>
      </w:pPr>
      <w:r>
        <w:rPr>
          <w:rFonts w:hint="eastAsia" w:eastAsia="仿宋_GB2312"/>
          <w:color w:val="auto"/>
          <w:sz w:val="28"/>
          <w:szCs w:val="28"/>
          <w:highlight w:val="none"/>
          <w:lang w:val="en-US" w:eastAsia="zh-CN"/>
        </w:rPr>
        <w:t>3.</w:t>
      </w:r>
      <w:r>
        <w:rPr>
          <w:rFonts w:hint="eastAsia" w:hAnsi="宋体" w:eastAsia="仿宋_GB2312"/>
          <w:b/>
          <w:color w:val="auto"/>
          <w:sz w:val="28"/>
          <w:szCs w:val="28"/>
          <w:highlight w:val="none"/>
          <w:lang w:val="en-US" w:eastAsia="zh-CN"/>
        </w:rPr>
        <w:t>《</w:t>
      </w:r>
      <w:r>
        <w:rPr>
          <w:rFonts w:hint="eastAsia" w:eastAsia="仿宋_GB2312"/>
          <w:color w:val="auto"/>
          <w:sz w:val="28"/>
          <w:szCs w:val="28"/>
          <w:highlight w:val="none"/>
        </w:rPr>
        <w:t>知识城塘面村河整治工程等11个水利项目用地报批征地前期工作咨询服务费用测算</w:t>
      </w:r>
      <w:r>
        <w:rPr>
          <w:rFonts w:hint="eastAsia" w:hAnsi="宋体" w:eastAsia="仿宋_GB2312"/>
          <w:b/>
          <w:color w:val="auto"/>
          <w:sz w:val="28"/>
          <w:szCs w:val="28"/>
          <w:highlight w:val="none"/>
          <w:lang w:val="en-US" w:eastAsia="zh-CN"/>
        </w:rPr>
        <w:t>》</w:t>
      </w:r>
    </w:p>
    <w:tbl>
      <w:tblPr>
        <w:tblStyle w:val="25"/>
        <w:tblW w:w="0" w:type="auto"/>
        <w:tblInd w:w="0" w:type="dxa"/>
        <w:tblLayout w:type="autofit"/>
        <w:tblCellMar>
          <w:top w:w="0" w:type="dxa"/>
          <w:left w:w="108" w:type="dxa"/>
          <w:bottom w:w="0" w:type="dxa"/>
          <w:right w:w="108" w:type="dxa"/>
        </w:tblCellMar>
      </w:tblPr>
      <w:tblGrid>
        <w:gridCol w:w="1696"/>
        <w:gridCol w:w="3112"/>
        <w:gridCol w:w="1696"/>
        <w:gridCol w:w="2783"/>
      </w:tblGrid>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eastAsia"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法定代表人：</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eastAsia"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法定代表人：</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委托代理人：</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eastAsia"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委托代理人：</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地址</w:t>
            </w:r>
            <w:r>
              <w:rPr>
                <w:rFonts w:hint="eastAsia" w:ascii="仿宋_GB2312" w:hAnsi="宋体" w:eastAsia="仿宋_GB2312"/>
                <w:color w:val="auto"/>
                <w:sz w:val="24"/>
                <w:highlight w:val="none"/>
              </w:rPr>
              <w:t>：</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eastAsia"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地址</w:t>
            </w:r>
            <w:r>
              <w:rPr>
                <w:rFonts w:hint="eastAsia" w:ascii="仿宋_GB2312" w:hAnsi="宋体" w:eastAsia="仿宋_GB2312"/>
                <w:color w:val="auto"/>
                <w:sz w:val="24"/>
                <w:highlight w:val="none"/>
              </w:rPr>
              <w:t>：</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电话：</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default"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电话：</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传真：</w:t>
            </w:r>
          </w:p>
        </w:tc>
        <w:tc>
          <w:tcPr>
            <w:tcW w:w="3112" w:type="dxa"/>
            <w:noWrap w:val="0"/>
            <w:vAlign w:val="center"/>
          </w:tcPr>
          <w:p>
            <w:pPr>
              <w:keepNext w:val="0"/>
              <w:keepLines w:val="0"/>
              <w:widowControl/>
              <w:suppressLineNumbers w:val="0"/>
              <w:topLinePunct/>
              <w:adjustRightInd w:val="0"/>
              <w:snapToGrid w:val="0"/>
              <w:spacing w:before="0" w:beforeAutospacing="0" w:after="0" w:afterAutospacing="0" w:line="560" w:lineRule="exact"/>
              <w:ind w:left="0" w:right="0"/>
              <w:rPr>
                <w:rFonts w:hint="eastAsia" w:ascii="仿宋_GB2312" w:hAnsi="宋体" w:eastAsia="仿宋_GB2312"/>
                <w:color w:val="auto"/>
                <w:sz w:val="22"/>
                <w:szCs w:val="22"/>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传真：</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开户银行：</w:t>
            </w:r>
          </w:p>
        </w:tc>
        <w:tc>
          <w:tcPr>
            <w:tcW w:w="3112"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开户银行：</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s="Times New Roman"/>
                <w:color w:val="auto"/>
                <w:sz w:val="24"/>
                <w:highlight w:val="none"/>
              </w:rPr>
            </w:pPr>
          </w:p>
        </w:tc>
      </w:tr>
      <w:tr>
        <w:tblPrEx>
          <w:tblCellMar>
            <w:top w:w="0" w:type="dxa"/>
            <w:left w:w="108" w:type="dxa"/>
            <w:bottom w:w="0" w:type="dxa"/>
            <w:right w:w="108" w:type="dxa"/>
          </w:tblCellMar>
        </w:tblPrEx>
        <w:trPr>
          <w:trHeight w:val="510" w:hRule="atLeast"/>
        </w:trPr>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帐号：</w:t>
            </w:r>
          </w:p>
        </w:tc>
        <w:tc>
          <w:tcPr>
            <w:tcW w:w="3112"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p>
        </w:tc>
        <w:tc>
          <w:tcPr>
            <w:tcW w:w="1696"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帐号：</w:t>
            </w:r>
          </w:p>
        </w:tc>
        <w:tc>
          <w:tcPr>
            <w:tcW w:w="2783" w:type="dxa"/>
            <w:noWrap w:val="0"/>
            <w:vAlign w:val="center"/>
          </w:tcPr>
          <w:p>
            <w:pPr>
              <w:pStyle w:val="23"/>
              <w:keepNext w:val="0"/>
              <w:keepLines w:val="0"/>
              <w:suppressLineNumbers w:val="0"/>
              <w:spacing w:before="0" w:beforeAutospacing="0" w:after="0" w:afterAutospacing="0"/>
              <w:ind w:right="0" w:firstLine="0" w:firstLineChars="0"/>
              <w:jc w:val="left"/>
              <w:rPr>
                <w:rFonts w:hint="eastAsia" w:ascii="仿宋_GB2312" w:hAnsi="宋体" w:eastAsia="仿宋_GB2312" w:cs="Times New Roman"/>
                <w:color w:val="auto"/>
                <w:sz w:val="24"/>
                <w:highlight w:val="none"/>
              </w:rPr>
            </w:pPr>
          </w:p>
        </w:tc>
      </w:tr>
    </w:tbl>
    <w:p>
      <w:pPr>
        <w:adjustRightInd w:val="0"/>
        <w:snapToGrid w:val="0"/>
        <w:spacing w:line="500" w:lineRule="exact"/>
        <w:ind w:right="11"/>
        <w:rPr>
          <w:rFonts w:hint="eastAsia" w:hAnsi="宋体" w:eastAsia="仿宋_GB2312"/>
          <w:color w:val="auto"/>
          <w:sz w:val="28"/>
          <w:szCs w:val="28"/>
          <w:highlight w:val="none"/>
        </w:rPr>
      </w:pPr>
      <w:r>
        <w:rPr>
          <w:rFonts w:hint="eastAsia" w:hAnsi="宋体" w:eastAsia="仿宋_GB2312"/>
          <w:color w:val="auto"/>
          <w:sz w:val="28"/>
          <w:szCs w:val="28"/>
          <w:highlight w:val="none"/>
        </w:rPr>
        <w:t>签约日期：</w:t>
      </w:r>
      <w:r>
        <w:rPr>
          <w:rFonts w:hint="eastAsia" w:hAnsi="宋体" w:eastAsia="仿宋_GB2312"/>
          <w:color w:val="auto"/>
          <w:sz w:val="28"/>
          <w:szCs w:val="28"/>
          <w:highlight w:val="none"/>
          <w:lang w:val="en-US" w:eastAsia="zh-CN"/>
        </w:rPr>
        <w:t xml:space="preserve">  </w:t>
      </w:r>
      <w:r>
        <w:rPr>
          <w:rFonts w:hint="eastAsia" w:hAnsi="宋体" w:eastAsia="仿宋_GB2312"/>
          <w:color w:val="auto"/>
          <w:sz w:val="28"/>
          <w:szCs w:val="28"/>
          <w:highlight w:val="none"/>
        </w:rPr>
        <w:t>年</w:t>
      </w:r>
      <w:r>
        <w:rPr>
          <w:rFonts w:hint="eastAsia" w:hAnsi="宋体" w:eastAsia="仿宋_GB2312"/>
          <w:color w:val="auto"/>
          <w:sz w:val="28"/>
          <w:szCs w:val="28"/>
          <w:highlight w:val="none"/>
          <w:lang w:val="en-US" w:eastAsia="zh-CN"/>
        </w:rPr>
        <w:t xml:space="preserve">  </w:t>
      </w:r>
      <w:r>
        <w:rPr>
          <w:rFonts w:hint="eastAsia" w:hAnsi="宋体" w:eastAsia="仿宋_GB2312"/>
          <w:color w:val="auto"/>
          <w:sz w:val="28"/>
          <w:szCs w:val="28"/>
          <w:highlight w:val="none"/>
        </w:rPr>
        <w:t>月</w:t>
      </w:r>
      <w:r>
        <w:rPr>
          <w:rFonts w:hint="eastAsia" w:hAnsi="宋体" w:eastAsia="仿宋_GB2312"/>
          <w:color w:val="auto"/>
          <w:sz w:val="28"/>
          <w:szCs w:val="28"/>
          <w:highlight w:val="none"/>
          <w:lang w:val="en-US" w:eastAsia="zh-CN"/>
        </w:rPr>
        <w:t xml:space="preserve">  </w:t>
      </w:r>
      <w:r>
        <w:rPr>
          <w:rFonts w:hint="eastAsia" w:hAnsi="宋体" w:eastAsia="仿宋_GB2312"/>
          <w:color w:val="auto"/>
          <w:sz w:val="28"/>
          <w:szCs w:val="28"/>
          <w:highlight w:val="none"/>
        </w:rPr>
        <w:t xml:space="preserve">日                      </w:t>
      </w:r>
    </w:p>
    <w:p>
      <w:pPr>
        <w:adjustRightInd w:val="0"/>
        <w:snapToGrid w:val="0"/>
        <w:spacing w:line="500" w:lineRule="exact"/>
        <w:ind w:right="11"/>
        <w:rPr>
          <w:rFonts w:hint="eastAsia" w:hAnsi="宋体" w:eastAsia="仿宋_GB2312"/>
          <w:color w:val="auto"/>
          <w:sz w:val="28"/>
          <w:szCs w:val="28"/>
          <w:highlight w:val="none"/>
        </w:rPr>
      </w:pPr>
      <w:r>
        <w:rPr>
          <w:rFonts w:hint="eastAsia" w:hAnsi="宋体" w:eastAsia="仿宋_GB2312"/>
          <w:color w:val="auto"/>
          <w:sz w:val="28"/>
          <w:szCs w:val="28"/>
          <w:highlight w:val="none"/>
        </w:rPr>
        <w:t>签约地点：广东省广州市黄埔区。</w:t>
      </w:r>
    </w:p>
    <w:p>
      <w:pPr>
        <w:adjustRightInd w:val="0"/>
        <w:snapToGrid w:val="0"/>
        <w:spacing w:line="500" w:lineRule="exact"/>
        <w:ind w:right="11" w:firstLine="560" w:firstLineChars="200"/>
        <w:rPr>
          <w:rFonts w:hint="eastAsia" w:hAnsi="宋体" w:eastAsia="仿宋_GB2312"/>
          <w:color w:val="auto"/>
          <w:sz w:val="28"/>
          <w:szCs w:val="28"/>
          <w:highlight w:val="none"/>
        </w:rPr>
      </w:pPr>
    </w:p>
    <w:p>
      <w:pPr>
        <w:spacing w:line="240" w:lineRule="auto"/>
        <w:rPr>
          <w:rFonts w:hint="eastAsia" w:hAnsi="仿宋" w:eastAsia="仿宋_GB2312"/>
          <w:b/>
          <w:color w:val="auto"/>
          <w:sz w:val="28"/>
          <w:szCs w:val="28"/>
          <w:highlight w:val="none"/>
        </w:rPr>
      </w:pPr>
      <w:r>
        <w:rPr>
          <w:rFonts w:hint="eastAsia" w:hAnsi="仿宋" w:eastAsia="仿宋_GB2312"/>
          <w:b/>
          <w:color w:val="auto"/>
          <w:sz w:val="28"/>
          <w:szCs w:val="28"/>
          <w:highlight w:val="none"/>
        </w:rPr>
        <w:br w:type="page"/>
      </w:r>
    </w:p>
    <w:p>
      <w:pPr>
        <w:spacing w:line="560" w:lineRule="exact"/>
        <w:rPr>
          <w:rFonts w:hint="eastAsia" w:hAnsi="仿宋" w:eastAsia="仿宋_GB2312"/>
          <w:b/>
          <w:color w:val="auto"/>
          <w:sz w:val="28"/>
          <w:szCs w:val="28"/>
          <w:highlight w:val="none"/>
        </w:rPr>
      </w:pPr>
      <w:r>
        <w:rPr>
          <w:rFonts w:hint="eastAsia" w:hAnsi="仿宋" w:eastAsia="仿宋_GB2312"/>
          <w:b/>
          <w:color w:val="auto"/>
          <w:sz w:val="28"/>
          <w:szCs w:val="28"/>
          <w:highlight w:val="none"/>
        </w:rPr>
        <w:t xml:space="preserve">附件1：              </w:t>
      </w:r>
    </w:p>
    <w:p>
      <w:pPr>
        <w:spacing w:line="560" w:lineRule="exact"/>
        <w:jc w:val="center"/>
        <w:rPr>
          <w:rFonts w:hint="eastAsia" w:hAnsi="仿宋" w:eastAsia="仿宋_GB2312"/>
          <w:b/>
          <w:color w:val="auto"/>
          <w:sz w:val="28"/>
          <w:szCs w:val="28"/>
          <w:highlight w:val="none"/>
        </w:rPr>
      </w:pPr>
      <w:r>
        <w:rPr>
          <w:rFonts w:hint="eastAsia" w:hAnsi="仿宋" w:eastAsia="仿宋_GB2312"/>
          <w:b/>
          <w:color w:val="auto"/>
          <w:sz w:val="28"/>
          <w:szCs w:val="28"/>
          <w:highlight w:val="none"/>
        </w:rPr>
        <w:t>工程建设项目廉政责任书</w:t>
      </w:r>
    </w:p>
    <w:p>
      <w:pPr>
        <w:adjustRightInd w:val="0"/>
        <w:snapToGrid w:val="0"/>
        <w:spacing w:line="560" w:lineRule="exact"/>
        <w:ind w:left="2940"/>
        <w:rPr>
          <w:rFonts w:hint="eastAsia" w:hAnsi="宋体" w:eastAsia="仿宋_GB2312"/>
          <w:color w:val="auto"/>
          <w:sz w:val="24"/>
          <w:szCs w:val="20"/>
          <w:highlight w:val="none"/>
        </w:rPr>
      </w:pPr>
    </w:p>
    <w:p>
      <w:pPr>
        <w:adjustRightInd w:val="0"/>
        <w:snapToGrid w:val="0"/>
        <w:spacing w:line="560" w:lineRule="exact"/>
        <w:ind w:left="1960" w:hanging="1960" w:hangingChars="700"/>
        <w:rPr>
          <w:rFonts w:hint="eastAsia" w:hAnsi="宋体" w:eastAsia="仿宋_GB2312"/>
          <w:color w:val="auto"/>
          <w:sz w:val="28"/>
          <w:szCs w:val="28"/>
          <w:highlight w:val="none"/>
          <w:u w:val="single"/>
        </w:rPr>
      </w:pPr>
      <w:r>
        <w:rPr>
          <w:rFonts w:hint="eastAsia" w:hAnsi="宋体" w:eastAsia="仿宋_GB2312"/>
          <w:color w:val="auto"/>
          <w:sz w:val="28"/>
          <w:szCs w:val="28"/>
          <w:highlight w:val="none"/>
        </w:rPr>
        <w:t>工程项目名称：</w:t>
      </w:r>
      <w:r>
        <w:rPr>
          <w:rFonts w:hint="eastAsia" w:hAnsi="宋体" w:eastAsia="仿宋_GB2312" w:cs="Times New Roman"/>
          <w:color w:val="auto"/>
          <w:sz w:val="28"/>
          <w:szCs w:val="28"/>
          <w:highlight w:val="none"/>
          <w:u w:val="single"/>
          <w:lang w:val="en-US" w:eastAsia="zh-CN"/>
        </w:rPr>
        <w:t xml:space="preserve"> </w:t>
      </w:r>
    </w:p>
    <w:p>
      <w:pPr>
        <w:adjustRightInd w:val="0"/>
        <w:snapToGrid w:val="0"/>
        <w:spacing w:line="560" w:lineRule="exact"/>
        <w:rPr>
          <w:rFonts w:hint="default" w:hAnsi="宋体" w:eastAsia="仿宋_GB2312"/>
          <w:color w:val="auto"/>
          <w:sz w:val="28"/>
          <w:szCs w:val="28"/>
          <w:highlight w:val="none"/>
          <w:lang w:val="en-US" w:eastAsia="zh-CN"/>
        </w:rPr>
      </w:pPr>
      <w:r>
        <w:rPr>
          <w:rFonts w:hint="eastAsia" w:hAnsi="宋体" w:eastAsia="仿宋_GB2312"/>
          <w:color w:val="auto"/>
          <w:sz w:val="28"/>
          <w:szCs w:val="28"/>
          <w:highlight w:val="none"/>
        </w:rPr>
        <w:t>工程项目地址：</w:t>
      </w:r>
      <w:r>
        <w:rPr>
          <w:rFonts w:hint="eastAsia" w:hAnsi="宋体" w:eastAsia="仿宋_GB2312"/>
          <w:color w:val="auto"/>
          <w:sz w:val="28"/>
          <w:szCs w:val="28"/>
          <w:highlight w:val="none"/>
          <w:u w:val="single"/>
          <w:lang w:val="en-US" w:eastAsia="zh-CN"/>
        </w:rPr>
        <w:t>广东省广州市黄埔区</w:t>
      </w:r>
    </w:p>
    <w:p>
      <w:pPr>
        <w:adjustRightInd w:val="0"/>
        <w:snapToGrid w:val="0"/>
        <w:spacing w:line="560" w:lineRule="exact"/>
        <w:rPr>
          <w:rFonts w:hint="eastAsia" w:hAnsi="宋体" w:eastAsia="仿宋_GB2312"/>
          <w:color w:val="auto"/>
          <w:sz w:val="28"/>
          <w:szCs w:val="28"/>
          <w:highlight w:val="none"/>
          <w:u w:val="single"/>
        </w:rPr>
      </w:pPr>
      <w:r>
        <w:rPr>
          <w:rFonts w:hint="eastAsia" w:hAnsi="宋体" w:eastAsia="仿宋_GB2312"/>
          <w:color w:val="auto"/>
          <w:sz w:val="28"/>
          <w:szCs w:val="28"/>
          <w:highlight w:val="none"/>
        </w:rPr>
        <w:t>甲方：</w:t>
      </w:r>
      <w:r>
        <w:rPr>
          <w:rFonts w:hint="eastAsia" w:ascii="Times New Roman" w:hAnsi="宋体" w:eastAsia="仿宋_GB2312" w:cs="Times New Roman"/>
          <w:color w:val="auto"/>
          <w:sz w:val="28"/>
          <w:szCs w:val="28"/>
          <w:highlight w:val="none"/>
          <w:u w:val="single"/>
        </w:rPr>
        <w:t>中新广州知识城财政投资建设项目管理中心</w:t>
      </w:r>
    </w:p>
    <w:p>
      <w:pPr>
        <w:adjustRightInd w:val="0"/>
        <w:snapToGrid w:val="0"/>
        <w:spacing w:line="560" w:lineRule="exact"/>
        <w:ind w:firstLine="0" w:firstLineChars="0"/>
        <w:rPr>
          <w:rFonts w:hint="default" w:hAnsi="宋体" w:eastAsia="仿宋_GB2312"/>
          <w:color w:val="auto"/>
          <w:sz w:val="28"/>
          <w:szCs w:val="28"/>
          <w:highlight w:val="none"/>
          <w:lang w:val="en-US"/>
        </w:rPr>
      </w:pPr>
      <w:r>
        <w:rPr>
          <w:rFonts w:hint="eastAsia" w:hAnsi="宋体" w:eastAsia="仿宋_GB2312"/>
          <w:color w:val="auto"/>
          <w:sz w:val="28"/>
          <w:szCs w:val="28"/>
          <w:highlight w:val="none"/>
        </w:rPr>
        <w:t>乙方：</w:t>
      </w:r>
      <w:r>
        <w:rPr>
          <w:rFonts w:hint="eastAsia" w:hAnsi="仿宋" w:eastAsia="仿宋_GB2312" w:cs="Times New Roman"/>
          <w:color w:val="auto"/>
          <w:sz w:val="28"/>
          <w:szCs w:val="28"/>
          <w:highlight w:val="none"/>
          <w:u w:val="single"/>
          <w:lang w:val="en-US" w:eastAsia="zh-CN"/>
        </w:rPr>
        <w:t xml:space="preserve">    </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560" w:lineRule="exact"/>
        <w:ind w:firstLine="482"/>
        <w:rPr>
          <w:rFonts w:hint="eastAsia" w:hAnsi="宋体" w:eastAsia="仿宋_GB2312"/>
          <w:b/>
          <w:color w:val="auto"/>
          <w:sz w:val="28"/>
          <w:szCs w:val="28"/>
          <w:highlight w:val="none"/>
        </w:rPr>
      </w:pPr>
      <w:r>
        <w:rPr>
          <w:rFonts w:hint="eastAsia" w:hAnsi="宋体" w:eastAsia="仿宋_GB2312"/>
          <w:b/>
          <w:color w:val="auto"/>
          <w:sz w:val="28"/>
          <w:szCs w:val="28"/>
          <w:highlight w:val="none"/>
          <w:lang w:bidi="ar"/>
        </w:rPr>
        <w:t>第一条</w:t>
      </w:r>
      <w:r>
        <w:rPr>
          <w:rFonts w:hint="eastAsia" w:hAnsi="宋体" w:eastAsia="仿宋_GB2312"/>
          <w:color w:val="auto"/>
          <w:sz w:val="28"/>
          <w:szCs w:val="28"/>
          <w:highlight w:val="none"/>
          <w:lang w:bidi="ar"/>
        </w:rPr>
        <w:t>甲、乙双方的责任</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（一）应严格遵守国家关于市场准入、项目招标投标、工程建设和市场活动等有关法律、法规、相关政策，以及廉政建设的各项规定。</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（二）严格执行建设工程项目承发包合同文件，自觉按合同办事。</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（三）业务活动必须坚持公开、公平、公正、诚信、透明的原则（除法律法规另有规定者外），不得为获取不正当的利益，损害国家、集体和对方利益，不得违反工程建设过程管理的规章制度。</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b/>
          <w:color w:val="auto"/>
          <w:sz w:val="28"/>
          <w:szCs w:val="28"/>
          <w:highlight w:val="none"/>
          <w:lang w:bidi="ar"/>
        </w:rPr>
        <w:t>第二条</w:t>
      </w:r>
      <w:r>
        <w:rPr>
          <w:rFonts w:hint="eastAsia" w:hAnsi="宋体" w:eastAsia="仿宋_GB2312"/>
          <w:color w:val="auto"/>
          <w:sz w:val="28"/>
          <w:szCs w:val="28"/>
          <w:highlight w:val="none"/>
          <w:lang w:bidi="ar"/>
        </w:rPr>
        <w:t>甲方的责任</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甲方的领导和从事本建设工程项目的工作人员，在工程建设的事前、事中、事后应遵守以下规定：</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（一）不准向乙方和相关单位索要或接受回扣、礼金、有价证券、贵重物品和好处费、感谢费等。</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（二）不准在乙方和相关单位报销任何应由甲方或个人支付的费用。</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（三）不准要求、暗示或接受乙方和相关单位为个人装修住房、婚丧嫁娶、配偶子女的工作安排以及出国（境）、旅游等提供方便。</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（四）不准参加有可能影响公正执行公务的乙方及相关单位的宴请、健身、娱乐等活动。</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b/>
          <w:color w:val="auto"/>
          <w:sz w:val="28"/>
          <w:szCs w:val="28"/>
          <w:highlight w:val="none"/>
          <w:lang w:bidi="ar"/>
        </w:rPr>
        <w:t>第三条</w:t>
      </w:r>
      <w:r>
        <w:rPr>
          <w:rFonts w:hint="eastAsia" w:hAnsi="宋体" w:eastAsia="仿宋_GB2312"/>
          <w:color w:val="auto"/>
          <w:sz w:val="28"/>
          <w:szCs w:val="28"/>
          <w:highlight w:val="none"/>
          <w:lang w:bidi="ar"/>
        </w:rPr>
        <w:t>乙方的责任</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应与甲方保持正常的业务交往，按照有关法律法规和程序开展业务工作，严格执行工程建设过程管理的有关方针、政策，尤其是强制性标准和规范，并遵守以下规定：</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（一）不准以任何理由向甲方、相关单位及其工作人员索要、接受或赠送礼金、有价证券、贵重物品及回扣、好处费、感谢费等。</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（二）不准以任何理由为甲方和相关单位报销应由对方或个人支付的费用。</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（三）不准接受或暗示为甲方、相关单位或个人装修住房、婚丧嫁娶、配偶子女的工作安排以及出国（境）、旅游等提供方便。</w:t>
      </w:r>
    </w:p>
    <w:p>
      <w:pPr>
        <w:adjustRightInd w:val="0"/>
        <w:snapToGrid w:val="0"/>
        <w:spacing w:line="560" w:lineRule="exact"/>
        <w:ind w:firstLine="482"/>
        <w:rPr>
          <w:rFonts w:hint="eastAsia" w:hAnsi="宋体" w:eastAsia="仿宋_GB2312"/>
          <w:b/>
          <w:color w:val="auto"/>
          <w:sz w:val="28"/>
          <w:szCs w:val="28"/>
          <w:highlight w:val="none"/>
          <w:lang w:bidi="ar"/>
        </w:rPr>
      </w:pPr>
      <w:r>
        <w:rPr>
          <w:rFonts w:hint="eastAsia" w:hAnsi="宋体" w:eastAsia="仿宋_GB2312"/>
          <w:color w:val="auto"/>
          <w:sz w:val="28"/>
          <w:szCs w:val="28"/>
          <w:highlight w:val="none"/>
          <w:lang w:bidi="ar"/>
        </w:rPr>
        <w:t>（四）不准以任何理由为甲方、相关单位或个人组织有可能影响公正执行公务的宴请、健身、娱乐等活动。</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b/>
          <w:color w:val="auto"/>
          <w:sz w:val="28"/>
          <w:szCs w:val="28"/>
          <w:highlight w:val="none"/>
          <w:lang w:bidi="ar"/>
        </w:rPr>
        <w:t xml:space="preserve"> 第四条</w:t>
      </w:r>
      <w:r>
        <w:rPr>
          <w:rFonts w:hint="eastAsia" w:hAnsi="宋体" w:eastAsia="仿宋_GB2312"/>
          <w:color w:val="auto"/>
          <w:sz w:val="28"/>
          <w:szCs w:val="28"/>
          <w:highlight w:val="none"/>
          <w:lang w:bidi="ar"/>
        </w:rPr>
        <w:t>违约责任</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560" w:lineRule="exact"/>
        <w:ind w:firstLine="482"/>
        <w:rPr>
          <w:rFonts w:hint="eastAsia" w:hAnsi="宋体" w:eastAsia="仿宋_GB2312"/>
          <w:color w:val="auto"/>
          <w:sz w:val="28"/>
          <w:szCs w:val="28"/>
          <w:highlight w:val="none"/>
        </w:rPr>
      </w:pPr>
      <w:r>
        <w:rPr>
          <w:rFonts w:hint="eastAsia" w:hAnsi="宋体" w:eastAsia="仿宋_GB2312"/>
          <w:color w:val="auto"/>
          <w:sz w:val="28"/>
          <w:szCs w:val="28"/>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560" w:lineRule="exact"/>
        <w:ind w:firstLine="482"/>
        <w:rPr>
          <w:rFonts w:hint="eastAsia" w:hAnsi="宋体" w:eastAsia="仿宋_GB2312"/>
          <w:b/>
          <w:color w:val="auto"/>
          <w:sz w:val="28"/>
          <w:szCs w:val="28"/>
          <w:highlight w:val="none"/>
        </w:rPr>
      </w:pPr>
      <w:r>
        <w:rPr>
          <w:rFonts w:hint="eastAsia" w:hAnsi="宋体" w:eastAsia="仿宋_GB2312"/>
          <w:b/>
          <w:color w:val="auto"/>
          <w:sz w:val="28"/>
          <w:szCs w:val="28"/>
          <w:highlight w:val="none"/>
          <w:lang w:bidi="ar"/>
        </w:rPr>
        <w:t>第五条</w:t>
      </w:r>
      <w:r>
        <w:rPr>
          <w:rFonts w:hint="eastAsia" w:hAnsi="宋体" w:eastAsia="仿宋_GB2312"/>
          <w:color w:val="auto"/>
          <w:sz w:val="28"/>
          <w:szCs w:val="28"/>
          <w:highlight w:val="none"/>
          <w:lang w:bidi="ar"/>
        </w:rPr>
        <w:t>本廉政责任书作为合同的附件，与合同具有同等法律效力。经双方签署后立即生效。</w:t>
      </w:r>
    </w:p>
    <w:p>
      <w:pPr>
        <w:adjustRightInd w:val="0"/>
        <w:snapToGrid w:val="0"/>
        <w:spacing w:line="560" w:lineRule="exact"/>
        <w:ind w:firstLine="482"/>
        <w:rPr>
          <w:rFonts w:hint="eastAsia" w:hAnsi="宋体" w:eastAsia="仿宋_GB2312"/>
          <w:b/>
          <w:color w:val="auto"/>
          <w:sz w:val="28"/>
          <w:szCs w:val="28"/>
          <w:highlight w:val="none"/>
        </w:rPr>
      </w:pPr>
      <w:r>
        <w:rPr>
          <w:rFonts w:hint="eastAsia" w:hAnsi="宋体" w:eastAsia="仿宋_GB2312"/>
          <w:b/>
          <w:color w:val="auto"/>
          <w:sz w:val="28"/>
          <w:szCs w:val="28"/>
          <w:highlight w:val="none"/>
          <w:lang w:bidi="ar"/>
        </w:rPr>
        <w:t>第六条</w:t>
      </w:r>
      <w:r>
        <w:rPr>
          <w:rFonts w:hint="eastAsia" w:hAnsi="宋体" w:eastAsia="仿宋_GB2312"/>
          <w:color w:val="auto"/>
          <w:sz w:val="28"/>
          <w:szCs w:val="28"/>
          <w:highlight w:val="none"/>
          <w:lang w:bidi="ar"/>
        </w:rPr>
        <w:t>本廉政责任书的有效期与合同的有效期相同。</w:t>
      </w:r>
    </w:p>
    <w:p>
      <w:pPr>
        <w:adjustRightInd w:val="0"/>
        <w:snapToGrid w:val="0"/>
        <w:spacing w:line="560" w:lineRule="exact"/>
        <w:ind w:firstLine="482"/>
        <w:rPr>
          <w:rFonts w:hint="eastAsia" w:hAnsi="宋体" w:eastAsia="仿宋_GB2312"/>
          <w:b/>
          <w:color w:val="auto"/>
          <w:sz w:val="28"/>
          <w:szCs w:val="28"/>
          <w:highlight w:val="none"/>
        </w:rPr>
      </w:pPr>
      <w:r>
        <w:rPr>
          <w:rFonts w:hint="eastAsia" w:hAnsi="宋体" w:eastAsia="仿宋_GB2312"/>
          <w:b/>
          <w:color w:val="auto"/>
          <w:sz w:val="28"/>
          <w:szCs w:val="28"/>
          <w:highlight w:val="none"/>
          <w:lang w:bidi="ar"/>
        </w:rPr>
        <w:t>第七条</w:t>
      </w:r>
      <w:r>
        <w:rPr>
          <w:rFonts w:hint="eastAsia" w:hAnsi="宋体" w:eastAsia="仿宋_GB2312"/>
          <w:color w:val="auto"/>
          <w:sz w:val="28"/>
          <w:szCs w:val="28"/>
          <w:highlight w:val="none"/>
          <w:lang w:bidi="ar"/>
        </w:rPr>
        <w:t>本廉政责任书</w:t>
      </w:r>
      <w:r>
        <w:rPr>
          <w:rFonts w:hint="eastAsia" w:hAnsi="宋体" w:eastAsia="仿宋_GB2312"/>
          <w:bCs/>
          <w:color w:val="auto"/>
          <w:sz w:val="28"/>
          <w:szCs w:val="28"/>
          <w:highlight w:val="none"/>
          <w:lang w:val="en-US" w:eastAsia="zh-CN"/>
        </w:rPr>
        <w:t>份数与主合同一致</w:t>
      </w:r>
      <w:r>
        <w:rPr>
          <w:rFonts w:hint="eastAsia" w:hAnsi="宋体" w:eastAsia="仿宋_GB2312"/>
          <w:bCs/>
          <w:color w:val="auto"/>
          <w:sz w:val="28"/>
          <w:szCs w:val="28"/>
          <w:highlight w:val="none"/>
          <w:lang w:bidi="ar"/>
        </w:rPr>
        <w:t>。</w:t>
      </w:r>
    </w:p>
    <w:tbl>
      <w:tblPr>
        <w:tblStyle w:val="25"/>
        <w:tblW w:w="0" w:type="auto"/>
        <w:tblInd w:w="-2" w:type="dxa"/>
        <w:tblLayout w:type="autofit"/>
        <w:tblCellMar>
          <w:top w:w="0" w:type="dxa"/>
          <w:left w:w="108" w:type="dxa"/>
          <w:bottom w:w="0" w:type="dxa"/>
          <w:right w:w="108" w:type="dxa"/>
        </w:tblCellMar>
      </w:tblPr>
      <w:tblGrid>
        <w:gridCol w:w="1811"/>
        <w:gridCol w:w="3261"/>
        <w:gridCol w:w="1842"/>
        <w:gridCol w:w="2374"/>
      </w:tblGrid>
      <w:tr>
        <w:tblPrEx>
          <w:tblCellMar>
            <w:top w:w="0" w:type="dxa"/>
            <w:left w:w="108" w:type="dxa"/>
            <w:bottom w:w="0" w:type="dxa"/>
            <w:right w:w="108" w:type="dxa"/>
          </w:tblCellMar>
        </w:tblPrEx>
        <w:tc>
          <w:tcPr>
            <w:tcW w:w="181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jc w:val="center"/>
              <w:rPr>
                <w:rFonts w:hint="default" w:hAnsi="宋体" w:eastAsia="仿宋_GB2312"/>
                <w:color w:val="auto"/>
                <w:sz w:val="28"/>
                <w:szCs w:val="28"/>
                <w:highlight w:val="none"/>
              </w:rPr>
            </w:pPr>
            <w:r>
              <w:rPr>
                <w:rFonts w:hint="eastAsia" w:hAnsi="宋体" w:eastAsia="仿宋_GB2312"/>
                <w:color w:val="auto"/>
                <w:sz w:val="28"/>
                <w:szCs w:val="28"/>
                <w:highlight w:val="none"/>
              </w:rPr>
              <w:t>甲方：</w:t>
            </w:r>
          </w:p>
        </w:tc>
        <w:tc>
          <w:tcPr>
            <w:tcW w:w="3261" w:type="dxa"/>
            <w:noWrap w:val="0"/>
            <w:vAlign w:val="center"/>
          </w:tcPr>
          <w:p>
            <w:pPr>
              <w:keepNext w:val="0"/>
              <w:keepLines w:val="0"/>
              <w:suppressLineNumbers w:val="0"/>
              <w:tabs>
                <w:tab w:val="left" w:pos="5460"/>
              </w:tabs>
              <w:adjustRightInd w:val="0"/>
              <w:snapToGrid w:val="0"/>
              <w:spacing w:before="0" w:beforeAutospacing="0" w:after="0" w:afterAutospacing="0" w:line="240" w:lineRule="atLeas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中新广州知识城财政投资建设项目管理中心</w:t>
            </w:r>
          </w:p>
        </w:tc>
        <w:tc>
          <w:tcPr>
            <w:tcW w:w="1842"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乙方：</w:t>
            </w:r>
          </w:p>
        </w:tc>
        <w:tc>
          <w:tcPr>
            <w:tcW w:w="2374" w:type="dxa"/>
            <w:noWrap w:val="0"/>
            <w:vAlign w:val="center"/>
          </w:tcPr>
          <w:p>
            <w:pPr>
              <w:keepNext w:val="0"/>
              <w:keepLines w:val="0"/>
              <w:suppressLineNumbers w:val="0"/>
              <w:tabs>
                <w:tab w:val="left" w:pos="5460"/>
              </w:tabs>
              <w:adjustRightInd w:val="0"/>
              <w:snapToGrid w:val="0"/>
              <w:spacing w:before="0" w:beforeAutospacing="0" w:after="0" w:afterAutospacing="0" w:line="240" w:lineRule="atLeast"/>
              <w:ind w:left="0" w:right="11"/>
              <w:rPr>
                <w:rFonts w:hint="default" w:hAnsi="宋体" w:eastAsia="仿宋_GB2312"/>
                <w:color w:val="auto"/>
                <w:sz w:val="28"/>
                <w:szCs w:val="28"/>
                <w:highlight w:val="none"/>
              </w:rPr>
            </w:pPr>
          </w:p>
        </w:tc>
      </w:tr>
      <w:tr>
        <w:tblPrEx>
          <w:tblCellMar>
            <w:top w:w="0" w:type="dxa"/>
            <w:left w:w="108" w:type="dxa"/>
            <w:bottom w:w="0" w:type="dxa"/>
            <w:right w:w="108" w:type="dxa"/>
          </w:tblCellMar>
        </w:tblPrEx>
        <w:trPr>
          <w:trHeight w:val="680" w:hRule="atLeast"/>
        </w:trPr>
        <w:tc>
          <w:tcPr>
            <w:tcW w:w="181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法定代表人：</w:t>
            </w:r>
          </w:p>
        </w:tc>
        <w:tc>
          <w:tcPr>
            <w:tcW w:w="326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c>
          <w:tcPr>
            <w:tcW w:w="1842"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法定代表人：</w:t>
            </w:r>
          </w:p>
        </w:tc>
        <w:tc>
          <w:tcPr>
            <w:tcW w:w="2374"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r>
      <w:tr>
        <w:tblPrEx>
          <w:tblCellMar>
            <w:top w:w="0" w:type="dxa"/>
            <w:left w:w="108" w:type="dxa"/>
            <w:bottom w:w="0" w:type="dxa"/>
            <w:right w:w="108" w:type="dxa"/>
          </w:tblCellMar>
        </w:tblPrEx>
        <w:trPr>
          <w:trHeight w:val="680" w:hRule="atLeast"/>
        </w:trPr>
        <w:tc>
          <w:tcPr>
            <w:tcW w:w="181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委托代理人：</w:t>
            </w:r>
          </w:p>
        </w:tc>
        <w:tc>
          <w:tcPr>
            <w:tcW w:w="326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c>
          <w:tcPr>
            <w:tcW w:w="1842"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r>
              <w:rPr>
                <w:rFonts w:hint="eastAsia" w:hAnsi="宋体" w:eastAsia="仿宋_GB2312"/>
                <w:color w:val="auto"/>
                <w:sz w:val="28"/>
                <w:szCs w:val="28"/>
                <w:highlight w:val="none"/>
              </w:rPr>
              <w:t>委托代理人：</w:t>
            </w:r>
          </w:p>
        </w:tc>
        <w:tc>
          <w:tcPr>
            <w:tcW w:w="2374"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r>
      <w:tr>
        <w:tblPrEx>
          <w:tblCellMar>
            <w:top w:w="0" w:type="dxa"/>
            <w:left w:w="108" w:type="dxa"/>
            <w:bottom w:w="0" w:type="dxa"/>
            <w:right w:w="108" w:type="dxa"/>
          </w:tblCellMar>
        </w:tblPrEx>
        <w:trPr>
          <w:trHeight w:val="340" w:hRule="atLeast"/>
        </w:trPr>
        <w:tc>
          <w:tcPr>
            <w:tcW w:w="181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eastAsia" w:hAnsi="宋体" w:eastAsia="仿宋_GB2312"/>
                <w:color w:val="auto"/>
                <w:sz w:val="28"/>
                <w:szCs w:val="28"/>
                <w:highlight w:val="none"/>
              </w:rPr>
            </w:pPr>
          </w:p>
        </w:tc>
        <w:tc>
          <w:tcPr>
            <w:tcW w:w="3261"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c>
          <w:tcPr>
            <w:tcW w:w="1842"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eastAsia" w:hAnsi="宋体" w:eastAsia="仿宋_GB2312"/>
                <w:color w:val="auto"/>
                <w:sz w:val="28"/>
                <w:szCs w:val="28"/>
                <w:highlight w:val="none"/>
              </w:rPr>
            </w:pPr>
          </w:p>
        </w:tc>
        <w:tc>
          <w:tcPr>
            <w:tcW w:w="2374" w:type="dxa"/>
            <w:noWrap w:val="0"/>
            <w:vAlign w:val="center"/>
          </w:tcPr>
          <w:p>
            <w:pPr>
              <w:keepNext w:val="0"/>
              <w:keepLines w:val="0"/>
              <w:suppressLineNumbers w:val="0"/>
              <w:tabs>
                <w:tab w:val="left" w:pos="5460"/>
              </w:tabs>
              <w:adjustRightInd w:val="0"/>
              <w:snapToGrid w:val="0"/>
              <w:spacing w:before="0" w:beforeAutospacing="0" w:after="0" w:afterAutospacing="0" w:line="560" w:lineRule="exact"/>
              <w:ind w:left="0" w:right="11"/>
              <w:rPr>
                <w:rFonts w:hint="default" w:hAnsi="宋体" w:eastAsia="仿宋_GB2312"/>
                <w:color w:val="auto"/>
                <w:sz w:val="28"/>
                <w:szCs w:val="28"/>
                <w:highlight w:val="none"/>
              </w:rPr>
            </w:pPr>
          </w:p>
        </w:tc>
      </w:tr>
    </w:tbl>
    <w:p>
      <w:pPr>
        <w:tabs>
          <w:tab w:val="left" w:pos="5460"/>
        </w:tabs>
        <w:adjustRightInd w:val="0"/>
        <w:snapToGrid w:val="0"/>
        <w:spacing w:line="560" w:lineRule="exact"/>
        <w:ind w:left="-2" w:leftChars="-1" w:right="11"/>
        <w:rPr>
          <w:rFonts w:hint="eastAsia" w:hAnsi="宋体" w:eastAsia="仿宋_GB2312"/>
          <w:color w:val="auto"/>
          <w:sz w:val="28"/>
          <w:szCs w:val="28"/>
          <w:highlight w:val="none"/>
        </w:rPr>
      </w:pPr>
      <w:r>
        <w:rPr>
          <w:rFonts w:hint="eastAsia" w:hAnsi="宋体" w:eastAsia="仿宋_GB2312"/>
          <w:color w:val="auto"/>
          <w:sz w:val="28"/>
          <w:szCs w:val="28"/>
          <w:highlight w:val="none"/>
        </w:rPr>
        <w:t>签约日期：</w:t>
      </w:r>
      <w:r>
        <w:rPr>
          <w:rFonts w:hint="eastAsia" w:hAnsi="宋体" w:eastAsia="仿宋_GB2312"/>
          <w:color w:val="auto"/>
          <w:sz w:val="28"/>
          <w:szCs w:val="28"/>
          <w:highlight w:val="none"/>
          <w:u w:val="single"/>
          <w:lang w:val="en-US" w:eastAsia="zh-CN"/>
        </w:rPr>
        <w:t xml:space="preserve">  </w:t>
      </w:r>
      <w:r>
        <w:rPr>
          <w:rFonts w:hint="eastAsia" w:hAnsi="宋体" w:eastAsia="仿宋_GB2312"/>
          <w:color w:val="auto"/>
          <w:sz w:val="28"/>
          <w:szCs w:val="28"/>
          <w:highlight w:val="none"/>
        </w:rPr>
        <w:t>年</w:t>
      </w:r>
      <w:r>
        <w:rPr>
          <w:rFonts w:hint="eastAsia" w:hAnsi="宋体" w:eastAsia="仿宋_GB2312"/>
          <w:color w:val="auto"/>
          <w:sz w:val="28"/>
          <w:szCs w:val="28"/>
          <w:highlight w:val="none"/>
          <w:u w:val="single"/>
          <w:lang w:val="en-US" w:eastAsia="zh-CN"/>
        </w:rPr>
        <w:t xml:space="preserve">  </w:t>
      </w:r>
      <w:r>
        <w:rPr>
          <w:rFonts w:hint="eastAsia" w:hAnsi="宋体" w:eastAsia="仿宋_GB2312"/>
          <w:color w:val="auto"/>
          <w:sz w:val="28"/>
          <w:szCs w:val="28"/>
          <w:highlight w:val="none"/>
        </w:rPr>
        <w:t>月</w:t>
      </w:r>
      <w:r>
        <w:rPr>
          <w:rFonts w:hint="eastAsia" w:hAnsi="宋体" w:eastAsia="仿宋_GB2312"/>
          <w:color w:val="auto"/>
          <w:sz w:val="28"/>
          <w:szCs w:val="28"/>
          <w:highlight w:val="none"/>
          <w:u w:val="single"/>
          <w:lang w:val="en-US" w:eastAsia="zh-CN"/>
        </w:rPr>
        <w:t xml:space="preserve">  </w:t>
      </w:r>
      <w:r>
        <w:rPr>
          <w:rFonts w:hint="eastAsia" w:hAnsi="宋体" w:eastAsia="仿宋_GB2312"/>
          <w:color w:val="auto"/>
          <w:sz w:val="28"/>
          <w:szCs w:val="28"/>
          <w:highlight w:val="none"/>
        </w:rPr>
        <w:t xml:space="preserve">日                      </w:t>
      </w:r>
    </w:p>
    <w:p>
      <w:pPr>
        <w:spacing w:line="560" w:lineRule="exact"/>
        <w:rPr>
          <w:rFonts w:hint="eastAsia"/>
          <w:color w:val="auto"/>
          <w:highlight w:val="none"/>
        </w:rPr>
      </w:pPr>
      <w:r>
        <w:rPr>
          <w:rFonts w:hint="eastAsia" w:hAnsi="宋体" w:eastAsia="仿宋_GB2312"/>
          <w:color w:val="auto"/>
          <w:sz w:val="28"/>
          <w:szCs w:val="28"/>
          <w:highlight w:val="none"/>
        </w:rPr>
        <w:t>签约地点：广东省广州市黄埔区。</w:t>
      </w:r>
    </w:p>
    <w:p>
      <w:pPr>
        <w:spacing w:after="120"/>
        <w:ind w:firstLine="200" w:firstLineChars="100"/>
        <w:rPr>
          <w:rFonts w:hint="eastAsia" w:ascii="Calibri" w:hAnsi="Calibri"/>
          <w:color w:val="auto"/>
          <w:sz w:val="20"/>
          <w:szCs w:val="24"/>
          <w:highlight w:val="none"/>
        </w:rPr>
      </w:pPr>
    </w:p>
    <w:p>
      <w:pPr>
        <w:spacing w:line="560" w:lineRule="exact"/>
        <w:rPr>
          <w:rFonts w:hint="eastAsia" w:hAnsi="仿宋" w:eastAsia="仿宋_GB2312"/>
          <w:b/>
          <w:color w:val="auto"/>
          <w:sz w:val="28"/>
          <w:szCs w:val="28"/>
          <w:highlight w:val="none"/>
        </w:rPr>
      </w:pPr>
      <w:r>
        <w:rPr>
          <w:rFonts w:hint="eastAsia" w:hAnsi="仿宋" w:eastAsia="仿宋_GB2312"/>
          <w:b/>
          <w:color w:val="auto"/>
          <w:sz w:val="28"/>
          <w:szCs w:val="28"/>
          <w:highlight w:val="none"/>
        </w:rPr>
        <w:br w:type="page"/>
      </w:r>
      <w:r>
        <w:rPr>
          <w:rFonts w:hint="eastAsia" w:hAnsi="仿宋" w:eastAsia="仿宋_GB2312"/>
          <w:b/>
          <w:color w:val="auto"/>
          <w:sz w:val="28"/>
          <w:szCs w:val="28"/>
          <w:highlight w:val="none"/>
        </w:rPr>
        <w:t>附件2：</w:t>
      </w:r>
    </w:p>
    <w:p>
      <w:pPr>
        <w:spacing w:line="560" w:lineRule="exact"/>
        <w:jc w:val="center"/>
        <w:rPr>
          <w:rFonts w:hint="eastAsia" w:eastAsia="仿宋_GB2312"/>
          <w:color w:val="auto"/>
          <w:sz w:val="24"/>
          <w:szCs w:val="24"/>
          <w:highlight w:val="none"/>
        </w:rPr>
      </w:pPr>
      <w:r>
        <w:rPr>
          <w:rFonts w:hint="eastAsia" w:eastAsia="仿宋_GB2312"/>
          <w:color w:val="auto"/>
          <w:sz w:val="24"/>
          <w:szCs w:val="24"/>
          <w:highlight w:val="none"/>
        </w:rPr>
        <w:t>合同编号：中新知建管  [   ]   号/  /</w:t>
      </w:r>
    </w:p>
    <w:p>
      <w:pPr>
        <w:spacing w:line="560" w:lineRule="exact"/>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drawing>
          <wp:anchor distT="0" distB="0" distL="114300" distR="114300" simplePos="0" relativeHeight="251664384" behindDoc="1" locked="0" layoutInCell="1" allowOverlap="1">
            <wp:simplePos x="0" y="0"/>
            <wp:positionH relativeFrom="column">
              <wp:posOffset>-392430</wp:posOffset>
            </wp:positionH>
            <wp:positionV relativeFrom="paragraph">
              <wp:posOffset>172720</wp:posOffset>
            </wp:positionV>
            <wp:extent cx="3557905" cy="1711960"/>
            <wp:effectExtent l="0" t="0" r="4445" b="2540"/>
            <wp:wrapNone/>
            <wp:docPr id="11" name="图片 11" descr="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我的文档\Documents\Tencent Files\294312491\FileRecv\SSGKC Inline_Colour Logo.jpg"/>
                    <pic:cNvPicPr>
                      <a:picLocks noChangeAspect="1"/>
                    </pic:cNvPicPr>
                  </pic:nvPicPr>
                  <pic:blipFill>
                    <a:blip r:embed="rId20"/>
                    <a:stretch>
                      <a:fillRect/>
                    </a:stretch>
                  </pic:blipFill>
                  <pic:spPr>
                    <a:xfrm>
                      <a:off x="0" y="0"/>
                      <a:ext cx="3557905" cy="1711960"/>
                    </a:xfrm>
                    <a:prstGeom prst="rect">
                      <a:avLst/>
                    </a:prstGeom>
                    <a:noFill/>
                    <a:ln>
                      <a:noFill/>
                    </a:ln>
                  </pic:spPr>
                </pic:pic>
              </a:graphicData>
            </a:graphic>
          </wp:anchor>
        </w:drawing>
      </w:r>
      <w:r>
        <w:rPr>
          <w:rFonts w:hint="eastAsia" w:ascii="楷体_GB2312" w:eastAsia="楷体_GB2312"/>
          <w:color w:val="auto"/>
          <w:sz w:val="28"/>
          <w:szCs w:val="28"/>
          <w:highlight w:val="none"/>
        </w:rPr>
        <w:t xml:space="preserve"> </w:t>
      </w:r>
    </w:p>
    <w:p>
      <w:pPr>
        <w:spacing w:line="560" w:lineRule="exact"/>
        <w:ind w:firstLine="960" w:firstLineChars="400"/>
        <w:rPr>
          <w:rFonts w:hint="eastAsia" w:ascii="楷体_GB2312" w:eastAsia="楷体_GB2312"/>
          <w:color w:val="auto"/>
          <w:highlight w:val="none"/>
        </w:rPr>
      </w:pPr>
    </w:p>
    <w:p>
      <w:pPr>
        <w:spacing w:line="560" w:lineRule="exact"/>
        <w:ind w:firstLine="8400" w:firstLineChars="3500"/>
        <w:rPr>
          <w:rFonts w:hint="eastAsia" w:ascii="楷体_GB2312" w:eastAsia="楷体_GB2312"/>
          <w:color w:val="auto"/>
          <w:sz w:val="24"/>
          <w:highlight w:val="none"/>
        </w:rPr>
      </w:pPr>
      <w:r>
        <w:rPr>
          <w:rFonts w:hint="eastAsia" w:ascii="楷体_GB2312" w:eastAsia="楷体_GB2312"/>
          <w:color w:val="auto"/>
          <w:sz w:val="24"/>
          <w:highlight w:val="none"/>
        </w:rPr>
        <w:t xml:space="preserve">                            </w:t>
      </w:r>
    </w:p>
    <w:p>
      <w:pPr>
        <w:spacing w:line="560" w:lineRule="exact"/>
        <w:rPr>
          <w:rFonts w:hint="eastAsia" w:ascii="楷体_GB2312" w:eastAsia="楷体_GB2312"/>
          <w:color w:val="auto"/>
          <w:sz w:val="28"/>
          <w:szCs w:val="28"/>
          <w:highlight w:val="none"/>
        </w:rPr>
      </w:pPr>
    </w:p>
    <w:p>
      <w:pPr>
        <w:spacing w:line="560" w:lineRule="exact"/>
        <w:ind w:firstLine="960" w:firstLineChars="400"/>
        <w:rPr>
          <w:rFonts w:hint="eastAsia" w:ascii="楷体_GB2312" w:eastAsia="楷体_GB2312"/>
          <w:color w:val="auto"/>
          <w:highlight w:val="none"/>
        </w:rPr>
      </w:pPr>
    </w:p>
    <w:p>
      <w:pPr>
        <w:spacing w:line="560" w:lineRule="exact"/>
        <w:ind w:firstLine="960" w:firstLineChars="400"/>
        <w:rPr>
          <w:rFonts w:hint="eastAsia" w:ascii="楷体_GB2312" w:eastAsia="楷体_GB2312"/>
          <w:color w:val="auto"/>
          <w:highlight w:val="none"/>
        </w:rPr>
      </w:pPr>
      <w:r>
        <w:rPr>
          <w:rFonts w:hint="eastAsia" w:ascii="楷体_GB2312" w:eastAsia="楷体_GB2312"/>
          <w:color w:val="auto"/>
          <w:highlight w:val="none"/>
        </w:rPr>
        <w:t xml:space="preserve">   </w:t>
      </w:r>
    </w:p>
    <w:p>
      <w:pPr>
        <w:spacing w:line="560" w:lineRule="exact"/>
        <w:jc w:val="center"/>
        <w:rPr>
          <w:rFonts w:hint="eastAsia" w:ascii="楷体_GB2312" w:hAnsi="宋体" w:eastAsia="楷体_GB2312"/>
          <w:b/>
          <w:bCs/>
          <w:color w:val="auto"/>
          <w:sz w:val="84"/>
          <w:szCs w:val="84"/>
          <w:highlight w:val="none"/>
        </w:rPr>
      </w:pPr>
    </w:p>
    <w:p>
      <w:pPr>
        <w:spacing w:line="560" w:lineRule="exact"/>
        <w:jc w:val="center"/>
        <w:rPr>
          <w:rFonts w:hint="default" w:hAnsi="宋体" w:eastAsia="仿宋_GB2312"/>
          <w:b/>
          <w:bCs/>
          <w:color w:val="auto"/>
          <w:sz w:val="52"/>
          <w:szCs w:val="52"/>
          <w:highlight w:val="none"/>
          <w:lang w:val="en-US" w:eastAsia="zh-CN"/>
        </w:rPr>
      </w:pPr>
      <w:r>
        <w:rPr>
          <w:rFonts w:hint="eastAsia" w:hAnsi="宋体" w:eastAsia="仿宋_GB2312"/>
          <w:b/>
          <w:bCs/>
          <w:color w:val="auto"/>
          <w:sz w:val="52"/>
          <w:szCs w:val="52"/>
          <w:highlight w:val="none"/>
          <w:lang w:val="en-US" w:eastAsia="zh-CN"/>
        </w:rPr>
        <w:t>XX</w:t>
      </w:r>
      <w:r>
        <w:rPr>
          <w:rFonts w:hint="eastAsia" w:hAnsi="宋体" w:eastAsia="仿宋_GB2312"/>
          <w:b/>
          <w:bCs/>
          <w:color w:val="auto"/>
          <w:sz w:val="52"/>
          <w:szCs w:val="52"/>
          <w:highlight w:val="none"/>
        </w:rPr>
        <w:t>项目用地报批征地前期工作咨询服务</w:t>
      </w:r>
      <w:r>
        <w:rPr>
          <w:rFonts w:hint="eastAsia" w:hAnsi="宋体" w:eastAsia="仿宋_GB2312"/>
          <w:b/>
          <w:bCs/>
          <w:color w:val="auto"/>
          <w:sz w:val="52"/>
          <w:szCs w:val="52"/>
          <w:highlight w:val="none"/>
          <w:lang w:val="en-US" w:eastAsia="zh-CN"/>
        </w:rPr>
        <w:t>合同</w:t>
      </w:r>
    </w:p>
    <w:p>
      <w:pPr>
        <w:spacing w:line="480" w:lineRule="exact"/>
        <w:ind w:firstLine="5100" w:firstLineChars="1700"/>
        <w:rPr>
          <w:rFonts w:hint="eastAsia" w:hAnsi="宋体" w:eastAsia="仿宋_GB2312"/>
          <w:color w:val="auto"/>
          <w:sz w:val="30"/>
          <w:szCs w:val="30"/>
          <w:highlight w:val="none"/>
        </w:rPr>
      </w:pPr>
    </w:p>
    <w:p>
      <w:pPr>
        <w:spacing w:line="480" w:lineRule="exact"/>
        <w:ind w:firstLine="2520" w:firstLineChars="900"/>
        <w:jc w:val="left"/>
        <w:rPr>
          <w:rFonts w:hint="eastAsia" w:hAnsi="宋体" w:eastAsia="仿宋_GB2312"/>
          <w:color w:val="auto"/>
          <w:sz w:val="28"/>
          <w:szCs w:val="28"/>
          <w:highlight w:val="none"/>
        </w:rPr>
      </w:pPr>
      <w:r>
        <w:rPr>
          <w:rFonts w:hint="eastAsia" w:hAnsi="宋体" w:eastAsia="仿宋_GB2312"/>
          <w:color w:val="auto"/>
          <w:sz w:val="28"/>
          <w:szCs w:val="28"/>
          <w:highlight w:val="none"/>
        </w:rPr>
        <w:t>（单项工程用地报批征地前期工作咨询服务合同格式）</w:t>
      </w:r>
    </w:p>
    <w:p>
      <w:pPr>
        <w:spacing w:line="480" w:lineRule="exact"/>
        <w:rPr>
          <w:rFonts w:hint="eastAsia" w:hAnsi="宋体" w:eastAsia="仿宋_GB2312"/>
          <w:color w:val="auto"/>
          <w:sz w:val="28"/>
          <w:szCs w:val="28"/>
          <w:highlight w:val="none"/>
        </w:rPr>
      </w:pPr>
    </w:p>
    <w:p>
      <w:pPr>
        <w:spacing w:line="480" w:lineRule="exact"/>
        <w:ind w:firstLine="1400" w:firstLineChars="500"/>
        <w:rPr>
          <w:rFonts w:hint="eastAsia" w:hAnsi="仿宋" w:eastAsia="仿宋_GB2312"/>
          <w:color w:val="auto"/>
          <w:sz w:val="28"/>
          <w:szCs w:val="28"/>
          <w:highlight w:val="none"/>
          <w:u w:val="single"/>
        </w:rPr>
      </w:pPr>
      <w:r>
        <w:rPr>
          <w:rFonts w:hint="eastAsia" w:hAnsi="仿宋" w:eastAsia="仿宋_GB2312"/>
          <w:color w:val="auto"/>
          <w:sz w:val="28"/>
          <w:szCs w:val="28"/>
          <w:highlight w:val="none"/>
        </w:rPr>
        <w:t>项目名称：</w:t>
      </w:r>
      <w:r>
        <w:rPr>
          <w:rFonts w:hint="eastAsia" w:hAnsi="仿宋" w:eastAsia="仿宋_GB2312"/>
          <w:color w:val="auto"/>
          <w:sz w:val="28"/>
          <w:szCs w:val="28"/>
          <w:highlight w:val="none"/>
          <w:u w:val="single"/>
        </w:rPr>
        <w:t xml:space="preserve">                                          </w:t>
      </w:r>
    </w:p>
    <w:p>
      <w:pPr>
        <w:spacing w:line="480" w:lineRule="exact"/>
        <w:rPr>
          <w:rFonts w:hint="default" w:hAnsi="仿宋" w:eastAsia="仿宋_GB2312"/>
          <w:color w:val="auto"/>
          <w:sz w:val="28"/>
          <w:szCs w:val="28"/>
          <w:highlight w:val="none"/>
          <w:u w:val="single"/>
          <w:lang w:val="en-US" w:eastAsia="zh-CN"/>
        </w:rPr>
      </w:pPr>
      <w:r>
        <w:rPr>
          <w:rFonts w:hint="eastAsia" w:hAnsi="仿宋" w:eastAsia="仿宋_GB2312"/>
          <w:color w:val="auto"/>
          <w:sz w:val="28"/>
          <w:szCs w:val="28"/>
          <w:highlight w:val="none"/>
        </w:rPr>
        <w:t xml:space="preserve">          委托单位：</w:t>
      </w:r>
      <w:r>
        <w:rPr>
          <w:rFonts w:hint="eastAsia" w:hAnsi="仿宋" w:eastAsia="仿宋_GB2312"/>
          <w:color w:val="auto"/>
          <w:sz w:val="28"/>
          <w:szCs w:val="28"/>
          <w:highlight w:val="none"/>
          <w:u w:val="single"/>
          <w:lang w:val="en-US" w:eastAsia="zh-CN"/>
        </w:rPr>
        <w:t xml:space="preserve">                                 </w:t>
      </w:r>
    </w:p>
    <w:p>
      <w:pPr>
        <w:snapToGrid w:val="0"/>
        <w:spacing w:line="440" w:lineRule="exact"/>
        <w:rPr>
          <w:rFonts w:hint="eastAsia" w:hAnsi="仿宋" w:eastAsia="仿宋_GB2312"/>
          <w:color w:val="auto"/>
          <w:sz w:val="28"/>
          <w:szCs w:val="28"/>
          <w:highlight w:val="none"/>
          <w:u w:val="single"/>
        </w:rPr>
      </w:pPr>
      <w:r>
        <w:rPr>
          <w:rFonts w:hint="eastAsia" w:hAnsi="仿宋" w:eastAsia="仿宋_GB2312"/>
          <w:color w:val="auto"/>
          <w:sz w:val="28"/>
          <w:szCs w:val="28"/>
          <w:highlight w:val="none"/>
        </w:rPr>
        <w:t xml:space="preserve">          服务单位：</w:t>
      </w:r>
      <w:r>
        <w:rPr>
          <w:rFonts w:hint="eastAsia" w:hAnsi="仿宋" w:eastAsia="仿宋_GB2312"/>
          <w:color w:val="auto"/>
          <w:sz w:val="28"/>
          <w:szCs w:val="28"/>
          <w:highlight w:val="none"/>
          <w:u w:val="single"/>
        </w:rPr>
        <w:t xml:space="preserve">                               </w:t>
      </w:r>
    </w:p>
    <w:p>
      <w:pPr>
        <w:spacing w:line="480" w:lineRule="exact"/>
        <w:rPr>
          <w:rFonts w:hint="eastAsia" w:hAnsi="仿宋" w:eastAsia="仿宋_GB2312"/>
          <w:color w:val="auto"/>
          <w:sz w:val="28"/>
          <w:szCs w:val="28"/>
          <w:highlight w:val="none"/>
          <w:u w:val="single"/>
        </w:rPr>
      </w:pPr>
      <w:r>
        <w:rPr>
          <w:rFonts w:hint="eastAsia" w:hAnsi="仿宋" w:eastAsia="仿宋_GB2312"/>
          <w:color w:val="auto"/>
          <w:sz w:val="28"/>
          <w:szCs w:val="28"/>
          <w:highlight w:val="none"/>
        </w:rPr>
        <w:t xml:space="preserve">          合同签订日期</w:t>
      </w:r>
      <w:r>
        <w:rPr>
          <w:rFonts w:hint="eastAsia" w:hAnsi="仿宋" w:eastAsia="仿宋_GB2312"/>
          <w:color w:val="auto"/>
          <w:sz w:val="28"/>
          <w:szCs w:val="28"/>
          <w:highlight w:val="none"/>
          <w:lang w:eastAsia="zh-CN"/>
        </w:rPr>
        <w:t>：</w:t>
      </w:r>
      <w:r>
        <w:rPr>
          <w:rFonts w:hint="eastAsia" w:hAnsi="仿宋" w:eastAsia="仿宋_GB2312"/>
          <w:color w:val="auto"/>
          <w:sz w:val="28"/>
          <w:szCs w:val="28"/>
          <w:highlight w:val="none"/>
          <w:u w:val="single"/>
        </w:rPr>
        <w:t xml:space="preserve">  年  月    日</w:t>
      </w:r>
    </w:p>
    <w:p>
      <w:pPr>
        <w:spacing w:line="480" w:lineRule="exact"/>
        <w:rPr>
          <w:rFonts w:hint="eastAsia" w:hAnsi="仿宋" w:eastAsia="仿宋_GB2312"/>
          <w:color w:val="auto"/>
          <w:sz w:val="28"/>
          <w:szCs w:val="28"/>
          <w:highlight w:val="none"/>
          <w:u w:val="single"/>
        </w:rPr>
      </w:pPr>
      <w:r>
        <w:rPr>
          <w:rFonts w:hint="eastAsia" w:hAnsi="仿宋" w:eastAsia="仿宋_GB2312"/>
          <w:color w:val="auto"/>
          <w:sz w:val="28"/>
          <w:szCs w:val="28"/>
          <w:highlight w:val="none"/>
        </w:rPr>
        <w:t xml:space="preserve">          签订地点：</w:t>
      </w:r>
      <w:r>
        <w:rPr>
          <w:rFonts w:hint="eastAsia" w:hAnsi="仿宋" w:eastAsia="仿宋_GB2312"/>
          <w:color w:val="auto"/>
          <w:sz w:val="28"/>
          <w:szCs w:val="28"/>
          <w:highlight w:val="none"/>
          <w:u w:val="single"/>
        </w:rPr>
        <w:t xml:space="preserve">广州市黄埔区 </w:t>
      </w:r>
    </w:p>
    <w:p>
      <w:pPr>
        <w:widowControl/>
        <w:spacing w:line="560" w:lineRule="exact"/>
        <w:jc w:val="left"/>
        <w:rPr>
          <w:rFonts w:hint="eastAsia" w:ascii="楷体_GB2312" w:hAnsi="宋体" w:eastAsia="楷体_GB2312"/>
          <w:color w:val="auto"/>
          <w:highlight w:val="none"/>
        </w:rPr>
        <w:sectPr>
          <w:pgSz w:w="11906" w:h="16838"/>
          <w:pgMar w:top="1417" w:right="1417" w:bottom="1417" w:left="1417" w:header="850" w:footer="567" w:gutter="0"/>
          <w:cols w:space="720" w:num="1"/>
        </w:sectPr>
      </w:pPr>
      <w:r>
        <w:rPr>
          <w:rFonts w:hint="eastAsia" w:ascii="楷体_GB2312" w:hAnsi="宋体" w:eastAsia="楷体_GB2312"/>
          <w:color w:val="auto"/>
          <w:highlight w:val="none"/>
        </w:rPr>
        <w:drawing>
          <wp:anchor distT="0" distB="0" distL="114300" distR="114300" simplePos="0" relativeHeight="251665408" behindDoc="0" locked="0" layoutInCell="1" allowOverlap="0">
            <wp:simplePos x="0" y="0"/>
            <wp:positionH relativeFrom="column">
              <wp:align>center</wp:align>
            </wp:positionH>
            <wp:positionV relativeFrom="paragraph">
              <wp:posOffset>1858010</wp:posOffset>
            </wp:positionV>
            <wp:extent cx="7562850" cy="2633980"/>
            <wp:effectExtent l="0" t="0" r="0" b="1397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9"/>
                    <a:stretch>
                      <a:fillRect/>
                    </a:stretch>
                  </pic:blipFill>
                  <pic:spPr>
                    <a:xfrm>
                      <a:off x="0" y="0"/>
                      <a:ext cx="7562850" cy="2633980"/>
                    </a:xfrm>
                    <a:prstGeom prst="rect">
                      <a:avLst/>
                    </a:prstGeom>
                    <a:noFill/>
                    <a:ln>
                      <a:noFill/>
                    </a:ln>
                  </pic:spPr>
                </pic:pic>
              </a:graphicData>
            </a:graphic>
          </wp:anchor>
        </w:drawing>
      </w:r>
    </w:p>
    <w:p>
      <w:pPr>
        <w:spacing w:line="560" w:lineRule="exact"/>
        <w:rPr>
          <w:rFonts w:hint="default" w:hAnsi="宋体" w:eastAsia="仿宋_GB2312"/>
          <w:color w:val="auto"/>
          <w:sz w:val="28"/>
          <w:szCs w:val="28"/>
          <w:highlight w:val="none"/>
          <w:u w:val="single"/>
          <w:lang w:val="en-US" w:eastAsia="zh-CN"/>
        </w:rPr>
      </w:pPr>
      <w:r>
        <w:rPr>
          <w:rFonts w:hint="eastAsia" w:hAnsi="宋体" w:eastAsia="仿宋_GB2312"/>
          <w:color w:val="auto"/>
          <w:sz w:val="28"/>
          <w:szCs w:val="28"/>
          <w:highlight w:val="none"/>
        </w:rPr>
        <w:t>甲方：</w:t>
      </w:r>
      <w:r>
        <w:rPr>
          <w:rFonts w:hint="eastAsia" w:hAnsi="仿宋" w:eastAsia="仿宋_GB2312"/>
          <w:color w:val="auto"/>
          <w:sz w:val="28"/>
          <w:szCs w:val="28"/>
          <w:highlight w:val="none"/>
          <w:u w:val="single"/>
          <w:lang w:val="en-US" w:eastAsia="zh-CN"/>
        </w:rPr>
        <w:t xml:space="preserve">                  </w:t>
      </w:r>
    </w:p>
    <w:p>
      <w:pPr>
        <w:spacing w:line="560" w:lineRule="exact"/>
        <w:jc w:val="both"/>
        <w:rPr>
          <w:rFonts w:hint="eastAsia" w:hAnsi="宋体" w:eastAsia="仿宋_GB2312"/>
          <w:color w:val="auto"/>
          <w:sz w:val="28"/>
          <w:szCs w:val="28"/>
          <w:highlight w:val="none"/>
          <w:u w:val="single"/>
        </w:rPr>
      </w:pPr>
      <w:r>
        <w:rPr>
          <w:rFonts w:hint="eastAsia" w:hAnsi="宋体" w:eastAsia="仿宋_GB2312"/>
          <w:color w:val="auto"/>
          <w:sz w:val="28"/>
          <w:szCs w:val="28"/>
          <w:highlight w:val="none"/>
        </w:rPr>
        <w:t>乙方：</w:t>
      </w:r>
      <w:r>
        <w:rPr>
          <w:rFonts w:hint="eastAsia" w:hAnsi="宋体" w:eastAsia="仿宋_GB2312"/>
          <w:color w:val="auto"/>
          <w:sz w:val="28"/>
          <w:szCs w:val="28"/>
          <w:highlight w:val="none"/>
          <w:u w:val="single"/>
        </w:rPr>
        <w:t xml:space="preserve">                                    </w:t>
      </w:r>
    </w:p>
    <w:p>
      <w:pPr>
        <w:pStyle w:val="63"/>
        <w:spacing w:line="360" w:lineRule="auto"/>
        <w:ind w:firstLine="0" w:firstLineChars="0"/>
        <w:rPr>
          <w:rFonts w:ascii="Times New Roman" w:hAnsi="Times New Roman" w:eastAsia="楷体" w:cs="Times New Roman"/>
          <w:color w:val="auto"/>
          <w:sz w:val="28"/>
          <w:szCs w:val="28"/>
          <w:highlight w:val="none"/>
        </w:rPr>
      </w:pPr>
    </w:p>
    <w:p>
      <w:pPr>
        <w:pStyle w:val="62"/>
        <w:jc w:val="both"/>
        <w:rPr>
          <w:color w:val="auto"/>
          <w:highlight w:val="none"/>
        </w:rPr>
      </w:pPr>
    </w:p>
    <w:p>
      <w:pPr>
        <w:pStyle w:val="62"/>
        <w:ind w:firstLine="424"/>
        <w:jc w:val="both"/>
        <w:rPr>
          <w:color w:val="auto"/>
          <w:highlight w:val="none"/>
        </w:rPr>
      </w:pPr>
      <w:r>
        <w:rPr>
          <w:color w:val="auto"/>
          <w:sz w:val="24"/>
          <w:highlight w:val="none"/>
        </w:rPr>
        <w:t>根据</w:t>
      </w:r>
      <w:r>
        <w:rPr>
          <w:color w:val="auto"/>
          <w:sz w:val="21"/>
          <w:highlight w:val="none"/>
          <w:u w:val="single"/>
        </w:rPr>
        <w:t xml:space="preserve">                    </w:t>
      </w:r>
      <w:r>
        <w:rPr>
          <w:color w:val="auto"/>
          <w:sz w:val="24"/>
          <w:highlight w:val="none"/>
        </w:rPr>
        <w:t>项目的</w:t>
      </w:r>
      <w:r>
        <w:rPr>
          <w:rFonts w:hint="eastAsia"/>
          <w:color w:val="auto"/>
          <w:sz w:val="24"/>
          <w:highlight w:val="none"/>
          <w:lang w:val="en-US" w:eastAsia="zh-CN"/>
        </w:rPr>
        <w:t>招标</w:t>
      </w:r>
      <w:r>
        <w:rPr>
          <w:color w:val="auto"/>
          <w:sz w:val="24"/>
          <w:highlight w:val="none"/>
        </w:rPr>
        <w:t>结果</w:t>
      </w:r>
      <w:r>
        <w:rPr>
          <w:rFonts w:hint="eastAsia"/>
          <w:color w:val="auto"/>
          <w:sz w:val="24"/>
          <w:highlight w:val="none"/>
          <w:lang w:val="en-US" w:eastAsia="zh-CN"/>
        </w:rPr>
        <w:t>以及《</w:t>
      </w:r>
      <w:r>
        <w:rPr>
          <w:rFonts w:hint="eastAsia"/>
          <w:color w:val="auto"/>
          <w:sz w:val="24"/>
          <w:highlight w:val="none"/>
          <w:lang w:eastAsia="zh-CN"/>
        </w:rPr>
        <w:t>知识城塘面村河整治工程等11个水利项目用地报批征地前期工作咨询服务框架合同</w:t>
      </w:r>
      <w:r>
        <w:rPr>
          <w:rFonts w:hint="eastAsia"/>
          <w:color w:val="auto"/>
          <w:sz w:val="24"/>
          <w:highlight w:val="none"/>
          <w:lang w:val="en-US" w:eastAsia="zh-CN"/>
        </w:rPr>
        <w:t>》</w:t>
      </w:r>
      <w:r>
        <w:rPr>
          <w:color w:val="auto"/>
          <w:sz w:val="24"/>
          <w:highlight w:val="none"/>
        </w:rPr>
        <w:t>，</w:t>
      </w:r>
      <w:r>
        <w:rPr>
          <w:rFonts w:hint="eastAsia"/>
          <w:color w:val="auto"/>
          <w:sz w:val="24"/>
          <w:highlight w:val="none"/>
          <w:lang w:val="en-US" w:eastAsia="zh-CN"/>
        </w:rPr>
        <w:t>甲乙双方就     项目</w:t>
      </w:r>
      <w:r>
        <w:rPr>
          <w:rFonts w:hint="eastAsia"/>
          <w:color w:val="auto"/>
          <w:sz w:val="24"/>
          <w:highlight w:val="none"/>
          <w:lang w:eastAsia="zh-CN"/>
        </w:rPr>
        <w:t>用地报批征地前期工作咨询服务</w:t>
      </w:r>
      <w:r>
        <w:rPr>
          <w:rFonts w:hint="eastAsia"/>
          <w:color w:val="auto"/>
          <w:sz w:val="24"/>
          <w:highlight w:val="none"/>
          <w:lang w:val="en-US" w:eastAsia="zh-CN"/>
        </w:rPr>
        <w:t>事宜</w:t>
      </w:r>
      <w:r>
        <w:rPr>
          <w:color w:val="auto"/>
          <w:sz w:val="24"/>
          <w:highlight w:val="none"/>
        </w:rPr>
        <w:t>，经双方协商，本着平等互利和诚实信用的原则，一致同意签订本合同。</w:t>
      </w:r>
    </w:p>
    <w:p>
      <w:pPr>
        <w:pStyle w:val="62"/>
        <w:ind w:firstLine="424"/>
        <w:jc w:val="both"/>
        <w:rPr>
          <w:color w:val="auto"/>
          <w:sz w:val="24"/>
          <w:highlight w:val="none"/>
        </w:rPr>
      </w:pPr>
    </w:p>
    <w:p>
      <w:pPr>
        <w:pStyle w:val="62"/>
        <w:ind w:firstLine="424"/>
        <w:jc w:val="both"/>
        <w:rPr>
          <w:color w:val="auto"/>
          <w:highlight w:val="none"/>
        </w:rPr>
      </w:pPr>
      <w:r>
        <w:rPr>
          <w:color w:val="auto"/>
          <w:sz w:val="24"/>
          <w:highlight w:val="none"/>
        </w:rPr>
        <w:t>第一条：甲方委托乙方进行的服务事项，具体内容如下：</w:t>
      </w:r>
    </w:p>
    <w:p>
      <w:pPr>
        <w:pStyle w:val="62"/>
        <w:ind w:firstLine="424"/>
        <w:jc w:val="both"/>
        <w:rPr>
          <w:color w:val="auto"/>
          <w:highlight w:val="none"/>
        </w:rPr>
      </w:pPr>
      <w:r>
        <w:rPr>
          <w:color w:val="auto"/>
          <w:sz w:val="24"/>
          <w:highlight w:val="none"/>
        </w:rPr>
        <w:t>1.技术服务的目标：乙方在服务期限内协助、配合</w:t>
      </w:r>
      <w:r>
        <w:rPr>
          <w:rFonts w:hint="eastAsia" w:ascii="Times New Roman" w:hAnsi="Times New Roman" w:eastAsia="楷体" w:cs="Times New Roman"/>
          <w:b/>
          <w:color w:val="auto"/>
          <w:sz w:val="28"/>
          <w:szCs w:val="28"/>
          <w:highlight w:val="none"/>
        </w:rPr>
        <w:t>中新广州知识城财政投资建设项目管理中心</w:t>
      </w:r>
      <w:r>
        <w:rPr>
          <w:rFonts w:hint="eastAsia"/>
          <w:color w:val="auto"/>
          <w:sz w:val="24"/>
          <w:highlight w:val="none"/>
          <w:lang w:val="en-US" w:eastAsia="zh-CN"/>
        </w:rPr>
        <w:t xml:space="preserve"> </w:t>
      </w:r>
      <w:r>
        <w:rPr>
          <w:color w:val="auto"/>
          <w:sz w:val="24"/>
          <w:highlight w:val="none"/>
        </w:rPr>
        <w:t>组织建设用地报批有关材料上报，及时沟通解决用地报批过程中遇到的技术问题，取得项目的建设用地批文。</w:t>
      </w:r>
    </w:p>
    <w:p>
      <w:pPr>
        <w:pStyle w:val="62"/>
        <w:ind w:firstLine="424"/>
        <w:jc w:val="both"/>
        <w:rPr>
          <w:color w:val="auto"/>
          <w:highlight w:val="none"/>
        </w:rPr>
      </w:pPr>
      <w:r>
        <w:rPr>
          <w:color w:val="auto"/>
          <w:sz w:val="24"/>
          <w:highlight w:val="none"/>
        </w:rPr>
        <w:t>2.技术服务的内容</w:t>
      </w:r>
      <w:r>
        <w:rPr>
          <w:rFonts w:hint="eastAsia"/>
          <w:color w:val="auto"/>
          <w:sz w:val="24"/>
          <w:highlight w:val="none"/>
          <w:lang w:val="en-US" w:eastAsia="zh-CN"/>
        </w:rPr>
        <w:t>及具体要求</w:t>
      </w:r>
      <w:r>
        <w:rPr>
          <w:color w:val="auto"/>
          <w:sz w:val="24"/>
          <w:highlight w:val="none"/>
        </w:rPr>
        <w:t>：</w:t>
      </w:r>
    </w:p>
    <w:p>
      <w:pPr>
        <w:pStyle w:val="62"/>
        <w:ind w:firstLine="420"/>
        <w:jc w:val="both"/>
        <w:rPr>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1</w:t>
      </w:r>
      <w:r>
        <w:rPr>
          <w:rFonts w:hint="eastAsia"/>
          <w:color w:val="auto"/>
          <w:sz w:val="21"/>
          <w:highlight w:val="none"/>
          <w:lang w:eastAsia="zh-CN"/>
        </w:rPr>
        <w:t>）</w:t>
      </w:r>
      <w:r>
        <w:rPr>
          <w:color w:val="auto"/>
          <w:sz w:val="21"/>
          <w:highlight w:val="none"/>
        </w:rPr>
        <w:t>组织</w:t>
      </w:r>
      <w:r>
        <w:rPr>
          <w:rFonts w:hint="eastAsia"/>
          <w:color w:val="auto"/>
          <w:sz w:val="21"/>
          <w:highlight w:val="none"/>
          <w:lang w:val="en-US" w:eastAsia="zh-CN"/>
        </w:rPr>
        <w:t>编制</w:t>
      </w:r>
      <w:r>
        <w:rPr>
          <w:color w:val="auto"/>
          <w:sz w:val="21"/>
          <w:highlight w:val="none"/>
        </w:rPr>
        <w:t>项目建设用地报批</w:t>
      </w:r>
      <w:r>
        <w:rPr>
          <w:rFonts w:hint="eastAsia"/>
          <w:color w:val="auto"/>
          <w:sz w:val="21"/>
          <w:highlight w:val="none"/>
          <w:lang w:val="en-US" w:eastAsia="zh-CN"/>
        </w:rPr>
        <w:t>初始</w:t>
      </w:r>
      <w:r>
        <w:rPr>
          <w:color w:val="auto"/>
          <w:sz w:val="21"/>
          <w:highlight w:val="none"/>
        </w:rPr>
        <w:t>材料，包括但不限于：</w:t>
      </w:r>
      <w:r>
        <w:rPr>
          <w:rFonts w:hint="eastAsia"/>
          <w:color w:val="auto"/>
          <w:sz w:val="21"/>
          <w:highlight w:val="none"/>
          <w:lang w:val="en-US" w:eastAsia="zh-CN"/>
        </w:rPr>
        <w:t>耕作层剥离方案、勘测定界报告（含土地现状调查及补偿登记）、社会稳定性风险评估报告、节地专章、</w:t>
      </w:r>
      <w:r>
        <w:rPr>
          <w:color w:val="auto"/>
          <w:sz w:val="21"/>
          <w:highlight w:val="none"/>
        </w:rPr>
        <w:t>农用地转用方案等，主动查找组件过程中出现的问题并积极配合解决。</w:t>
      </w:r>
    </w:p>
    <w:p>
      <w:pPr>
        <w:pStyle w:val="62"/>
        <w:ind w:firstLine="420"/>
        <w:jc w:val="both"/>
        <w:rPr>
          <w:rFonts w:hint="eastAsia"/>
          <w:color w:val="auto"/>
          <w:sz w:val="21"/>
          <w:highlight w:val="none"/>
          <w:lang w:val="en-US" w:eastAsia="zh-CN"/>
        </w:rPr>
      </w:pPr>
      <w:r>
        <w:rPr>
          <w:rFonts w:hint="eastAsia"/>
          <w:color w:val="auto"/>
          <w:sz w:val="21"/>
          <w:highlight w:val="none"/>
          <w:lang w:val="en-US" w:eastAsia="zh-CN"/>
        </w:rPr>
        <w:t>（2）协助组织被征收人确权登记发证（含批前空白权属及批后权属变更或注销）。根据报批红线范围对接村社、街镇，核查报批范围的权属情况；收集并整理报批红线范围内的不动产权证，协调开展确权登记发证（含批前空白权属及批后权属变更或更证）；协调村社对权籍调查资料签字盖章，提交权属资料录入不动产权籍系统，并协助村社完成确权登记发证。</w:t>
      </w:r>
    </w:p>
    <w:p>
      <w:pPr>
        <w:pStyle w:val="62"/>
        <w:ind w:firstLine="420"/>
        <w:jc w:val="both"/>
        <w:rPr>
          <w:color w:val="auto"/>
          <w:sz w:val="21"/>
          <w:highlight w:val="none"/>
        </w:rPr>
      </w:pPr>
      <w:r>
        <w:rPr>
          <w:rFonts w:hint="eastAsia"/>
          <w:color w:val="auto"/>
          <w:sz w:val="21"/>
          <w:highlight w:val="none"/>
          <w:lang w:val="en-US" w:eastAsia="zh-CN"/>
        </w:rPr>
        <w:t>（3）根据公告要求对项目的征地预公告、征地补偿安置公告等进展公证工作，对公告公示情况进展拍照取证、现场确认，出具具有律法效力的《公证书》。</w:t>
      </w:r>
    </w:p>
    <w:p>
      <w:pPr>
        <w:pStyle w:val="62"/>
        <w:ind w:firstLine="420"/>
        <w:jc w:val="both"/>
        <w:rPr>
          <w:color w:val="auto"/>
          <w:highlight w:val="none"/>
        </w:rPr>
      </w:pPr>
      <w:r>
        <w:rPr>
          <w:rFonts w:hint="eastAsia"/>
          <w:color w:val="auto"/>
          <w:sz w:val="21"/>
          <w:highlight w:val="none"/>
          <w:lang w:val="en-US" w:eastAsia="zh-CN"/>
        </w:rPr>
        <w:t>（4）</w:t>
      </w:r>
      <w:r>
        <w:rPr>
          <w:color w:val="auto"/>
          <w:sz w:val="21"/>
          <w:highlight w:val="none"/>
        </w:rPr>
        <w:t>对组件过程资料进行</w:t>
      </w:r>
      <w:r>
        <w:rPr>
          <w:rFonts w:hint="eastAsia"/>
          <w:color w:val="auto"/>
          <w:sz w:val="21"/>
          <w:highlight w:val="none"/>
          <w:lang w:val="en-US" w:eastAsia="zh-CN"/>
        </w:rPr>
        <w:t>编制、组织和</w:t>
      </w:r>
      <w:r>
        <w:rPr>
          <w:color w:val="auto"/>
          <w:sz w:val="21"/>
          <w:highlight w:val="none"/>
        </w:rPr>
        <w:t>合规性检查，资料包括但不限于：建设用地电子化格式的界址点坐标表和2000国家大地坐标电子红线、建设用地项目呈报材料《农用地转用方案》、征地社会保障审核意见书、留用地安置材料、土地征收预公告、土地现状调查报告、社会稳定风险评估报告、征地补偿安置公告、补偿登记表、补偿安置协议、等。</w:t>
      </w:r>
    </w:p>
    <w:p>
      <w:pPr>
        <w:pStyle w:val="62"/>
        <w:ind w:firstLine="420"/>
        <w:jc w:val="left"/>
        <w:rPr>
          <w:color w:val="auto"/>
          <w:highlight w:val="none"/>
        </w:rPr>
      </w:pPr>
      <w:r>
        <w:rPr>
          <w:rFonts w:hint="eastAsia"/>
          <w:color w:val="auto"/>
          <w:sz w:val="21"/>
          <w:highlight w:val="none"/>
          <w:lang w:val="en-US" w:eastAsia="zh-CN"/>
        </w:rPr>
        <w:t>（5）</w:t>
      </w:r>
      <w:r>
        <w:rPr>
          <w:color w:val="auto"/>
          <w:sz w:val="21"/>
          <w:highlight w:val="none"/>
        </w:rPr>
        <w:t xml:space="preserve"> 协助</w:t>
      </w:r>
      <w:r>
        <w:rPr>
          <w:rFonts w:hint="eastAsia"/>
          <w:color w:val="auto"/>
          <w:sz w:val="21"/>
          <w:highlight w:val="none"/>
          <w:lang w:val="en-US" w:eastAsia="zh-CN"/>
        </w:rPr>
        <w:t>招标</w:t>
      </w:r>
      <w:r>
        <w:rPr>
          <w:color w:val="auto"/>
          <w:sz w:val="21"/>
          <w:highlight w:val="none"/>
        </w:rPr>
        <w:t>人与报批工作涉及的规划和自然资源主管部门、社保、城市更新、农业农村、建设、</w:t>
      </w:r>
      <w:r>
        <w:rPr>
          <w:rFonts w:hint="eastAsia"/>
          <w:color w:val="auto"/>
          <w:sz w:val="21"/>
          <w:highlight w:val="none"/>
          <w:lang w:val="en-US" w:eastAsia="zh-CN"/>
        </w:rPr>
        <w:t>水务、</w:t>
      </w:r>
      <w:r>
        <w:rPr>
          <w:color w:val="auto"/>
          <w:sz w:val="21"/>
          <w:highlight w:val="none"/>
        </w:rPr>
        <w:t>林业等部门，做好材料的技术衔接工作。</w:t>
      </w:r>
    </w:p>
    <w:p>
      <w:pPr>
        <w:pStyle w:val="62"/>
        <w:ind w:firstLine="420"/>
        <w:jc w:val="both"/>
        <w:rPr>
          <w:color w:val="auto"/>
          <w:highlight w:val="none"/>
        </w:rPr>
      </w:pPr>
      <w:r>
        <w:rPr>
          <w:rFonts w:hint="eastAsia"/>
          <w:color w:val="auto"/>
          <w:sz w:val="21"/>
          <w:highlight w:val="none"/>
          <w:lang w:val="en-US" w:eastAsia="zh-CN"/>
        </w:rPr>
        <w:t>（6）</w:t>
      </w:r>
      <w:r>
        <w:rPr>
          <w:color w:val="auto"/>
          <w:sz w:val="21"/>
          <w:highlight w:val="none"/>
        </w:rPr>
        <w:t>协助用地报批组卷部门完成违法用地情况处理。</w:t>
      </w:r>
    </w:p>
    <w:p>
      <w:pPr>
        <w:pStyle w:val="62"/>
        <w:ind w:firstLine="420"/>
        <w:jc w:val="both"/>
        <w:rPr>
          <w:color w:val="auto"/>
          <w:highlight w:val="none"/>
        </w:rPr>
      </w:pPr>
      <w:r>
        <w:rPr>
          <w:rFonts w:hint="eastAsia"/>
          <w:color w:val="auto"/>
          <w:sz w:val="21"/>
          <w:highlight w:val="none"/>
          <w:lang w:val="en-US" w:eastAsia="zh-CN"/>
        </w:rPr>
        <w:t>（7）</w:t>
      </w:r>
      <w:r>
        <w:rPr>
          <w:color w:val="auto"/>
          <w:sz w:val="21"/>
          <w:highlight w:val="none"/>
        </w:rPr>
        <w:t>根据《建设用地审查报批管理办法》（国土资源部第69号令）、《关于规范市县政府建设用地审批工作的通知》（粤国土资利用发〔2014〕184号）、《省政府审批建设用地报批材料范本（2018年修订版）》（粤国土资利用发〔2018〕25号）等文件及新增补替换法规文件的要求，将用地报批的相关材料格式化、标准化、规范化，装订成册。</w:t>
      </w:r>
    </w:p>
    <w:p>
      <w:pPr>
        <w:pStyle w:val="62"/>
        <w:ind w:firstLine="420"/>
        <w:jc w:val="both"/>
        <w:rPr>
          <w:color w:val="auto"/>
          <w:highlight w:val="none"/>
        </w:rPr>
      </w:pPr>
      <w:r>
        <w:rPr>
          <w:rFonts w:hint="eastAsia"/>
          <w:color w:val="auto"/>
          <w:sz w:val="21"/>
          <w:highlight w:val="none"/>
          <w:lang w:val="en-US" w:eastAsia="zh-CN"/>
        </w:rPr>
        <w:t>（8）</w:t>
      </w:r>
      <w:r>
        <w:rPr>
          <w:color w:val="auto"/>
          <w:sz w:val="21"/>
          <w:highlight w:val="none"/>
        </w:rPr>
        <w:t>完成区建设用地报批初审工作，协助上报有审批权的规划和自然资源主管部门审核。</w:t>
      </w:r>
    </w:p>
    <w:p>
      <w:pPr>
        <w:pStyle w:val="62"/>
        <w:ind w:firstLine="420"/>
        <w:jc w:val="both"/>
        <w:rPr>
          <w:color w:val="auto"/>
          <w:highlight w:val="none"/>
        </w:rPr>
      </w:pPr>
      <w:r>
        <w:rPr>
          <w:rFonts w:hint="eastAsia"/>
          <w:color w:val="auto"/>
          <w:sz w:val="21"/>
          <w:highlight w:val="none"/>
          <w:lang w:val="en-US" w:eastAsia="zh-CN"/>
        </w:rPr>
        <w:t>（9）</w:t>
      </w:r>
      <w:r>
        <w:rPr>
          <w:color w:val="auto"/>
          <w:sz w:val="21"/>
          <w:highlight w:val="none"/>
        </w:rPr>
        <w:t xml:space="preserve"> 跟进有审批权的规划和自然资源主管部门会审呈批，及时按要求补正材料。</w:t>
      </w:r>
    </w:p>
    <w:p>
      <w:pPr>
        <w:pStyle w:val="62"/>
        <w:ind w:firstLine="420"/>
        <w:jc w:val="both"/>
        <w:rPr>
          <w:color w:val="auto"/>
          <w:highlight w:val="none"/>
        </w:rPr>
      </w:pPr>
      <w:r>
        <w:rPr>
          <w:rFonts w:hint="eastAsia"/>
          <w:color w:val="auto"/>
          <w:sz w:val="21"/>
          <w:highlight w:val="none"/>
          <w:lang w:val="en-US" w:eastAsia="zh-CN"/>
        </w:rPr>
        <w:t>（10）</w:t>
      </w:r>
      <w:r>
        <w:rPr>
          <w:color w:val="auto"/>
          <w:sz w:val="21"/>
          <w:highlight w:val="none"/>
        </w:rPr>
        <w:t xml:space="preserve"> 协助上报有审批权限的人民政府审批，及时沟通反馈，取得建设用地报批的批复文件并完成备案。</w:t>
      </w:r>
    </w:p>
    <w:p>
      <w:pPr>
        <w:pStyle w:val="62"/>
        <w:ind w:firstLine="420"/>
        <w:jc w:val="both"/>
        <w:rPr>
          <w:color w:val="auto"/>
          <w:sz w:val="21"/>
          <w:highlight w:val="none"/>
        </w:rPr>
      </w:pPr>
      <w:r>
        <w:rPr>
          <w:rFonts w:hint="eastAsia"/>
          <w:color w:val="auto"/>
          <w:sz w:val="21"/>
          <w:highlight w:val="none"/>
          <w:lang w:val="en-US" w:eastAsia="zh-CN"/>
        </w:rPr>
        <w:t>（11）</w:t>
      </w:r>
      <w:r>
        <w:rPr>
          <w:color w:val="auto"/>
          <w:sz w:val="21"/>
          <w:highlight w:val="none"/>
        </w:rPr>
        <w:t>完成各项用地报批组卷材料在</w:t>
      </w:r>
      <w:r>
        <w:rPr>
          <w:rFonts w:hint="eastAsia"/>
          <w:color w:val="auto"/>
          <w:sz w:val="21"/>
          <w:highlight w:val="none"/>
          <w:lang w:val="en-US" w:eastAsia="zh-CN"/>
        </w:rPr>
        <w:t>广东省用途管制系统</w:t>
      </w:r>
      <w:r>
        <w:rPr>
          <w:color w:val="auto"/>
          <w:sz w:val="21"/>
          <w:highlight w:val="none"/>
        </w:rPr>
        <w:t>、省级人民政府批准建设用地备案系统的录入工作，并负责解决系统审查、备案的各项技术工作。</w:t>
      </w:r>
    </w:p>
    <w:p>
      <w:pPr>
        <w:pStyle w:val="62"/>
        <w:ind w:firstLine="420"/>
        <w:jc w:val="both"/>
        <w:rPr>
          <w:color w:val="auto"/>
          <w:highlight w:val="none"/>
        </w:rPr>
      </w:pPr>
      <w:r>
        <w:rPr>
          <w:rFonts w:hint="eastAsia"/>
          <w:color w:val="auto"/>
          <w:sz w:val="21"/>
          <w:highlight w:val="none"/>
          <w:lang w:eastAsia="zh-CN"/>
        </w:rPr>
        <w:t>（</w:t>
      </w:r>
      <w:r>
        <w:rPr>
          <w:rFonts w:hint="eastAsia"/>
          <w:color w:val="auto"/>
          <w:sz w:val="21"/>
          <w:highlight w:val="none"/>
          <w:lang w:val="en-US" w:eastAsia="zh-CN"/>
        </w:rPr>
        <w:t>12</w:t>
      </w:r>
      <w:r>
        <w:rPr>
          <w:rFonts w:hint="eastAsia"/>
          <w:color w:val="auto"/>
          <w:sz w:val="21"/>
          <w:highlight w:val="none"/>
          <w:lang w:eastAsia="zh-CN"/>
        </w:rPr>
        <w:t>）</w:t>
      </w:r>
      <w:r>
        <w:rPr>
          <w:color w:val="auto"/>
          <w:sz w:val="21"/>
          <w:highlight w:val="none"/>
        </w:rPr>
        <w:t>若中标单位出现以下情况之一的，</w:t>
      </w:r>
      <w:r>
        <w:rPr>
          <w:rFonts w:hint="eastAsia"/>
          <w:color w:val="auto"/>
          <w:sz w:val="21"/>
          <w:highlight w:val="none"/>
          <w:lang w:eastAsia="zh-CN"/>
        </w:rPr>
        <w:t>招标</w:t>
      </w:r>
      <w:r>
        <w:rPr>
          <w:color w:val="auto"/>
          <w:sz w:val="21"/>
          <w:highlight w:val="none"/>
        </w:rPr>
        <w:t>人可以给予该中标单位警告处分：无故延期合同约定的工作时间、内容或深度达不到要求、出现严重差错、无正当理由不按照有关部门意见进行修改、驻场人员服务质量不符合</w:t>
      </w:r>
      <w:r>
        <w:rPr>
          <w:rFonts w:hint="eastAsia"/>
          <w:color w:val="auto"/>
          <w:sz w:val="21"/>
          <w:highlight w:val="none"/>
          <w:lang w:eastAsia="zh-CN"/>
        </w:rPr>
        <w:t>招标</w:t>
      </w:r>
      <w:r>
        <w:rPr>
          <w:color w:val="auto"/>
          <w:sz w:val="21"/>
          <w:highlight w:val="none"/>
        </w:rPr>
        <w:t>人要求且不能限期整改。中标单位在服务期内受</w:t>
      </w:r>
      <w:r>
        <w:rPr>
          <w:rFonts w:hint="eastAsia"/>
          <w:color w:val="auto"/>
          <w:sz w:val="21"/>
          <w:highlight w:val="none"/>
          <w:lang w:eastAsia="zh-CN"/>
        </w:rPr>
        <w:t>招标</w:t>
      </w:r>
      <w:r>
        <w:rPr>
          <w:color w:val="auto"/>
          <w:sz w:val="21"/>
          <w:highlight w:val="none"/>
        </w:rPr>
        <w:t>人警告</w:t>
      </w:r>
      <w:r>
        <w:rPr>
          <w:rFonts w:hint="eastAsia"/>
          <w:color w:val="auto"/>
          <w:sz w:val="21"/>
          <w:highlight w:val="none"/>
          <w:lang w:val="en-US" w:eastAsia="zh-CN"/>
        </w:rPr>
        <w:t>的</w:t>
      </w:r>
      <w:r>
        <w:rPr>
          <w:color w:val="auto"/>
          <w:sz w:val="21"/>
          <w:highlight w:val="none"/>
        </w:rPr>
        <w:t>，</w:t>
      </w:r>
      <w:r>
        <w:rPr>
          <w:rFonts w:hint="eastAsia"/>
          <w:color w:val="auto"/>
          <w:sz w:val="21"/>
          <w:highlight w:val="none"/>
          <w:lang w:val="en-US" w:eastAsia="zh-CN"/>
        </w:rPr>
        <w:t>罚款5000元/次</w:t>
      </w:r>
      <w:r>
        <w:rPr>
          <w:color w:val="auto"/>
          <w:sz w:val="21"/>
          <w:highlight w:val="none"/>
        </w:rPr>
        <w:t>；累计受警告5次，</w:t>
      </w:r>
      <w:r>
        <w:rPr>
          <w:rFonts w:hint="eastAsia"/>
          <w:color w:val="auto"/>
          <w:sz w:val="21"/>
          <w:highlight w:val="none"/>
          <w:lang w:eastAsia="zh-CN"/>
        </w:rPr>
        <w:t>招标</w:t>
      </w:r>
      <w:r>
        <w:rPr>
          <w:color w:val="auto"/>
          <w:sz w:val="21"/>
          <w:highlight w:val="none"/>
        </w:rPr>
        <w:t>人有权单方面终止技术服务合同，中标单位须无条件配合</w:t>
      </w:r>
      <w:r>
        <w:rPr>
          <w:rFonts w:hint="eastAsia"/>
          <w:color w:val="auto"/>
          <w:sz w:val="21"/>
          <w:highlight w:val="none"/>
          <w:lang w:eastAsia="zh-CN"/>
        </w:rPr>
        <w:t>招标</w:t>
      </w:r>
      <w:r>
        <w:rPr>
          <w:color w:val="auto"/>
          <w:sz w:val="21"/>
          <w:highlight w:val="none"/>
        </w:rPr>
        <w:t>人移交相关成果资料等工作。</w:t>
      </w:r>
    </w:p>
    <w:p>
      <w:pPr>
        <w:pStyle w:val="62"/>
        <w:ind w:firstLine="420"/>
        <w:jc w:val="both"/>
        <w:rPr>
          <w:color w:val="auto"/>
          <w:highlight w:val="none"/>
        </w:rPr>
      </w:pPr>
      <w:r>
        <w:rPr>
          <w:rFonts w:hint="eastAsia"/>
          <w:color w:val="auto"/>
          <w:sz w:val="21"/>
          <w:highlight w:val="none"/>
          <w:lang w:eastAsia="zh-CN"/>
        </w:rPr>
        <w:t>（</w:t>
      </w:r>
      <w:r>
        <w:rPr>
          <w:rFonts w:hint="eastAsia"/>
          <w:color w:val="auto"/>
          <w:sz w:val="21"/>
          <w:highlight w:val="none"/>
          <w:lang w:val="en-US" w:eastAsia="zh-CN"/>
        </w:rPr>
        <w:t>13</w:t>
      </w:r>
      <w:r>
        <w:rPr>
          <w:rFonts w:hint="eastAsia"/>
          <w:color w:val="auto"/>
          <w:sz w:val="21"/>
          <w:highlight w:val="none"/>
          <w:lang w:eastAsia="zh-CN"/>
        </w:rPr>
        <w:t>）</w:t>
      </w:r>
      <w:r>
        <w:rPr>
          <w:color w:val="auto"/>
          <w:sz w:val="21"/>
          <w:highlight w:val="none"/>
        </w:rPr>
        <w:t>及时掌握有关建设用地报批的国家、省、市政策的最新动向及法律、法规，向</w:t>
      </w:r>
      <w:r>
        <w:rPr>
          <w:rFonts w:hint="eastAsia"/>
          <w:color w:val="auto"/>
          <w:sz w:val="21"/>
          <w:highlight w:val="none"/>
          <w:lang w:eastAsia="zh-CN"/>
        </w:rPr>
        <w:t>招标</w:t>
      </w:r>
      <w:r>
        <w:rPr>
          <w:color w:val="auto"/>
          <w:sz w:val="21"/>
          <w:highlight w:val="none"/>
        </w:rPr>
        <w:t>人提供专业的咨询意见，并在项目实施过程中做出符合政策、法律、法规的动态调整。</w:t>
      </w:r>
    </w:p>
    <w:p>
      <w:pPr>
        <w:rPr>
          <w:color w:val="auto"/>
          <w:sz w:val="21"/>
          <w:highlight w:val="none"/>
        </w:rPr>
      </w:pPr>
      <w:r>
        <w:rPr>
          <w:color w:val="auto"/>
          <w:sz w:val="21"/>
          <w:highlight w:val="none"/>
        </w:rPr>
        <w:t xml:space="preserve">   </w:t>
      </w:r>
      <w:r>
        <w:rPr>
          <w:rFonts w:hint="eastAsia"/>
          <w:color w:val="auto"/>
          <w:sz w:val="21"/>
          <w:highlight w:val="none"/>
          <w:lang w:eastAsia="zh-CN"/>
        </w:rPr>
        <w:t>（</w:t>
      </w:r>
      <w:r>
        <w:rPr>
          <w:rFonts w:hint="eastAsia"/>
          <w:color w:val="auto"/>
          <w:sz w:val="21"/>
          <w:highlight w:val="none"/>
          <w:lang w:val="en-US" w:eastAsia="zh-CN"/>
        </w:rPr>
        <w:t>14</w:t>
      </w:r>
      <w:r>
        <w:rPr>
          <w:rFonts w:hint="eastAsia"/>
          <w:color w:val="auto"/>
          <w:sz w:val="21"/>
          <w:highlight w:val="none"/>
          <w:lang w:eastAsia="zh-CN"/>
        </w:rPr>
        <w:t>）</w:t>
      </w:r>
      <w:r>
        <w:rPr>
          <w:rFonts w:hint="eastAsia"/>
          <w:color w:val="auto"/>
          <w:sz w:val="21"/>
          <w:highlight w:val="none"/>
          <w:lang w:val="en-US" w:eastAsia="zh-CN"/>
        </w:rPr>
        <w:t>招标人</w:t>
      </w:r>
      <w:r>
        <w:rPr>
          <w:color w:val="auto"/>
          <w:sz w:val="21"/>
          <w:highlight w:val="none"/>
        </w:rPr>
        <w:t>交待的其它需要配合处理的工作事项。</w:t>
      </w:r>
    </w:p>
    <w:p>
      <w:pPr>
        <w:pStyle w:val="62"/>
        <w:ind w:firstLine="424"/>
        <w:jc w:val="both"/>
        <w:rPr>
          <w:color w:val="auto"/>
          <w:highlight w:val="none"/>
        </w:rPr>
      </w:pPr>
      <w:r>
        <w:rPr>
          <w:color w:val="auto"/>
          <w:sz w:val="24"/>
          <w:highlight w:val="none"/>
        </w:rPr>
        <w:t>3.技术服务的方式：通过资料收集、调查、分析，撰写、编制、组件并最终提交项目建设用地报批材料。</w:t>
      </w:r>
    </w:p>
    <w:p>
      <w:pPr>
        <w:pStyle w:val="62"/>
        <w:ind w:firstLine="424"/>
        <w:jc w:val="both"/>
        <w:rPr>
          <w:color w:val="auto"/>
          <w:highlight w:val="none"/>
        </w:rPr>
      </w:pPr>
      <w:r>
        <w:rPr>
          <w:color w:val="auto"/>
          <w:sz w:val="24"/>
          <w:highlight w:val="none"/>
        </w:rPr>
        <w:t>第二条：乙方应按下列要求完成技术服务工作：</w:t>
      </w:r>
    </w:p>
    <w:p>
      <w:pPr>
        <w:pStyle w:val="62"/>
        <w:ind w:firstLine="424"/>
        <w:jc w:val="both"/>
        <w:rPr>
          <w:color w:val="auto"/>
          <w:highlight w:val="none"/>
        </w:rPr>
      </w:pPr>
      <w:r>
        <w:rPr>
          <w:color w:val="auto"/>
          <w:sz w:val="24"/>
          <w:highlight w:val="none"/>
        </w:rPr>
        <w:t>1.技术服务地点：中新广州知识城</w:t>
      </w:r>
    </w:p>
    <w:p>
      <w:pPr>
        <w:pStyle w:val="62"/>
        <w:ind w:firstLine="424"/>
        <w:jc w:val="both"/>
        <w:rPr>
          <w:color w:val="auto"/>
          <w:highlight w:val="none"/>
        </w:rPr>
      </w:pPr>
      <w:r>
        <w:rPr>
          <w:color w:val="auto"/>
          <w:sz w:val="24"/>
          <w:highlight w:val="none"/>
        </w:rPr>
        <w:t>2.技术服务期限：合同签订生效之日起至</w:t>
      </w:r>
      <w:r>
        <w:rPr>
          <w:rFonts w:hint="eastAsia"/>
          <w:color w:val="auto"/>
          <w:sz w:val="24"/>
          <w:highlight w:val="none"/>
          <w:lang w:val="en-US" w:eastAsia="zh-CN"/>
        </w:rPr>
        <w:t>完成技术服务工作</w:t>
      </w:r>
      <w:r>
        <w:rPr>
          <w:color w:val="auto"/>
          <w:sz w:val="24"/>
          <w:highlight w:val="none"/>
        </w:rPr>
        <w:t>。</w:t>
      </w:r>
    </w:p>
    <w:p>
      <w:pPr>
        <w:pStyle w:val="62"/>
        <w:ind w:firstLine="424"/>
        <w:jc w:val="both"/>
        <w:rPr>
          <w:color w:val="auto"/>
          <w:highlight w:val="none"/>
        </w:rPr>
      </w:pPr>
      <w:r>
        <w:rPr>
          <w:color w:val="auto"/>
          <w:sz w:val="24"/>
          <w:highlight w:val="none"/>
        </w:rPr>
        <w:t>3.技术服务进度：</w:t>
      </w:r>
    </w:p>
    <w:p>
      <w:pPr>
        <w:pStyle w:val="62"/>
        <w:ind w:firstLine="424"/>
        <w:jc w:val="left"/>
        <w:rPr>
          <w:rFonts w:hint="eastAsia"/>
          <w:b w:val="0"/>
          <w:bCs/>
          <w:color w:val="auto"/>
          <w:sz w:val="21"/>
          <w:highlight w:val="none"/>
          <w:lang w:val="en-US" w:eastAsia="zh-CN"/>
        </w:rPr>
      </w:pPr>
      <w:r>
        <w:rPr>
          <w:rFonts w:hint="eastAsia"/>
          <w:b w:val="0"/>
          <w:bCs/>
          <w:color w:val="auto"/>
          <w:sz w:val="21"/>
          <w:highlight w:val="none"/>
          <w:lang w:val="en-US" w:eastAsia="zh-CN"/>
        </w:rPr>
        <w:t>（1）签订合同和完成权属发证工作后，于20个工作日内完成用地报批各项初步资料（项目勘测定界报告，包含土地现状调查、补偿登记；社会稳定风险评估；节地专章编制等）</w:t>
      </w:r>
    </w:p>
    <w:p>
      <w:pPr>
        <w:pStyle w:val="62"/>
        <w:ind w:firstLine="424"/>
        <w:jc w:val="left"/>
        <w:rPr>
          <w:color w:val="auto"/>
          <w:highlight w:val="none"/>
        </w:rPr>
      </w:pPr>
      <w:r>
        <w:rPr>
          <w:rFonts w:hint="eastAsia"/>
          <w:color w:val="auto"/>
          <w:sz w:val="21"/>
          <w:highlight w:val="none"/>
          <w:lang w:eastAsia="zh-CN"/>
        </w:rPr>
        <w:t>（</w:t>
      </w:r>
      <w:r>
        <w:rPr>
          <w:rFonts w:hint="eastAsia"/>
          <w:color w:val="auto"/>
          <w:sz w:val="21"/>
          <w:highlight w:val="none"/>
          <w:lang w:val="en-US" w:eastAsia="zh-CN"/>
        </w:rPr>
        <w:t>2</w:t>
      </w:r>
      <w:r>
        <w:rPr>
          <w:rFonts w:hint="eastAsia"/>
          <w:color w:val="auto"/>
          <w:sz w:val="21"/>
          <w:highlight w:val="none"/>
          <w:lang w:eastAsia="zh-CN"/>
        </w:rPr>
        <w:t>）</w:t>
      </w:r>
      <w:r>
        <w:rPr>
          <w:color w:val="auto"/>
          <w:sz w:val="21"/>
          <w:highlight w:val="none"/>
        </w:rPr>
        <w:t>从取得项目勘测定界报告起协助用地报批组卷部门组织用地报批材料，于10个工作日内完成用地报批基础数据编制（包括征地、留用地面积计算，原地类及现状地类平差、征地补偿费用测算），及时沟通解决核算过程中的问题；</w:t>
      </w:r>
    </w:p>
    <w:p>
      <w:pPr>
        <w:pStyle w:val="62"/>
        <w:ind w:firstLine="424"/>
        <w:jc w:val="left"/>
        <w:rPr>
          <w:color w:val="auto"/>
          <w:highlight w:val="none"/>
        </w:rPr>
      </w:pPr>
      <w:r>
        <w:rPr>
          <w:rFonts w:hint="eastAsia"/>
          <w:color w:val="auto"/>
          <w:sz w:val="21"/>
          <w:highlight w:val="none"/>
          <w:lang w:val="en-US" w:eastAsia="zh-CN"/>
        </w:rPr>
        <w:t>（3）</w:t>
      </w:r>
      <w:r>
        <w:rPr>
          <w:color w:val="auto"/>
          <w:sz w:val="21"/>
          <w:highlight w:val="none"/>
        </w:rPr>
        <w:t>明确项目历史违法用地面积及对应责任主体后，20个工作日内协助用地报批组卷部门完成违法用地情况处理（违法用地处罚决定书，违法用地缴款、责任人处理决定等）；</w:t>
      </w:r>
    </w:p>
    <w:p>
      <w:pPr>
        <w:pStyle w:val="62"/>
        <w:ind w:firstLine="424"/>
        <w:jc w:val="both"/>
        <w:rPr>
          <w:b w:val="0"/>
          <w:bCs/>
          <w:color w:val="auto"/>
          <w:sz w:val="21"/>
          <w:highlight w:val="none"/>
        </w:rPr>
      </w:pPr>
      <w:r>
        <w:rPr>
          <w:rFonts w:hint="eastAsia"/>
          <w:b w:val="0"/>
          <w:bCs/>
          <w:color w:val="auto"/>
          <w:sz w:val="21"/>
          <w:highlight w:val="none"/>
          <w:lang w:val="en-US" w:eastAsia="zh-CN"/>
        </w:rPr>
        <w:t>（4）</w:t>
      </w:r>
      <w:r>
        <w:rPr>
          <w:b w:val="0"/>
          <w:bCs/>
          <w:color w:val="auto"/>
          <w:sz w:val="21"/>
          <w:highlight w:val="none"/>
        </w:rPr>
        <w:t>在用地报批各项初步资料（权属发证、落实留用地安置、落实耕地占补平衡、历史违法用地处罚）基本齐备的情况下，协助用地报批组卷部门出具</w:t>
      </w:r>
      <w:r>
        <w:rPr>
          <w:b w:val="0"/>
          <w:bCs/>
          <w:color w:val="auto"/>
          <w:sz w:val="21"/>
          <w:highlight w:val="none"/>
          <w:u w:val="single"/>
        </w:rPr>
        <w:t>《农用地转用方案》，</w:t>
      </w:r>
      <w:r>
        <w:rPr>
          <w:b w:val="0"/>
          <w:bCs/>
          <w:color w:val="auto"/>
          <w:sz w:val="21"/>
          <w:highlight w:val="none"/>
        </w:rPr>
        <w:t>在区政府审批同意后，汇总用地报批材料及办理盖章、扫描、按顺序组卷，并于10个工作日内上报市/区规划和自然资源局。</w:t>
      </w:r>
    </w:p>
    <w:p>
      <w:pPr>
        <w:pStyle w:val="62"/>
        <w:ind w:firstLine="424"/>
        <w:jc w:val="both"/>
        <w:rPr>
          <w:color w:val="auto"/>
          <w:highlight w:val="none"/>
        </w:rPr>
      </w:pPr>
      <w:r>
        <w:rPr>
          <w:color w:val="auto"/>
          <w:sz w:val="24"/>
          <w:highlight w:val="none"/>
        </w:rPr>
        <w:t>3.技术服务质量要求：用地报批过程中所有材料应严格按照省自然资源厅、市规划和自然资源局最新范本进行制作，相关成果应符合最新报批的审核要求。</w:t>
      </w:r>
    </w:p>
    <w:p>
      <w:pPr>
        <w:pStyle w:val="62"/>
        <w:ind w:firstLine="424"/>
        <w:jc w:val="both"/>
        <w:rPr>
          <w:color w:val="auto"/>
          <w:highlight w:val="none"/>
        </w:rPr>
      </w:pPr>
      <w:r>
        <w:rPr>
          <w:color w:val="auto"/>
          <w:sz w:val="24"/>
          <w:highlight w:val="none"/>
        </w:rPr>
        <w:t>4.技术服务人员安排：乙方须按照甲方要求，配置项目负责人1人，项目服务团队技术人员</w:t>
      </w:r>
      <w:r>
        <w:rPr>
          <w:rFonts w:hint="eastAsia"/>
          <w:color w:val="auto"/>
          <w:sz w:val="24"/>
          <w:highlight w:val="none"/>
          <w:lang w:eastAsia="zh-CN"/>
        </w:rPr>
        <w:t>（</w:t>
      </w:r>
      <w:r>
        <w:rPr>
          <w:rFonts w:hint="eastAsia"/>
          <w:color w:val="auto"/>
          <w:sz w:val="24"/>
          <w:highlight w:val="none"/>
          <w:lang w:val="en-US" w:eastAsia="zh-CN"/>
        </w:rPr>
        <w:t>不包含项目负责人）</w:t>
      </w:r>
      <w:r>
        <w:rPr>
          <w:color w:val="auto"/>
          <w:sz w:val="24"/>
          <w:highlight w:val="none"/>
        </w:rPr>
        <w:t>不少于</w:t>
      </w:r>
      <w:r>
        <w:rPr>
          <w:rFonts w:hint="eastAsia"/>
          <w:color w:val="auto"/>
          <w:sz w:val="24"/>
          <w:highlight w:val="none"/>
          <w:lang w:eastAsia="zh-CN"/>
        </w:rPr>
        <w:t>6</w:t>
      </w:r>
      <w:r>
        <w:rPr>
          <w:color w:val="auto"/>
          <w:sz w:val="24"/>
          <w:highlight w:val="none"/>
        </w:rPr>
        <w:t>人，并安排不少于</w:t>
      </w:r>
      <w:r>
        <w:rPr>
          <w:rFonts w:hint="eastAsia"/>
          <w:color w:val="auto"/>
          <w:sz w:val="24"/>
          <w:highlight w:val="none"/>
          <w:lang w:eastAsia="zh-CN"/>
        </w:rPr>
        <w:t>5</w:t>
      </w:r>
      <w:r>
        <w:rPr>
          <w:color w:val="auto"/>
          <w:sz w:val="24"/>
          <w:highlight w:val="none"/>
        </w:rPr>
        <w:t>名固定技术人员驻场，</w:t>
      </w:r>
      <w:r>
        <w:rPr>
          <w:strike w:val="0"/>
          <w:color w:val="auto"/>
          <w:sz w:val="24"/>
          <w:highlight w:val="none"/>
        </w:rPr>
        <w:t>其中</w:t>
      </w:r>
      <w:r>
        <w:rPr>
          <w:rFonts w:hint="eastAsia"/>
          <w:strike w:val="0"/>
          <w:color w:val="auto"/>
          <w:sz w:val="24"/>
          <w:highlight w:val="none"/>
          <w:lang w:val="en-US" w:eastAsia="zh-CN"/>
        </w:rPr>
        <w:t>驻场人员</w:t>
      </w:r>
      <w:r>
        <w:rPr>
          <w:strike w:val="0"/>
          <w:color w:val="auto"/>
          <w:sz w:val="24"/>
          <w:highlight w:val="none"/>
        </w:rPr>
        <w:t>须含一名资深技术人员</w:t>
      </w:r>
      <w:r>
        <w:rPr>
          <w:rFonts w:hint="eastAsia"/>
          <w:strike w:val="0"/>
          <w:color w:val="auto"/>
          <w:sz w:val="24"/>
          <w:highlight w:val="none"/>
          <w:lang w:eastAsia="zh-CN"/>
        </w:rPr>
        <w:t>，</w:t>
      </w:r>
      <w:r>
        <w:rPr>
          <w:rFonts w:hint="eastAsia"/>
          <w:strike w:val="0"/>
          <w:color w:val="auto"/>
          <w:sz w:val="24"/>
          <w:highlight w:val="none"/>
          <w:lang w:val="en-US" w:eastAsia="zh-CN"/>
        </w:rPr>
        <w:t>具有不少于5年用地报批相关经验，其余</w:t>
      </w:r>
      <w:r>
        <w:rPr>
          <w:color w:val="auto"/>
          <w:sz w:val="24"/>
          <w:highlight w:val="none"/>
        </w:rPr>
        <w:t>技术人员须具备不少于</w:t>
      </w:r>
      <w:r>
        <w:rPr>
          <w:rFonts w:hint="eastAsia"/>
          <w:color w:val="auto"/>
          <w:sz w:val="24"/>
          <w:highlight w:val="none"/>
          <w:lang w:eastAsia="zh-CN"/>
        </w:rPr>
        <w:t>2</w:t>
      </w:r>
      <w:r>
        <w:rPr>
          <w:color w:val="auto"/>
          <w:sz w:val="24"/>
          <w:highlight w:val="none"/>
        </w:rPr>
        <w:t>年用地报批相关经验，驻场时间与本项目开展时间同步。乙方在服务合同期内确定的</w:t>
      </w:r>
      <w:r>
        <w:rPr>
          <w:rFonts w:hint="eastAsia"/>
          <w:color w:val="auto"/>
          <w:sz w:val="24"/>
          <w:highlight w:val="none"/>
          <w:lang w:val="en-US" w:eastAsia="zh-CN"/>
        </w:rPr>
        <w:t>项目负责人</w:t>
      </w:r>
      <w:r>
        <w:rPr>
          <w:color w:val="auto"/>
          <w:sz w:val="24"/>
          <w:highlight w:val="none"/>
        </w:rPr>
        <w:t>和技术人员原则上不予调整，若需调整人员，需向甲方书面申请并取得同意。驻场技术人员服务质量不符合甲方要求的，应在甲方提出人员更换要求后10日内更换到位。</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50"/>
        <w:gridCol w:w="1196"/>
        <w:gridCol w:w="849"/>
        <w:gridCol w:w="1783"/>
        <w:gridCol w:w="23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职务</w:t>
            </w:r>
          </w:p>
        </w:tc>
        <w:tc>
          <w:tcPr>
            <w:tcW w:w="11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姓名</w:t>
            </w:r>
          </w:p>
        </w:tc>
        <w:tc>
          <w:tcPr>
            <w:tcW w:w="8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性别</w:t>
            </w:r>
          </w:p>
        </w:tc>
        <w:tc>
          <w:tcPr>
            <w:tcW w:w="17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职称</w:t>
            </w:r>
          </w:p>
        </w:tc>
        <w:tc>
          <w:tcPr>
            <w:tcW w:w="23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firstLine="424"/>
              <w:jc w:val="center"/>
              <w:rPr>
                <w:color w:val="auto"/>
                <w:highlight w:val="none"/>
              </w:rPr>
            </w:pPr>
            <w:r>
              <w:rPr>
                <w:rFonts w:hint="eastAsia"/>
                <w:color w:val="auto"/>
                <w:sz w:val="24"/>
                <w:highlight w:val="none"/>
                <w:lang w:val="en-US" w:eastAsia="zh-CN"/>
              </w:rPr>
              <w:t>有</w:t>
            </w:r>
            <w:r>
              <w:rPr>
                <w:color w:val="auto"/>
                <w:sz w:val="24"/>
                <w:highlight w:val="none"/>
              </w:rPr>
              <w:t>关工作经验/年限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项目负责人</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firstLine="424"/>
              <w:jc w:val="center"/>
              <w:rPr>
                <w:color w:val="auto"/>
                <w:highlight w:val="none"/>
              </w:rPr>
            </w:pP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2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技术人员</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firstLine="424"/>
              <w:jc w:val="center"/>
              <w:rPr>
                <w:color w:val="auto"/>
                <w:highlight w:val="none"/>
              </w:rPr>
            </w:pP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2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技术人员</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2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技术人员（驻场）</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2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r>
              <w:rPr>
                <w:color w:val="auto"/>
                <w:sz w:val="24"/>
                <w:highlight w:val="none"/>
              </w:rPr>
              <w:t>技术人员（驻场）</w:t>
            </w:r>
          </w:p>
        </w:tc>
        <w:tc>
          <w:tcPr>
            <w:tcW w:w="11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2"/>
              <w:keepNext w:val="0"/>
              <w:keepLines w:val="0"/>
              <w:widowControl/>
              <w:suppressLineNumbers w:val="0"/>
              <w:spacing w:before="0" w:beforeAutospacing="0" w:after="0" w:afterAutospacing="0"/>
              <w:ind w:left="0" w:right="0"/>
              <w:jc w:val="center"/>
              <w:rPr>
                <w:color w:val="auto"/>
                <w:highlight w:val="none"/>
              </w:rPr>
            </w:pPr>
          </w:p>
        </w:tc>
        <w:tc>
          <w:tcPr>
            <w:tcW w:w="8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c>
          <w:tcPr>
            <w:tcW w:w="23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keepNext w:val="0"/>
              <w:keepLines w:val="0"/>
              <w:suppressLineNumbers w:val="0"/>
              <w:spacing w:before="0" w:beforeAutospacing="0" w:after="0" w:afterAutospacing="0"/>
              <w:ind w:left="0" w:right="0"/>
              <w:rPr>
                <w:rFonts w:hint="default"/>
                <w:color w:val="auto"/>
                <w:highlight w:val="none"/>
              </w:rPr>
            </w:pPr>
          </w:p>
        </w:tc>
      </w:tr>
    </w:tbl>
    <w:p>
      <w:pPr>
        <w:pStyle w:val="62"/>
        <w:ind w:firstLine="424"/>
        <w:jc w:val="both"/>
        <w:rPr>
          <w:color w:val="auto"/>
          <w:highlight w:val="none"/>
        </w:rPr>
      </w:pPr>
      <w:r>
        <w:rPr>
          <w:color w:val="auto"/>
          <w:sz w:val="24"/>
          <w:highlight w:val="none"/>
        </w:rPr>
        <w:t>第三条：为保证乙方有效进行技术服务工作，甲方应当向乙方提供下列工作条件和协作事项：</w:t>
      </w:r>
    </w:p>
    <w:p>
      <w:pPr>
        <w:pStyle w:val="62"/>
        <w:ind w:firstLine="424"/>
        <w:jc w:val="both"/>
        <w:rPr>
          <w:color w:val="auto"/>
          <w:highlight w:val="none"/>
        </w:rPr>
      </w:pPr>
      <w:r>
        <w:rPr>
          <w:color w:val="auto"/>
          <w:sz w:val="24"/>
          <w:highlight w:val="none"/>
        </w:rPr>
        <w:t>1．提供技术资料，并对该技术资料的真实性、合法性、完整性负责：</w:t>
      </w:r>
    </w:p>
    <w:p>
      <w:pPr>
        <w:pStyle w:val="62"/>
        <w:ind w:firstLine="424"/>
        <w:jc w:val="both"/>
        <w:rPr>
          <w:color w:val="auto"/>
          <w:highlight w:val="none"/>
        </w:rPr>
      </w:pPr>
      <w:r>
        <w:rPr>
          <w:color w:val="auto"/>
          <w:sz w:val="24"/>
          <w:highlight w:val="none"/>
        </w:rPr>
        <w:t>2．提供工作条件：甲方负责指定专人协调相关工作。乙方须</w:t>
      </w:r>
      <w:r>
        <w:rPr>
          <w:rFonts w:hint="eastAsia"/>
          <w:color w:val="auto"/>
          <w:sz w:val="24"/>
          <w:highlight w:val="none"/>
          <w:lang w:val="en-US" w:eastAsia="zh-CN"/>
        </w:rPr>
        <w:t>按甲方要求</w:t>
      </w:r>
      <w:r>
        <w:rPr>
          <w:color w:val="auto"/>
          <w:sz w:val="24"/>
          <w:highlight w:val="none"/>
        </w:rPr>
        <w:t>配备</w:t>
      </w:r>
      <w:r>
        <w:rPr>
          <w:rFonts w:hint="eastAsia"/>
          <w:color w:val="auto"/>
          <w:sz w:val="24"/>
          <w:highlight w:val="none"/>
          <w:lang w:val="en-US" w:eastAsia="zh-CN"/>
        </w:rPr>
        <w:t>办公场地、</w:t>
      </w:r>
      <w:r>
        <w:rPr>
          <w:color w:val="auto"/>
          <w:sz w:val="24"/>
          <w:highlight w:val="none"/>
        </w:rPr>
        <w:t>车辆、电脑</w:t>
      </w:r>
      <w:r>
        <w:rPr>
          <w:rFonts w:hint="eastAsia"/>
          <w:color w:val="auto"/>
          <w:sz w:val="24"/>
          <w:highlight w:val="none"/>
          <w:lang w:val="en-US" w:eastAsia="zh-CN"/>
        </w:rPr>
        <w:t>等</w:t>
      </w:r>
      <w:r>
        <w:rPr>
          <w:color w:val="auto"/>
          <w:sz w:val="24"/>
          <w:highlight w:val="none"/>
        </w:rPr>
        <w:t>，自行安排用地报批材料的扫描、打印、装订等文书工作</w:t>
      </w:r>
      <w:r>
        <w:rPr>
          <w:rFonts w:hint="eastAsia"/>
          <w:color w:val="auto"/>
          <w:sz w:val="24"/>
          <w:highlight w:val="none"/>
          <w:lang w:eastAsia="zh-CN"/>
        </w:rPr>
        <w:t>，</w:t>
      </w:r>
      <w:r>
        <w:rPr>
          <w:rFonts w:hint="eastAsia"/>
          <w:color w:val="auto"/>
          <w:sz w:val="24"/>
          <w:highlight w:val="none"/>
          <w:lang w:val="en-US" w:eastAsia="zh-CN"/>
        </w:rPr>
        <w:t>费用含在合同价中</w:t>
      </w:r>
      <w:r>
        <w:rPr>
          <w:color w:val="auto"/>
          <w:sz w:val="24"/>
          <w:highlight w:val="none"/>
        </w:rPr>
        <w:t>。</w:t>
      </w:r>
    </w:p>
    <w:p>
      <w:pPr>
        <w:pStyle w:val="62"/>
        <w:ind w:firstLine="424"/>
        <w:jc w:val="both"/>
        <w:rPr>
          <w:color w:val="auto"/>
          <w:highlight w:val="none"/>
        </w:rPr>
      </w:pPr>
      <w:r>
        <w:rPr>
          <w:color w:val="auto"/>
          <w:sz w:val="24"/>
          <w:highlight w:val="none"/>
        </w:rPr>
        <w:t>3．其他：无。</w:t>
      </w:r>
    </w:p>
    <w:p>
      <w:pPr>
        <w:pStyle w:val="62"/>
        <w:ind w:firstLine="424"/>
        <w:jc w:val="both"/>
        <w:rPr>
          <w:color w:val="auto"/>
          <w:highlight w:val="none"/>
        </w:rPr>
      </w:pPr>
      <w:r>
        <w:rPr>
          <w:color w:val="auto"/>
          <w:sz w:val="24"/>
          <w:highlight w:val="none"/>
        </w:rPr>
        <w:t>4. 甲方提供上述工作条件和协作事项的时间及方式: 自合同签订且项目范围线确定后5个工作日内，以电子版或纸质版方式提供。</w:t>
      </w:r>
    </w:p>
    <w:p>
      <w:pPr>
        <w:adjustRightInd w:val="0"/>
        <w:snapToGrid w:val="0"/>
        <w:spacing w:line="360" w:lineRule="auto"/>
        <w:ind w:firstLine="480" w:firstLineChars="200"/>
        <w:rPr>
          <w:color w:val="auto"/>
          <w:highlight w:val="none"/>
        </w:rPr>
      </w:pPr>
      <w:r>
        <w:rPr>
          <w:color w:val="auto"/>
          <w:sz w:val="24"/>
          <w:highlight w:val="none"/>
        </w:rPr>
        <w:t>第四条：</w:t>
      </w:r>
    </w:p>
    <w:p>
      <w:pPr>
        <w:adjustRightInd w:val="0"/>
        <w:snapToGrid w:val="0"/>
        <w:spacing w:line="360" w:lineRule="auto"/>
        <w:ind w:firstLine="480" w:firstLineChars="200"/>
        <w:rPr>
          <w:rFonts w:ascii="Times New Roman" w:hAnsi="Times New Roman" w:eastAsia="楷体" w:cs="Times New Roman"/>
          <w:color w:val="auto"/>
          <w:sz w:val="28"/>
          <w:szCs w:val="28"/>
          <w:highlight w:val="none"/>
        </w:rPr>
      </w:pPr>
      <w:r>
        <w:rPr>
          <w:rFonts w:hint="eastAsia"/>
          <w:color w:val="auto"/>
          <w:sz w:val="24"/>
          <w:highlight w:val="none"/>
          <w:lang w:val="en-US" w:eastAsia="zh-CN"/>
        </w:rPr>
        <w:t>1.</w:t>
      </w:r>
      <w:r>
        <w:rPr>
          <w:rFonts w:ascii="Times New Roman" w:hAnsi="Times New Roman" w:eastAsia="楷体" w:cs="Times New Roman"/>
          <w:color w:val="auto"/>
          <w:sz w:val="28"/>
          <w:szCs w:val="28"/>
          <w:highlight w:val="none"/>
        </w:rPr>
        <w:t>本合同技术咨询服务费及相应报酬含税总金额</w:t>
      </w:r>
      <w:r>
        <w:rPr>
          <w:rFonts w:hint="eastAsia" w:ascii="Times New Roman" w:hAnsi="Times New Roman" w:eastAsia="楷体" w:cs="Times New Roman"/>
          <w:color w:val="auto"/>
          <w:sz w:val="28"/>
          <w:szCs w:val="28"/>
          <w:highlight w:val="none"/>
        </w:rPr>
        <w:t>暂定</w:t>
      </w:r>
      <w:r>
        <w:rPr>
          <w:rFonts w:ascii="Times New Roman" w:hAnsi="Times New Roman" w:eastAsia="楷体" w:cs="Times New Roman"/>
          <w:color w:val="auto"/>
          <w:sz w:val="28"/>
          <w:szCs w:val="28"/>
          <w:highlight w:val="none"/>
        </w:rPr>
        <w:t>为</w:t>
      </w:r>
      <w:r>
        <w:rPr>
          <w:rFonts w:hint="eastAsia"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u w:val="single"/>
        </w:rPr>
        <w:t>¥</w:t>
      </w:r>
      <w:r>
        <w:rPr>
          <w:rFonts w:hint="eastAsia" w:ascii="Times New Roman" w:hAnsi="Times New Roman" w:eastAsia="楷体" w:cs="Times New Roman"/>
          <w:color w:val="auto"/>
          <w:sz w:val="28"/>
          <w:szCs w:val="28"/>
          <w:highlight w:val="none"/>
          <w:u w:val="single"/>
          <w:lang w:val="en-US" w:eastAsia="zh-CN"/>
        </w:rPr>
        <w:t xml:space="preserve">  </w:t>
      </w:r>
      <w:r>
        <w:rPr>
          <w:rFonts w:ascii="Times New Roman" w:hAnsi="Times New Roman" w:eastAsia="楷体" w:cs="Times New Roman"/>
          <w:color w:val="auto"/>
          <w:sz w:val="28"/>
          <w:szCs w:val="28"/>
          <w:highlight w:val="none"/>
        </w:rPr>
        <w:t>元，大写人民币</w:t>
      </w:r>
      <w:r>
        <w:rPr>
          <w:rFonts w:hint="eastAsia" w:ascii="Times New Roman" w:hAnsi="Times New Roman" w:eastAsia="楷体" w:cs="Times New Roman"/>
          <w:color w:val="auto"/>
          <w:sz w:val="28"/>
          <w:szCs w:val="28"/>
          <w:highlight w:val="none"/>
          <w:u w:val="single"/>
          <w:lang w:val="en-US" w:eastAsia="zh-CN"/>
        </w:rPr>
        <w:t xml:space="preserve">   </w:t>
      </w:r>
      <w:r>
        <w:rPr>
          <w:rFonts w:hint="eastAsia" w:eastAsia="楷体" w:cs="Times New Roman"/>
          <w:color w:val="auto"/>
          <w:sz w:val="28"/>
          <w:szCs w:val="28"/>
          <w:highlight w:val="none"/>
          <w:u w:val="single"/>
          <w:lang w:val="en-US" w:eastAsia="zh-CN"/>
        </w:rPr>
        <w:t>，投标下浮率为  %。</w:t>
      </w:r>
      <w:r>
        <w:rPr>
          <w:rFonts w:hint="eastAsia" w:eastAsia="楷体"/>
          <w:color w:val="auto"/>
          <w:sz w:val="28"/>
          <w:szCs w:val="28"/>
          <w:highlight w:val="none"/>
          <w:u w:val="single"/>
        </w:rPr>
        <w:t>单项工程用地报批征地前期工作咨询服务费按实际工程量结算，计费标准详见《</w:t>
      </w:r>
      <w:r>
        <w:rPr>
          <w:rFonts w:hint="eastAsia" w:eastAsia="楷体"/>
          <w:color w:val="auto"/>
          <w:sz w:val="28"/>
          <w:szCs w:val="28"/>
          <w:highlight w:val="none"/>
          <w:u w:val="single"/>
          <w:lang w:eastAsia="zh-CN"/>
        </w:rPr>
        <w:t>X</w:t>
      </w:r>
      <w:r>
        <w:rPr>
          <w:rFonts w:hint="eastAsia" w:eastAsia="楷体"/>
          <w:color w:val="auto"/>
          <w:sz w:val="28"/>
          <w:szCs w:val="28"/>
          <w:highlight w:val="none"/>
          <w:u w:val="single"/>
          <w:lang w:val="en-US" w:eastAsia="zh-CN"/>
        </w:rPr>
        <w:t>XXX</w:t>
      </w:r>
      <w:r>
        <w:rPr>
          <w:rFonts w:hint="eastAsia" w:eastAsia="楷体"/>
          <w:color w:val="auto"/>
          <w:sz w:val="28"/>
          <w:szCs w:val="28"/>
          <w:highlight w:val="none"/>
          <w:u w:val="single"/>
        </w:rPr>
        <w:t>项目用地报批征地前期工作咨询服务费用测算》，最终结算价以广州开发区财政局审定为准，且不得超过对应单项工程用地报批征地前期工作咨询服务最高投标限价。</w:t>
      </w:r>
      <w:r>
        <w:rPr>
          <w:rFonts w:hint="eastAsia" w:ascii="Times New Roman" w:hAnsi="Times New Roman" w:eastAsia="楷体" w:cs="Times New Roman"/>
          <w:color w:val="auto"/>
          <w:sz w:val="28"/>
          <w:szCs w:val="28"/>
          <w:highlight w:val="none"/>
        </w:rPr>
        <w:t>如遇审计部门审计发现本合同结算价款存在超付的情形，甲方有权据实要求乙方返还该部分款项。</w:t>
      </w:r>
    </w:p>
    <w:p>
      <w:pPr>
        <w:pStyle w:val="63"/>
        <w:ind w:firstLine="420"/>
        <w:rPr>
          <w:rFonts w:ascii="Times New Roman" w:hAnsi="Times New Roman" w:eastAsia="楷体" w:cs="Times New Roman"/>
          <w:color w:val="auto"/>
          <w:highlight w:val="none"/>
        </w:rPr>
      </w:pPr>
      <w:r>
        <w:rPr>
          <w:rFonts w:ascii="Times New Roman" w:hAnsi="Times New Roman" w:eastAsia="楷体" w:cs="Times New Roman"/>
          <w:color w:val="auto"/>
          <w:sz w:val="28"/>
          <w:szCs w:val="28"/>
          <w:highlight w:val="none"/>
        </w:rPr>
        <w:t>合同总金额包含</w:t>
      </w:r>
      <w:r>
        <w:rPr>
          <w:rFonts w:hint="eastAsia" w:ascii="Times New Roman" w:hAnsi="Times New Roman" w:eastAsia="楷体" w:cs="Times New Roman"/>
          <w:color w:val="auto"/>
          <w:sz w:val="28"/>
          <w:szCs w:val="28"/>
          <w:highlight w:val="none"/>
        </w:rPr>
        <w:t>但不限于</w:t>
      </w:r>
      <w:r>
        <w:rPr>
          <w:rFonts w:ascii="Times New Roman" w:hAnsi="Times New Roman" w:eastAsia="楷体" w:cs="Times New Roman"/>
          <w:color w:val="auto"/>
          <w:sz w:val="28"/>
          <w:szCs w:val="28"/>
          <w:highlight w:val="none"/>
        </w:rPr>
        <w:t>前期调研、资料收集、</w:t>
      </w:r>
      <w:r>
        <w:rPr>
          <w:rFonts w:hint="eastAsia" w:ascii="Times New Roman" w:hAnsi="Times New Roman" w:eastAsia="楷体" w:cs="Times New Roman"/>
          <w:color w:val="auto"/>
          <w:sz w:val="28"/>
          <w:szCs w:val="28"/>
          <w:highlight w:val="none"/>
        </w:rPr>
        <w:t>专家评审费、</w:t>
      </w:r>
      <w:r>
        <w:rPr>
          <w:rFonts w:ascii="Times New Roman" w:hAnsi="Times New Roman" w:eastAsia="楷体" w:cs="Times New Roman"/>
          <w:color w:val="auto"/>
          <w:sz w:val="28"/>
          <w:szCs w:val="28"/>
          <w:highlight w:val="none"/>
        </w:rPr>
        <w:t>成果编制及所产生的交通、食宿、设备、材料、雇员费用</w:t>
      </w:r>
      <w:r>
        <w:rPr>
          <w:rFonts w:hint="eastAsia" w:ascii="Times New Roman" w:hAnsi="Times New Roman" w:eastAsia="楷体" w:cs="Times New Roman"/>
          <w:color w:val="auto"/>
          <w:sz w:val="28"/>
          <w:szCs w:val="28"/>
          <w:highlight w:val="none"/>
        </w:rPr>
        <w:t>、税费</w:t>
      </w:r>
      <w:r>
        <w:rPr>
          <w:rFonts w:ascii="Times New Roman" w:hAnsi="Times New Roman" w:eastAsia="楷体" w:cs="Times New Roman"/>
          <w:color w:val="auto"/>
          <w:sz w:val="28"/>
          <w:szCs w:val="28"/>
          <w:highlight w:val="none"/>
        </w:rPr>
        <w:t>等</w:t>
      </w:r>
      <w:r>
        <w:rPr>
          <w:rFonts w:hint="eastAsia" w:ascii="Times New Roman" w:hAnsi="Times New Roman" w:eastAsia="楷体" w:cs="Times New Roman"/>
          <w:color w:val="auto"/>
          <w:sz w:val="28"/>
          <w:szCs w:val="28"/>
          <w:highlight w:val="none"/>
        </w:rPr>
        <w:t>完成本合同工作所有费用</w:t>
      </w:r>
      <w:r>
        <w:rPr>
          <w:rFonts w:ascii="Times New Roman" w:hAnsi="Times New Roman" w:eastAsia="楷体" w:cs="Times New Roman"/>
          <w:color w:val="auto"/>
          <w:sz w:val="28"/>
          <w:szCs w:val="28"/>
          <w:highlight w:val="none"/>
        </w:rPr>
        <w:t>。</w:t>
      </w:r>
    </w:p>
    <w:p>
      <w:pPr>
        <w:pStyle w:val="63"/>
        <w:ind w:firstLine="420"/>
        <w:rPr>
          <w:rFonts w:ascii="Times New Roman" w:hAnsi="Times New Roman" w:eastAsia="楷体" w:cs="Times New Roman"/>
          <w:color w:val="auto"/>
          <w:highlight w:val="none"/>
        </w:rPr>
      </w:pPr>
      <w:r>
        <w:rPr>
          <w:rFonts w:hint="eastAsia" w:ascii="Times New Roman" w:hAnsi="Times New Roman" w:eastAsia="楷体" w:cs="Times New Roman"/>
          <w:color w:val="auto"/>
          <w:sz w:val="28"/>
          <w:szCs w:val="28"/>
          <w:highlight w:val="none"/>
          <w:lang w:val="en-US" w:eastAsia="zh-CN"/>
        </w:rPr>
        <w:t>2.</w:t>
      </w:r>
      <w:r>
        <w:rPr>
          <w:rFonts w:ascii="Times New Roman" w:hAnsi="Times New Roman" w:eastAsia="楷体" w:cs="Times New Roman"/>
          <w:color w:val="auto"/>
          <w:sz w:val="28"/>
          <w:szCs w:val="28"/>
          <w:highlight w:val="none"/>
        </w:rPr>
        <w:t xml:space="preserve"> 根据项目实施进度分</w:t>
      </w:r>
      <w:r>
        <w:rPr>
          <w:rFonts w:hint="eastAsia" w:ascii="Times New Roman" w:hAnsi="Times New Roman" w:eastAsia="楷体" w:cs="Times New Roman"/>
          <w:color w:val="auto"/>
          <w:sz w:val="28"/>
          <w:szCs w:val="28"/>
          <w:highlight w:val="none"/>
        </w:rPr>
        <w:t>期</w:t>
      </w:r>
      <w:r>
        <w:rPr>
          <w:rFonts w:ascii="Times New Roman" w:hAnsi="Times New Roman" w:eastAsia="楷体" w:cs="Times New Roman"/>
          <w:color w:val="auto"/>
          <w:sz w:val="28"/>
          <w:szCs w:val="28"/>
          <w:highlight w:val="none"/>
        </w:rPr>
        <w:t>付款：</w:t>
      </w:r>
    </w:p>
    <w:p>
      <w:pPr>
        <w:pStyle w:val="63"/>
        <w:ind w:firstLine="420"/>
        <w:rPr>
          <w:rFonts w:ascii="Times New Roman" w:hAnsi="Times New Roman" w:eastAsia="楷体" w:cs="Times New Roman"/>
          <w:color w:val="auto"/>
          <w:sz w:val="28"/>
          <w:szCs w:val="28"/>
          <w:highlight w:val="none"/>
        </w:rPr>
      </w:pPr>
      <w:r>
        <w:rPr>
          <w:rFonts w:hint="eastAsia" w:ascii="Times New Roman" w:hAnsi="Times New Roman" w:eastAsia="楷体" w:cs="Times New Roman"/>
          <w:color w:val="auto"/>
          <w:sz w:val="28"/>
          <w:szCs w:val="28"/>
          <w:highlight w:val="none"/>
          <w:lang w:val="en-US" w:eastAsia="zh-CN"/>
        </w:rPr>
        <w:t>2.1</w:t>
      </w:r>
      <w:r>
        <w:rPr>
          <w:rFonts w:ascii="Times New Roman" w:hAnsi="Times New Roman" w:eastAsia="楷体" w:cs="Times New Roman"/>
          <w:color w:val="auto"/>
          <w:sz w:val="28"/>
          <w:szCs w:val="28"/>
          <w:highlight w:val="none"/>
        </w:rPr>
        <w:t>合同签订后</w:t>
      </w:r>
      <w:r>
        <w:rPr>
          <w:rFonts w:hint="eastAsia" w:ascii="Times New Roman" w:hAnsi="Times New Roman" w:eastAsia="楷体" w:cs="Times New Roman"/>
          <w:color w:val="auto"/>
          <w:sz w:val="28"/>
          <w:szCs w:val="28"/>
          <w:highlight w:val="none"/>
        </w:rPr>
        <w:t>，甲方在收到乙方的请款资料1</w:t>
      </w:r>
      <w:r>
        <w:rPr>
          <w:rFonts w:ascii="Times New Roman" w:hAnsi="Times New Roman" w:eastAsia="楷体" w:cs="Times New Roman"/>
          <w:color w:val="auto"/>
          <w:sz w:val="28"/>
          <w:szCs w:val="28"/>
          <w:highlight w:val="none"/>
        </w:rPr>
        <w:t>5个工作日内，甲方向乙方支付本合同</w:t>
      </w:r>
      <w:r>
        <w:rPr>
          <w:rFonts w:hint="eastAsia" w:ascii="Times New Roman" w:hAnsi="Times New Roman" w:eastAsia="楷体" w:cs="Times New Roman"/>
          <w:color w:val="auto"/>
          <w:sz w:val="28"/>
          <w:szCs w:val="28"/>
          <w:highlight w:val="none"/>
        </w:rPr>
        <w:t>暂定</w:t>
      </w:r>
      <w:r>
        <w:rPr>
          <w:rFonts w:ascii="Times New Roman" w:hAnsi="Times New Roman" w:eastAsia="楷体" w:cs="Times New Roman"/>
          <w:color w:val="auto"/>
          <w:sz w:val="28"/>
          <w:szCs w:val="28"/>
          <w:highlight w:val="none"/>
        </w:rPr>
        <w:t>总价款的</w:t>
      </w:r>
      <w:r>
        <w:rPr>
          <w:rFonts w:hint="eastAsia" w:ascii="Times New Roman" w:hAnsi="Times New Roman" w:eastAsia="楷体" w:cs="Times New Roman"/>
          <w:color w:val="auto"/>
          <w:sz w:val="28"/>
          <w:szCs w:val="28"/>
          <w:highlight w:val="none"/>
          <w:u w:val="single"/>
          <w:lang w:val="en-US" w:eastAsia="zh-CN"/>
        </w:rPr>
        <w:t>20</w:t>
      </w:r>
      <w:r>
        <w:rPr>
          <w:rFonts w:ascii="Times New Roman" w:hAnsi="Times New Roman" w:eastAsia="楷体" w:cs="Times New Roman"/>
          <w:color w:val="auto"/>
          <w:sz w:val="28"/>
          <w:szCs w:val="28"/>
          <w:highlight w:val="none"/>
          <w:u w:val="single"/>
        </w:rPr>
        <w:t>%</w:t>
      </w:r>
      <w:r>
        <w:rPr>
          <w:rFonts w:ascii="Times New Roman" w:hAnsi="Times New Roman" w:eastAsia="楷体" w:cs="Times New Roman"/>
          <w:color w:val="auto"/>
          <w:sz w:val="28"/>
          <w:szCs w:val="28"/>
          <w:highlight w:val="none"/>
        </w:rPr>
        <w:t>，即</w:t>
      </w:r>
      <w:r>
        <w:rPr>
          <w:rFonts w:ascii="Times New Roman" w:hAnsi="Times New Roman" w:eastAsia="楷体" w:cs="Times New Roman"/>
          <w:color w:val="auto"/>
          <w:sz w:val="28"/>
          <w:szCs w:val="28"/>
          <w:highlight w:val="none"/>
          <w:u w:val="single"/>
        </w:rPr>
        <w:t>¥</w:t>
      </w:r>
      <w:r>
        <w:rPr>
          <w:rFonts w:hint="eastAsia" w:ascii="Times New Roman" w:hAnsi="Times New Roman" w:eastAsia="楷体" w:cs="Times New Roman"/>
          <w:color w:val="auto"/>
          <w:sz w:val="28"/>
          <w:szCs w:val="28"/>
          <w:highlight w:val="none"/>
          <w:u w:val="single"/>
          <w:lang w:val="en-US" w:eastAsia="zh-CN"/>
        </w:rPr>
        <w:t xml:space="preserve">  </w:t>
      </w:r>
      <w:r>
        <w:rPr>
          <w:rFonts w:ascii="Times New Roman" w:hAnsi="Times New Roman" w:eastAsia="楷体" w:cs="Times New Roman"/>
          <w:color w:val="auto"/>
          <w:sz w:val="28"/>
          <w:szCs w:val="28"/>
          <w:highlight w:val="none"/>
        </w:rPr>
        <w:t>元，大写人民币</w:t>
      </w:r>
      <w:r>
        <w:rPr>
          <w:rFonts w:hint="eastAsia" w:ascii="Times New Roman" w:hAnsi="Times New Roman" w:eastAsia="楷体" w:cs="Times New Roman"/>
          <w:color w:val="auto"/>
          <w:sz w:val="28"/>
          <w:szCs w:val="28"/>
          <w:highlight w:val="none"/>
          <w:lang w:val="en-US" w:eastAsia="zh-CN"/>
        </w:rPr>
        <w:t xml:space="preserve">  </w:t>
      </w:r>
      <w:r>
        <w:rPr>
          <w:rFonts w:ascii="Times New Roman" w:hAnsi="Times New Roman" w:eastAsia="楷体" w:cs="Times New Roman"/>
          <w:color w:val="auto"/>
          <w:sz w:val="28"/>
          <w:szCs w:val="28"/>
          <w:highlight w:val="none"/>
        </w:rPr>
        <w:t>。</w:t>
      </w:r>
    </w:p>
    <w:p>
      <w:pPr>
        <w:pStyle w:val="63"/>
        <w:ind w:firstLine="560" w:firstLineChars="200"/>
        <w:rPr>
          <w:rFonts w:ascii="Times New Roman" w:hAnsi="Times New Roman" w:eastAsia="楷体" w:cs="Times New Roman"/>
          <w:color w:val="auto"/>
          <w:sz w:val="28"/>
          <w:szCs w:val="28"/>
          <w:highlight w:val="none"/>
        </w:rPr>
      </w:pPr>
      <w:r>
        <w:rPr>
          <w:rFonts w:hint="eastAsia" w:ascii="Times New Roman" w:hAnsi="Times New Roman" w:eastAsia="楷体" w:cs="Times New Roman"/>
          <w:color w:val="auto"/>
          <w:sz w:val="28"/>
          <w:szCs w:val="28"/>
          <w:highlight w:val="none"/>
          <w:lang w:val="en-US" w:eastAsia="zh-CN"/>
        </w:rPr>
        <w:t>2.2</w:t>
      </w:r>
      <w:r>
        <w:rPr>
          <w:rFonts w:hint="eastAsia" w:ascii="Times New Roman" w:hAnsi="Times New Roman" w:eastAsia="楷体" w:cs="Times New Roman"/>
          <w:color w:val="auto"/>
          <w:sz w:val="28"/>
          <w:szCs w:val="28"/>
          <w:highlight w:val="none"/>
        </w:rPr>
        <w:t>乙方完成</w:t>
      </w:r>
      <w:r>
        <w:rPr>
          <w:rFonts w:hint="eastAsia" w:ascii="Times New Roman" w:hAnsi="Times New Roman" w:eastAsia="楷体" w:cs="Times New Roman"/>
          <w:color w:val="auto"/>
          <w:sz w:val="28"/>
          <w:szCs w:val="28"/>
          <w:highlight w:val="none"/>
          <w:lang w:val="en-US" w:eastAsia="zh-CN"/>
        </w:rPr>
        <w:t>单个立项用地报批，取得</w:t>
      </w:r>
      <w:r>
        <w:rPr>
          <w:color w:val="auto"/>
          <w:sz w:val="24"/>
          <w:highlight w:val="none"/>
        </w:rPr>
        <w:t>建设用地批文</w:t>
      </w:r>
      <w:r>
        <w:rPr>
          <w:rFonts w:hint="eastAsia" w:ascii="Times New Roman" w:hAnsi="Times New Roman" w:eastAsia="楷体" w:cs="Times New Roman"/>
          <w:color w:val="auto"/>
          <w:sz w:val="28"/>
          <w:szCs w:val="28"/>
          <w:highlight w:val="none"/>
          <w:lang w:val="en-US" w:eastAsia="zh-CN"/>
        </w:rPr>
        <w:t>后，</w:t>
      </w:r>
      <w:r>
        <w:rPr>
          <w:rFonts w:hint="eastAsia" w:ascii="Times New Roman" w:hAnsi="Times New Roman" w:eastAsia="楷体" w:cs="Times New Roman"/>
          <w:color w:val="auto"/>
          <w:sz w:val="28"/>
          <w:szCs w:val="28"/>
          <w:highlight w:val="none"/>
        </w:rPr>
        <w:t>乙方提交</w:t>
      </w:r>
      <w:r>
        <w:rPr>
          <w:rFonts w:hint="eastAsia" w:ascii="Times New Roman" w:hAnsi="Times New Roman" w:eastAsia="楷体" w:cs="Times New Roman"/>
          <w:color w:val="auto"/>
          <w:sz w:val="28"/>
          <w:szCs w:val="28"/>
          <w:highlight w:val="none"/>
          <w:lang w:val="en-US" w:eastAsia="zh-CN"/>
        </w:rPr>
        <w:t>单个立项</w:t>
      </w:r>
      <w:r>
        <w:rPr>
          <w:rFonts w:hint="eastAsia" w:ascii="Times New Roman" w:hAnsi="Times New Roman" w:eastAsia="楷体" w:cs="Times New Roman"/>
          <w:color w:val="auto"/>
          <w:sz w:val="28"/>
          <w:szCs w:val="28"/>
          <w:highlight w:val="none"/>
        </w:rPr>
        <w:t>结算请款资料，经广州黄埔区财政局或其授权指定单位审定确认本合同最终结算价款后，甲方在财政拨款到位后</w:t>
      </w:r>
      <w:r>
        <w:rPr>
          <w:rFonts w:ascii="Times New Roman" w:hAnsi="Times New Roman" w:eastAsia="楷体" w:cs="Times New Roman"/>
          <w:color w:val="auto"/>
          <w:sz w:val="28"/>
          <w:szCs w:val="28"/>
          <w:highlight w:val="none"/>
        </w:rPr>
        <w:t>15个工作日内</w:t>
      </w:r>
      <w:r>
        <w:rPr>
          <w:rFonts w:hint="eastAsia" w:ascii="Times New Roman" w:hAnsi="Times New Roman" w:eastAsia="楷体" w:cs="Times New Roman"/>
          <w:color w:val="auto"/>
          <w:sz w:val="28"/>
          <w:szCs w:val="28"/>
          <w:highlight w:val="none"/>
        </w:rPr>
        <w:t>一次性付清结算余款给乙方。</w:t>
      </w:r>
    </w:p>
    <w:p>
      <w:pPr>
        <w:pStyle w:val="62"/>
        <w:ind w:firstLine="424"/>
        <w:jc w:val="both"/>
        <w:rPr>
          <w:rFonts w:ascii="Times New Roman" w:hAnsi="Times New Roman" w:eastAsia="楷体" w:cs="Times New Roman"/>
          <w:color w:val="auto"/>
          <w:sz w:val="28"/>
          <w:szCs w:val="28"/>
          <w:highlight w:val="none"/>
        </w:rPr>
      </w:pPr>
      <w:r>
        <w:rPr>
          <w:rFonts w:hint="eastAsia" w:ascii="Times New Roman" w:hAnsi="Times New Roman" w:eastAsia="楷体" w:cs="Times New Roman"/>
          <w:color w:val="auto"/>
          <w:sz w:val="28"/>
          <w:szCs w:val="28"/>
          <w:highlight w:val="none"/>
          <w:lang w:val="en-US" w:eastAsia="zh-CN"/>
        </w:rPr>
        <w:t>2.3</w:t>
      </w:r>
      <w:r>
        <w:rPr>
          <w:rFonts w:ascii="Times New Roman" w:hAnsi="Times New Roman" w:eastAsia="楷体" w:cs="Times New Roman"/>
          <w:color w:val="auto"/>
          <w:sz w:val="28"/>
          <w:szCs w:val="28"/>
          <w:highlight w:val="none"/>
        </w:rPr>
        <w:t xml:space="preserve"> 乙方应根据合同规定的进度要求，向甲方开具合法有效的等值</w:t>
      </w:r>
      <w:r>
        <w:rPr>
          <w:rFonts w:hint="eastAsia" w:ascii="Times New Roman" w:hAnsi="Times New Roman" w:eastAsia="楷体" w:cs="Times New Roman"/>
          <w:color w:val="auto"/>
          <w:sz w:val="28"/>
          <w:szCs w:val="28"/>
          <w:highlight w:val="none"/>
        </w:rPr>
        <w:t>增值税</w:t>
      </w:r>
      <w:r>
        <w:rPr>
          <w:rFonts w:ascii="Times New Roman" w:hAnsi="Times New Roman" w:eastAsia="楷体" w:cs="Times New Roman"/>
          <w:color w:val="auto"/>
          <w:sz w:val="28"/>
          <w:szCs w:val="28"/>
          <w:highlight w:val="none"/>
        </w:rPr>
        <w:t>普通发票</w:t>
      </w:r>
      <w:r>
        <w:rPr>
          <w:rFonts w:hint="eastAsia" w:ascii="Times New Roman" w:hAnsi="Times New Roman" w:eastAsia="楷体" w:cs="Times New Roman"/>
          <w:color w:val="auto"/>
          <w:sz w:val="28"/>
          <w:szCs w:val="28"/>
          <w:highlight w:val="none"/>
        </w:rPr>
        <w:t>，甲方纳税人识别号或统一社会信用代码：</w:t>
      </w:r>
      <w:r>
        <w:rPr>
          <w:rFonts w:ascii="Times New Roman" w:hAnsi="Times New Roman" w:eastAsia="楷体" w:cs="Times New Roman"/>
          <w:color w:val="auto"/>
          <w:sz w:val="28"/>
          <w:szCs w:val="28"/>
          <w:highlight w:val="none"/>
        </w:rPr>
        <w:t>12440116054509929</w:t>
      </w:r>
      <w:r>
        <w:rPr>
          <w:rFonts w:hint="eastAsia" w:ascii="Times New Roman" w:hAnsi="Times New Roman" w:eastAsia="楷体" w:cs="Times New Roman"/>
          <w:color w:val="auto"/>
          <w:sz w:val="28"/>
          <w:szCs w:val="28"/>
          <w:highlight w:val="none"/>
        </w:rPr>
        <w:t>H</w:t>
      </w:r>
      <w:r>
        <w:rPr>
          <w:rFonts w:ascii="Times New Roman" w:hAnsi="Times New Roman" w:eastAsia="楷体" w:cs="Times New Roman"/>
          <w:color w:val="auto"/>
          <w:sz w:val="28"/>
          <w:szCs w:val="28"/>
          <w:highlight w:val="none"/>
        </w:rPr>
        <w:t>（单位名称：</w:t>
      </w:r>
      <w:r>
        <w:rPr>
          <w:rFonts w:hint="eastAsia" w:ascii="Times New Roman" w:hAnsi="Times New Roman" w:eastAsia="楷体" w:cs="Times New Roman"/>
          <w:color w:val="auto"/>
          <w:sz w:val="28"/>
          <w:szCs w:val="28"/>
          <w:highlight w:val="none"/>
        </w:rPr>
        <w:t>中新广州知识城财政投资建设项目管理中心</w:t>
      </w:r>
      <w:r>
        <w:rPr>
          <w:rFonts w:ascii="Times New Roman" w:hAnsi="Times New Roman" w:eastAsia="楷体" w:cs="Times New Roman"/>
          <w:color w:val="auto"/>
          <w:sz w:val="28"/>
          <w:szCs w:val="28"/>
          <w:highlight w:val="none"/>
        </w:rPr>
        <w:t>）。</w:t>
      </w:r>
    </w:p>
    <w:p>
      <w:pPr>
        <w:pStyle w:val="62"/>
        <w:ind w:firstLine="424"/>
        <w:jc w:val="both"/>
        <w:rPr>
          <w:rFonts w:ascii="Times New Roman" w:hAnsi="Times New Roman" w:eastAsia="楷体" w:cs="Times New Roman"/>
          <w:color w:val="auto"/>
          <w:sz w:val="28"/>
          <w:szCs w:val="28"/>
          <w:highlight w:val="none"/>
        </w:rPr>
      </w:pPr>
    </w:p>
    <w:p>
      <w:pPr>
        <w:pStyle w:val="62"/>
        <w:ind w:firstLine="424"/>
        <w:jc w:val="both"/>
        <w:rPr>
          <w:color w:val="auto"/>
          <w:highlight w:val="none"/>
        </w:rPr>
      </w:pPr>
      <w:r>
        <w:rPr>
          <w:color w:val="auto"/>
          <w:sz w:val="24"/>
          <w:highlight w:val="none"/>
        </w:rPr>
        <w:t>第五条：双方确定因履行本合同应遵守的保密义务如下：</w:t>
      </w:r>
    </w:p>
    <w:p>
      <w:pPr>
        <w:pStyle w:val="62"/>
        <w:ind w:firstLine="424"/>
        <w:jc w:val="both"/>
        <w:rPr>
          <w:color w:val="auto"/>
          <w:highlight w:val="none"/>
        </w:rPr>
      </w:pPr>
      <w:r>
        <w:rPr>
          <w:color w:val="auto"/>
          <w:sz w:val="24"/>
          <w:highlight w:val="none"/>
        </w:rPr>
        <w:t>1.保密内容（包括技术信息和经营信息）：与本项目有关的资料和数据。</w:t>
      </w:r>
    </w:p>
    <w:p>
      <w:pPr>
        <w:pStyle w:val="62"/>
        <w:ind w:firstLine="424"/>
        <w:jc w:val="both"/>
        <w:rPr>
          <w:color w:val="auto"/>
          <w:highlight w:val="none"/>
        </w:rPr>
      </w:pPr>
      <w:r>
        <w:rPr>
          <w:color w:val="auto"/>
          <w:sz w:val="24"/>
          <w:highlight w:val="none"/>
        </w:rPr>
        <w:t>2.涉密人员范围：双方参加本项目的所有成员及可能获得本项目资料的人员（无论离职与否）。</w:t>
      </w:r>
    </w:p>
    <w:p>
      <w:pPr>
        <w:pStyle w:val="62"/>
        <w:ind w:firstLine="424"/>
        <w:jc w:val="both"/>
        <w:rPr>
          <w:color w:val="auto"/>
          <w:highlight w:val="none"/>
        </w:rPr>
      </w:pPr>
      <w:r>
        <w:rPr>
          <w:color w:val="auto"/>
          <w:sz w:val="24"/>
          <w:highlight w:val="none"/>
        </w:rPr>
        <w:t>3．保密期限：直至项目审批结束。</w:t>
      </w:r>
    </w:p>
    <w:p>
      <w:pPr>
        <w:pStyle w:val="62"/>
        <w:ind w:firstLine="424"/>
        <w:jc w:val="both"/>
        <w:rPr>
          <w:color w:val="auto"/>
          <w:highlight w:val="none"/>
        </w:rPr>
      </w:pPr>
      <w:r>
        <w:rPr>
          <w:color w:val="auto"/>
          <w:sz w:val="24"/>
          <w:highlight w:val="none"/>
        </w:rPr>
        <w:t>4．泄密责任：承担相应的法律责任及赔偿责任 。</w:t>
      </w:r>
    </w:p>
    <w:p>
      <w:pPr>
        <w:pStyle w:val="62"/>
        <w:ind w:firstLine="424"/>
        <w:jc w:val="both"/>
        <w:rPr>
          <w:color w:val="auto"/>
          <w:highlight w:val="none"/>
        </w:rPr>
      </w:pPr>
      <w:r>
        <w:rPr>
          <w:color w:val="auto"/>
          <w:sz w:val="24"/>
          <w:highlight w:val="none"/>
        </w:rPr>
        <w:t>第六条：本合同的变更必须由双方协商一致，并以书面形式确定。</w:t>
      </w:r>
    </w:p>
    <w:p>
      <w:pPr>
        <w:pStyle w:val="62"/>
        <w:ind w:firstLine="424"/>
        <w:jc w:val="both"/>
        <w:rPr>
          <w:color w:val="auto"/>
          <w:highlight w:val="none"/>
        </w:rPr>
      </w:pPr>
      <w:r>
        <w:rPr>
          <w:color w:val="auto"/>
          <w:sz w:val="24"/>
          <w:highlight w:val="none"/>
        </w:rPr>
        <w:t>第七条：乙方按以下标准提供技术服务工作成果：</w:t>
      </w:r>
    </w:p>
    <w:p>
      <w:pPr>
        <w:pStyle w:val="62"/>
        <w:ind w:firstLine="424"/>
        <w:jc w:val="both"/>
        <w:rPr>
          <w:color w:val="auto"/>
          <w:highlight w:val="none"/>
        </w:rPr>
      </w:pPr>
      <w:r>
        <w:rPr>
          <w:rFonts w:hint="eastAsia"/>
          <w:b w:val="0"/>
          <w:bCs/>
          <w:color w:val="auto"/>
          <w:sz w:val="21"/>
          <w:highlight w:val="none"/>
          <w:lang w:eastAsia="zh-CN"/>
        </w:rPr>
        <w:t>（</w:t>
      </w:r>
      <w:r>
        <w:rPr>
          <w:rFonts w:hint="eastAsia"/>
          <w:b w:val="0"/>
          <w:bCs/>
          <w:color w:val="auto"/>
          <w:sz w:val="21"/>
          <w:highlight w:val="none"/>
          <w:lang w:val="en-US" w:eastAsia="zh-CN"/>
        </w:rPr>
        <w:t>1</w:t>
      </w:r>
      <w:r>
        <w:rPr>
          <w:rFonts w:hint="eastAsia"/>
          <w:b w:val="0"/>
          <w:bCs/>
          <w:color w:val="auto"/>
          <w:sz w:val="21"/>
          <w:highlight w:val="none"/>
          <w:lang w:eastAsia="zh-CN"/>
        </w:rPr>
        <w:t>）</w:t>
      </w:r>
      <w:r>
        <w:rPr>
          <w:b w:val="0"/>
          <w:bCs/>
          <w:color w:val="auto"/>
          <w:sz w:val="21"/>
          <w:highlight w:val="none"/>
        </w:rPr>
        <w:t>项目报</w:t>
      </w:r>
      <w:r>
        <w:rPr>
          <w:color w:val="auto"/>
          <w:sz w:val="21"/>
          <w:highlight w:val="none"/>
        </w:rPr>
        <w:t>批材料</w:t>
      </w:r>
      <w:r>
        <w:rPr>
          <w:rFonts w:hint="eastAsia"/>
          <w:color w:val="auto"/>
          <w:sz w:val="21"/>
          <w:highlight w:val="none"/>
          <w:lang w:val="en-US" w:eastAsia="zh-CN"/>
        </w:rPr>
        <w:t>符合</w:t>
      </w:r>
      <w:r>
        <w:rPr>
          <w:color w:val="auto"/>
          <w:sz w:val="21"/>
          <w:highlight w:val="none"/>
        </w:rPr>
        <w:t>《建设用地审查报批管理办法》（国土资源部第69号令）、《关于规范市县政府建设用地审批工作的通知》（粤国土资利用发〔2014〕184号）、《广东省国土资源厅关于印发&lt;省政府审批建设用地报批材料范（2018年修订版）&gt;的通知》（粤国土资利用发〔2018〕25号）等文件的要求；</w:t>
      </w:r>
    </w:p>
    <w:p>
      <w:pPr>
        <w:pStyle w:val="62"/>
        <w:ind w:firstLine="424"/>
        <w:jc w:val="both"/>
        <w:rPr>
          <w:color w:val="auto"/>
          <w:highlight w:val="none"/>
        </w:rPr>
      </w:pPr>
      <w:r>
        <w:rPr>
          <w:rFonts w:hint="eastAsia"/>
          <w:color w:val="auto"/>
          <w:sz w:val="21"/>
          <w:highlight w:val="none"/>
          <w:lang w:eastAsia="zh-CN"/>
        </w:rPr>
        <w:t>（</w:t>
      </w:r>
      <w:r>
        <w:rPr>
          <w:rFonts w:hint="eastAsia"/>
          <w:color w:val="auto"/>
          <w:sz w:val="21"/>
          <w:highlight w:val="none"/>
          <w:lang w:val="en-US" w:eastAsia="zh-CN"/>
        </w:rPr>
        <w:t>2</w:t>
      </w:r>
      <w:r>
        <w:rPr>
          <w:rFonts w:hint="eastAsia"/>
          <w:color w:val="auto"/>
          <w:sz w:val="21"/>
          <w:highlight w:val="none"/>
          <w:lang w:eastAsia="zh-CN"/>
        </w:rPr>
        <w:t>）</w:t>
      </w:r>
      <w:r>
        <w:rPr>
          <w:color w:val="auto"/>
          <w:sz w:val="21"/>
          <w:highlight w:val="none"/>
        </w:rPr>
        <w:t>提交用地报批成果文件4套。全部成果（包括报批收集原始材料、最终报告、附件、附表、图纸）均应制作成计算机文件，文本文件采用Microsoft word的格式文件和PDF格式文件，并提供以上计算机文件光盘一套；</w:t>
      </w:r>
    </w:p>
    <w:p>
      <w:pPr>
        <w:pStyle w:val="62"/>
        <w:ind w:firstLine="424"/>
        <w:jc w:val="both"/>
        <w:rPr>
          <w:rFonts w:hint="eastAsia"/>
          <w:color w:val="auto"/>
          <w:sz w:val="24"/>
          <w:highlight w:val="none"/>
          <w:lang w:eastAsia="zh-CN"/>
        </w:rPr>
      </w:pPr>
      <w:r>
        <w:rPr>
          <w:rFonts w:hint="eastAsia"/>
          <w:color w:val="auto"/>
          <w:sz w:val="21"/>
          <w:highlight w:val="none"/>
          <w:lang w:eastAsia="zh-CN"/>
        </w:rPr>
        <w:t>（</w:t>
      </w:r>
      <w:r>
        <w:rPr>
          <w:rFonts w:hint="eastAsia"/>
          <w:color w:val="auto"/>
          <w:sz w:val="21"/>
          <w:highlight w:val="none"/>
          <w:lang w:val="en-US" w:eastAsia="zh-CN"/>
        </w:rPr>
        <w:t>3</w:t>
      </w:r>
      <w:r>
        <w:rPr>
          <w:rFonts w:hint="eastAsia"/>
          <w:color w:val="auto"/>
          <w:sz w:val="21"/>
          <w:highlight w:val="none"/>
          <w:lang w:eastAsia="zh-CN"/>
        </w:rPr>
        <w:t>）</w:t>
      </w:r>
      <w:r>
        <w:rPr>
          <w:color w:val="auto"/>
          <w:sz w:val="21"/>
          <w:highlight w:val="none"/>
        </w:rPr>
        <w:t>自取得建设用地批复之日起10天内提交成果文件终稿。</w:t>
      </w:r>
    </w:p>
    <w:p>
      <w:pPr>
        <w:pStyle w:val="62"/>
        <w:ind w:firstLine="424"/>
        <w:jc w:val="both"/>
        <w:rPr>
          <w:color w:val="auto"/>
          <w:highlight w:val="none"/>
        </w:rPr>
      </w:pPr>
      <w:r>
        <w:rPr>
          <w:rFonts w:hint="eastAsia"/>
          <w:color w:val="auto"/>
          <w:sz w:val="24"/>
          <w:highlight w:val="none"/>
          <w:lang w:eastAsia="zh-CN"/>
        </w:rPr>
        <w:t>（</w:t>
      </w:r>
      <w:r>
        <w:rPr>
          <w:rFonts w:hint="eastAsia"/>
          <w:color w:val="auto"/>
          <w:sz w:val="24"/>
          <w:highlight w:val="none"/>
          <w:lang w:val="en-US" w:eastAsia="zh-CN"/>
        </w:rPr>
        <w:t>4）甲方要求的其他成果资料（若有）。</w:t>
      </w:r>
      <w:r>
        <w:rPr>
          <w:color w:val="auto"/>
          <w:sz w:val="24"/>
          <w:highlight w:val="none"/>
        </w:rPr>
        <w:t xml:space="preserve">                        </w:t>
      </w:r>
    </w:p>
    <w:p>
      <w:pPr>
        <w:pStyle w:val="62"/>
        <w:ind w:firstLine="424"/>
        <w:jc w:val="both"/>
        <w:rPr>
          <w:color w:val="auto"/>
          <w:highlight w:val="none"/>
        </w:rPr>
      </w:pPr>
      <w:r>
        <w:rPr>
          <w:color w:val="auto"/>
          <w:sz w:val="24"/>
          <w:highlight w:val="none"/>
        </w:rPr>
        <w:t>第八条：双方确定：</w:t>
      </w:r>
    </w:p>
    <w:p>
      <w:pPr>
        <w:pStyle w:val="62"/>
        <w:ind w:firstLine="424"/>
        <w:jc w:val="both"/>
        <w:rPr>
          <w:color w:val="auto"/>
          <w:highlight w:val="none"/>
        </w:rPr>
      </w:pPr>
      <w:r>
        <w:rPr>
          <w:color w:val="auto"/>
          <w:sz w:val="24"/>
          <w:highlight w:val="none"/>
        </w:rPr>
        <w:t>1.在本合同有效期内，甲方利用乙方提交的技术服务工作成果所完成的新的技术成果，归甲方所有。</w:t>
      </w:r>
    </w:p>
    <w:p>
      <w:pPr>
        <w:pStyle w:val="62"/>
        <w:ind w:firstLine="424"/>
        <w:jc w:val="both"/>
        <w:rPr>
          <w:color w:val="auto"/>
          <w:highlight w:val="none"/>
        </w:rPr>
      </w:pPr>
      <w:r>
        <w:rPr>
          <w:color w:val="auto"/>
          <w:sz w:val="24"/>
          <w:highlight w:val="none"/>
        </w:rPr>
        <w:t>2.在本合同有效期内，乙方利用甲方提供的技术资料和工作条件所完成的新的技术成果，归甲方所有。</w:t>
      </w:r>
    </w:p>
    <w:p>
      <w:pPr>
        <w:pStyle w:val="62"/>
        <w:ind w:firstLine="424"/>
        <w:jc w:val="both"/>
        <w:rPr>
          <w:color w:val="auto"/>
          <w:highlight w:val="none"/>
        </w:rPr>
      </w:pPr>
      <w:r>
        <w:rPr>
          <w:color w:val="auto"/>
          <w:sz w:val="24"/>
          <w:highlight w:val="none"/>
        </w:rPr>
        <w:t>3.</w:t>
      </w:r>
      <w:r>
        <w:rPr>
          <w:rFonts w:hint="eastAsia"/>
          <w:color w:val="auto"/>
          <w:sz w:val="24"/>
          <w:highlight w:val="none"/>
          <w:lang w:val="en-US" w:eastAsia="zh-CN"/>
        </w:rPr>
        <w:t>本</w:t>
      </w:r>
      <w:r>
        <w:rPr>
          <w:color w:val="auto"/>
          <w:sz w:val="24"/>
          <w:highlight w:val="none"/>
        </w:rPr>
        <w:t>合同所涉及</w:t>
      </w:r>
      <w:r>
        <w:rPr>
          <w:rFonts w:hint="eastAsia"/>
          <w:color w:val="auto"/>
          <w:sz w:val="24"/>
          <w:highlight w:val="none"/>
          <w:lang w:val="en-US" w:eastAsia="zh-CN"/>
        </w:rPr>
        <w:t>成果</w:t>
      </w:r>
      <w:r>
        <w:rPr>
          <w:color w:val="auto"/>
          <w:sz w:val="24"/>
          <w:highlight w:val="none"/>
        </w:rPr>
        <w:t>之知识产权归甲方所有。</w:t>
      </w:r>
    </w:p>
    <w:p>
      <w:pPr>
        <w:pStyle w:val="62"/>
        <w:ind w:firstLine="424"/>
        <w:jc w:val="both"/>
        <w:rPr>
          <w:color w:val="auto"/>
          <w:highlight w:val="none"/>
        </w:rPr>
      </w:pPr>
      <w:r>
        <w:rPr>
          <w:color w:val="auto"/>
          <w:sz w:val="24"/>
          <w:highlight w:val="none"/>
        </w:rPr>
        <w:t>第九条：双方确定，按以下约定承担各自的违约责任：</w:t>
      </w:r>
    </w:p>
    <w:p>
      <w:pPr>
        <w:pStyle w:val="62"/>
        <w:ind w:firstLine="424"/>
        <w:jc w:val="both"/>
        <w:rPr>
          <w:color w:val="auto"/>
          <w:highlight w:val="none"/>
        </w:rPr>
      </w:pPr>
      <w:r>
        <w:rPr>
          <w:color w:val="auto"/>
          <w:sz w:val="24"/>
          <w:highlight w:val="none"/>
        </w:rPr>
        <w:t>1.乙方未按本合同第二条约定提交成果，应当从逾期次日起，每日向甲方偿付技术服务费总额的2‰的违约金。如逾期超过30日时，甲方有权终止本合同，乙方仍应支付上述违约金、退还已收取的合同款项，同时赔偿甲方的相应损失。</w:t>
      </w:r>
    </w:p>
    <w:p>
      <w:pPr>
        <w:pStyle w:val="62"/>
        <w:ind w:firstLine="424"/>
        <w:jc w:val="both"/>
        <w:rPr>
          <w:color w:val="auto"/>
          <w:highlight w:val="none"/>
        </w:rPr>
      </w:pPr>
      <w:r>
        <w:rPr>
          <w:color w:val="auto"/>
          <w:sz w:val="24"/>
          <w:highlight w:val="none"/>
        </w:rPr>
        <w:t>2.甲方未能按本合同约定按期付款的，每逾期1日，甲方应按</w:t>
      </w:r>
      <w:r>
        <w:rPr>
          <w:rFonts w:hint="eastAsia"/>
          <w:color w:val="auto"/>
          <w:sz w:val="24"/>
          <w:highlight w:val="none"/>
          <w:lang w:val="en-US" w:eastAsia="zh-CN"/>
        </w:rPr>
        <w:t>应付未付费用</w:t>
      </w:r>
      <w:r>
        <w:rPr>
          <w:color w:val="auto"/>
          <w:sz w:val="24"/>
          <w:highlight w:val="none"/>
        </w:rPr>
        <w:t>的2‰向乙方支付违约金。如逾期超过30日时，乙方有权终止本合同，甲方仍应支付上述违约金、应付而未付款项，同时赔偿乙方的相应损失。</w:t>
      </w:r>
    </w:p>
    <w:p>
      <w:pPr>
        <w:pStyle w:val="62"/>
        <w:ind w:firstLine="424"/>
        <w:jc w:val="both"/>
        <w:rPr>
          <w:color w:val="auto"/>
          <w:highlight w:val="none"/>
        </w:rPr>
      </w:pPr>
      <w:r>
        <w:rPr>
          <w:color w:val="auto"/>
          <w:sz w:val="24"/>
          <w:highlight w:val="none"/>
        </w:rPr>
        <w:t>3.在合同履行过程中，甲方如因故中途终止本合同时，应提前15个工作日以书面方式通知乙方，甲方预付或己付的报酬乙方不予退还，甲方还应根据乙方实际耗用的工作量赔偿其差额损失。</w:t>
      </w:r>
    </w:p>
    <w:p>
      <w:pPr>
        <w:pStyle w:val="62"/>
        <w:ind w:firstLine="424"/>
        <w:jc w:val="both"/>
        <w:rPr>
          <w:color w:val="auto"/>
          <w:highlight w:val="none"/>
        </w:rPr>
      </w:pPr>
      <w:r>
        <w:rPr>
          <w:color w:val="auto"/>
          <w:sz w:val="24"/>
          <w:highlight w:val="none"/>
        </w:rPr>
        <w:t>4.在合同履行期间，因甲方原因导致合同无法执行的，乙方不退还甲方已拨付的工作经费，剩余款项甲方无需继续支付。</w:t>
      </w:r>
    </w:p>
    <w:p>
      <w:pPr>
        <w:pStyle w:val="62"/>
        <w:ind w:firstLine="424"/>
        <w:jc w:val="both"/>
        <w:rPr>
          <w:color w:val="auto"/>
          <w:highlight w:val="none"/>
        </w:rPr>
      </w:pPr>
      <w:r>
        <w:rPr>
          <w:color w:val="auto"/>
          <w:sz w:val="24"/>
          <w:highlight w:val="none"/>
        </w:rPr>
        <w:t>5.在合同履行期间，如因甲方提供的工作条件和协作事项迟延，因项目用地指标、耕地占补平衡、违法用地、村镇盖章、政策变化及政府人员变动等非乙方造成的原因导致逾期的，乙可免除责任，不受本技术合同第九条中的奖惩约定约束。在上述客观因素发生时，甲乙双方应提前沟通，必要时由乙方出具书面说明文件，提供相应的工作成果材料作为佐证材料，提交至甲方处，双方共同商讨解决办法。</w:t>
      </w:r>
    </w:p>
    <w:p>
      <w:pPr>
        <w:pStyle w:val="62"/>
        <w:ind w:firstLine="424"/>
        <w:jc w:val="both"/>
        <w:rPr>
          <w:color w:val="auto"/>
          <w:highlight w:val="none"/>
        </w:rPr>
      </w:pPr>
      <w:r>
        <w:rPr>
          <w:color w:val="auto"/>
          <w:sz w:val="24"/>
          <w:highlight w:val="none"/>
        </w:rPr>
        <w:t>第十条：双方确定，在本合同有效期内，甲乙双方需有指定的项目联系人。项目联系人承担以下责任：</w:t>
      </w:r>
    </w:p>
    <w:p>
      <w:pPr>
        <w:pStyle w:val="62"/>
        <w:ind w:firstLine="424"/>
        <w:jc w:val="both"/>
        <w:rPr>
          <w:color w:val="auto"/>
          <w:highlight w:val="none"/>
        </w:rPr>
      </w:pPr>
      <w:r>
        <w:rPr>
          <w:color w:val="auto"/>
          <w:sz w:val="24"/>
          <w:highlight w:val="none"/>
        </w:rPr>
        <w:t>1.负责合同的签订和履行；</w:t>
      </w:r>
    </w:p>
    <w:p>
      <w:pPr>
        <w:pStyle w:val="62"/>
        <w:ind w:firstLine="424"/>
        <w:jc w:val="both"/>
        <w:rPr>
          <w:color w:val="auto"/>
          <w:highlight w:val="none"/>
        </w:rPr>
      </w:pPr>
      <w:r>
        <w:rPr>
          <w:color w:val="auto"/>
          <w:sz w:val="24"/>
          <w:highlight w:val="none"/>
        </w:rPr>
        <w:t>2.项目双方的协调、联系；</w:t>
      </w:r>
    </w:p>
    <w:p>
      <w:pPr>
        <w:pStyle w:val="62"/>
        <w:ind w:firstLine="424"/>
        <w:jc w:val="both"/>
        <w:rPr>
          <w:color w:val="auto"/>
          <w:highlight w:val="none"/>
        </w:rPr>
      </w:pPr>
      <w:r>
        <w:rPr>
          <w:color w:val="auto"/>
          <w:sz w:val="24"/>
          <w:highlight w:val="none"/>
        </w:rPr>
        <w:t>3.一方变更项目联系人的，应当及时以书面形式通知另一方，未及时通知并影响本合同履行或造成损失的，应承担相应的责任。</w:t>
      </w:r>
    </w:p>
    <w:p>
      <w:pPr>
        <w:pStyle w:val="62"/>
        <w:ind w:firstLine="424"/>
        <w:jc w:val="both"/>
        <w:rPr>
          <w:color w:val="auto"/>
          <w:highlight w:val="none"/>
        </w:rPr>
      </w:pPr>
      <w:r>
        <w:rPr>
          <w:color w:val="auto"/>
          <w:sz w:val="24"/>
          <w:highlight w:val="none"/>
        </w:rPr>
        <w:t>第十一条：如本合同需缴纳合同印花税，乙方需在有关税务部门规定期限及结清本合同费用前，代缴按规定属甲方缴纳的部分，代缴后甲方按代缴金额实报实销。</w:t>
      </w:r>
    </w:p>
    <w:p>
      <w:pPr>
        <w:pStyle w:val="62"/>
        <w:ind w:firstLine="424"/>
        <w:jc w:val="both"/>
        <w:rPr>
          <w:color w:val="auto"/>
          <w:highlight w:val="none"/>
        </w:rPr>
      </w:pPr>
      <w:r>
        <w:rPr>
          <w:color w:val="auto"/>
          <w:sz w:val="24"/>
          <w:highlight w:val="none"/>
        </w:rPr>
        <w:t>第十二条：双方确定，出现下列情况，致使本合同的履行成为不必要或不可能的，可以解除本合同：</w:t>
      </w:r>
    </w:p>
    <w:p>
      <w:pPr>
        <w:pStyle w:val="62"/>
        <w:ind w:firstLine="424"/>
        <w:jc w:val="both"/>
        <w:rPr>
          <w:color w:val="auto"/>
          <w:highlight w:val="none"/>
        </w:rPr>
      </w:pPr>
      <w:r>
        <w:rPr>
          <w:color w:val="auto"/>
          <w:sz w:val="24"/>
          <w:highlight w:val="none"/>
        </w:rPr>
        <w:t>1.发生不可抗力。</w:t>
      </w:r>
    </w:p>
    <w:p>
      <w:pPr>
        <w:pStyle w:val="62"/>
        <w:ind w:firstLine="424"/>
        <w:jc w:val="both"/>
        <w:rPr>
          <w:color w:val="auto"/>
          <w:highlight w:val="none"/>
        </w:rPr>
      </w:pPr>
      <w:r>
        <w:rPr>
          <w:color w:val="auto"/>
          <w:sz w:val="24"/>
          <w:highlight w:val="none"/>
        </w:rPr>
        <w:t>（1） 本合同所称“不可抗力”是指受因政府政策、规划改变或自然灾害等影响，一方不能合理控制且无法预料，或即使可预料到也不可避免且无法克服，并于本合同签订日之后出现的事件。</w:t>
      </w:r>
    </w:p>
    <w:p>
      <w:pPr>
        <w:pStyle w:val="62"/>
        <w:ind w:firstLine="424"/>
        <w:jc w:val="both"/>
        <w:rPr>
          <w:color w:val="auto"/>
          <w:highlight w:val="none"/>
        </w:rPr>
      </w:pPr>
      <w:r>
        <w:rPr>
          <w:color w:val="auto"/>
          <w:sz w:val="24"/>
          <w:highlight w:val="none"/>
        </w:rPr>
        <w:t>（2）声称受到不可抗力事件影响的一方应尽可能在最短的时间内通过书面形式将不可抗力事件的发生通知另一方，并在该不可抗力事件发生后 7 日内向另一方提供关于此种不可抗力事件及其持续时间的有效证明文件并有责任尽一切合理的努力消除或减轻此等不可抗力事件的影响。</w:t>
      </w:r>
    </w:p>
    <w:p>
      <w:pPr>
        <w:pStyle w:val="62"/>
        <w:ind w:firstLine="424"/>
        <w:jc w:val="both"/>
        <w:rPr>
          <w:color w:val="auto"/>
          <w:highlight w:val="none"/>
        </w:rPr>
      </w:pPr>
      <w:r>
        <w:rPr>
          <w:color w:val="auto"/>
          <w:sz w:val="24"/>
          <w:highlight w:val="none"/>
        </w:rPr>
        <w:t>（3）不可抗力事件发生时或其影响终止或消除后，双方应立即通过友好协商决定如何执行本合同。如因不可抗力导致合同无法履行的，甲乙双方均不承担违约责任。</w:t>
      </w:r>
    </w:p>
    <w:p>
      <w:pPr>
        <w:pStyle w:val="62"/>
        <w:ind w:firstLine="424"/>
        <w:jc w:val="both"/>
        <w:rPr>
          <w:color w:val="auto"/>
          <w:highlight w:val="none"/>
        </w:rPr>
      </w:pPr>
      <w:r>
        <w:rPr>
          <w:color w:val="auto"/>
          <w:sz w:val="24"/>
          <w:highlight w:val="none"/>
        </w:rPr>
        <w:t xml:space="preserve"> 第十三条：双方因履行本合同而发生的争议，应协商、调解解决。协商、调解不成的，确定按以下第  2  种方式处理：</w:t>
      </w:r>
    </w:p>
    <w:p>
      <w:pPr>
        <w:pStyle w:val="62"/>
        <w:ind w:firstLine="424"/>
        <w:jc w:val="both"/>
        <w:rPr>
          <w:color w:val="auto"/>
          <w:highlight w:val="none"/>
        </w:rPr>
      </w:pPr>
      <w:r>
        <w:rPr>
          <w:color w:val="auto"/>
          <w:sz w:val="24"/>
          <w:highlight w:val="none"/>
        </w:rPr>
        <w:t xml:space="preserve"> 1．提交广州市仲裁委员会仲裁；</w:t>
      </w:r>
    </w:p>
    <w:p>
      <w:pPr>
        <w:pStyle w:val="62"/>
        <w:ind w:firstLine="424"/>
        <w:jc w:val="both"/>
        <w:rPr>
          <w:color w:val="auto"/>
          <w:highlight w:val="none"/>
        </w:rPr>
      </w:pPr>
      <w:r>
        <w:rPr>
          <w:color w:val="auto"/>
          <w:sz w:val="24"/>
          <w:highlight w:val="none"/>
        </w:rPr>
        <w:t xml:space="preserve"> 2．依法向项目所在地广州市黄埔区人民法院起诉。</w:t>
      </w:r>
    </w:p>
    <w:p>
      <w:pPr>
        <w:pStyle w:val="62"/>
        <w:ind w:firstLine="424"/>
        <w:jc w:val="both"/>
        <w:rPr>
          <w:color w:val="auto"/>
          <w:highlight w:val="none"/>
        </w:rPr>
      </w:pPr>
      <w:r>
        <w:rPr>
          <w:color w:val="auto"/>
          <w:sz w:val="24"/>
          <w:highlight w:val="none"/>
        </w:rPr>
        <w:t>第十四条：本合同一式柒份，双方各持叁份，采购代理机构壹份，具有同等法律效力。</w:t>
      </w:r>
    </w:p>
    <w:p>
      <w:pPr>
        <w:pStyle w:val="62"/>
        <w:ind w:firstLine="424"/>
        <w:jc w:val="both"/>
        <w:rPr>
          <w:color w:val="auto"/>
          <w:highlight w:val="none"/>
        </w:rPr>
      </w:pPr>
      <w:r>
        <w:rPr>
          <w:color w:val="auto"/>
          <w:sz w:val="24"/>
          <w:highlight w:val="none"/>
        </w:rPr>
        <w:t>第十五条：本合同在甲乙双方法定代表人或其授权代表签字盖章后生效。</w:t>
      </w:r>
    </w:p>
    <w:p>
      <w:pPr>
        <w:pStyle w:val="62"/>
        <w:jc w:val="both"/>
        <w:rPr>
          <w:rFonts w:hint="eastAsia" w:eastAsia="楷体"/>
          <w:color w:val="auto"/>
          <w:sz w:val="28"/>
          <w:szCs w:val="28"/>
          <w:highlight w:val="none"/>
          <w:u w:val="single"/>
          <w:lang w:val="en-US" w:eastAsia="zh-CN"/>
        </w:rPr>
      </w:pPr>
    </w:p>
    <w:p>
      <w:pPr>
        <w:pStyle w:val="62"/>
        <w:jc w:val="both"/>
        <w:rPr>
          <w:color w:val="auto"/>
          <w:sz w:val="24"/>
          <w:highlight w:val="none"/>
        </w:rPr>
      </w:pPr>
      <w:r>
        <w:rPr>
          <w:rFonts w:hint="eastAsia" w:eastAsia="楷体"/>
          <w:color w:val="auto"/>
          <w:sz w:val="28"/>
          <w:szCs w:val="28"/>
          <w:highlight w:val="none"/>
          <w:u w:val="single"/>
          <w:lang w:val="en-US" w:eastAsia="zh-CN"/>
        </w:rPr>
        <w:t>附件：</w:t>
      </w:r>
      <w:r>
        <w:rPr>
          <w:rFonts w:hint="eastAsia" w:eastAsia="楷体"/>
          <w:color w:val="auto"/>
          <w:sz w:val="28"/>
          <w:szCs w:val="28"/>
          <w:highlight w:val="none"/>
          <w:u w:val="single"/>
        </w:rPr>
        <w:t>《</w:t>
      </w:r>
      <w:r>
        <w:rPr>
          <w:rFonts w:hint="eastAsia" w:eastAsia="楷体"/>
          <w:color w:val="auto"/>
          <w:sz w:val="28"/>
          <w:szCs w:val="28"/>
          <w:highlight w:val="none"/>
          <w:u w:val="single"/>
          <w:lang w:eastAsia="zh-CN"/>
        </w:rPr>
        <w:t>X</w:t>
      </w:r>
      <w:r>
        <w:rPr>
          <w:rFonts w:hint="eastAsia" w:eastAsia="楷体"/>
          <w:color w:val="auto"/>
          <w:sz w:val="28"/>
          <w:szCs w:val="28"/>
          <w:highlight w:val="none"/>
          <w:u w:val="single"/>
          <w:lang w:val="en-US" w:eastAsia="zh-CN"/>
        </w:rPr>
        <w:t>XXX</w:t>
      </w:r>
      <w:r>
        <w:rPr>
          <w:rFonts w:hint="eastAsia" w:eastAsia="楷体"/>
          <w:color w:val="auto"/>
          <w:sz w:val="28"/>
          <w:szCs w:val="28"/>
          <w:highlight w:val="none"/>
          <w:u w:val="single"/>
        </w:rPr>
        <w:t>项目用地报批征地前期工作咨询服务费用测算》</w:t>
      </w:r>
    </w:p>
    <w:p>
      <w:pPr>
        <w:pStyle w:val="62"/>
        <w:jc w:val="both"/>
        <w:rPr>
          <w:color w:val="auto"/>
          <w:sz w:val="24"/>
          <w:highlight w:val="none"/>
        </w:rPr>
      </w:pPr>
    </w:p>
    <w:p>
      <w:pPr>
        <w:pStyle w:val="62"/>
        <w:jc w:val="both"/>
        <w:rPr>
          <w:color w:val="auto"/>
          <w:sz w:val="24"/>
          <w:highlight w:val="none"/>
        </w:rPr>
      </w:pPr>
    </w:p>
    <w:p>
      <w:pPr>
        <w:pStyle w:val="62"/>
        <w:jc w:val="both"/>
        <w:rPr>
          <w:color w:val="auto"/>
          <w:sz w:val="24"/>
          <w:highlight w:val="none"/>
        </w:rPr>
      </w:pPr>
    </w:p>
    <w:p>
      <w:pPr>
        <w:pStyle w:val="62"/>
        <w:jc w:val="both"/>
        <w:rPr>
          <w:color w:val="auto"/>
          <w:sz w:val="24"/>
          <w:highlight w:val="none"/>
        </w:rPr>
      </w:pPr>
    </w:p>
    <w:p>
      <w:pPr>
        <w:pStyle w:val="62"/>
        <w:jc w:val="both"/>
        <w:rPr>
          <w:color w:val="auto"/>
          <w:highlight w:val="none"/>
        </w:rPr>
      </w:pPr>
      <w:r>
        <w:rPr>
          <w:color w:val="auto"/>
          <w:sz w:val="24"/>
          <w:highlight w:val="none"/>
        </w:rPr>
        <w:t>甲方：</w:t>
      </w:r>
      <w:r>
        <w:rPr>
          <w:color w:val="auto"/>
          <w:sz w:val="21"/>
          <w:highlight w:val="none"/>
          <w:u w:val="single"/>
        </w:rPr>
        <w:t xml:space="preserve">                                           </w:t>
      </w:r>
      <w:r>
        <w:rPr>
          <w:color w:val="auto"/>
          <w:sz w:val="24"/>
          <w:highlight w:val="none"/>
        </w:rPr>
        <w:t>（盖章）</w:t>
      </w:r>
    </w:p>
    <w:p>
      <w:pPr>
        <w:pStyle w:val="62"/>
        <w:jc w:val="both"/>
        <w:rPr>
          <w:color w:val="auto"/>
          <w:highlight w:val="none"/>
        </w:rPr>
      </w:pPr>
      <w:r>
        <w:rPr>
          <w:color w:val="auto"/>
          <w:sz w:val="24"/>
          <w:highlight w:val="none"/>
        </w:rPr>
        <w:t xml:space="preserve">      法定代表人（签约代表）：</w:t>
      </w:r>
      <w:r>
        <w:rPr>
          <w:color w:val="auto"/>
          <w:sz w:val="21"/>
          <w:highlight w:val="none"/>
          <w:u w:val="single"/>
        </w:rPr>
        <w:t xml:space="preserve">                    </w:t>
      </w:r>
      <w:r>
        <w:rPr>
          <w:color w:val="auto"/>
          <w:sz w:val="24"/>
          <w:highlight w:val="none"/>
        </w:rPr>
        <w:t>（签名）</w:t>
      </w:r>
    </w:p>
    <w:p>
      <w:pPr>
        <w:pStyle w:val="62"/>
        <w:jc w:val="both"/>
        <w:rPr>
          <w:color w:val="auto"/>
          <w:highlight w:val="none"/>
        </w:rPr>
      </w:pPr>
      <w:r>
        <w:rPr>
          <w:color w:val="auto"/>
          <w:sz w:val="24"/>
          <w:highlight w:val="none"/>
        </w:rPr>
        <w:t xml:space="preserve">                                             年     月     日</w:t>
      </w:r>
    </w:p>
    <w:p>
      <w:pPr>
        <w:pStyle w:val="62"/>
        <w:jc w:val="both"/>
        <w:rPr>
          <w:color w:val="auto"/>
          <w:highlight w:val="none"/>
        </w:rPr>
      </w:pPr>
      <w:r>
        <w:rPr>
          <w:color w:val="auto"/>
          <w:sz w:val="21"/>
          <w:highlight w:val="none"/>
        </w:rPr>
        <w:t xml:space="preserve">     </w:t>
      </w:r>
    </w:p>
    <w:p>
      <w:pPr>
        <w:pStyle w:val="62"/>
        <w:jc w:val="both"/>
        <w:rPr>
          <w:color w:val="auto"/>
          <w:highlight w:val="none"/>
        </w:rPr>
      </w:pPr>
      <w:r>
        <w:rPr>
          <w:color w:val="auto"/>
          <w:sz w:val="24"/>
          <w:highlight w:val="none"/>
        </w:rPr>
        <w:t>乙方：</w:t>
      </w:r>
      <w:r>
        <w:rPr>
          <w:color w:val="auto"/>
          <w:sz w:val="21"/>
          <w:highlight w:val="none"/>
          <w:u w:val="single"/>
        </w:rPr>
        <w:t xml:space="preserve">                                           </w:t>
      </w:r>
      <w:r>
        <w:rPr>
          <w:color w:val="auto"/>
          <w:sz w:val="24"/>
          <w:highlight w:val="none"/>
        </w:rPr>
        <w:t>（盖章）</w:t>
      </w:r>
    </w:p>
    <w:p>
      <w:pPr>
        <w:pStyle w:val="62"/>
        <w:jc w:val="both"/>
        <w:rPr>
          <w:color w:val="auto"/>
          <w:highlight w:val="none"/>
        </w:rPr>
      </w:pPr>
      <w:r>
        <w:rPr>
          <w:color w:val="auto"/>
          <w:sz w:val="24"/>
          <w:highlight w:val="none"/>
        </w:rPr>
        <w:t xml:space="preserve">      法定代表人（签约代表）：</w:t>
      </w:r>
      <w:r>
        <w:rPr>
          <w:color w:val="auto"/>
          <w:sz w:val="21"/>
          <w:highlight w:val="none"/>
          <w:u w:val="single"/>
        </w:rPr>
        <w:t xml:space="preserve">                    </w:t>
      </w:r>
      <w:r>
        <w:rPr>
          <w:color w:val="auto"/>
          <w:sz w:val="24"/>
          <w:highlight w:val="none"/>
        </w:rPr>
        <w:t>（签名）</w:t>
      </w:r>
    </w:p>
    <w:p>
      <w:pPr>
        <w:pStyle w:val="62"/>
        <w:ind w:firstLine="720"/>
        <w:jc w:val="both"/>
        <w:rPr>
          <w:color w:val="auto"/>
          <w:highlight w:val="none"/>
        </w:rPr>
      </w:pPr>
      <w:r>
        <w:rPr>
          <w:color w:val="auto"/>
          <w:sz w:val="24"/>
          <w:highlight w:val="none"/>
        </w:rPr>
        <w:t>开户名称：</w:t>
      </w:r>
      <w:r>
        <w:rPr>
          <w:color w:val="auto"/>
          <w:sz w:val="21"/>
          <w:highlight w:val="none"/>
          <w:u w:val="single"/>
        </w:rPr>
        <w:t xml:space="preserve">                                         </w:t>
      </w:r>
    </w:p>
    <w:p>
      <w:pPr>
        <w:pStyle w:val="62"/>
        <w:ind w:firstLine="720"/>
        <w:jc w:val="both"/>
        <w:rPr>
          <w:color w:val="auto"/>
          <w:highlight w:val="none"/>
        </w:rPr>
      </w:pPr>
      <w:r>
        <w:rPr>
          <w:color w:val="auto"/>
          <w:sz w:val="24"/>
          <w:highlight w:val="none"/>
        </w:rPr>
        <w:t>开户银行：</w:t>
      </w:r>
      <w:r>
        <w:rPr>
          <w:color w:val="auto"/>
          <w:sz w:val="21"/>
          <w:highlight w:val="none"/>
          <w:u w:val="single"/>
        </w:rPr>
        <w:t xml:space="preserve">                                         </w:t>
      </w:r>
    </w:p>
    <w:p>
      <w:pPr>
        <w:pStyle w:val="62"/>
        <w:jc w:val="both"/>
        <w:rPr>
          <w:color w:val="auto"/>
          <w:highlight w:val="none"/>
        </w:rPr>
      </w:pPr>
      <w:r>
        <w:rPr>
          <w:color w:val="auto"/>
          <w:sz w:val="24"/>
          <w:highlight w:val="none"/>
        </w:rPr>
        <w:t xml:space="preserve">          地    址：</w:t>
      </w:r>
      <w:r>
        <w:rPr>
          <w:color w:val="auto"/>
          <w:sz w:val="21"/>
          <w:highlight w:val="none"/>
          <w:u w:val="single"/>
        </w:rPr>
        <w:t xml:space="preserve">                                         </w:t>
      </w:r>
    </w:p>
    <w:p>
      <w:pPr>
        <w:pStyle w:val="62"/>
        <w:jc w:val="both"/>
        <w:rPr>
          <w:color w:val="auto"/>
          <w:highlight w:val="none"/>
        </w:rPr>
      </w:pPr>
      <w:r>
        <w:rPr>
          <w:color w:val="auto"/>
          <w:sz w:val="24"/>
          <w:highlight w:val="none"/>
        </w:rPr>
        <w:t xml:space="preserve">          账    号：</w:t>
      </w:r>
      <w:r>
        <w:rPr>
          <w:color w:val="auto"/>
          <w:sz w:val="21"/>
          <w:highlight w:val="none"/>
          <w:u w:val="single"/>
        </w:rPr>
        <w:t xml:space="preserve">                                         </w:t>
      </w:r>
    </w:p>
    <w:p>
      <w:pPr>
        <w:pStyle w:val="62"/>
        <w:jc w:val="both"/>
        <w:rPr>
          <w:color w:val="auto"/>
          <w:highlight w:val="none"/>
        </w:rPr>
      </w:pPr>
      <w:r>
        <w:rPr>
          <w:color w:val="auto"/>
          <w:sz w:val="24"/>
          <w:highlight w:val="none"/>
        </w:rPr>
        <w:t xml:space="preserve">                                             年     月     日</w:t>
      </w:r>
    </w:p>
    <w:p>
      <w:pPr>
        <w:pStyle w:val="61"/>
        <w:numPr>
          <w:ilvl w:val="0"/>
          <w:numId w:val="0"/>
        </w:numPr>
        <w:snapToGrid w:val="0"/>
        <w:spacing w:line="360" w:lineRule="auto"/>
        <w:ind w:firstLine="560" w:firstLineChars="200"/>
        <w:rPr>
          <w:rFonts w:hint="eastAsia" w:ascii="宋体" w:hAnsi="宋体" w:eastAsia="宋体" w:cs="宋体"/>
          <w:color w:val="auto"/>
          <w:kern w:val="2"/>
          <w:sz w:val="28"/>
          <w:szCs w:val="28"/>
          <w:highlight w:val="none"/>
          <w:lang w:val="en-US" w:eastAsia="zh-CN" w:bidi="ar-SA"/>
        </w:rPr>
      </w:pPr>
    </w:p>
    <w:p>
      <w:pPr>
        <w:pStyle w:val="61"/>
        <w:numPr>
          <w:ilvl w:val="0"/>
          <w:numId w:val="0"/>
        </w:numPr>
        <w:snapToGrid w:val="0"/>
        <w:spacing w:line="360" w:lineRule="auto"/>
        <w:ind w:firstLine="560" w:firstLineChars="200"/>
        <w:rPr>
          <w:rFonts w:hint="eastAsia" w:ascii="宋体" w:hAnsi="宋体" w:eastAsia="宋体" w:cs="宋体"/>
          <w:color w:val="auto"/>
          <w:kern w:val="2"/>
          <w:sz w:val="28"/>
          <w:szCs w:val="28"/>
          <w:highlight w:val="none"/>
          <w:lang w:val="en-US" w:eastAsia="zh-CN" w:bidi="ar-SA"/>
        </w:rPr>
      </w:pPr>
    </w:p>
    <w:p>
      <w:pPr>
        <w:adjustRightInd/>
        <w:snapToGrid/>
        <w:spacing w:line="240" w:lineRule="auto"/>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br w:type="page"/>
      </w:r>
    </w:p>
    <w:p>
      <w:pPr>
        <w:rPr>
          <w:rFonts w:hint="eastAsia" w:ascii="宋体" w:hAnsi="宋体" w:eastAsia="宋体" w:cs="宋体"/>
          <w:color w:val="auto"/>
          <w:sz w:val="52"/>
          <w:szCs w:val="52"/>
          <w:highlight w:val="none"/>
        </w:rPr>
      </w:pPr>
    </w:p>
    <w:p>
      <w:pPr>
        <w:pStyle w:val="2"/>
        <w:spacing w:before="5280" w:beforeLines="2200"/>
        <w:ind w:left="6"/>
        <w:jc w:val="center"/>
        <w:rPr>
          <w:rFonts w:hint="eastAsia" w:ascii="宋体" w:hAnsi="宋体" w:eastAsia="宋体" w:cs="宋体"/>
          <w:color w:val="auto"/>
          <w:sz w:val="52"/>
          <w:szCs w:val="52"/>
          <w:highlight w:val="none"/>
        </w:rPr>
      </w:pPr>
      <w:bookmarkStart w:id="162" w:name="_Toc1286"/>
      <w:bookmarkStart w:id="163" w:name="_Toc18183"/>
      <w:bookmarkStart w:id="164" w:name="_Toc537"/>
      <w:bookmarkStart w:id="165" w:name="_Toc26894"/>
      <w:r>
        <w:rPr>
          <w:rFonts w:hint="eastAsia" w:ascii="宋体" w:hAnsi="宋体" w:eastAsia="宋体" w:cs="宋体"/>
          <w:color w:val="auto"/>
          <w:sz w:val="52"/>
          <w:szCs w:val="52"/>
          <w:highlight w:val="none"/>
        </w:rPr>
        <w:t>第二卷</w:t>
      </w:r>
      <w:bookmarkEnd w:id="162"/>
      <w:bookmarkEnd w:id="163"/>
      <w:bookmarkEnd w:id="164"/>
      <w:bookmarkEnd w:id="165"/>
    </w:p>
    <w:p>
      <w:pPr>
        <w:pStyle w:val="2"/>
        <w:spacing w:before="5280" w:beforeLines="2200"/>
        <w:ind w:left="6"/>
        <w:outlineLvl w:val="9"/>
        <w:rPr>
          <w:rFonts w:hint="eastAsia" w:ascii="宋体" w:hAnsi="宋体" w:eastAsia="宋体" w:cs="宋体"/>
          <w:color w:val="auto"/>
          <w:sz w:val="52"/>
          <w:szCs w:val="52"/>
          <w:highlight w:val="none"/>
        </w:rPr>
        <w:sectPr>
          <w:headerReference r:id="rId8" w:type="default"/>
          <w:footerReference r:id="rId9" w:type="default"/>
          <w:pgSz w:w="11905" w:h="16838"/>
          <w:pgMar w:top="1417" w:right="1417" w:bottom="1417" w:left="1417" w:header="992" w:footer="992" w:gutter="0"/>
          <w:cols w:space="720" w:num="1"/>
        </w:sectPr>
      </w:pPr>
    </w:p>
    <w:p>
      <w:pPr>
        <w:pStyle w:val="4"/>
        <w:spacing w:line="360" w:lineRule="auto"/>
        <w:jc w:val="center"/>
        <w:outlineLvl w:val="1"/>
        <w:rPr>
          <w:rFonts w:hint="eastAsia" w:ascii="宋体" w:hAnsi="宋体" w:eastAsia="宋体" w:cs="宋体"/>
          <w:color w:val="auto"/>
          <w:sz w:val="44"/>
          <w:highlight w:val="none"/>
        </w:rPr>
      </w:pPr>
      <w:bookmarkStart w:id="166" w:name="bookmark162"/>
      <w:bookmarkEnd w:id="166"/>
      <w:bookmarkStart w:id="167" w:name="_Toc8115"/>
      <w:bookmarkStart w:id="168" w:name="_Toc296"/>
      <w:bookmarkStart w:id="169" w:name="_Toc19753"/>
      <w:bookmarkStart w:id="170" w:name="_Toc14019"/>
      <w:r>
        <w:rPr>
          <w:rFonts w:hint="eastAsia" w:ascii="宋体" w:hAnsi="宋体" w:eastAsia="宋体" w:cs="宋体"/>
          <w:color w:val="auto"/>
          <w:sz w:val="44"/>
          <w:highlight w:val="none"/>
        </w:rPr>
        <w:t>第五章 委托人要求</w:t>
      </w:r>
      <w:bookmarkEnd w:id="167"/>
      <w:bookmarkEnd w:id="168"/>
      <w:bookmarkEnd w:id="169"/>
      <w:bookmarkEnd w:id="170"/>
    </w:p>
    <w:p>
      <w:pPr>
        <w:spacing w:line="360" w:lineRule="auto"/>
        <w:ind w:firstLine="0" w:firstLineChars="0"/>
        <w:rPr>
          <w:rFonts w:hint="eastAsia" w:ascii="宋体" w:hAnsi="宋体" w:eastAsia="宋体" w:cs="宋体"/>
          <w:b/>
          <w:color w:val="auto"/>
          <w:highlight w:val="none"/>
        </w:rPr>
      </w:pPr>
      <w:bookmarkStart w:id="171" w:name="bookmark173"/>
      <w:bookmarkEnd w:id="171"/>
    </w:p>
    <w:p>
      <w:pPr>
        <w:pStyle w:val="62"/>
        <w:jc w:val="both"/>
        <w:rPr>
          <w:color w:val="auto"/>
          <w:highlight w:val="none"/>
        </w:rPr>
      </w:pPr>
      <w:r>
        <w:rPr>
          <w:b/>
          <w:color w:val="auto"/>
          <w:sz w:val="21"/>
          <w:highlight w:val="none"/>
        </w:rPr>
        <w:t>一、工作依据</w:t>
      </w:r>
    </w:p>
    <w:p>
      <w:pPr>
        <w:pStyle w:val="62"/>
        <w:ind w:firstLine="420"/>
        <w:jc w:val="left"/>
        <w:rPr>
          <w:color w:val="auto"/>
          <w:highlight w:val="none"/>
        </w:rPr>
      </w:pPr>
      <w:r>
        <w:rPr>
          <w:color w:val="auto"/>
          <w:sz w:val="21"/>
          <w:highlight w:val="none"/>
        </w:rPr>
        <w:t>1. 《中华人民共和国土地管理法》（中华人民共和国主席令第32号）；</w:t>
      </w:r>
    </w:p>
    <w:p>
      <w:pPr>
        <w:pStyle w:val="62"/>
        <w:ind w:firstLine="420"/>
        <w:jc w:val="left"/>
        <w:rPr>
          <w:color w:val="auto"/>
          <w:highlight w:val="none"/>
        </w:rPr>
      </w:pPr>
      <w:r>
        <w:rPr>
          <w:color w:val="auto"/>
          <w:sz w:val="21"/>
          <w:highlight w:val="none"/>
        </w:rPr>
        <w:t>2. 《国土资源听证规定》（国土资源部令〔2004〕第22号）；</w:t>
      </w:r>
    </w:p>
    <w:p>
      <w:pPr>
        <w:pStyle w:val="62"/>
        <w:ind w:firstLine="420"/>
        <w:jc w:val="left"/>
        <w:rPr>
          <w:color w:val="auto"/>
          <w:highlight w:val="none"/>
        </w:rPr>
      </w:pPr>
      <w:r>
        <w:rPr>
          <w:color w:val="auto"/>
          <w:sz w:val="21"/>
          <w:highlight w:val="none"/>
        </w:rPr>
        <w:t>3. 《关于进一步规范建设用地审查报批工作有关问题的通知》（国土资发〔2002〕233号）；</w:t>
      </w:r>
    </w:p>
    <w:p>
      <w:pPr>
        <w:pStyle w:val="62"/>
        <w:ind w:firstLine="420"/>
        <w:jc w:val="left"/>
        <w:rPr>
          <w:color w:val="auto"/>
          <w:highlight w:val="none"/>
        </w:rPr>
      </w:pPr>
      <w:r>
        <w:rPr>
          <w:color w:val="auto"/>
          <w:sz w:val="21"/>
          <w:highlight w:val="none"/>
        </w:rPr>
        <w:t>4. 《广东省人民政府办公厅印发广东省土地利用总体规划实施管理规定的通知》（粤府办〔2013〕3号）；</w:t>
      </w:r>
    </w:p>
    <w:p>
      <w:pPr>
        <w:pStyle w:val="62"/>
        <w:ind w:firstLine="420"/>
        <w:jc w:val="left"/>
        <w:rPr>
          <w:color w:val="auto"/>
          <w:highlight w:val="none"/>
        </w:rPr>
      </w:pPr>
      <w:r>
        <w:rPr>
          <w:color w:val="auto"/>
          <w:sz w:val="21"/>
          <w:highlight w:val="none"/>
        </w:rPr>
        <w:t>5. 《广东省国土资源厅转发国土资源部关于改进和优化建设项目用地预审和用地审查的通知》（粤国土资规划函〔2016〕2946号）；</w:t>
      </w:r>
    </w:p>
    <w:p>
      <w:pPr>
        <w:pStyle w:val="62"/>
        <w:ind w:firstLine="420"/>
        <w:jc w:val="left"/>
        <w:rPr>
          <w:color w:val="auto"/>
          <w:highlight w:val="none"/>
        </w:rPr>
      </w:pPr>
      <w:r>
        <w:rPr>
          <w:color w:val="auto"/>
          <w:sz w:val="21"/>
          <w:highlight w:val="none"/>
        </w:rPr>
        <w:t>6. 《广东省国土资源厅关于严格控制非农业建设占用高标准农田的通知》（粤国土资规字〔2016〕4号）；</w:t>
      </w:r>
    </w:p>
    <w:p>
      <w:pPr>
        <w:pStyle w:val="62"/>
        <w:ind w:firstLine="420"/>
        <w:jc w:val="left"/>
        <w:rPr>
          <w:color w:val="auto"/>
          <w:highlight w:val="none"/>
        </w:rPr>
      </w:pPr>
      <w:r>
        <w:rPr>
          <w:color w:val="auto"/>
          <w:sz w:val="21"/>
          <w:highlight w:val="none"/>
        </w:rPr>
        <w:t>7. 《广东省国土资源厅关于印发&lt;广东省建设用地报批标准化审查手册&gt;的通知》（粤国土资利用发〔2018〕12 号）；</w:t>
      </w:r>
    </w:p>
    <w:p>
      <w:pPr>
        <w:pStyle w:val="62"/>
        <w:ind w:firstLine="420"/>
        <w:jc w:val="left"/>
        <w:rPr>
          <w:color w:val="auto"/>
          <w:highlight w:val="none"/>
        </w:rPr>
      </w:pPr>
      <w:r>
        <w:rPr>
          <w:color w:val="auto"/>
          <w:sz w:val="21"/>
          <w:highlight w:val="none"/>
        </w:rPr>
        <w:t>8. 《广东省国土资源厅关于印发&lt;省政府审批建设用地报批材料范本（2018 年修订版）&gt;》的通知（粤国土资利用发〔2018〕25 号）；</w:t>
      </w:r>
    </w:p>
    <w:p>
      <w:pPr>
        <w:pStyle w:val="62"/>
        <w:ind w:firstLine="420"/>
        <w:jc w:val="left"/>
        <w:rPr>
          <w:color w:val="auto"/>
          <w:highlight w:val="none"/>
        </w:rPr>
      </w:pPr>
      <w:r>
        <w:rPr>
          <w:color w:val="auto"/>
          <w:sz w:val="21"/>
          <w:highlight w:val="none"/>
        </w:rPr>
        <w:t>9. 《广东省国土资源厅转发自然资源部办公厅关于在用地审查报批中按照管理新方式落实耕地占补平衡的通知》（粤国土资耕保发〔2018〕86 号）；</w:t>
      </w:r>
    </w:p>
    <w:p>
      <w:pPr>
        <w:pStyle w:val="62"/>
        <w:ind w:firstLine="420"/>
        <w:jc w:val="left"/>
        <w:rPr>
          <w:color w:val="auto"/>
          <w:highlight w:val="none"/>
        </w:rPr>
      </w:pPr>
      <w:r>
        <w:rPr>
          <w:color w:val="auto"/>
          <w:sz w:val="21"/>
          <w:highlight w:val="none"/>
        </w:rPr>
        <w:t>10. 《广东省国土资源厅关于做好用地计划指标使用有关工作的通知》（粤国土资规划发〔2018〕49 号）；</w:t>
      </w:r>
    </w:p>
    <w:p>
      <w:pPr>
        <w:pStyle w:val="62"/>
        <w:ind w:firstLine="420"/>
        <w:jc w:val="left"/>
        <w:rPr>
          <w:color w:val="auto"/>
          <w:highlight w:val="none"/>
        </w:rPr>
      </w:pPr>
      <w:r>
        <w:rPr>
          <w:color w:val="auto"/>
          <w:sz w:val="21"/>
          <w:highlight w:val="none"/>
        </w:rPr>
        <w:t>11. 《广东省国土资源厅关于进一步明确农村新产业新业态使用省指标有关事项的通知》（粤国土资规划函〔2018〕2548 号）；</w:t>
      </w:r>
    </w:p>
    <w:p>
      <w:pPr>
        <w:pStyle w:val="62"/>
        <w:ind w:firstLine="420"/>
        <w:jc w:val="left"/>
        <w:rPr>
          <w:color w:val="auto"/>
          <w:highlight w:val="none"/>
        </w:rPr>
      </w:pPr>
      <w:r>
        <w:rPr>
          <w:color w:val="auto"/>
          <w:sz w:val="21"/>
          <w:highlight w:val="none"/>
        </w:rPr>
        <w:t>12. 《广东省自然资源厅关于印发&lt;广东省自然资源厅关于水田指标管理使用的办法&gt;的通知》（粤自然资规字〔2018〕1 号）；</w:t>
      </w:r>
    </w:p>
    <w:p>
      <w:pPr>
        <w:pStyle w:val="62"/>
        <w:ind w:firstLine="420"/>
        <w:jc w:val="left"/>
        <w:rPr>
          <w:color w:val="auto"/>
          <w:highlight w:val="none"/>
        </w:rPr>
      </w:pPr>
      <w:r>
        <w:rPr>
          <w:color w:val="auto"/>
          <w:sz w:val="21"/>
          <w:highlight w:val="none"/>
        </w:rPr>
        <w:t>13. 《广东省城乡建设用地增减挂钩节余指标跨省域调剂实施细则》（粤自然资规划发〔2018〕15 号）；</w:t>
      </w:r>
    </w:p>
    <w:p>
      <w:pPr>
        <w:pStyle w:val="62"/>
        <w:ind w:firstLine="420"/>
        <w:jc w:val="left"/>
        <w:rPr>
          <w:color w:val="auto"/>
          <w:highlight w:val="none"/>
        </w:rPr>
      </w:pPr>
      <w:r>
        <w:rPr>
          <w:color w:val="auto"/>
          <w:sz w:val="21"/>
          <w:highlight w:val="none"/>
        </w:rPr>
        <w:t>14. 《关于规范市县政府建设用地审批工作的通知》（粤国土资利用发〔2014〕184号）；</w:t>
      </w:r>
    </w:p>
    <w:p>
      <w:pPr>
        <w:pStyle w:val="62"/>
        <w:ind w:firstLine="420"/>
        <w:jc w:val="left"/>
        <w:rPr>
          <w:color w:val="auto"/>
          <w:highlight w:val="none"/>
        </w:rPr>
      </w:pPr>
      <w:r>
        <w:rPr>
          <w:color w:val="auto"/>
          <w:sz w:val="21"/>
          <w:highlight w:val="none"/>
        </w:rPr>
        <w:t>15. 《广东省国土资源厅关于贯彻落实国家改进和优化建设项目用地预审和用地审查意见的通知》（粤国土资规字〔2017〕4号）；</w:t>
      </w:r>
    </w:p>
    <w:p>
      <w:pPr>
        <w:pStyle w:val="62"/>
        <w:ind w:firstLine="420"/>
        <w:jc w:val="left"/>
        <w:rPr>
          <w:color w:val="auto"/>
          <w:highlight w:val="none"/>
        </w:rPr>
      </w:pPr>
      <w:r>
        <w:rPr>
          <w:color w:val="auto"/>
          <w:sz w:val="21"/>
          <w:highlight w:val="none"/>
        </w:rPr>
        <w:t>16. 《广东省人民政府办公厅关于印发广东省建设用地审查报批办法的通知》（粤府办〔2019〕11号）；</w:t>
      </w:r>
    </w:p>
    <w:p>
      <w:pPr>
        <w:pStyle w:val="62"/>
        <w:ind w:firstLine="420"/>
        <w:jc w:val="left"/>
        <w:rPr>
          <w:color w:val="auto"/>
          <w:highlight w:val="none"/>
        </w:rPr>
      </w:pPr>
      <w:r>
        <w:rPr>
          <w:color w:val="auto"/>
          <w:sz w:val="21"/>
          <w:highlight w:val="none"/>
        </w:rPr>
        <w:t>17. 《广东省自然资源厅关于建设用地报批地类有关问题的通知》（粤自然资管制〔2019〕1439号）；</w:t>
      </w:r>
    </w:p>
    <w:p>
      <w:pPr>
        <w:pStyle w:val="62"/>
        <w:ind w:firstLine="420"/>
        <w:jc w:val="left"/>
        <w:rPr>
          <w:color w:val="auto"/>
          <w:highlight w:val="none"/>
        </w:rPr>
      </w:pPr>
      <w:r>
        <w:rPr>
          <w:color w:val="auto"/>
          <w:sz w:val="21"/>
          <w:highlight w:val="none"/>
        </w:rPr>
        <w:t>18. 其他相关法律法规、政策文件等；</w:t>
      </w:r>
    </w:p>
    <w:p>
      <w:pPr>
        <w:pStyle w:val="4"/>
        <w:spacing w:line="360" w:lineRule="auto"/>
        <w:jc w:val="left"/>
        <w:rPr>
          <w:color w:val="auto"/>
          <w:sz w:val="21"/>
          <w:highlight w:val="none"/>
        </w:rPr>
      </w:pPr>
      <w:r>
        <w:rPr>
          <w:color w:val="auto"/>
          <w:sz w:val="21"/>
          <w:highlight w:val="none"/>
        </w:rPr>
        <w:t xml:space="preserve">       备注：如在项目实施时间内，上述依据发生版本更替，以最新版本适用于本次服务内容。</w:t>
      </w:r>
    </w:p>
    <w:p>
      <w:pPr>
        <w:pStyle w:val="62"/>
        <w:jc w:val="both"/>
        <w:rPr>
          <w:color w:val="auto"/>
          <w:highlight w:val="none"/>
        </w:rPr>
      </w:pPr>
      <w:r>
        <w:rPr>
          <w:b/>
          <w:color w:val="auto"/>
          <w:sz w:val="21"/>
          <w:highlight w:val="none"/>
        </w:rPr>
        <w:t>二、项目要求</w:t>
      </w:r>
    </w:p>
    <w:p>
      <w:pPr>
        <w:pStyle w:val="4"/>
        <w:spacing w:line="360" w:lineRule="auto"/>
        <w:jc w:val="left"/>
        <w:rPr>
          <w:color w:val="auto"/>
          <w:sz w:val="21"/>
          <w:highlight w:val="none"/>
        </w:rPr>
      </w:pPr>
      <w:r>
        <w:rPr>
          <w:color w:val="auto"/>
          <w:sz w:val="21"/>
          <w:highlight w:val="none"/>
        </w:rPr>
        <w:t>根据《中华人民共和国土地管理法》、《中华人民共和国土地管理法实施条例》、《建设用地审查报批管理办法》（国土资源部第69号令）、《关于改进和优化建设项目用地预审和用地审查的通知》（国土资规〔2016〕16号）、《广东省人民政府办公厅关于印发广东省建设用地审查报批办法的通知》（粤府办〔2019〕11号）、《广东省人民政府关于将一批省级行政职权事项调整由各地级以上市实施的决定》（粤府令第248号）及《广东省人民政府关于将一批省级行政职权调整由广州市黄埔区（广州高新区、开发区）实施的决定》（粤府令第263号）等有关规定，中标单位协助、配合组织用地报批有关材料上报，及时沟通解决用地报批过程中遇到的技术问题。跟进省自然资源厅、市规划和自然资源局和区规划和自然资源分局等各级自然资源主管部门用地审查进度，并按要求补正材料，直至取得该项目的用地批文并完成备案。</w:t>
      </w:r>
    </w:p>
    <w:p>
      <w:pPr>
        <w:pStyle w:val="62"/>
        <w:jc w:val="both"/>
        <w:rPr>
          <w:color w:val="auto"/>
          <w:highlight w:val="none"/>
        </w:rPr>
      </w:pPr>
      <w:r>
        <w:rPr>
          <w:b/>
          <w:color w:val="auto"/>
          <w:sz w:val="21"/>
          <w:highlight w:val="none"/>
        </w:rPr>
        <w:t>三、工作内容及具体要求</w:t>
      </w:r>
    </w:p>
    <w:p>
      <w:pPr>
        <w:pStyle w:val="62"/>
        <w:ind w:firstLine="420"/>
        <w:jc w:val="both"/>
        <w:rPr>
          <w:color w:val="auto"/>
          <w:sz w:val="21"/>
          <w:highlight w:val="none"/>
        </w:rPr>
      </w:pPr>
      <w:r>
        <w:rPr>
          <w:color w:val="auto"/>
          <w:sz w:val="21"/>
          <w:highlight w:val="none"/>
        </w:rPr>
        <w:t>1. 组织</w:t>
      </w:r>
      <w:r>
        <w:rPr>
          <w:rFonts w:hint="eastAsia"/>
          <w:color w:val="auto"/>
          <w:sz w:val="21"/>
          <w:highlight w:val="none"/>
          <w:lang w:val="en-US" w:eastAsia="zh-CN"/>
        </w:rPr>
        <w:t>编制</w:t>
      </w:r>
      <w:r>
        <w:rPr>
          <w:color w:val="auto"/>
          <w:sz w:val="21"/>
          <w:highlight w:val="none"/>
        </w:rPr>
        <w:t>项目建设用地报批</w:t>
      </w:r>
      <w:r>
        <w:rPr>
          <w:rFonts w:hint="eastAsia"/>
          <w:color w:val="auto"/>
          <w:sz w:val="21"/>
          <w:highlight w:val="none"/>
          <w:lang w:val="en-US" w:eastAsia="zh-CN"/>
        </w:rPr>
        <w:t>初始</w:t>
      </w:r>
      <w:r>
        <w:rPr>
          <w:color w:val="auto"/>
          <w:sz w:val="21"/>
          <w:highlight w:val="none"/>
        </w:rPr>
        <w:t>材料，包括但不限于：</w:t>
      </w:r>
      <w:r>
        <w:rPr>
          <w:rFonts w:hint="eastAsia"/>
          <w:color w:val="auto"/>
          <w:sz w:val="21"/>
          <w:highlight w:val="none"/>
          <w:lang w:val="en-US" w:eastAsia="zh-CN"/>
        </w:rPr>
        <w:t>耕作层剥离方案、勘测定界报告（含土地现状调查及补偿登记）、社会稳定性风险评估报告、节地专章、</w:t>
      </w:r>
      <w:r>
        <w:rPr>
          <w:color w:val="auto"/>
          <w:sz w:val="21"/>
          <w:highlight w:val="none"/>
        </w:rPr>
        <w:t>农用地转用方案等，主动查找组件过程中出现的问题并积极配合解决。</w:t>
      </w:r>
    </w:p>
    <w:p>
      <w:pPr>
        <w:pStyle w:val="62"/>
        <w:ind w:firstLine="420"/>
        <w:jc w:val="both"/>
        <w:rPr>
          <w:rFonts w:hint="eastAsia"/>
          <w:color w:val="auto"/>
          <w:sz w:val="21"/>
          <w:highlight w:val="none"/>
          <w:lang w:val="en-US" w:eastAsia="zh-CN"/>
        </w:rPr>
      </w:pPr>
      <w:r>
        <w:rPr>
          <w:rFonts w:hint="eastAsia"/>
          <w:color w:val="auto"/>
          <w:sz w:val="21"/>
          <w:highlight w:val="none"/>
          <w:lang w:val="en-US" w:eastAsia="zh-CN"/>
        </w:rPr>
        <w:t>2.协助组织被征收人确权登记发证（含批前空白权属及批后权属变更或注销）。根据报批红线范围对接村社、街镇，核查报批范围的权属情况；收集并整理报批红线范围内的不动产权证，协调开展确权登记发证（含批前空白权属及批后权属变更或更证）；协调村社对权籍调查资料签字盖章，提交权属资料录入不动产权籍系统，并协助村社完成确权登记发证。</w:t>
      </w:r>
    </w:p>
    <w:p>
      <w:pPr>
        <w:pStyle w:val="62"/>
        <w:ind w:firstLine="420"/>
        <w:jc w:val="both"/>
        <w:rPr>
          <w:color w:val="auto"/>
          <w:sz w:val="21"/>
          <w:highlight w:val="none"/>
        </w:rPr>
      </w:pPr>
      <w:r>
        <w:rPr>
          <w:rFonts w:hint="eastAsia"/>
          <w:color w:val="auto"/>
          <w:sz w:val="21"/>
          <w:highlight w:val="none"/>
          <w:lang w:val="en-US" w:eastAsia="zh-CN"/>
        </w:rPr>
        <w:t>3.根据公告要求对项目的征地预公告、征地补偿安置公告等进展公证工作，对公告公示情况进展拍照取证、现场确认，出具具有律法效力的《公证书》。</w:t>
      </w:r>
    </w:p>
    <w:p>
      <w:pPr>
        <w:pStyle w:val="62"/>
        <w:ind w:firstLine="420"/>
        <w:jc w:val="both"/>
        <w:rPr>
          <w:color w:val="auto"/>
          <w:highlight w:val="none"/>
        </w:rPr>
      </w:pPr>
      <w:r>
        <w:rPr>
          <w:rFonts w:hint="eastAsia"/>
          <w:color w:val="auto"/>
          <w:sz w:val="21"/>
          <w:highlight w:val="none"/>
          <w:lang w:val="en-US" w:eastAsia="zh-CN"/>
        </w:rPr>
        <w:t>4</w:t>
      </w:r>
      <w:r>
        <w:rPr>
          <w:color w:val="auto"/>
          <w:sz w:val="21"/>
          <w:highlight w:val="none"/>
        </w:rPr>
        <w:t xml:space="preserve"> 对组件过程资料进行</w:t>
      </w:r>
      <w:r>
        <w:rPr>
          <w:rFonts w:hint="eastAsia"/>
          <w:color w:val="auto"/>
          <w:sz w:val="21"/>
          <w:highlight w:val="none"/>
          <w:lang w:val="en-US" w:eastAsia="zh-CN"/>
        </w:rPr>
        <w:t>编制、组织和</w:t>
      </w:r>
      <w:r>
        <w:rPr>
          <w:color w:val="auto"/>
          <w:sz w:val="21"/>
          <w:highlight w:val="none"/>
        </w:rPr>
        <w:t>合规性检查，资料包括但不限于：建设用地电子化格式的界址点坐标表和2000国家大地坐标电子红线、建设用地项目呈报材料《农用地转用方案》、征地社会保障审核意见书、留用地安置材料、土地征收预公告、土地现状调查报告、社会稳定风险评估报告、征地补偿安置公告、补偿登记表、补偿安置协议等。</w:t>
      </w:r>
    </w:p>
    <w:p>
      <w:pPr>
        <w:pStyle w:val="62"/>
        <w:ind w:firstLine="420"/>
        <w:jc w:val="left"/>
        <w:rPr>
          <w:color w:val="auto"/>
          <w:highlight w:val="none"/>
        </w:rPr>
      </w:pPr>
      <w:r>
        <w:rPr>
          <w:rFonts w:hint="eastAsia"/>
          <w:color w:val="auto"/>
          <w:sz w:val="21"/>
          <w:highlight w:val="none"/>
          <w:lang w:val="en-US" w:eastAsia="zh-CN"/>
        </w:rPr>
        <w:t>5.</w:t>
      </w:r>
      <w:r>
        <w:rPr>
          <w:color w:val="auto"/>
          <w:sz w:val="21"/>
          <w:highlight w:val="none"/>
        </w:rPr>
        <w:t xml:space="preserve"> 协助</w:t>
      </w:r>
      <w:r>
        <w:rPr>
          <w:rFonts w:hint="eastAsia"/>
          <w:color w:val="auto"/>
          <w:sz w:val="21"/>
          <w:highlight w:val="none"/>
          <w:lang w:val="en-US" w:eastAsia="zh-CN"/>
        </w:rPr>
        <w:t>招标</w:t>
      </w:r>
      <w:r>
        <w:rPr>
          <w:color w:val="auto"/>
          <w:sz w:val="21"/>
          <w:highlight w:val="none"/>
        </w:rPr>
        <w:t>人与报批工作涉及的规划和自然资源主管部门、社保、城市更新、农业农村、建设、</w:t>
      </w:r>
      <w:r>
        <w:rPr>
          <w:rFonts w:hint="eastAsia"/>
          <w:color w:val="auto"/>
          <w:sz w:val="21"/>
          <w:highlight w:val="none"/>
          <w:lang w:val="en-US" w:eastAsia="zh-CN"/>
        </w:rPr>
        <w:t>水务、</w:t>
      </w:r>
      <w:r>
        <w:rPr>
          <w:color w:val="auto"/>
          <w:sz w:val="21"/>
          <w:highlight w:val="none"/>
        </w:rPr>
        <w:t>林业等部门，做好材料的技术衔接工作。</w:t>
      </w:r>
    </w:p>
    <w:p>
      <w:pPr>
        <w:pStyle w:val="62"/>
        <w:ind w:firstLine="420"/>
        <w:jc w:val="both"/>
        <w:rPr>
          <w:color w:val="auto"/>
          <w:highlight w:val="none"/>
        </w:rPr>
      </w:pPr>
      <w:r>
        <w:rPr>
          <w:rFonts w:hint="eastAsia"/>
          <w:color w:val="auto"/>
          <w:sz w:val="21"/>
          <w:highlight w:val="none"/>
          <w:lang w:val="en-US" w:eastAsia="zh-CN"/>
        </w:rPr>
        <w:t>6.</w:t>
      </w:r>
      <w:r>
        <w:rPr>
          <w:color w:val="auto"/>
          <w:sz w:val="21"/>
          <w:highlight w:val="none"/>
        </w:rPr>
        <w:t xml:space="preserve"> 协助用地报批组卷部门完成违法用地情况处理。</w:t>
      </w:r>
    </w:p>
    <w:p>
      <w:pPr>
        <w:pStyle w:val="62"/>
        <w:ind w:firstLine="420"/>
        <w:jc w:val="both"/>
        <w:rPr>
          <w:color w:val="auto"/>
          <w:highlight w:val="none"/>
        </w:rPr>
      </w:pPr>
      <w:r>
        <w:rPr>
          <w:rFonts w:hint="eastAsia"/>
          <w:color w:val="auto"/>
          <w:sz w:val="21"/>
          <w:highlight w:val="none"/>
          <w:lang w:val="en-US" w:eastAsia="zh-CN"/>
        </w:rPr>
        <w:t>7.</w:t>
      </w:r>
      <w:r>
        <w:rPr>
          <w:color w:val="auto"/>
          <w:sz w:val="21"/>
          <w:highlight w:val="none"/>
        </w:rPr>
        <w:t>根据《建设用地审查报批管理办法》（国土资源部第69号令）、《关于规范市县政府建设用地审批工作的通知》（粤国土资利用发〔2014〕184号）、《省政府审批建设用地报批材料范本（2018年修订版）》（粤国土资利用发〔2018〕25号）等文件及新增补替换法规文件的要求，将用地报批的相关材料格式化、标准化、规范化，装订成册。</w:t>
      </w:r>
    </w:p>
    <w:p>
      <w:pPr>
        <w:pStyle w:val="62"/>
        <w:ind w:firstLine="420"/>
        <w:jc w:val="both"/>
        <w:rPr>
          <w:color w:val="auto"/>
          <w:highlight w:val="none"/>
        </w:rPr>
      </w:pPr>
      <w:r>
        <w:rPr>
          <w:rFonts w:hint="eastAsia"/>
          <w:color w:val="auto"/>
          <w:sz w:val="21"/>
          <w:highlight w:val="none"/>
          <w:lang w:val="en-US" w:eastAsia="zh-CN"/>
        </w:rPr>
        <w:t>8</w:t>
      </w:r>
      <w:r>
        <w:rPr>
          <w:color w:val="auto"/>
          <w:sz w:val="21"/>
          <w:highlight w:val="none"/>
        </w:rPr>
        <w:t>. 完成区建设用地报批初审工作，协助上报有审批权的规划和自然资源主管部门审核。</w:t>
      </w:r>
    </w:p>
    <w:p>
      <w:pPr>
        <w:pStyle w:val="62"/>
        <w:ind w:firstLine="420"/>
        <w:jc w:val="both"/>
        <w:rPr>
          <w:color w:val="auto"/>
          <w:highlight w:val="none"/>
        </w:rPr>
      </w:pPr>
      <w:r>
        <w:rPr>
          <w:rFonts w:hint="eastAsia"/>
          <w:color w:val="auto"/>
          <w:sz w:val="21"/>
          <w:highlight w:val="none"/>
          <w:lang w:val="en-US" w:eastAsia="zh-CN"/>
        </w:rPr>
        <w:t>9</w:t>
      </w:r>
      <w:r>
        <w:rPr>
          <w:color w:val="auto"/>
          <w:sz w:val="21"/>
          <w:highlight w:val="none"/>
        </w:rPr>
        <w:t>. 跟进有审批权的规划和自然资源主管部门会审呈批，及时按要求补正材料。</w:t>
      </w:r>
    </w:p>
    <w:p>
      <w:pPr>
        <w:pStyle w:val="62"/>
        <w:ind w:firstLine="420"/>
        <w:jc w:val="both"/>
        <w:rPr>
          <w:color w:val="auto"/>
          <w:highlight w:val="none"/>
        </w:rPr>
      </w:pPr>
      <w:r>
        <w:rPr>
          <w:rFonts w:hint="eastAsia"/>
          <w:color w:val="auto"/>
          <w:sz w:val="21"/>
          <w:highlight w:val="none"/>
          <w:lang w:val="en-US" w:eastAsia="zh-CN"/>
        </w:rPr>
        <w:t>10</w:t>
      </w:r>
      <w:r>
        <w:rPr>
          <w:color w:val="auto"/>
          <w:sz w:val="21"/>
          <w:highlight w:val="none"/>
        </w:rPr>
        <w:t>. 协助上报有审批权限的人民政府审批，及时沟通反馈，取得建设用地报批的批复文件并完成备案。</w:t>
      </w:r>
    </w:p>
    <w:p>
      <w:pPr>
        <w:pStyle w:val="62"/>
        <w:ind w:firstLine="420"/>
        <w:jc w:val="both"/>
        <w:rPr>
          <w:color w:val="auto"/>
          <w:sz w:val="21"/>
          <w:highlight w:val="none"/>
        </w:rPr>
      </w:pPr>
      <w:r>
        <w:rPr>
          <w:rFonts w:hint="eastAsia"/>
          <w:color w:val="auto"/>
          <w:sz w:val="21"/>
          <w:highlight w:val="none"/>
          <w:lang w:val="en-US" w:eastAsia="zh-CN"/>
        </w:rPr>
        <w:t>11</w:t>
      </w:r>
      <w:r>
        <w:rPr>
          <w:color w:val="auto"/>
          <w:sz w:val="21"/>
          <w:highlight w:val="none"/>
        </w:rPr>
        <w:t>. 完成各项用地报批组卷材料在</w:t>
      </w:r>
      <w:r>
        <w:rPr>
          <w:rFonts w:hint="eastAsia"/>
          <w:color w:val="auto"/>
          <w:sz w:val="21"/>
          <w:highlight w:val="none"/>
          <w:lang w:val="en-US" w:eastAsia="zh-CN"/>
        </w:rPr>
        <w:t>广东省用途管制系统</w:t>
      </w:r>
      <w:r>
        <w:rPr>
          <w:color w:val="auto"/>
          <w:sz w:val="21"/>
          <w:highlight w:val="none"/>
        </w:rPr>
        <w:t>、省级人民政府批准建设用地备案系统的录入工作，并负责解决系统审查、备案的各项技术工作。</w:t>
      </w:r>
    </w:p>
    <w:p>
      <w:pPr>
        <w:pStyle w:val="62"/>
        <w:ind w:firstLine="420"/>
        <w:jc w:val="both"/>
        <w:rPr>
          <w:color w:val="auto"/>
          <w:highlight w:val="none"/>
        </w:rPr>
      </w:pPr>
      <w:r>
        <w:rPr>
          <w:color w:val="auto"/>
          <w:sz w:val="21"/>
          <w:highlight w:val="none"/>
        </w:rPr>
        <w:t>1</w:t>
      </w:r>
      <w:r>
        <w:rPr>
          <w:rFonts w:hint="eastAsia"/>
          <w:color w:val="auto"/>
          <w:sz w:val="21"/>
          <w:highlight w:val="none"/>
          <w:lang w:val="en-US" w:eastAsia="zh-CN"/>
        </w:rPr>
        <w:t>2</w:t>
      </w:r>
      <w:r>
        <w:rPr>
          <w:color w:val="auto"/>
          <w:sz w:val="21"/>
          <w:highlight w:val="none"/>
        </w:rPr>
        <w:t>. 技术服务其他事项：</w:t>
      </w:r>
      <w:r>
        <w:rPr>
          <w:rFonts w:hint="eastAsia"/>
          <w:color w:val="auto"/>
          <w:sz w:val="21"/>
          <w:highlight w:val="none"/>
        </w:rPr>
        <w:t>中标单位须按照招标人要求，配置项目负责人1人，项目服务团队技术人员（不包含项目负责人）不少于6人，并安排不少于5名固定技术人员驻场，其中驻场人员须含一名资深技术人员，具有不少于5年用地报批相关经验，其余技术人员须具备不少于2年用地报批相关经验，驻场时间与本项目开展时间同步。中标单位在服务合同期内确定的项目负责人和技术人员原则上不予调整，若需调整人员，需向招标人书面申请并取得同意。驻场技术人员服务质量不符合招标人要求的，应在招标人提出人员更换要求后10日内更换到位。</w:t>
      </w:r>
    </w:p>
    <w:p>
      <w:pPr>
        <w:pStyle w:val="62"/>
        <w:ind w:firstLine="420"/>
        <w:jc w:val="both"/>
        <w:rPr>
          <w:color w:val="auto"/>
          <w:highlight w:val="none"/>
        </w:rPr>
      </w:pPr>
      <w:r>
        <w:rPr>
          <w:color w:val="auto"/>
          <w:sz w:val="21"/>
          <w:highlight w:val="none"/>
        </w:rPr>
        <w:t>1</w:t>
      </w:r>
      <w:r>
        <w:rPr>
          <w:rFonts w:hint="eastAsia"/>
          <w:color w:val="auto"/>
          <w:sz w:val="21"/>
          <w:highlight w:val="none"/>
          <w:lang w:val="en-US" w:eastAsia="zh-CN"/>
        </w:rPr>
        <w:t>3</w:t>
      </w:r>
      <w:r>
        <w:rPr>
          <w:color w:val="auto"/>
          <w:sz w:val="21"/>
          <w:highlight w:val="none"/>
        </w:rPr>
        <w:t>. 若中标单位出现以下情况之一的，</w:t>
      </w:r>
      <w:r>
        <w:rPr>
          <w:rFonts w:hint="eastAsia"/>
          <w:color w:val="auto"/>
          <w:sz w:val="21"/>
          <w:highlight w:val="none"/>
          <w:lang w:eastAsia="zh-CN"/>
        </w:rPr>
        <w:t>招标</w:t>
      </w:r>
      <w:r>
        <w:rPr>
          <w:color w:val="auto"/>
          <w:sz w:val="21"/>
          <w:highlight w:val="none"/>
        </w:rPr>
        <w:t>人可以给予该中标单位警告处分：无故延期合同约定的工作时间、内容或深度达不到要求、出现严重差错、无正当理由不按照有关部门意见进行修改、驻场人员服务质量不符合</w:t>
      </w:r>
      <w:r>
        <w:rPr>
          <w:rFonts w:hint="eastAsia"/>
          <w:color w:val="auto"/>
          <w:sz w:val="21"/>
          <w:highlight w:val="none"/>
          <w:lang w:eastAsia="zh-CN"/>
        </w:rPr>
        <w:t>招标</w:t>
      </w:r>
      <w:r>
        <w:rPr>
          <w:color w:val="auto"/>
          <w:sz w:val="21"/>
          <w:highlight w:val="none"/>
        </w:rPr>
        <w:t>人要求且不能限期整改。中标单位在服务期内累计受</w:t>
      </w:r>
      <w:r>
        <w:rPr>
          <w:rFonts w:hint="eastAsia"/>
          <w:color w:val="auto"/>
          <w:sz w:val="21"/>
          <w:highlight w:val="none"/>
          <w:lang w:eastAsia="zh-CN"/>
        </w:rPr>
        <w:t>招标</w:t>
      </w:r>
      <w:r>
        <w:rPr>
          <w:color w:val="auto"/>
          <w:sz w:val="21"/>
          <w:highlight w:val="none"/>
        </w:rPr>
        <w:t>人警告3次，</w:t>
      </w:r>
      <w:r>
        <w:rPr>
          <w:rFonts w:hint="eastAsia"/>
          <w:color w:val="auto"/>
          <w:sz w:val="21"/>
          <w:highlight w:val="none"/>
          <w:lang w:eastAsia="zh-CN"/>
        </w:rPr>
        <w:t>招标</w:t>
      </w:r>
      <w:r>
        <w:rPr>
          <w:color w:val="auto"/>
          <w:sz w:val="21"/>
          <w:highlight w:val="none"/>
        </w:rPr>
        <w:t>人对其亮黄牌；累计受警告5次，</w:t>
      </w:r>
      <w:r>
        <w:rPr>
          <w:rFonts w:hint="eastAsia"/>
          <w:color w:val="auto"/>
          <w:sz w:val="21"/>
          <w:highlight w:val="none"/>
          <w:lang w:eastAsia="zh-CN"/>
        </w:rPr>
        <w:t>招标</w:t>
      </w:r>
      <w:r>
        <w:rPr>
          <w:color w:val="auto"/>
          <w:sz w:val="21"/>
          <w:highlight w:val="none"/>
        </w:rPr>
        <w:t>人有权单方面终止技术服务合同，中标单位须无条件配合</w:t>
      </w:r>
      <w:r>
        <w:rPr>
          <w:rFonts w:hint="eastAsia"/>
          <w:color w:val="auto"/>
          <w:sz w:val="21"/>
          <w:highlight w:val="none"/>
          <w:lang w:eastAsia="zh-CN"/>
        </w:rPr>
        <w:t>招标</w:t>
      </w:r>
      <w:r>
        <w:rPr>
          <w:color w:val="auto"/>
          <w:sz w:val="21"/>
          <w:highlight w:val="none"/>
        </w:rPr>
        <w:t>人移交相关成果资料等工作。</w:t>
      </w:r>
    </w:p>
    <w:p>
      <w:pPr>
        <w:pStyle w:val="62"/>
        <w:ind w:firstLine="420"/>
        <w:jc w:val="both"/>
        <w:rPr>
          <w:color w:val="auto"/>
          <w:highlight w:val="none"/>
        </w:rPr>
      </w:pPr>
      <w:r>
        <w:rPr>
          <w:color w:val="auto"/>
          <w:sz w:val="21"/>
          <w:highlight w:val="none"/>
        </w:rPr>
        <w:t>1</w:t>
      </w:r>
      <w:r>
        <w:rPr>
          <w:rFonts w:hint="eastAsia"/>
          <w:color w:val="auto"/>
          <w:sz w:val="21"/>
          <w:highlight w:val="none"/>
          <w:lang w:val="en-US" w:eastAsia="zh-CN"/>
        </w:rPr>
        <w:t>4</w:t>
      </w:r>
      <w:r>
        <w:rPr>
          <w:color w:val="auto"/>
          <w:sz w:val="21"/>
          <w:highlight w:val="none"/>
        </w:rPr>
        <w:t>. 及时掌握有关建设用地报批的国家、省、市政策的最新动向及法律、法规，向</w:t>
      </w:r>
      <w:r>
        <w:rPr>
          <w:rFonts w:hint="eastAsia"/>
          <w:color w:val="auto"/>
          <w:sz w:val="21"/>
          <w:highlight w:val="none"/>
          <w:lang w:eastAsia="zh-CN"/>
        </w:rPr>
        <w:t>招标</w:t>
      </w:r>
      <w:r>
        <w:rPr>
          <w:color w:val="auto"/>
          <w:sz w:val="21"/>
          <w:highlight w:val="none"/>
        </w:rPr>
        <w:t>人提供专业的咨询意见，并在项目实施过程中做出符合政策、法律、法规的动态调整。</w:t>
      </w:r>
    </w:p>
    <w:p>
      <w:pPr>
        <w:rPr>
          <w:color w:val="auto"/>
          <w:sz w:val="21"/>
          <w:highlight w:val="none"/>
        </w:rPr>
      </w:pPr>
      <w:r>
        <w:rPr>
          <w:color w:val="auto"/>
          <w:sz w:val="21"/>
          <w:highlight w:val="none"/>
        </w:rPr>
        <w:t xml:space="preserve">    1</w:t>
      </w:r>
      <w:r>
        <w:rPr>
          <w:rFonts w:hint="eastAsia"/>
          <w:color w:val="auto"/>
          <w:sz w:val="21"/>
          <w:highlight w:val="none"/>
          <w:lang w:val="en-US" w:eastAsia="zh-CN"/>
        </w:rPr>
        <w:t>5</w:t>
      </w:r>
      <w:r>
        <w:rPr>
          <w:color w:val="auto"/>
          <w:sz w:val="21"/>
          <w:highlight w:val="none"/>
        </w:rPr>
        <w:t xml:space="preserve">. </w:t>
      </w:r>
      <w:r>
        <w:rPr>
          <w:rFonts w:hint="eastAsia"/>
          <w:color w:val="auto"/>
          <w:sz w:val="21"/>
          <w:highlight w:val="none"/>
          <w:lang w:val="en-US" w:eastAsia="zh-CN"/>
        </w:rPr>
        <w:t>招标人</w:t>
      </w:r>
      <w:r>
        <w:rPr>
          <w:color w:val="auto"/>
          <w:sz w:val="21"/>
          <w:highlight w:val="none"/>
        </w:rPr>
        <w:t>交待的其它需要配合处理的工作事项。</w:t>
      </w:r>
    </w:p>
    <w:p>
      <w:pPr>
        <w:pStyle w:val="9"/>
        <w:rPr>
          <w:color w:val="auto"/>
          <w:highlight w:val="none"/>
        </w:rPr>
      </w:pPr>
    </w:p>
    <w:p>
      <w:pPr>
        <w:pStyle w:val="62"/>
        <w:numPr>
          <w:ilvl w:val="0"/>
          <w:numId w:val="1"/>
        </w:numPr>
        <w:jc w:val="both"/>
        <w:rPr>
          <w:b/>
          <w:color w:val="auto"/>
          <w:sz w:val="21"/>
          <w:highlight w:val="none"/>
        </w:rPr>
      </w:pPr>
      <w:r>
        <w:rPr>
          <w:b/>
          <w:color w:val="auto"/>
          <w:sz w:val="21"/>
          <w:highlight w:val="none"/>
        </w:rPr>
        <w:t>技术服务进度要求：</w:t>
      </w:r>
    </w:p>
    <w:p>
      <w:pPr>
        <w:pStyle w:val="62"/>
        <w:ind w:firstLine="424"/>
        <w:jc w:val="left"/>
        <w:rPr>
          <w:rFonts w:hint="eastAsia"/>
          <w:b w:val="0"/>
          <w:bCs/>
          <w:color w:val="auto"/>
          <w:sz w:val="21"/>
          <w:highlight w:val="none"/>
          <w:lang w:val="en-US" w:eastAsia="zh-CN"/>
        </w:rPr>
      </w:pPr>
      <w:r>
        <w:rPr>
          <w:rFonts w:hint="eastAsia"/>
          <w:b w:val="0"/>
          <w:bCs/>
          <w:color w:val="auto"/>
          <w:sz w:val="21"/>
          <w:highlight w:val="none"/>
          <w:lang w:val="en-US" w:eastAsia="zh-CN"/>
        </w:rPr>
        <w:t>1.签订合同和完成权属发证工作后，于20个工作日内完成用地报批各项初步资料（项目勘测定界报告，包含土地现状调查、补偿登记；社会稳定风险评估；节地专章编制等）</w:t>
      </w:r>
    </w:p>
    <w:p>
      <w:pPr>
        <w:pStyle w:val="62"/>
        <w:ind w:firstLine="424"/>
        <w:jc w:val="left"/>
        <w:rPr>
          <w:color w:val="auto"/>
          <w:highlight w:val="none"/>
        </w:rPr>
      </w:pPr>
      <w:r>
        <w:rPr>
          <w:rFonts w:hint="eastAsia"/>
          <w:color w:val="auto"/>
          <w:sz w:val="21"/>
          <w:highlight w:val="none"/>
          <w:lang w:val="en-US" w:eastAsia="zh-CN"/>
        </w:rPr>
        <w:t>2</w:t>
      </w:r>
      <w:r>
        <w:rPr>
          <w:color w:val="auto"/>
          <w:sz w:val="21"/>
          <w:highlight w:val="none"/>
        </w:rPr>
        <w:t>.从取得项目勘测定界报告起协助用地报批组卷部门组织用地报批材料，于10个工作日内完成用地报批基础数据编制（包括征地、留用地面积计算，原地类及现状地类平差、征地补偿费用测算），及时沟通解决核算过程中的问题；</w:t>
      </w:r>
    </w:p>
    <w:p>
      <w:pPr>
        <w:pStyle w:val="62"/>
        <w:ind w:firstLine="424"/>
        <w:jc w:val="left"/>
        <w:rPr>
          <w:color w:val="auto"/>
          <w:highlight w:val="none"/>
        </w:rPr>
      </w:pPr>
      <w:r>
        <w:rPr>
          <w:rFonts w:hint="eastAsia"/>
          <w:color w:val="auto"/>
          <w:sz w:val="21"/>
          <w:highlight w:val="none"/>
          <w:lang w:val="en-US" w:eastAsia="zh-CN"/>
        </w:rPr>
        <w:t>3</w:t>
      </w:r>
      <w:r>
        <w:rPr>
          <w:color w:val="auto"/>
          <w:sz w:val="21"/>
          <w:highlight w:val="none"/>
        </w:rPr>
        <w:t>.明确项目历史违法用地面积及对应责任主体后，20个工作日内协助用地报批组卷部门完成违法用地情况处理（违法用地处罚决定书，违法用地缴款、责任人处理决定等）；</w:t>
      </w:r>
    </w:p>
    <w:p>
      <w:pPr>
        <w:pStyle w:val="62"/>
        <w:ind w:firstLine="420"/>
        <w:jc w:val="both"/>
        <w:rPr>
          <w:rFonts w:hint="default"/>
          <w:b w:val="0"/>
          <w:bCs/>
          <w:color w:val="auto"/>
          <w:sz w:val="21"/>
          <w:highlight w:val="none"/>
          <w:lang w:val="en-US" w:eastAsia="zh-CN"/>
        </w:rPr>
      </w:pPr>
      <w:r>
        <w:rPr>
          <w:rFonts w:hint="eastAsia"/>
          <w:b w:val="0"/>
          <w:bCs/>
          <w:color w:val="auto"/>
          <w:sz w:val="21"/>
          <w:highlight w:val="none"/>
          <w:lang w:val="en-US" w:eastAsia="zh-CN"/>
        </w:rPr>
        <w:t>4</w:t>
      </w:r>
      <w:r>
        <w:rPr>
          <w:b w:val="0"/>
          <w:bCs/>
          <w:color w:val="auto"/>
          <w:sz w:val="21"/>
          <w:highlight w:val="none"/>
        </w:rPr>
        <w:t>.在用地报批各项初步资料（权属发证、落实留用地安置、落实耕地占补平衡、历史违法用地处罚）基本齐备的情况下，协助用地报批组卷部门出具</w:t>
      </w:r>
      <w:r>
        <w:rPr>
          <w:b w:val="0"/>
          <w:bCs/>
          <w:color w:val="auto"/>
          <w:sz w:val="21"/>
          <w:highlight w:val="none"/>
          <w:u w:val="single"/>
        </w:rPr>
        <w:t>《农用地转用方案》，</w:t>
      </w:r>
      <w:r>
        <w:rPr>
          <w:b w:val="0"/>
          <w:bCs/>
          <w:color w:val="auto"/>
          <w:sz w:val="21"/>
          <w:highlight w:val="none"/>
        </w:rPr>
        <w:t>在区政府审批同意后，汇总用地报批材料及办理盖章、扫描、按顺序组卷，并于10个工作日内上报市/区规划和自然资源局。</w:t>
      </w:r>
    </w:p>
    <w:p>
      <w:pPr>
        <w:pStyle w:val="62"/>
        <w:jc w:val="left"/>
        <w:rPr>
          <w:b w:val="0"/>
          <w:bCs/>
          <w:color w:val="auto"/>
          <w:sz w:val="21"/>
          <w:highlight w:val="none"/>
        </w:rPr>
      </w:pPr>
    </w:p>
    <w:p>
      <w:pPr>
        <w:pStyle w:val="62"/>
        <w:jc w:val="left"/>
        <w:rPr>
          <w:b w:val="0"/>
          <w:bCs/>
          <w:color w:val="auto"/>
          <w:highlight w:val="none"/>
        </w:rPr>
      </w:pPr>
      <w:r>
        <w:rPr>
          <w:b w:val="0"/>
          <w:bCs/>
          <w:color w:val="auto"/>
          <w:sz w:val="21"/>
          <w:highlight w:val="none"/>
        </w:rPr>
        <w:t>五、技术服务质量要求：</w:t>
      </w:r>
    </w:p>
    <w:p>
      <w:pPr>
        <w:pStyle w:val="4"/>
        <w:spacing w:line="360" w:lineRule="auto"/>
        <w:jc w:val="left"/>
        <w:rPr>
          <w:b w:val="0"/>
          <w:bCs/>
          <w:color w:val="auto"/>
          <w:sz w:val="21"/>
          <w:highlight w:val="none"/>
        </w:rPr>
      </w:pPr>
      <w:r>
        <w:rPr>
          <w:b w:val="0"/>
          <w:bCs/>
          <w:color w:val="auto"/>
          <w:sz w:val="21"/>
          <w:highlight w:val="none"/>
        </w:rPr>
        <w:t>用地报批过程中所有材料应严格按照省自然资源厅、市规划和自然资源局最新范本进行制作，相关成果应符合最新报批的审核要求。</w:t>
      </w:r>
    </w:p>
    <w:p>
      <w:pPr>
        <w:pStyle w:val="62"/>
        <w:jc w:val="both"/>
        <w:rPr>
          <w:b w:val="0"/>
          <w:bCs/>
          <w:color w:val="auto"/>
          <w:highlight w:val="none"/>
        </w:rPr>
      </w:pPr>
      <w:r>
        <w:rPr>
          <w:rFonts w:hint="eastAsia"/>
          <w:b w:val="0"/>
          <w:bCs/>
          <w:color w:val="auto"/>
          <w:sz w:val="21"/>
          <w:highlight w:val="none"/>
          <w:lang w:val="en-US" w:eastAsia="zh-CN"/>
        </w:rPr>
        <w:t>六</w:t>
      </w:r>
      <w:r>
        <w:rPr>
          <w:b w:val="0"/>
          <w:bCs/>
          <w:color w:val="auto"/>
          <w:sz w:val="21"/>
          <w:highlight w:val="none"/>
        </w:rPr>
        <w:t>、成果要求</w:t>
      </w:r>
    </w:p>
    <w:p>
      <w:pPr>
        <w:pStyle w:val="62"/>
        <w:ind w:firstLine="424"/>
        <w:jc w:val="both"/>
        <w:rPr>
          <w:color w:val="auto"/>
          <w:highlight w:val="none"/>
        </w:rPr>
      </w:pPr>
      <w:r>
        <w:rPr>
          <w:b w:val="0"/>
          <w:bCs/>
          <w:color w:val="auto"/>
          <w:sz w:val="21"/>
          <w:highlight w:val="none"/>
        </w:rPr>
        <w:t>1.项目报</w:t>
      </w:r>
      <w:r>
        <w:rPr>
          <w:color w:val="auto"/>
          <w:sz w:val="21"/>
          <w:highlight w:val="none"/>
        </w:rPr>
        <w:t>批材料</w:t>
      </w:r>
      <w:r>
        <w:rPr>
          <w:rFonts w:hint="eastAsia"/>
          <w:color w:val="auto"/>
          <w:sz w:val="21"/>
          <w:highlight w:val="none"/>
          <w:lang w:val="en-US" w:eastAsia="zh-CN"/>
        </w:rPr>
        <w:t>符合</w:t>
      </w:r>
      <w:r>
        <w:rPr>
          <w:color w:val="auto"/>
          <w:sz w:val="21"/>
          <w:highlight w:val="none"/>
        </w:rPr>
        <w:t>《建设用地审查报批管理办法》（国土资源部第69号令）、《关于规范市县政府建设用地审批工作的通知》（粤国土资利用发〔2014〕184号）、《广东省国土资源厅关于印发&lt;省政府审批建设用地报批材料范（2018年修订版）&gt;的通知》（粤国土资利用发〔2018〕25号）等文件的要求；</w:t>
      </w:r>
    </w:p>
    <w:p>
      <w:pPr>
        <w:pStyle w:val="62"/>
        <w:ind w:firstLine="424"/>
        <w:jc w:val="both"/>
        <w:rPr>
          <w:color w:val="auto"/>
          <w:highlight w:val="none"/>
        </w:rPr>
      </w:pPr>
      <w:r>
        <w:rPr>
          <w:color w:val="auto"/>
          <w:sz w:val="21"/>
          <w:highlight w:val="none"/>
        </w:rPr>
        <w:t>2.提交用地报批成果文件4套。全部成果（包括报批收集原始材料、最终报告、附件、附表、图纸）均应制作成计算机文件，文本文件采用Microsoft word的格式文件和PDF格式文件，并提供以上计算机文件光盘一套；</w:t>
      </w:r>
    </w:p>
    <w:p>
      <w:pPr>
        <w:widowControl/>
        <w:autoSpaceDE/>
        <w:autoSpaceDN/>
        <w:adjustRightInd/>
        <w:ind w:firstLine="420" w:firstLineChars="200"/>
        <w:rPr>
          <w:color w:val="auto"/>
          <w:sz w:val="21"/>
          <w:highlight w:val="none"/>
        </w:rPr>
      </w:pPr>
      <w:r>
        <w:rPr>
          <w:color w:val="auto"/>
          <w:sz w:val="21"/>
          <w:highlight w:val="none"/>
        </w:rPr>
        <w:t>3.自取得建设用地批复之日起10天内提交成果文件终稿。</w:t>
      </w:r>
    </w:p>
    <w:p>
      <w:pPr>
        <w:widowControl/>
        <w:autoSpaceDE/>
        <w:autoSpaceDN/>
        <w:adjustRightInd/>
        <w:rPr>
          <w:color w:val="auto"/>
          <w:sz w:val="21"/>
          <w:highlight w:val="none"/>
        </w:rPr>
      </w:pPr>
    </w:p>
    <w:p>
      <w:pPr>
        <w:spacing w:before="5280" w:beforeLines="2200"/>
        <w:ind w:left="6"/>
        <w:rPr>
          <w:rFonts w:hint="eastAsia" w:ascii="宋体" w:hAnsi="宋体" w:eastAsia="宋体" w:cs="宋体"/>
          <w:color w:val="auto"/>
          <w:sz w:val="52"/>
          <w:szCs w:val="52"/>
          <w:highlight w:val="none"/>
        </w:rPr>
      </w:pPr>
      <w:bookmarkStart w:id="172" w:name="_Toc25031"/>
      <w:bookmarkStart w:id="173" w:name="_Toc19889"/>
      <w:bookmarkStart w:id="174" w:name="_Toc26514"/>
      <w:bookmarkStart w:id="175" w:name="_Toc8432"/>
      <w:r>
        <w:rPr>
          <w:rFonts w:hint="eastAsia" w:ascii="宋体" w:hAnsi="宋体" w:eastAsia="宋体" w:cs="宋体"/>
          <w:color w:val="auto"/>
          <w:sz w:val="52"/>
          <w:szCs w:val="52"/>
          <w:highlight w:val="none"/>
        </w:rPr>
        <w:br w:type="page"/>
      </w:r>
    </w:p>
    <w:p>
      <w:pPr>
        <w:pStyle w:val="2"/>
        <w:spacing w:before="5280" w:beforeLines="2200"/>
        <w:ind w:left="6"/>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第三卷</w:t>
      </w:r>
      <w:bookmarkEnd w:id="172"/>
      <w:bookmarkEnd w:id="173"/>
      <w:bookmarkEnd w:id="174"/>
      <w:bookmarkEnd w:id="175"/>
    </w:p>
    <w:p>
      <w:pPr>
        <w:pStyle w:val="2"/>
        <w:spacing w:before="5280" w:beforeLines="2200"/>
        <w:ind w:left="6"/>
        <w:outlineLvl w:val="9"/>
        <w:rPr>
          <w:rFonts w:hint="eastAsia" w:ascii="宋体" w:hAnsi="宋体" w:eastAsia="宋体" w:cs="宋体"/>
          <w:color w:val="auto"/>
          <w:sz w:val="52"/>
          <w:szCs w:val="52"/>
          <w:highlight w:val="none"/>
        </w:rPr>
        <w:sectPr>
          <w:pgSz w:w="11905" w:h="16838"/>
          <w:pgMar w:top="1417" w:right="1417" w:bottom="1417" w:left="1417" w:header="992" w:footer="992" w:gutter="0"/>
          <w:cols w:space="720" w:num="1"/>
        </w:sectPr>
      </w:pPr>
    </w:p>
    <w:p>
      <w:pPr>
        <w:pStyle w:val="4"/>
        <w:jc w:val="center"/>
        <w:outlineLvl w:val="1"/>
        <w:rPr>
          <w:rFonts w:hint="eastAsia" w:ascii="宋体" w:hAnsi="宋体" w:eastAsia="宋体" w:cs="宋体"/>
          <w:color w:val="auto"/>
          <w:sz w:val="44"/>
          <w:highlight w:val="none"/>
        </w:rPr>
      </w:pPr>
      <w:bookmarkStart w:id="176" w:name="bookmark174"/>
      <w:bookmarkEnd w:id="176"/>
      <w:bookmarkStart w:id="177" w:name="_Toc22276"/>
      <w:bookmarkStart w:id="178" w:name="_Toc2561"/>
      <w:bookmarkStart w:id="179" w:name="_Toc23367"/>
      <w:bookmarkStart w:id="180" w:name="_Toc12702"/>
      <w:r>
        <w:rPr>
          <w:rFonts w:hint="eastAsia" w:ascii="宋体" w:hAnsi="宋体" w:eastAsia="宋体" w:cs="宋体"/>
          <w:color w:val="auto"/>
          <w:sz w:val="44"/>
          <w:highlight w:val="none"/>
        </w:rPr>
        <w:t>第六章 投标文件格式</w:t>
      </w:r>
      <w:bookmarkEnd w:id="177"/>
      <w:bookmarkEnd w:id="178"/>
      <w:bookmarkEnd w:id="179"/>
      <w:bookmarkEnd w:id="180"/>
    </w:p>
    <w:p>
      <w:pPr>
        <w:pStyle w:val="4"/>
        <w:outlineLvl w:val="9"/>
        <w:rPr>
          <w:rFonts w:hint="eastAsia" w:ascii="宋体" w:hAnsi="宋体" w:eastAsia="宋体" w:cs="宋体"/>
          <w:color w:val="auto"/>
          <w:highlight w:val="none"/>
        </w:rPr>
        <w:sectPr>
          <w:pgSz w:w="11905" w:h="16838"/>
          <w:pgMar w:top="1417" w:right="1417" w:bottom="1417" w:left="1417" w:header="992" w:footer="992" w:gutter="0"/>
          <w:cols w:space="720" w:num="1"/>
        </w:sectPr>
      </w:pPr>
    </w:p>
    <w:p>
      <w:pPr>
        <w:pStyle w:val="12"/>
        <w:kinsoku w:val="0"/>
        <w:overflowPunct w:val="0"/>
        <w:ind w:left="0"/>
        <w:rPr>
          <w:rFonts w:hint="eastAsia" w:ascii="宋体" w:hAnsi="宋体" w:eastAsia="宋体" w:cs="宋体"/>
          <w:b/>
          <w:color w:val="auto"/>
          <w:sz w:val="20"/>
          <w:highlight w:val="none"/>
        </w:rPr>
      </w:pPr>
    </w:p>
    <w:p>
      <w:pPr>
        <w:pStyle w:val="12"/>
        <w:kinsoku w:val="0"/>
        <w:overflowPunct w:val="0"/>
        <w:ind w:left="0"/>
        <w:rPr>
          <w:rFonts w:hint="eastAsia" w:ascii="宋体" w:hAnsi="宋体" w:eastAsia="宋体" w:cs="宋体"/>
          <w:b/>
          <w:color w:val="auto"/>
          <w:sz w:val="20"/>
          <w:highlight w:val="none"/>
        </w:rPr>
      </w:pPr>
    </w:p>
    <w:p>
      <w:pPr>
        <w:pStyle w:val="12"/>
        <w:kinsoku w:val="0"/>
        <w:overflowPunct w:val="0"/>
        <w:spacing w:before="1"/>
        <w:ind w:left="0"/>
        <w:rPr>
          <w:rFonts w:hint="eastAsia" w:ascii="宋体" w:hAnsi="宋体" w:eastAsia="宋体" w:cs="宋体"/>
          <w:b/>
          <w:color w:val="auto"/>
          <w:sz w:val="22"/>
          <w:highlight w:val="none"/>
        </w:rPr>
      </w:pPr>
    </w:p>
    <w:p>
      <w:pPr>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u w:val="single"/>
        </w:rPr>
        <w:t xml:space="preserve">                 （项目名称）</w:t>
      </w:r>
      <w:r>
        <w:rPr>
          <w:rFonts w:hint="eastAsia" w:ascii="宋体" w:hAnsi="宋体" w:eastAsia="宋体" w:cs="宋体"/>
          <w:color w:val="auto"/>
          <w:sz w:val="36"/>
          <w:highlight w:val="none"/>
        </w:rPr>
        <w:t xml:space="preserve"> </w:t>
      </w:r>
    </w:p>
    <w:p>
      <w:pPr>
        <w:pStyle w:val="12"/>
        <w:kinsoku w:val="0"/>
        <w:overflowPunct w:val="0"/>
        <w:ind w:left="0"/>
        <w:rPr>
          <w:rFonts w:hint="eastAsia" w:ascii="宋体" w:hAnsi="宋体" w:eastAsia="宋体" w:cs="宋体"/>
          <w:color w:val="auto"/>
          <w:sz w:val="20"/>
          <w:highlight w:val="none"/>
        </w:rPr>
      </w:pPr>
    </w:p>
    <w:p>
      <w:pPr>
        <w:pStyle w:val="12"/>
        <w:kinsoku w:val="0"/>
        <w:overflowPunct w:val="0"/>
        <w:spacing w:before="9"/>
        <w:ind w:left="0"/>
        <w:rPr>
          <w:rFonts w:hint="eastAsia" w:ascii="宋体" w:hAnsi="宋体" w:eastAsia="宋体" w:cs="宋体"/>
          <w:color w:val="auto"/>
          <w:sz w:val="15"/>
          <w:highlight w:val="none"/>
        </w:rPr>
      </w:pPr>
    </w:p>
    <w:p>
      <w:pPr>
        <w:pStyle w:val="12"/>
        <w:kinsoku w:val="0"/>
        <w:overflowPunct w:val="0"/>
        <w:spacing w:line="539" w:lineRule="exact"/>
        <w:ind w:left="3" w:right="1"/>
        <w:jc w:val="center"/>
        <w:rPr>
          <w:rFonts w:hint="eastAsia" w:ascii="宋体" w:hAnsi="宋体" w:eastAsia="宋体" w:cs="宋体"/>
          <w:color w:val="auto"/>
          <w:sz w:val="44"/>
          <w:highlight w:val="none"/>
        </w:rPr>
      </w:pPr>
    </w:p>
    <w:p>
      <w:pPr>
        <w:pStyle w:val="12"/>
        <w:kinsoku w:val="0"/>
        <w:overflowPunct w:val="0"/>
        <w:spacing w:line="539" w:lineRule="exact"/>
        <w:ind w:left="3" w:right="1"/>
        <w:jc w:val="center"/>
        <w:rPr>
          <w:rFonts w:hint="eastAsia" w:ascii="宋体" w:hAnsi="宋体" w:eastAsia="宋体" w:cs="宋体"/>
          <w:color w:val="auto"/>
          <w:sz w:val="44"/>
          <w:highlight w:val="none"/>
        </w:rPr>
      </w:pPr>
    </w:p>
    <w:p>
      <w:pPr>
        <w:pStyle w:val="12"/>
        <w:kinsoku w:val="0"/>
        <w:overflowPunct w:val="0"/>
        <w:ind w:left="0"/>
        <w:jc w:val="center"/>
        <w:rPr>
          <w:rFonts w:hint="eastAsia" w:ascii="宋体" w:hAnsi="宋体" w:eastAsia="宋体" w:cs="宋体"/>
          <w:color w:val="auto"/>
          <w:sz w:val="44"/>
          <w:highlight w:val="none"/>
        </w:rPr>
      </w:pPr>
      <w:r>
        <w:rPr>
          <w:rFonts w:hint="eastAsia" w:ascii="宋体" w:hAnsi="宋体" w:eastAsia="宋体" w:cs="宋体"/>
          <w:color w:val="auto"/>
          <w:sz w:val="84"/>
          <w:szCs w:val="84"/>
          <w:highlight w:val="none"/>
        </w:rPr>
        <w:t>投标文件</w:t>
      </w: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ind w:left="0"/>
        <w:rPr>
          <w:rFonts w:hint="eastAsia" w:ascii="宋体" w:hAnsi="宋体" w:eastAsia="宋体" w:cs="宋体"/>
          <w:color w:val="auto"/>
          <w:sz w:val="44"/>
          <w:highlight w:val="none"/>
        </w:rPr>
      </w:pPr>
    </w:p>
    <w:p>
      <w:pPr>
        <w:pStyle w:val="12"/>
        <w:kinsoku w:val="0"/>
        <w:overflowPunct w:val="0"/>
        <w:spacing w:before="3"/>
        <w:ind w:left="0"/>
        <w:rPr>
          <w:rFonts w:hint="eastAsia" w:ascii="宋体" w:hAnsi="宋体" w:eastAsia="宋体" w:cs="宋体"/>
          <w:color w:val="auto"/>
          <w:sz w:val="41"/>
          <w:highlight w:val="none"/>
        </w:rPr>
      </w:pPr>
    </w:p>
    <w:p>
      <w:pPr>
        <w:pStyle w:val="12"/>
        <w:tabs>
          <w:tab w:val="left" w:pos="5577"/>
          <w:tab w:val="left" w:pos="6942"/>
        </w:tabs>
        <w:kinsoku w:val="0"/>
        <w:overflowPunct w:val="0"/>
        <w:spacing w:line="357" w:lineRule="auto"/>
        <w:ind w:left="1201" w:right="175"/>
        <w:rPr>
          <w:rFonts w:hint="eastAsia" w:ascii="宋体" w:hAnsi="宋体" w:eastAsia="宋体" w:cs="宋体"/>
          <w:color w:val="auto"/>
          <w:spacing w:val="-136"/>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r>
        <w:rPr>
          <w:rFonts w:hint="eastAsia" w:ascii="宋体" w:hAnsi="宋体" w:eastAsia="宋体" w:cs="宋体"/>
          <w:color w:val="auto"/>
          <w:spacing w:val="-1"/>
          <w:sz w:val="28"/>
          <w:highlight w:val="none"/>
        </w:rPr>
        <w:t>（盖单位章）</w:t>
      </w:r>
      <w:r>
        <w:rPr>
          <w:rFonts w:hint="eastAsia" w:ascii="宋体" w:hAnsi="宋体" w:eastAsia="宋体" w:cs="宋体"/>
          <w:color w:val="auto"/>
          <w:spacing w:val="-136"/>
          <w:sz w:val="28"/>
          <w:highlight w:val="none"/>
        </w:rPr>
        <w:t xml:space="preserve"> </w:t>
      </w:r>
    </w:p>
    <w:p>
      <w:pPr>
        <w:pStyle w:val="12"/>
        <w:tabs>
          <w:tab w:val="left" w:pos="5577"/>
          <w:tab w:val="left" w:pos="6942"/>
        </w:tabs>
        <w:kinsoku w:val="0"/>
        <w:overflowPunct w:val="0"/>
        <w:spacing w:line="357" w:lineRule="auto"/>
        <w:ind w:left="1201" w:right="175"/>
        <w:rPr>
          <w:rFonts w:hint="eastAsia" w:ascii="宋体" w:hAnsi="宋体" w:eastAsia="宋体" w:cs="宋体"/>
          <w:color w:val="auto"/>
          <w:spacing w:val="-1"/>
          <w:sz w:val="28"/>
          <w:highlight w:val="none"/>
        </w:rPr>
      </w:pPr>
      <w:r>
        <w:rPr>
          <w:rFonts w:hint="eastAsia" w:ascii="宋体" w:hAnsi="宋体" w:eastAsia="宋体" w:cs="宋体"/>
          <w:color w:val="auto"/>
          <w:spacing w:val="-1"/>
          <w:sz w:val="28"/>
          <w:highlight w:val="none"/>
        </w:rPr>
        <w:t>法定代表人或其委托代理人：</w:t>
      </w:r>
      <w:r>
        <w:rPr>
          <w:rFonts w:hint="eastAsia" w:ascii="宋体" w:hAnsi="宋体" w:eastAsia="宋体" w:cs="宋体"/>
          <w:color w:val="auto"/>
          <w:spacing w:val="-1"/>
          <w:sz w:val="28"/>
          <w:highlight w:val="none"/>
          <w:u w:val="single"/>
        </w:rPr>
        <w:tab/>
      </w:r>
      <w:r>
        <w:rPr>
          <w:rFonts w:hint="eastAsia" w:ascii="宋体" w:hAnsi="宋体" w:eastAsia="宋体" w:cs="宋体"/>
          <w:color w:val="auto"/>
          <w:spacing w:val="-1"/>
          <w:sz w:val="28"/>
          <w:highlight w:val="none"/>
          <w:u w:val="single"/>
          <w:lang w:val="en-US" w:eastAsia="zh-CN"/>
        </w:rPr>
        <w:t xml:space="preserve">   </w:t>
      </w:r>
      <w:r>
        <w:rPr>
          <w:rFonts w:hint="eastAsia" w:ascii="宋体" w:hAnsi="宋体" w:eastAsia="宋体" w:cs="宋体"/>
          <w:color w:val="auto"/>
          <w:spacing w:val="-1"/>
          <w:sz w:val="28"/>
          <w:highlight w:val="none"/>
        </w:rPr>
        <w:t>（签字</w:t>
      </w:r>
      <w:r>
        <w:rPr>
          <w:rFonts w:hint="eastAsia" w:cs="宋体"/>
          <w:color w:val="auto"/>
          <w:spacing w:val="-1"/>
          <w:sz w:val="28"/>
          <w:highlight w:val="none"/>
          <w:lang w:val="en-US" w:eastAsia="zh-CN"/>
        </w:rPr>
        <w:t>或盖章</w:t>
      </w:r>
      <w:r>
        <w:rPr>
          <w:rFonts w:hint="eastAsia" w:ascii="宋体" w:hAnsi="宋体" w:eastAsia="宋体" w:cs="宋体"/>
          <w:color w:val="auto"/>
          <w:spacing w:val="-1"/>
          <w:sz w:val="28"/>
          <w:highlight w:val="none"/>
        </w:rPr>
        <w:t>）</w:t>
      </w:r>
    </w:p>
    <w:p>
      <w:pPr>
        <w:pStyle w:val="12"/>
        <w:kinsoku w:val="0"/>
        <w:overflowPunct w:val="0"/>
        <w:spacing w:before="10"/>
        <w:ind w:left="0"/>
        <w:rPr>
          <w:rFonts w:hint="eastAsia" w:ascii="宋体" w:hAnsi="宋体" w:eastAsia="宋体" w:cs="宋体"/>
          <w:color w:val="auto"/>
          <w:sz w:val="29"/>
          <w:highlight w:val="none"/>
        </w:rPr>
      </w:pPr>
    </w:p>
    <w:p>
      <w:pPr>
        <w:pStyle w:val="12"/>
        <w:tabs>
          <w:tab w:val="left" w:pos="3611"/>
          <w:tab w:val="left" w:pos="4626"/>
          <w:tab w:val="left" w:pos="5642"/>
        </w:tabs>
        <w:kinsoku w:val="0"/>
        <w:overflowPunct w:val="0"/>
        <w:spacing w:before="14"/>
        <w:ind w:left="2877" w:right="175"/>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日</w:t>
      </w:r>
    </w:p>
    <w:p>
      <w:pPr>
        <w:pStyle w:val="12"/>
        <w:tabs>
          <w:tab w:val="left" w:pos="3611"/>
          <w:tab w:val="left" w:pos="4626"/>
          <w:tab w:val="left" w:pos="5642"/>
        </w:tabs>
        <w:kinsoku w:val="0"/>
        <w:overflowPunct w:val="0"/>
        <w:spacing w:before="14"/>
        <w:ind w:left="2877" w:right="175"/>
        <w:rPr>
          <w:rFonts w:hint="eastAsia" w:ascii="宋体" w:hAnsi="宋体" w:eastAsia="宋体" w:cs="宋体"/>
          <w:color w:val="auto"/>
          <w:sz w:val="28"/>
          <w:highlight w:val="none"/>
        </w:rPr>
        <w:sectPr>
          <w:pgSz w:w="11905" w:h="16838"/>
          <w:pgMar w:top="1417" w:right="1417" w:bottom="1417" w:left="1417" w:header="992" w:footer="992" w:gutter="0"/>
          <w:cols w:space="720" w:num="1"/>
        </w:sectPr>
      </w:pPr>
    </w:p>
    <w:p>
      <w:pPr>
        <w:pStyle w:val="12"/>
        <w:kinsoku w:val="0"/>
        <w:overflowPunct w:val="0"/>
        <w:spacing w:line="443" w:lineRule="exact"/>
        <w:ind w:left="1244" w:right="1222"/>
        <w:jc w:val="center"/>
        <w:rPr>
          <w:rFonts w:hint="eastAsia" w:ascii="宋体" w:hAnsi="宋体" w:eastAsia="宋体" w:cs="宋体"/>
          <w:color w:val="auto"/>
          <w:sz w:val="32"/>
          <w:highlight w:val="none"/>
        </w:rPr>
      </w:pPr>
      <w:bookmarkStart w:id="181" w:name="bookmark175"/>
      <w:bookmarkEnd w:id="181"/>
      <w:r>
        <w:rPr>
          <w:rFonts w:hint="eastAsia" w:ascii="宋体" w:hAnsi="宋体" w:eastAsia="宋体" w:cs="宋体"/>
          <w:b/>
          <w:color w:val="auto"/>
          <w:sz w:val="32"/>
          <w:highlight w:val="none"/>
        </w:rPr>
        <w:t>目录</w:t>
      </w:r>
    </w:p>
    <w:p>
      <w:pPr>
        <w:pStyle w:val="12"/>
        <w:kinsoku w:val="0"/>
        <w:overflowPunct w:val="0"/>
        <w:ind w:left="0"/>
        <w:rPr>
          <w:rFonts w:hint="eastAsia" w:ascii="宋体" w:hAnsi="宋体" w:eastAsia="宋体" w:cs="宋体"/>
          <w:b/>
          <w:color w:val="auto"/>
          <w:sz w:val="20"/>
          <w:highlight w:val="none"/>
        </w:rPr>
      </w:pPr>
    </w:p>
    <w:p>
      <w:pPr>
        <w:pStyle w:val="12"/>
        <w:kinsoku w:val="0"/>
        <w:overflowPunct w:val="0"/>
        <w:ind w:left="0"/>
        <w:rPr>
          <w:rFonts w:hint="eastAsia" w:ascii="宋体" w:hAnsi="宋体" w:eastAsia="宋体" w:cs="宋体"/>
          <w:b/>
          <w:color w:val="auto"/>
          <w:sz w:val="20"/>
          <w:highlight w:val="none"/>
        </w:rPr>
      </w:pPr>
    </w:p>
    <w:p>
      <w:pPr>
        <w:pStyle w:val="12"/>
        <w:kinsoku w:val="0"/>
        <w:overflowPunct w:val="0"/>
        <w:ind w:left="0"/>
        <w:rPr>
          <w:rFonts w:hint="eastAsia" w:ascii="宋体" w:hAnsi="宋体" w:eastAsia="宋体" w:cs="宋体"/>
          <w:b/>
          <w:color w:val="auto"/>
          <w:sz w:val="20"/>
          <w:highlight w:val="none"/>
        </w:rPr>
      </w:pPr>
    </w:p>
    <w:p>
      <w:pPr>
        <w:pStyle w:val="12"/>
        <w:tabs>
          <w:tab w:val="left" w:pos="993"/>
        </w:tabs>
        <w:kinsoku w:val="0"/>
        <w:overflowPunct w:val="0"/>
        <w:spacing w:before="6"/>
        <w:ind w:left="0"/>
        <w:rPr>
          <w:rFonts w:hint="eastAsia" w:ascii="宋体" w:hAnsi="宋体" w:eastAsia="宋体" w:cs="宋体"/>
          <w:b/>
          <w:color w:val="auto"/>
          <w:sz w:val="24"/>
          <w:highlight w:val="none"/>
        </w:rPr>
      </w:pPr>
    </w:p>
    <w:p>
      <w:pPr>
        <w:pStyle w:val="12"/>
        <w:kinsoku w:val="0"/>
        <w:overflowPunct w:val="0"/>
        <w:spacing w:before="36" w:line="472" w:lineRule="auto"/>
        <w:ind w:left="0" w:right="2650"/>
        <w:rPr>
          <w:color w:val="auto"/>
          <w:sz w:val="24"/>
          <w:highlight w:val="none"/>
        </w:rPr>
      </w:pPr>
      <w:r>
        <w:rPr>
          <w:color w:val="auto"/>
          <w:sz w:val="24"/>
          <w:highlight w:val="none"/>
        </w:rPr>
        <w:t>一、</w:t>
      </w:r>
      <w:bookmarkStart w:id="182" w:name="OLE_LINK3"/>
      <w:r>
        <w:rPr>
          <w:color w:val="auto"/>
          <w:sz w:val="24"/>
          <w:highlight w:val="none"/>
        </w:rPr>
        <w:t>投标函及投标函附录</w:t>
      </w:r>
      <w:bookmarkEnd w:id="182"/>
    </w:p>
    <w:p>
      <w:pPr>
        <w:pStyle w:val="12"/>
        <w:kinsoku w:val="0"/>
        <w:overflowPunct w:val="0"/>
        <w:spacing w:before="36" w:line="472" w:lineRule="auto"/>
        <w:ind w:left="0" w:right="2650"/>
        <w:rPr>
          <w:color w:val="auto"/>
          <w:sz w:val="24"/>
          <w:highlight w:val="none"/>
        </w:rPr>
      </w:pPr>
      <w:r>
        <w:rPr>
          <w:color w:val="auto"/>
          <w:spacing w:val="-2"/>
          <w:sz w:val="24"/>
          <w:highlight w:val="none"/>
        </w:rPr>
        <w:t>二、</w:t>
      </w:r>
      <w:bookmarkStart w:id="183" w:name="OLE_LINK5"/>
      <w:r>
        <w:rPr>
          <w:color w:val="auto"/>
          <w:spacing w:val="-2"/>
          <w:sz w:val="24"/>
          <w:highlight w:val="none"/>
        </w:rPr>
        <w:t>法定代表人身份证明</w:t>
      </w:r>
      <w:bookmarkEnd w:id="183"/>
    </w:p>
    <w:p>
      <w:pPr>
        <w:pStyle w:val="12"/>
        <w:kinsoku w:val="0"/>
        <w:overflowPunct w:val="0"/>
        <w:spacing w:before="36" w:line="472" w:lineRule="auto"/>
        <w:ind w:left="0" w:right="2650"/>
        <w:rPr>
          <w:color w:val="auto"/>
          <w:sz w:val="24"/>
          <w:highlight w:val="none"/>
        </w:rPr>
      </w:pPr>
      <w:r>
        <w:rPr>
          <w:color w:val="auto"/>
          <w:sz w:val="24"/>
          <w:highlight w:val="none"/>
        </w:rPr>
        <w:t>二、授权委托书（适用于有委托代理人的情况）</w:t>
      </w:r>
    </w:p>
    <w:p>
      <w:pPr>
        <w:pStyle w:val="12"/>
        <w:kinsoku w:val="0"/>
        <w:overflowPunct w:val="0"/>
        <w:spacing w:before="61" w:line="472" w:lineRule="auto"/>
        <w:ind w:left="0" w:right="6220"/>
        <w:rPr>
          <w:color w:val="auto"/>
          <w:sz w:val="24"/>
          <w:highlight w:val="none"/>
        </w:rPr>
      </w:pPr>
      <w:r>
        <w:rPr>
          <w:rFonts w:hint="eastAsia"/>
          <w:color w:val="auto"/>
          <w:spacing w:val="-2"/>
          <w:sz w:val="24"/>
          <w:highlight w:val="none"/>
        </w:rPr>
        <w:t>三</w:t>
      </w:r>
      <w:r>
        <w:rPr>
          <w:color w:val="auto"/>
          <w:spacing w:val="-2"/>
          <w:sz w:val="24"/>
          <w:highlight w:val="none"/>
        </w:rPr>
        <w:t>、</w:t>
      </w:r>
      <w:bookmarkStart w:id="184" w:name="OLE_LINK6"/>
      <w:bookmarkStart w:id="222" w:name="_GoBack"/>
      <w:r>
        <w:rPr>
          <w:rFonts w:hint="eastAsia"/>
          <w:color w:val="auto"/>
          <w:spacing w:val="-2"/>
          <w:sz w:val="24"/>
          <w:highlight w:val="none"/>
        </w:rPr>
        <w:t>投标报价书</w:t>
      </w:r>
      <w:bookmarkEnd w:id="184"/>
      <w:bookmarkEnd w:id="222"/>
    </w:p>
    <w:p>
      <w:pPr>
        <w:pStyle w:val="12"/>
        <w:kinsoku w:val="0"/>
        <w:overflowPunct w:val="0"/>
        <w:spacing w:before="61" w:line="472" w:lineRule="auto"/>
        <w:ind w:left="0" w:right="6220"/>
        <w:rPr>
          <w:color w:val="auto"/>
          <w:sz w:val="24"/>
          <w:highlight w:val="none"/>
        </w:rPr>
      </w:pPr>
      <w:r>
        <w:rPr>
          <w:rFonts w:hint="eastAsia"/>
          <w:color w:val="auto"/>
          <w:spacing w:val="-2"/>
          <w:sz w:val="24"/>
          <w:highlight w:val="none"/>
        </w:rPr>
        <w:t>四</w:t>
      </w:r>
      <w:r>
        <w:rPr>
          <w:color w:val="auto"/>
          <w:spacing w:val="-2"/>
          <w:sz w:val="24"/>
          <w:highlight w:val="none"/>
        </w:rPr>
        <w:t>、资格审查资料</w:t>
      </w:r>
    </w:p>
    <w:p>
      <w:pPr>
        <w:pStyle w:val="12"/>
        <w:kinsoku w:val="0"/>
        <w:overflowPunct w:val="0"/>
        <w:spacing w:before="61" w:line="472" w:lineRule="auto"/>
        <w:ind w:left="0" w:right="6220"/>
        <w:rPr>
          <w:color w:val="auto"/>
          <w:sz w:val="24"/>
          <w:highlight w:val="none"/>
        </w:rPr>
      </w:pPr>
      <w:r>
        <w:rPr>
          <w:rFonts w:hint="eastAsia"/>
          <w:color w:val="auto"/>
          <w:sz w:val="24"/>
          <w:highlight w:val="none"/>
        </w:rPr>
        <w:t>五</w:t>
      </w:r>
      <w:r>
        <w:rPr>
          <w:color w:val="auto"/>
          <w:sz w:val="24"/>
          <w:highlight w:val="none"/>
        </w:rPr>
        <w:t>、</w:t>
      </w:r>
      <w:bookmarkStart w:id="185" w:name="OLE_LINK1"/>
      <w:r>
        <w:rPr>
          <w:rFonts w:hint="eastAsia"/>
          <w:color w:val="auto"/>
          <w:sz w:val="24"/>
          <w:highlight w:val="none"/>
        </w:rPr>
        <w:t>技术</w:t>
      </w:r>
      <w:r>
        <w:rPr>
          <w:color w:val="auto"/>
          <w:sz w:val="24"/>
          <w:highlight w:val="none"/>
        </w:rPr>
        <w:t>服务方案</w:t>
      </w:r>
      <w:bookmarkEnd w:id="185"/>
      <w:r>
        <w:rPr>
          <w:color w:val="auto"/>
          <w:sz w:val="24"/>
          <w:highlight w:val="none"/>
        </w:rPr>
        <w:t xml:space="preserve"> </w:t>
      </w:r>
    </w:p>
    <w:p>
      <w:pPr>
        <w:pStyle w:val="12"/>
        <w:kinsoku w:val="0"/>
        <w:overflowPunct w:val="0"/>
        <w:spacing w:before="61" w:line="472" w:lineRule="auto"/>
        <w:ind w:left="0" w:right="6220"/>
        <w:rPr>
          <w:color w:val="auto"/>
          <w:sz w:val="24"/>
          <w:highlight w:val="none"/>
        </w:rPr>
      </w:pPr>
      <w:r>
        <w:rPr>
          <w:rFonts w:hint="eastAsia"/>
          <w:color w:val="auto"/>
          <w:sz w:val="24"/>
          <w:highlight w:val="none"/>
        </w:rPr>
        <w:t>六</w:t>
      </w:r>
      <w:r>
        <w:rPr>
          <w:color w:val="auto"/>
          <w:sz w:val="24"/>
          <w:highlight w:val="none"/>
        </w:rPr>
        <w:t>、</w:t>
      </w:r>
      <w:bookmarkStart w:id="186" w:name="OLE_LINK2"/>
      <w:r>
        <w:rPr>
          <w:color w:val="auto"/>
          <w:sz w:val="24"/>
          <w:highlight w:val="none"/>
        </w:rPr>
        <w:t>其他资料</w:t>
      </w:r>
      <w:bookmarkEnd w:id="186"/>
    </w:p>
    <w:p>
      <w:pPr>
        <w:numPr>
          <w:ilvl w:val="-1"/>
          <w:numId w:val="0"/>
        </w:numPr>
        <w:tabs>
          <w:tab w:val="left" w:pos="993"/>
          <w:tab w:val="left" w:pos="1134"/>
        </w:tabs>
        <w:autoSpaceDE/>
        <w:autoSpaceDN/>
        <w:adjustRightInd/>
        <w:spacing w:line="360" w:lineRule="auto"/>
        <w:ind w:left="480" w:leftChars="200" w:firstLine="0" w:firstLineChars="0"/>
        <w:rPr>
          <w:rFonts w:hint="eastAsia" w:ascii="宋体" w:hAnsi="宋体" w:eastAsia="宋体" w:cs="宋体"/>
          <w:color w:val="auto"/>
          <w:spacing w:val="-2"/>
          <w:position w:val="-1"/>
          <w:sz w:val="28"/>
          <w:szCs w:val="28"/>
          <w:highlight w:val="none"/>
        </w:rPr>
        <w:sectPr>
          <w:pgSz w:w="11905" w:h="16838"/>
          <w:pgMar w:top="1417" w:right="1417" w:bottom="1417" w:left="1417" w:header="992" w:footer="992" w:gutter="0"/>
          <w:cols w:space="720" w:num="1"/>
        </w:sectPr>
      </w:pPr>
      <w:r>
        <w:rPr>
          <w:rFonts w:hint="eastAsia" w:ascii="宋体" w:hAnsi="宋体" w:eastAsia="宋体" w:cs="宋体"/>
          <w:color w:val="auto"/>
          <w:spacing w:val="-2"/>
          <w:position w:val="-1"/>
          <w:sz w:val="28"/>
          <w:szCs w:val="28"/>
          <w:highlight w:val="none"/>
        </w:rPr>
        <w:t>注：投标文件所附证书证件应为扫描件；招标文件中对投标文件格式要求需要投标人或个人（法定代表人或授权代表）签字盖章的内容，均需在线下完成签字盖章后原件扫描上传；生成电子投标文件时，由投标人加盖企业电子印章。</w:t>
      </w:r>
    </w:p>
    <w:p>
      <w:pPr>
        <w:pStyle w:val="5"/>
        <w:spacing w:before="120" w:after="120"/>
        <w:jc w:val="center"/>
        <w:rPr>
          <w:rFonts w:hint="eastAsia" w:ascii="宋体" w:hAnsi="宋体" w:eastAsia="宋体" w:cs="宋体"/>
          <w:color w:val="auto"/>
          <w:sz w:val="28"/>
          <w:highlight w:val="none"/>
        </w:rPr>
      </w:pPr>
      <w:bookmarkStart w:id="187" w:name="bookmark176"/>
      <w:bookmarkEnd w:id="187"/>
      <w:bookmarkStart w:id="188" w:name="_Toc6180"/>
      <w:r>
        <w:rPr>
          <w:rFonts w:hint="eastAsia" w:ascii="宋体" w:hAnsi="宋体" w:eastAsia="宋体" w:cs="宋体"/>
          <w:color w:val="auto"/>
          <w:sz w:val="28"/>
          <w:highlight w:val="none"/>
        </w:rPr>
        <w:t>一、投标函及投标函附录</w:t>
      </w:r>
      <w:bookmarkEnd w:id="188"/>
    </w:p>
    <w:p>
      <w:pPr>
        <w:pStyle w:val="6"/>
        <w:rPr>
          <w:rFonts w:hint="eastAsia" w:ascii="宋体" w:hAnsi="宋体" w:eastAsia="宋体" w:cs="宋体"/>
          <w:b/>
          <w:color w:val="auto"/>
          <w:highlight w:val="none"/>
        </w:rPr>
      </w:pPr>
      <w:bookmarkStart w:id="189" w:name="bookmark177"/>
      <w:bookmarkEnd w:id="189"/>
      <w:bookmarkStart w:id="190" w:name="_Toc13758"/>
      <w:r>
        <w:rPr>
          <w:rFonts w:hint="eastAsia" w:ascii="宋体" w:hAnsi="宋体" w:eastAsia="宋体" w:cs="宋体"/>
          <w:b/>
          <w:color w:val="auto"/>
          <w:highlight w:val="none"/>
        </w:rPr>
        <w:t>（一）投标函</w:t>
      </w:r>
      <w:bookmarkEnd w:id="190"/>
    </w:p>
    <w:p>
      <w:pPr>
        <w:pStyle w:val="12"/>
        <w:kinsoku w:val="0"/>
        <w:overflowPunct w:val="0"/>
        <w:spacing w:before="1"/>
        <w:ind w:left="0"/>
        <w:rPr>
          <w:rFonts w:hint="eastAsia" w:ascii="宋体" w:hAnsi="宋体" w:eastAsia="宋体" w:cs="宋体"/>
          <w:color w:val="auto"/>
          <w:sz w:val="23"/>
          <w:highlight w:val="none"/>
        </w:rPr>
      </w:pPr>
    </w:p>
    <w:p>
      <w:pPr>
        <w:pStyle w:val="12"/>
        <w:tabs>
          <w:tab w:val="left" w:pos="1991"/>
        </w:tabs>
        <w:kinsoku w:val="0"/>
        <w:overflowPunct w:val="0"/>
        <w:ind w:left="100" w:right="113"/>
        <w:rPr>
          <w:rFonts w:hint="eastAsia" w:ascii="宋体" w:hAnsi="宋体" w:eastAsia="宋体" w:cs="宋体"/>
          <w:color w:val="auto"/>
          <w:spacing w:val="-15"/>
          <w:highlight w:val="none"/>
        </w:rPr>
      </w:pPr>
      <w:r>
        <w:rPr>
          <w:rFonts w:hint="eastAsia" w:ascii="宋体" w:hAnsi="宋体" w:eastAsia="宋体" w:cs="宋体"/>
          <w:color w:val="auto"/>
          <w:szCs w:val="21"/>
          <w:highlight w:val="none"/>
          <w:u w:val="single"/>
        </w:rPr>
        <w:t>中新广州知识城财政投资建设项目管理中心</w:t>
      </w:r>
      <w:r>
        <w:rPr>
          <w:rFonts w:hint="eastAsia" w:ascii="宋体" w:hAnsi="宋体" w:eastAsia="宋体" w:cs="宋体"/>
          <w:color w:val="auto"/>
          <w:spacing w:val="-15"/>
          <w:highlight w:val="none"/>
        </w:rPr>
        <w:t>：</w:t>
      </w:r>
    </w:p>
    <w:p>
      <w:pPr>
        <w:pStyle w:val="12"/>
        <w:kinsoku w:val="0"/>
        <w:overflowPunct w:val="0"/>
        <w:spacing w:before="13"/>
        <w:ind w:left="0"/>
        <w:rPr>
          <w:rFonts w:hint="eastAsia" w:ascii="宋体" w:hAnsi="宋体" w:eastAsia="宋体" w:cs="宋体"/>
          <w:color w:val="auto"/>
          <w:highlight w:val="none"/>
        </w:rPr>
      </w:pP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1．我方已仔细研究了</w:t>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 xml:space="preserve">（项目名称）  </w:t>
      </w:r>
      <w:r>
        <w:rPr>
          <w:rFonts w:hint="eastAsia" w:ascii="宋体" w:hAnsi="宋体" w:eastAsia="宋体" w:cs="宋体"/>
          <w:color w:val="auto"/>
          <w:kern w:val="2"/>
          <w:sz w:val="21"/>
          <w:szCs w:val="21"/>
          <w:highlight w:val="none"/>
        </w:rPr>
        <w:t xml:space="preserve"> 招标项目招标文件的全部内容， 愿意以人民币（大写）</w:t>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rPr>
        <w:t>）的投标总报价，服务期限：</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日历天，按合同约定完成</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工作。</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我方的投标文件包括下列内容：</w:t>
      </w:r>
    </w:p>
    <w:p>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（1）投标函及投标函附录；</w:t>
      </w:r>
    </w:p>
    <w:p>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（2）法定代表人身份证明</w:t>
      </w:r>
      <w:r>
        <w:rPr>
          <w:rFonts w:ascii="宋体" w:hAnsi="宋体" w:cs="宋体"/>
          <w:color w:val="auto"/>
          <w:spacing w:val="8"/>
          <w:sz w:val="21"/>
          <w:szCs w:val="21"/>
          <w:highlight w:val="none"/>
        </w:rPr>
        <w:t>或附有法定代表人身份证明的授权委托书</w:t>
      </w:r>
      <w:r>
        <w:rPr>
          <w:rFonts w:ascii="宋体" w:hAnsi="宋体" w:cs="宋体"/>
          <w:color w:val="auto"/>
          <w:kern w:val="2"/>
          <w:sz w:val="21"/>
          <w:szCs w:val="21"/>
          <w:highlight w:val="none"/>
        </w:rPr>
        <w:t>；</w:t>
      </w:r>
    </w:p>
    <w:p>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投标报价书</w:t>
      </w:r>
      <w:r>
        <w:rPr>
          <w:rFonts w:ascii="宋体" w:hAnsi="宋体" w:cs="宋体"/>
          <w:color w:val="auto"/>
          <w:kern w:val="2"/>
          <w:sz w:val="21"/>
          <w:szCs w:val="21"/>
          <w:highlight w:val="none"/>
        </w:rPr>
        <w:t>；</w:t>
      </w:r>
    </w:p>
    <w:p>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4</w:t>
      </w:r>
      <w:r>
        <w:rPr>
          <w:rFonts w:ascii="宋体" w:hAnsi="宋体" w:cs="宋体"/>
          <w:color w:val="auto"/>
          <w:kern w:val="2"/>
          <w:sz w:val="21"/>
          <w:szCs w:val="21"/>
          <w:highlight w:val="none"/>
        </w:rPr>
        <w:t>）资格审查资料；</w:t>
      </w:r>
    </w:p>
    <w:p>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5</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技术</w:t>
      </w:r>
      <w:r>
        <w:rPr>
          <w:rFonts w:ascii="宋体" w:hAnsi="宋体" w:cs="宋体"/>
          <w:color w:val="auto"/>
          <w:kern w:val="2"/>
          <w:sz w:val="21"/>
          <w:szCs w:val="21"/>
          <w:highlight w:val="none"/>
        </w:rPr>
        <w:t>服务方案；</w:t>
      </w:r>
    </w:p>
    <w:p>
      <w:pPr>
        <w:pStyle w:val="12"/>
        <w:kinsoku w:val="0"/>
        <w:overflowPunct w:val="0"/>
        <w:spacing w:line="360" w:lineRule="auto"/>
        <w:ind w:left="522" w:right="2132" w:hanging="17"/>
        <w:rPr>
          <w:rFonts w:hint="eastAsia" w:ascii="宋体" w:hAnsi="宋体" w:eastAsia="宋体" w:cs="宋体"/>
          <w:color w:val="auto"/>
          <w:spacing w:val="-2"/>
          <w:highlight w:val="none"/>
        </w:rPr>
      </w:pP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6</w:t>
      </w:r>
      <w:r>
        <w:rPr>
          <w:rFonts w:ascii="宋体" w:hAnsi="宋体" w:cs="宋体"/>
          <w:color w:val="auto"/>
          <w:kern w:val="2"/>
          <w:sz w:val="21"/>
          <w:szCs w:val="21"/>
          <w:highlight w:val="none"/>
        </w:rPr>
        <w:t>）其他资料。</w:t>
      </w:r>
    </w:p>
    <w:p>
      <w:pPr>
        <w:pStyle w:val="12"/>
        <w:kinsoku w:val="0"/>
        <w:overflowPunct w:val="0"/>
        <w:spacing w:line="360" w:lineRule="auto"/>
        <w:ind w:left="522" w:right="2132" w:hanging="17"/>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投标文件的上述组成部分如存在内容不一致的，以投标函为准。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3．我方承诺在招标文件规定的投标有效期内不撤销投标文件。</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4．如我方中标，我方承诺：</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（1）在收到中标通知书后，在中标通知书规定的期限内与你方签订合同；</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（2）在签订合同时不向你方提出附加条件；</w:t>
      </w:r>
    </w:p>
    <w:p>
      <w:pP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）在合同约定的期限内完成合同规定的全部义务。</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5．我方在此声明，所递交的投标文件及有关资料内容完整、真实和准确，且不存在第二章 “投标人须知”第 1.4.3 项规定的任何一种情形。</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u w:val="single"/>
        </w:rPr>
        <w:tab/>
      </w:r>
      <w:r>
        <w:rPr>
          <w:rFonts w:hint="eastAsia" w:ascii="宋体" w:hAnsi="宋体" w:eastAsia="宋体" w:cs="宋体"/>
          <w:color w:val="auto"/>
          <w:kern w:val="2"/>
          <w:sz w:val="21"/>
          <w:szCs w:val="21"/>
          <w:highlight w:val="none"/>
        </w:rPr>
        <w:t>（其他补充说明）。</w:t>
      </w:r>
    </w:p>
    <w:p>
      <w:pPr>
        <w:pStyle w:val="12"/>
        <w:tabs>
          <w:tab w:val="left" w:pos="7241"/>
        </w:tabs>
        <w:kinsoku w:val="0"/>
        <w:overflowPunct w:val="0"/>
        <w:spacing w:before="36" w:line="360" w:lineRule="auto"/>
        <w:ind w:left="2621" w:right="113" w:firstLine="1260" w:firstLineChars="600"/>
        <w:rPr>
          <w:rFonts w:hint="eastAsia" w:ascii="宋体" w:hAnsi="宋体" w:eastAsia="宋体" w:cs="宋体"/>
          <w:color w:val="auto"/>
          <w:highlight w:val="none"/>
        </w:rPr>
      </w:pPr>
    </w:p>
    <w:p>
      <w:pPr>
        <w:pStyle w:val="12"/>
        <w:tabs>
          <w:tab w:val="left" w:pos="7241"/>
        </w:tabs>
        <w:kinsoku w:val="0"/>
        <w:overflowPunct w:val="0"/>
        <w:spacing w:before="36" w:line="360" w:lineRule="auto"/>
        <w:ind w:left="2621" w:right="113"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投 标</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(签字或盖章)</w:t>
      </w:r>
    </w:p>
    <w:p>
      <w:pPr>
        <w:widowControl/>
        <w:kinsoku w:val="0"/>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(签字</w:t>
      </w:r>
      <w:bookmarkStart w:id="191" w:name="OLE_LINK87"/>
      <w:bookmarkStart w:id="192" w:name="OLE_LINK86"/>
      <w:r>
        <w:rPr>
          <w:rFonts w:ascii="宋体" w:hAnsi="宋体" w:cs="宋体"/>
          <w:color w:val="auto"/>
          <w:spacing w:val="-4"/>
          <w:sz w:val="21"/>
          <w:szCs w:val="21"/>
          <w:highlight w:val="none"/>
        </w:rPr>
        <w:t>或盖章</w:t>
      </w:r>
      <w:bookmarkEnd w:id="191"/>
      <w:bookmarkEnd w:id="192"/>
      <w:r>
        <w:rPr>
          <w:rFonts w:hint="eastAsia" w:ascii="宋体" w:hAnsi="宋体" w:eastAsia="宋体" w:cs="宋体"/>
          <w:color w:val="auto"/>
          <w:spacing w:val="-4"/>
          <w:sz w:val="21"/>
          <w:szCs w:val="21"/>
          <w:highlight w:val="none"/>
        </w:rPr>
        <w:t>)</w:t>
      </w:r>
    </w:p>
    <w:p>
      <w:pPr>
        <w:pStyle w:val="12"/>
        <w:tabs>
          <w:tab w:val="left" w:pos="3232"/>
          <w:tab w:val="left" w:pos="8529"/>
        </w:tabs>
        <w:kinsoku w:val="0"/>
        <w:overflowPunct w:val="0"/>
        <w:spacing w:before="36" w:line="360" w:lineRule="auto"/>
        <w:ind w:left="2601"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rPr>
      </w:pPr>
      <w:r>
        <w:rPr>
          <w:rFonts w:hint="eastAsia" w:ascii="宋体" w:hAnsi="宋体" w:eastAsia="宋体" w:cs="宋体"/>
          <w:color w:val="auto"/>
          <w:highlight w:val="none"/>
        </w:rPr>
        <w:t>网    址：</w:t>
      </w:r>
      <w:r>
        <w:rPr>
          <w:rFonts w:hint="eastAsia" w:ascii="宋体" w:hAnsi="宋体" w:eastAsia="宋体" w:cs="宋体"/>
          <w:color w:val="auto"/>
          <w:highlight w:val="none"/>
          <w:u w:val="single"/>
        </w:rPr>
        <w:t xml:space="preserve">                                                    </w:t>
      </w:r>
    </w:p>
    <w:p>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u w:val="singl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pPr>
        <w:pStyle w:val="12"/>
        <w:tabs>
          <w:tab w:val="left" w:pos="8529"/>
        </w:tabs>
        <w:kinsoku w:val="0"/>
        <w:overflowPunct w:val="0"/>
        <w:spacing w:before="36" w:line="360" w:lineRule="auto"/>
        <w:ind w:left="2601" w:firstLine="1260" w:firstLineChars="60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pPr>
        <w:pStyle w:val="12"/>
        <w:tabs>
          <w:tab w:val="left" w:pos="8529"/>
        </w:tabs>
        <w:kinsoku w:val="0"/>
        <w:overflowPunct w:val="0"/>
        <w:spacing w:before="36" w:line="360" w:lineRule="auto"/>
        <w:ind w:left="2601"/>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12"/>
        <w:tabs>
          <w:tab w:val="left" w:pos="631"/>
          <w:tab w:val="left" w:pos="1471"/>
          <w:tab w:val="left" w:pos="2311"/>
        </w:tabs>
        <w:kinsoku w:val="0"/>
        <w:overflowPunct w:val="0"/>
        <w:spacing w:before="36" w:line="360" w:lineRule="auto"/>
        <w:ind w:left="0" w:right="117"/>
        <w:jc w:val="right"/>
        <w:rPr>
          <w:rFonts w:hint="eastAsia" w:ascii="宋体" w:hAnsi="宋体" w:eastAsia="宋体" w:cs="宋体"/>
          <w:color w:val="auto"/>
          <w:highlight w:val="none"/>
        </w:rPr>
        <w:sectPr>
          <w:footerReference r:id="rId10" w:type="default"/>
          <w:pgSz w:w="11905" w:h="16838"/>
          <w:pgMar w:top="1417" w:right="1417" w:bottom="1417" w:left="1417" w:header="992" w:footer="992" w:gutter="0"/>
          <w:cols w:space="720" w:num="1"/>
        </w:sectPr>
      </w:pPr>
    </w:p>
    <w:p>
      <w:pPr>
        <w:pStyle w:val="6"/>
        <w:rPr>
          <w:rFonts w:hint="eastAsia" w:ascii="宋体" w:hAnsi="宋体" w:eastAsia="宋体" w:cs="宋体"/>
          <w:b/>
          <w:color w:val="auto"/>
          <w:highlight w:val="none"/>
        </w:rPr>
      </w:pPr>
      <w:bookmarkStart w:id="193" w:name="bookmark178"/>
      <w:bookmarkEnd w:id="193"/>
      <w:bookmarkStart w:id="194" w:name="_Toc28395"/>
      <w:r>
        <w:rPr>
          <w:rFonts w:hint="eastAsia" w:ascii="宋体" w:hAnsi="宋体" w:eastAsia="宋体" w:cs="宋体"/>
          <w:b/>
          <w:color w:val="auto"/>
          <w:highlight w:val="none"/>
        </w:rPr>
        <w:t>（二）投标函附录</w:t>
      </w:r>
      <w:bookmarkEnd w:id="194"/>
    </w:p>
    <w:p>
      <w:pPr>
        <w:pStyle w:val="12"/>
        <w:kinsoku w:val="0"/>
        <w:overflowPunct w:val="0"/>
        <w:ind w:left="0" w:firstLine="400"/>
        <w:rPr>
          <w:rFonts w:hint="eastAsia" w:ascii="宋体" w:hAnsi="宋体" w:eastAsia="宋体" w:cs="宋体"/>
          <w:color w:val="auto"/>
          <w:sz w:val="20"/>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23"/>
        <w:gridCol w:w="1559"/>
        <w:gridCol w:w="354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姓名：</w:t>
            </w:r>
            <w:r>
              <w:rPr>
                <w:rFonts w:hint="eastAsia" w:ascii="宋体" w:hAnsi="宋体" w:eastAsia="宋体" w:cs="宋体"/>
                <w:bCs/>
                <w:color w:val="auto"/>
                <w:sz w:val="24"/>
                <w:szCs w:val="24"/>
                <w:highlight w:val="none"/>
                <w:u w:val="single"/>
              </w:rPr>
              <w:t xml:space="preserve">               </w:t>
            </w:r>
          </w:p>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技术职称：</w:t>
            </w:r>
            <w:r>
              <w:rPr>
                <w:rFonts w:hint="eastAsia" w:ascii="宋体" w:hAnsi="宋体" w:eastAsia="宋体" w:cs="宋体"/>
                <w:bCs/>
                <w:color w:val="auto"/>
                <w:sz w:val="24"/>
                <w:szCs w:val="24"/>
                <w:highlight w:val="none"/>
                <w:u w:val="single"/>
              </w:rPr>
              <w:t xml:space="preserve">           </w:t>
            </w:r>
          </w:p>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证</w:t>
            </w:r>
            <w:r>
              <w:rPr>
                <w:rFonts w:hint="eastAsia" w:ascii="宋体" w:hAnsi="宋体" w:eastAsia="宋体" w:cs="宋体"/>
                <w:bCs/>
                <w:color w:val="auto"/>
                <w:sz w:val="24"/>
                <w:szCs w:val="24"/>
                <w:highlight w:val="none"/>
                <w:lang w:val="en-US" w:eastAsia="zh-CN"/>
              </w:rPr>
              <w:t>书</w:t>
            </w:r>
            <w:r>
              <w:rPr>
                <w:rFonts w:hint="eastAsia" w:ascii="宋体" w:hAnsi="宋体" w:eastAsia="宋体" w:cs="宋体"/>
                <w:bCs/>
                <w:color w:val="auto"/>
                <w:sz w:val="24"/>
                <w:szCs w:val="24"/>
                <w:highlight w:val="none"/>
              </w:rPr>
              <w:t>号：</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报价：</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投标下浮率：</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投标</w:t>
            </w:r>
            <w:r>
              <w:rPr>
                <w:rFonts w:hint="eastAsia" w:ascii="宋体" w:hAnsi="宋体" w:eastAsia="宋体" w:cs="宋体"/>
                <w:b/>
                <w:color w:val="auto"/>
                <w:szCs w:val="24"/>
                <w:highlight w:val="none"/>
              </w:rPr>
              <w:t>报价/最高投标限价）*100%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 xml:space="preserve"> </w:t>
            </w:r>
            <w:r>
              <w:rPr>
                <w:rFonts w:hint="eastAsia" w:ascii="宋体" w:hAnsi="宋体" w:cs="宋体"/>
                <w:b w:val="0"/>
                <w:bCs w:val="0"/>
                <w:color w:val="auto"/>
                <w:sz w:val="21"/>
                <w:szCs w:val="21"/>
                <w:highlight w:val="none"/>
              </w:rPr>
              <w:t>按招标文件</w:t>
            </w:r>
            <w:r>
              <w:rPr>
                <w:rFonts w:hint="default" w:ascii="宋体" w:hAnsi="宋体" w:cs="宋体"/>
                <w:color w:val="auto"/>
                <w:sz w:val="21"/>
                <w:szCs w:val="21"/>
                <w:highlight w:val="none"/>
              </w:rPr>
              <w:t>的</w:t>
            </w:r>
            <w:r>
              <w:rPr>
                <w:rFonts w:hint="eastAsia" w:ascii="宋体" w:hAnsi="宋体" w:cs="宋体"/>
                <w:b w:val="0"/>
                <w:bCs w:val="0"/>
                <w:color w:val="auto"/>
                <w:sz w:val="21"/>
                <w:szCs w:val="21"/>
                <w:highlight w:val="none"/>
              </w:rPr>
              <w:t>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bl>
    <w:p>
      <w:pPr>
        <w:pStyle w:val="12"/>
        <w:kinsoku w:val="0"/>
        <w:overflowPunct w:val="0"/>
        <w:spacing w:before="11"/>
        <w:ind w:left="0" w:firstLine="440"/>
        <w:rPr>
          <w:rFonts w:hint="eastAsia" w:ascii="宋体" w:hAnsi="宋体" w:eastAsia="宋体" w:cs="宋体"/>
          <w:color w:val="auto"/>
          <w:sz w:val="22"/>
          <w:highlight w:val="none"/>
        </w:rPr>
      </w:pPr>
    </w:p>
    <w:p>
      <w:pPr>
        <w:pStyle w:val="12"/>
        <w:tabs>
          <w:tab w:val="left" w:pos="631"/>
          <w:tab w:val="left" w:pos="1471"/>
          <w:tab w:val="left" w:pos="2311"/>
        </w:tabs>
        <w:kinsoku w:val="0"/>
        <w:overflowPunct w:val="0"/>
        <w:spacing w:before="36"/>
        <w:ind w:left="0" w:right="177"/>
        <w:jc w:val="right"/>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p>
    <w:p>
      <w:pPr>
        <w:pStyle w:val="12"/>
        <w:tabs>
          <w:tab w:val="left" w:pos="631"/>
          <w:tab w:val="left" w:pos="1471"/>
          <w:tab w:val="left" w:pos="2311"/>
        </w:tabs>
        <w:kinsoku w:val="0"/>
        <w:overflowPunct w:val="0"/>
        <w:spacing w:before="36"/>
        <w:ind w:left="0" w:right="177"/>
        <w:jc w:val="right"/>
        <w:rPr>
          <w:rFonts w:hint="eastAsia" w:ascii="宋体" w:hAnsi="宋体" w:eastAsia="宋体" w:cs="宋体"/>
          <w:color w:val="auto"/>
          <w:highlight w:val="none"/>
        </w:rPr>
        <w:sectPr>
          <w:pgSz w:w="11905" w:h="16838"/>
          <w:pgMar w:top="1417" w:right="1417" w:bottom="1417" w:left="1417" w:header="992" w:footer="992" w:gutter="0"/>
          <w:cols w:space="720" w:num="1"/>
        </w:sectPr>
      </w:pPr>
    </w:p>
    <w:p>
      <w:pPr>
        <w:pStyle w:val="5"/>
        <w:spacing w:before="120" w:after="120"/>
        <w:jc w:val="center"/>
        <w:rPr>
          <w:rFonts w:hint="eastAsia" w:ascii="宋体" w:hAnsi="宋体" w:eastAsia="宋体" w:cs="宋体"/>
          <w:color w:val="auto"/>
          <w:sz w:val="28"/>
          <w:highlight w:val="none"/>
        </w:rPr>
      </w:pPr>
      <w:bookmarkStart w:id="195" w:name="bookmark179"/>
      <w:bookmarkEnd w:id="195"/>
      <w:bookmarkStart w:id="196" w:name="_Toc18723"/>
      <w:r>
        <w:rPr>
          <w:rFonts w:hint="eastAsia" w:ascii="宋体" w:hAnsi="宋体" w:eastAsia="宋体" w:cs="宋体"/>
          <w:color w:val="auto"/>
          <w:sz w:val="28"/>
          <w:highlight w:val="none"/>
        </w:rPr>
        <w:t>二、法定代表人身份证明</w:t>
      </w:r>
      <w:bookmarkEnd w:id="196"/>
    </w:p>
    <w:p>
      <w:pPr>
        <w:pStyle w:val="12"/>
        <w:kinsoku w:val="0"/>
        <w:overflowPunct w:val="0"/>
        <w:ind w:left="0"/>
        <w:rPr>
          <w:rFonts w:hint="eastAsia" w:ascii="宋体" w:hAnsi="宋体" w:eastAsia="宋体" w:cs="宋体"/>
          <w:b/>
          <w:color w:val="auto"/>
          <w:sz w:val="32"/>
          <w:highlight w:val="none"/>
        </w:rPr>
      </w:pPr>
    </w:p>
    <w:p>
      <w:pPr>
        <w:pStyle w:val="12"/>
        <w:kinsoku w:val="0"/>
        <w:overflowPunct w:val="0"/>
        <w:ind w:left="0"/>
        <w:rPr>
          <w:rFonts w:hint="eastAsia" w:ascii="宋体" w:hAnsi="宋体" w:eastAsia="宋体" w:cs="宋体"/>
          <w:b/>
          <w:color w:val="auto"/>
          <w:sz w:val="32"/>
          <w:highlight w:val="none"/>
        </w:rPr>
      </w:pPr>
    </w:p>
    <w:p>
      <w:pPr>
        <w:pStyle w:val="12"/>
        <w:kinsoku w:val="0"/>
        <w:overflowPunct w:val="0"/>
        <w:spacing w:before="8"/>
        <w:ind w:left="0"/>
        <w:rPr>
          <w:rFonts w:hint="eastAsia" w:ascii="宋体" w:hAnsi="宋体" w:eastAsia="宋体" w:cs="宋体"/>
          <w:b/>
          <w:color w:val="auto"/>
          <w:sz w:val="25"/>
          <w:highlight w:val="none"/>
        </w:rPr>
      </w:pPr>
    </w:p>
    <w:p>
      <w:pPr>
        <w:pStyle w:val="12"/>
        <w:tabs>
          <w:tab w:val="left" w:pos="3928"/>
        </w:tabs>
        <w:kinsoku w:val="0"/>
        <w:overflowPunct w:val="0"/>
        <w:ind w:left="1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pStyle w:val="12"/>
        <w:kinsoku w:val="0"/>
        <w:overflowPunct w:val="0"/>
        <w:spacing w:before="2"/>
        <w:ind w:left="0"/>
        <w:rPr>
          <w:rFonts w:hint="eastAsia" w:ascii="宋体" w:hAnsi="宋体" w:eastAsia="宋体" w:cs="宋体"/>
          <w:color w:val="auto"/>
          <w:sz w:val="24"/>
          <w:highlight w:val="none"/>
        </w:rPr>
      </w:pPr>
    </w:p>
    <w:p>
      <w:pPr>
        <w:pStyle w:val="12"/>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姓名：</w:t>
      </w:r>
      <w:r>
        <w:rPr>
          <w:rFonts w:hint="eastAsia" w:ascii="宋体" w:hAnsi="宋体" w:eastAsia="宋体" w:cs="宋体"/>
          <w:color w:val="auto"/>
          <w:spacing w:val="-1"/>
          <w:sz w:val="24"/>
          <w:highlight w:val="none"/>
          <w:u w:val="single"/>
        </w:rPr>
        <w:tab/>
      </w:r>
      <w:r>
        <w:rPr>
          <w:rFonts w:hint="eastAsia" w:ascii="宋体" w:hAnsi="宋体" w:eastAsia="宋体" w:cs="宋体"/>
          <w:color w:val="auto"/>
          <w:spacing w:val="-1"/>
          <w:sz w:val="24"/>
          <w:highlight w:val="none"/>
        </w:rPr>
        <w:t>性别：</w:t>
      </w:r>
      <w:r>
        <w:rPr>
          <w:rFonts w:hint="eastAsia" w:ascii="宋体" w:hAnsi="宋体" w:eastAsia="宋体" w:cs="宋体"/>
          <w:color w:val="auto"/>
          <w:spacing w:val="-1"/>
          <w:sz w:val="24"/>
          <w:highlight w:val="none"/>
          <w:u w:val="single"/>
        </w:rPr>
        <w:tab/>
      </w:r>
      <w:r>
        <w:rPr>
          <w:rFonts w:hint="eastAsia" w:ascii="宋体" w:hAnsi="宋体" w:eastAsia="宋体" w:cs="宋体"/>
          <w:color w:val="auto"/>
          <w:spacing w:val="-2"/>
          <w:sz w:val="24"/>
          <w:highlight w:val="none"/>
        </w:rPr>
        <w:t>年龄：</w:t>
      </w:r>
      <w:r>
        <w:rPr>
          <w:rFonts w:hint="eastAsia" w:ascii="宋体" w:hAnsi="宋体" w:eastAsia="宋体" w:cs="宋体"/>
          <w:color w:val="auto"/>
          <w:spacing w:val="-2"/>
          <w:sz w:val="24"/>
          <w:highlight w:val="none"/>
          <w:u w:val="single"/>
        </w:rPr>
        <w:tab/>
      </w:r>
      <w:r>
        <w:rPr>
          <w:rFonts w:hint="eastAsia" w:ascii="宋体" w:hAnsi="宋体" w:eastAsia="宋体" w:cs="宋体"/>
          <w:color w:val="auto"/>
          <w:spacing w:val="-2"/>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pStyle w:val="12"/>
        <w:kinsoku w:val="0"/>
        <w:overflowPunct w:val="0"/>
        <w:spacing w:before="5"/>
        <w:ind w:left="0"/>
        <w:rPr>
          <w:rFonts w:hint="eastAsia" w:ascii="宋体" w:hAnsi="宋体" w:eastAsia="宋体" w:cs="宋体"/>
          <w:color w:val="auto"/>
          <w:sz w:val="24"/>
          <w:highlight w:val="none"/>
        </w:rPr>
      </w:pPr>
    </w:p>
    <w:p>
      <w:pPr>
        <w:pStyle w:val="12"/>
        <w:tabs>
          <w:tab w:val="left" w:pos="2832"/>
        </w:tabs>
        <w:kinsoku w:val="0"/>
        <w:overflowPunct w:val="0"/>
        <w:spacing w:before="36"/>
        <w:ind w:left="100"/>
        <w:rPr>
          <w:rFonts w:hint="eastAsia" w:ascii="宋体" w:hAnsi="宋体" w:eastAsia="宋体" w:cs="宋体"/>
          <w:color w:val="auto"/>
          <w:spacing w:val="-2"/>
          <w:sz w:val="24"/>
          <w:highlight w:val="none"/>
        </w:rPr>
      </w:pPr>
      <w:r>
        <w:rPr>
          <w:rFonts w:hint="eastAsia" w:ascii="宋体" w:hAnsi="宋体" w:eastAsia="宋体" w:cs="宋体"/>
          <w:color w:val="auto"/>
          <w:spacing w:val="-1"/>
          <w:sz w:val="24"/>
          <w:highlight w:val="none"/>
        </w:rPr>
        <w:t>系</w:t>
      </w:r>
      <w:r>
        <w:rPr>
          <w:rFonts w:hint="eastAsia" w:ascii="宋体" w:hAnsi="宋体" w:eastAsia="宋体" w:cs="宋体"/>
          <w:color w:val="auto"/>
          <w:spacing w:val="-1"/>
          <w:sz w:val="24"/>
          <w:highlight w:val="none"/>
          <w:u w:val="single"/>
        </w:rPr>
        <w:tab/>
      </w:r>
      <w:r>
        <w:rPr>
          <w:rFonts w:hint="eastAsia" w:ascii="宋体" w:hAnsi="宋体" w:eastAsia="宋体" w:cs="宋体"/>
          <w:color w:val="auto"/>
          <w:spacing w:val="-2"/>
          <w:sz w:val="24"/>
          <w:highlight w:val="none"/>
        </w:rPr>
        <w:t>（投标人名称）的法定代表人。</w:t>
      </w:r>
    </w:p>
    <w:p>
      <w:pPr>
        <w:pStyle w:val="12"/>
        <w:kinsoku w:val="0"/>
        <w:overflowPunct w:val="0"/>
        <w:spacing w:before="10"/>
        <w:ind w:left="0"/>
        <w:rPr>
          <w:rFonts w:hint="eastAsia" w:ascii="宋体" w:hAnsi="宋体" w:eastAsia="宋体" w:cs="宋体"/>
          <w:color w:val="auto"/>
          <w:sz w:val="24"/>
          <w:highlight w:val="none"/>
        </w:rPr>
      </w:pPr>
    </w:p>
    <w:p>
      <w:pPr>
        <w:pStyle w:val="12"/>
        <w:kinsoku w:val="0"/>
        <w:overflowPunct w:val="0"/>
        <w:spacing w:before="36"/>
        <w:ind w:left="100" w:firstLine="41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pStyle w:val="12"/>
        <w:kinsoku w:val="0"/>
        <w:overflowPunct w:val="0"/>
        <w:ind w:left="0"/>
        <w:rPr>
          <w:rFonts w:hint="eastAsia" w:ascii="宋体" w:hAnsi="宋体" w:eastAsia="宋体" w:cs="宋体"/>
          <w:color w:val="auto"/>
          <w:sz w:val="24"/>
          <w:highlight w:val="none"/>
        </w:rPr>
      </w:pPr>
    </w:p>
    <w:p>
      <w:pPr>
        <w:pStyle w:val="12"/>
        <w:kinsoku w:val="0"/>
        <w:overflowPunct w:val="0"/>
        <w:spacing w:before="4"/>
        <w:ind w:left="0"/>
        <w:rPr>
          <w:rFonts w:hint="eastAsia" w:ascii="宋体" w:hAnsi="宋体" w:eastAsia="宋体" w:cs="宋体"/>
          <w:color w:val="auto"/>
          <w:sz w:val="24"/>
          <w:highlight w:val="none"/>
        </w:rPr>
      </w:pPr>
    </w:p>
    <w:p>
      <w:pPr>
        <w:pStyle w:val="12"/>
        <w:kinsoku w:val="0"/>
        <w:overflowPunct w:val="0"/>
        <w:ind w:left="1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附：法定代表人身份证正反面扫描件。</w:t>
      </w:r>
    </w:p>
    <w:p>
      <w:pPr>
        <w:pStyle w:val="12"/>
        <w:kinsoku w:val="0"/>
        <w:overflowPunct w:val="0"/>
        <w:ind w:left="0"/>
        <w:rPr>
          <w:rFonts w:hint="eastAsia" w:ascii="宋体" w:hAnsi="宋体" w:eastAsia="宋体" w:cs="宋体"/>
          <w:color w:val="auto"/>
          <w:sz w:val="24"/>
          <w:highlight w:val="none"/>
        </w:rPr>
      </w:pPr>
    </w:p>
    <w:p>
      <w:pPr>
        <w:pStyle w:val="12"/>
        <w:kinsoku w:val="0"/>
        <w:overflowPunct w:val="0"/>
        <w:spacing w:before="2"/>
        <w:ind w:left="0"/>
        <w:rPr>
          <w:rFonts w:hint="eastAsia" w:ascii="宋体" w:hAnsi="宋体" w:eastAsia="宋体" w:cs="宋体"/>
          <w:color w:val="auto"/>
          <w:sz w:val="24"/>
          <w:highlight w:val="none"/>
        </w:rPr>
      </w:pPr>
    </w:p>
    <w:p>
      <w:pPr>
        <w:pStyle w:val="12"/>
        <w:kinsoku w:val="0"/>
        <w:overflowPunct w:val="0"/>
        <w:ind w:left="0"/>
        <w:rPr>
          <w:rFonts w:hint="eastAsia" w:ascii="宋体" w:hAnsi="宋体" w:eastAsia="宋体" w:cs="宋体"/>
          <w:color w:val="auto"/>
          <w:sz w:val="24"/>
          <w:highlight w:val="none"/>
        </w:rPr>
      </w:pPr>
    </w:p>
    <w:p>
      <w:pPr>
        <w:pStyle w:val="12"/>
        <w:kinsoku w:val="0"/>
        <w:overflowPunct w:val="0"/>
        <w:ind w:left="0"/>
        <w:rPr>
          <w:rFonts w:hint="eastAsia" w:ascii="宋体" w:hAnsi="宋体" w:eastAsia="宋体" w:cs="宋体"/>
          <w:color w:val="auto"/>
          <w:sz w:val="24"/>
          <w:highlight w:val="none"/>
        </w:rPr>
      </w:pPr>
    </w:p>
    <w:p>
      <w:pPr>
        <w:pStyle w:val="12"/>
        <w:kinsoku w:val="0"/>
        <w:overflowPunct w:val="0"/>
        <w:ind w:left="0"/>
        <w:rPr>
          <w:rFonts w:hint="eastAsia" w:ascii="宋体" w:hAnsi="宋体" w:eastAsia="宋体" w:cs="宋体"/>
          <w:color w:val="auto"/>
          <w:sz w:val="24"/>
          <w:highlight w:val="none"/>
        </w:rPr>
      </w:pPr>
    </w:p>
    <w:p>
      <w:pPr>
        <w:pStyle w:val="12"/>
        <w:kinsoku w:val="0"/>
        <w:overflowPunct w:val="0"/>
        <w:spacing w:before="2"/>
        <w:ind w:left="0"/>
        <w:rPr>
          <w:rFonts w:hint="eastAsia" w:ascii="宋体" w:hAnsi="宋体" w:eastAsia="宋体" w:cs="宋体"/>
          <w:color w:val="auto"/>
          <w:sz w:val="24"/>
          <w:highlight w:val="none"/>
        </w:rPr>
      </w:pPr>
    </w:p>
    <w:p>
      <w:pPr>
        <w:pStyle w:val="12"/>
        <w:tabs>
          <w:tab w:val="left" w:pos="6521"/>
        </w:tabs>
        <w:kinsoku w:val="0"/>
        <w:overflowPunct w:val="0"/>
        <w:spacing w:before="36"/>
        <w:ind w:left="4212"/>
        <w:rPr>
          <w:rFonts w:hint="eastAsia" w:ascii="宋体" w:hAnsi="宋体" w:eastAsia="宋体" w:cs="宋体"/>
          <w:color w:val="auto"/>
          <w:spacing w:val="-1"/>
          <w:sz w:val="24"/>
          <w:highlight w:val="none"/>
        </w:rPr>
      </w:pPr>
      <w:r>
        <w:rPr>
          <w:rFonts w:hint="eastAsia" w:ascii="宋体" w:hAnsi="宋体" w:eastAsia="宋体" w:cs="宋体"/>
          <w:color w:val="auto"/>
          <w:spacing w:val="-2"/>
          <w:sz w:val="24"/>
          <w:highlight w:val="none"/>
        </w:rPr>
        <w:t>投标人：</w:t>
      </w:r>
      <w:r>
        <w:rPr>
          <w:rFonts w:hint="eastAsia" w:ascii="宋体" w:hAnsi="宋体" w:eastAsia="宋体" w:cs="宋体"/>
          <w:color w:val="auto"/>
          <w:spacing w:val="-2"/>
          <w:sz w:val="24"/>
          <w:highlight w:val="none"/>
          <w:u w:val="single"/>
        </w:rPr>
        <w:tab/>
      </w:r>
      <w:r>
        <w:rPr>
          <w:rFonts w:hint="eastAsia" w:ascii="宋体" w:hAnsi="宋体" w:eastAsia="宋体" w:cs="宋体"/>
          <w:color w:val="auto"/>
          <w:spacing w:val="-1"/>
          <w:sz w:val="24"/>
          <w:highlight w:val="none"/>
        </w:rPr>
        <w:t>（盖单位章）</w:t>
      </w:r>
    </w:p>
    <w:p>
      <w:pPr>
        <w:pStyle w:val="12"/>
        <w:kinsoku w:val="0"/>
        <w:overflowPunct w:val="0"/>
        <w:ind w:left="0"/>
        <w:rPr>
          <w:rFonts w:hint="eastAsia" w:ascii="宋体" w:hAnsi="宋体" w:eastAsia="宋体" w:cs="宋体"/>
          <w:color w:val="auto"/>
          <w:sz w:val="24"/>
          <w:highlight w:val="none"/>
        </w:rPr>
      </w:pPr>
    </w:p>
    <w:p>
      <w:pPr>
        <w:pStyle w:val="12"/>
        <w:kinsoku w:val="0"/>
        <w:overflowPunct w:val="0"/>
        <w:spacing w:before="7"/>
        <w:ind w:left="0"/>
        <w:rPr>
          <w:rFonts w:hint="eastAsia" w:ascii="宋体" w:hAnsi="宋体" w:eastAsia="宋体" w:cs="宋体"/>
          <w:color w:val="auto"/>
          <w:sz w:val="24"/>
          <w:highlight w:val="none"/>
        </w:rPr>
      </w:pPr>
    </w:p>
    <w:p>
      <w:pPr>
        <w:pStyle w:val="12"/>
        <w:tabs>
          <w:tab w:val="left" w:pos="5352"/>
          <w:tab w:val="left" w:pos="6192"/>
          <w:tab w:val="left" w:pos="7032"/>
        </w:tabs>
        <w:kinsoku w:val="0"/>
        <w:overflowPunct w:val="0"/>
        <w:spacing w:before="36"/>
        <w:ind w:left="4721"/>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日</w:t>
      </w:r>
    </w:p>
    <w:p>
      <w:pPr>
        <w:pStyle w:val="12"/>
        <w:tabs>
          <w:tab w:val="left" w:pos="5352"/>
          <w:tab w:val="left" w:pos="6192"/>
          <w:tab w:val="left" w:pos="7032"/>
        </w:tabs>
        <w:kinsoku w:val="0"/>
        <w:overflowPunct w:val="0"/>
        <w:spacing w:before="36"/>
        <w:ind w:left="4721"/>
        <w:rPr>
          <w:rFonts w:hint="eastAsia" w:ascii="宋体" w:hAnsi="宋体" w:eastAsia="宋体" w:cs="宋体"/>
          <w:color w:val="auto"/>
          <w:sz w:val="24"/>
          <w:highlight w:val="none"/>
        </w:rPr>
        <w:sectPr>
          <w:pgSz w:w="11905" w:h="16838"/>
          <w:pgMar w:top="1417" w:right="1417" w:bottom="1417" w:left="1417" w:header="992" w:footer="992" w:gutter="0"/>
          <w:cols w:space="720" w:num="1"/>
        </w:sectPr>
      </w:pPr>
    </w:p>
    <w:p>
      <w:pPr>
        <w:pStyle w:val="5"/>
        <w:spacing w:before="120" w:after="120"/>
        <w:jc w:val="center"/>
        <w:rPr>
          <w:rFonts w:hint="eastAsia" w:ascii="宋体" w:hAnsi="宋体" w:eastAsia="宋体" w:cs="宋体"/>
          <w:color w:val="auto"/>
          <w:sz w:val="28"/>
          <w:highlight w:val="none"/>
        </w:rPr>
      </w:pPr>
      <w:bookmarkStart w:id="197" w:name="bookmark180"/>
      <w:bookmarkEnd w:id="197"/>
      <w:bookmarkStart w:id="198" w:name="_Toc13873"/>
      <w:r>
        <w:rPr>
          <w:rFonts w:hint="eastAsia" w:ascii="宋体" w:hAnsi="宋体" w:eastAsia="宋体" w:cs="宋体"/>
          <w:color w:val="auto"/>
          <w:sz w:val="28"/>
          <w:highlight w:val="none"/>
        </w:rPr>
        <w:t>二、授权委托书</w:t>
      </w:r>
      <w:bookmarkEnd w:id="198"/>
    </w:p>
    <w:p>
      <w:pPr>
        <w:pStyle w:val="12"/>
        <w:kinsoku w:val="0"/>
        <w:overflowPunct w:val="0"/>
        <w:ind w:left="0"/>
        <w:rPr>
          <w:rFonts w:hint="eastAsia" w:ascii="宋体" w:hAnsi="宋体" w:eastAsia="宋体" w:cs="宋体"/>
          <w:b/>
          <w:color w:val="auto"/>
          <w:sz w:val="32"/>
          <w:highlight w:val="none"/>
        </w:rPr>
      </w:pPr>
    </w:p>
    <w:p>
      <w:pPr>
        <w:pStyle w:val="12"/>
        <w:kinsoku w:val="0"/>
        <w:overflowPunct w:val="0"/>
        <w:spacing w:before="4"/>
        <w:ind w:left="0"/>
        <w:rPr>
          <w:rFonts w:hint="eastAsia" w:ascii="宋体" w:hAnsi="宋体" w:eastAsia="宋体" w:cs="宋体"/>
          <w:b/>
          <w:color w:val="auto"/>
          <w:sz w:val="32"/>
          <w:highlight w:val="none"/>
        </w:rPr>
      </w:pPr>
    </w:p>
    <w:p>
      <w:pPr>
        <w:pStyle w:val="12"/>
        <w:tabs>
          <w:tab w:val="left" w:pos="3928"/>
        </w:tabs>
        <w:kinsoku w:val="0"/>
        <w:overflowPunct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（姓名）系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（姓名）为我方代理人。代理人根据授权，以我方名义签署、澄清确认、递交、撤回、修改招标项目投标文件、签订合同和处理有关事宜，其法律后果由我方承担。 </w:t>
      </w:r>
    </w:p>
    <w:p>
      <w:pPr>
        <w:pStyle w:val="12"/>
        <w:tabs>
          <w:tab w:val="left" w:pos="3928"/>
        </w:tabs>
        <w:kinsoku w:val="0"/>
        <w:overflowPunct w:val="0"/>
        <w:spacing w:line="360" w:lineRule="auto"/>
        <w:ind w:left="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w:t>
      </w:r>
    </w:p>
    <w:p>
      <w:pPr>
        <w:pStyle w:val="12"/>
        <w:tabs>
          <w:tab w:val="left" w:pos="3928"/>
        </w:tabs>
        <w:kinsoku w:val="0"/>
        <w:overflowPunct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代理人无转委托权。代理人为投标人正式职工，</w:t>
      </w:r>
      <w:r>
        <w:rPr>
          <w:rFonts w:hint="eastAsia" w:ascii="宋体" w:hAnsi="宋体" w:eastAsia="宋体" w:cs="宋体"/>
          <w:b/>
          <w:bCs/>
          <w:color w:val="auto"/>
          <w:sz w:val="24"/>
          <w:highlight w:val="none"/>
        </w:rPr>
        <w:t>必须具有离投标截止时间最近的至少1个月</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2025年</w:t>
      </w:r>
      <w:r>
        <w:rPr>
          <w:rFonts w:hint="eastAsia"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月</w:t>
      </w:r>
      <w:r>
        <w:rPr>
          <w:rFonts w:hint="eastAsia" w:cs="宋体"/>
          <w:b/>
          <w:bCs/>
          <w:color w:val="auto"/>
          <w:sz w:val="24"/>
          <w:highlight w:val="none"/>
          <w:lang w:val="en-US" w:eastAsia="zh-CN"/>
        </w:rPr>
        <w:t>或7月</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在本单位缴纳的社保证明文件</w:t>
      </w:r>
      <w:r>
        <w:rPr>
          <w:rFonts w:hint="eastAsia" w:ascii="宋体" w:hAnsi="宋体" w:eastAsia="宋体" w:cs="宋体"/>
          <w:color w:val="auto"/>
          <w:sz w:val="24"/>
          <w:highlight w:val="none"/>
        </w:rPr>
        <w:t>。</w:t>
      </w:r>
    </w:p>
    <w:p>
      <w:pPr>
        <w:pStyle w:val="12"/>
        <w:tabs>
          <w:tab w:val="left" w:pos="3928"/>
        </w:tabs>
        <w:kinsoku w:val="0"/>
        <w:overflowPunct w:val="0"/>
        <w:spacing w:line="360" w:lineRule="auto"/>
        <w:ind w:left="100"/>
        <w:rPr>
          <w:rFonts w:hint="eastAsia" w:ascii="宋体" w:hAnsi="宋体" w:eastAsia="宋体" w:cs="宋体"/>
          <w:color w:val="auto"/>
          <w:sz w:val="24"/>
          <w:highlight w:val="none"/>
        </w:rPr>
      </w:pPr>
    </w:p>
    <w:p>
      <w:pPr>
        <w:pStyle w:val="12"/>
        <w:kinsoku w:val="0"/>
        <w:overflowPunct w:val="0"/>
        <w:spacing w:before="4"/>
        <w:ind w:left="0"/>
        <w:rPr>
          <w:rFonts w:hint="eastAsia" w:ascii="宋体" w:hAnsi="宋体" w:eastAsia="宋体" w:cs="宋体"/>
          <w:color w:val="auto"/>
          <w:sz w:val="24"/>
          <w:highlight w:val="none"/>
        </w:rPr>
      </w:pPr>
    </w:p>
    <w:p>
      <w:pPr>
        <w:pStyle w:val="12"/>
        <w:kinsoku w:val="0"/>
        <w:overflowPunct w:val="0"/>
        <w:ind w:left="100" w:right="113"/>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b/>
          <w:bCs/>
          <w:color w:val="auto"/>
          <w:sz w:val="24"/>
          <w:highlight w:val="none"/>
        </w:rPr>
        <w:t>委托代理人身份证正反面和社保证明扫描件</w:t>
      </w:r>
      <w:r>
        <w:rPr>
          <w:rFonts w:hint="eastAsia" w:ascii="宋体" w:hAnsi="宋体" w:eastAsia="宋体" w:cs="宋体"/>
          <w:color w:val="auto"/>
          <w:sz w:val="24"/>
          <w:highlight w:val="none"/>
        </w:rPr>
        <w:t>。</w:t>
      </w:r>
    </w:p>
    <w:p>
      <w:pPr>
        <w:pStyle w:val="12"/>
        <w:kinsoku w:val="0"/>
        <w:overflowPunct w:val="0"/>
        <w:ind w:left="0"/>
        <w:rPr>
          <w:rFonts w:hint="eastAsia" w:ascii="宋体" w:hAnsi="宋体" w:eastAsia="宋体" w:cs="宋体"/>
          <w:color w:val="auto"/>
          <w:sz w:val="24"/>
          <w:highlight w:val="none"/>
        </w:rPr>
      </w:pPr>
    </w:p>
    <w:p>
      <w:pPr>
        <w:pStyle w:val="12"/>
        <w:tabs>
          <w:tab w:val="left" w:pos="6401"/>
        </w:tabs>
        <w:kinsoku w:val="0"/>
        <w:overflowPunct w:val="0"/>
        <w:spacing w:before="36"/>
        <w:ind w:left="0" w:leftChars="0" w:right="113" w:firstLine="0" w:firstLineChars="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注：本授权委托书需由投标人加盖单位公章并由其法定代表人和委托代理人签字。</w:t>
      </w:r>
    </w:p>
    <w:p>
      <w:pPr>
        <w:pStyle w:val="12"/>
        <w:kinsoku w:val="0"/>
        <w:overflowPunct w:val="0"/>
        <w:ind w:left="0"/>
        <w:rPr>
          <w:rFonts w:hint="eastAsia" w:ascii="宋体" w:hAnsi="宋体" w:eastAsia="宋体" w:cs="宋体"/>
          <w:color w:val="auto"/>
          <w:sz w:val="24"/>
          <w:highlight w:val="none"/>
        </w:rPr>
      </w:pPr>
    </w:p>
    <w:p>
      <w:pPr>
        <w:pStyle w:val="12"/>
        <w:kinsoku w:val="0"/>
        <w:overflowPunct w:val="0"/>
        <w:spacing w:before="4"/>
        <w:ind w:left="0"/>
        <w:rPr>
          <w:rFonts w:hint="eastAsia" w:ascii="宋体" w:hAnsi="宋体" w:eastAsia="宋体" w:cs="宋体"/>
          <w:color w:val="auto"/>
          <w:sz w:val="24"/>
          <w:highlight w:val="none"/>
        </w:rPr>
      </w:pPr>
    </w:p>
    <w:p>
      <w:pPr>
        <w:pStyle w:val="12"/>
        <w:tabs>
          <w:tab w:val="left" w:pos="3216"/>
          <w:tab w:val="left" w:pos="3636"/>
          <w:tab w:val="left" w:pos="7241"/>
        </w:tabs>
        <w:kinsoku w:val="0"/>
        <w:overflowPunct w:val="0"/>
        <w:ind w:left="2793" w:right="113"/>
        <w:rPr>
          <w:rFonts w:hint="eastAsia" w:ascii="宋体" w:hAnsi="宋体" w:eastAsia="宋体" w:cs="宋体"/>
          <w:color w:val="auto"/>
          <w:sz w:val="24"/>
          <w:highlight w:val="none"/>
        </w:rPr>
      </w:pPr>
      <w:r>
        <w:rPr>
          <w:rFonts w:hint="eastAsia" w:ascii="宋体" w:hAnsi="宋体" w:eastAsia="宋体" w:cs="宋体"/>
          <w:color w:val="auto"/>
          <w:sz w:val="24"/>
          <w:highlight w:val="none"/>
        </w:rPr>
        <w:t>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标</w:t>
      </w:r>
      <w:r>
        <w:rPr>
          <w:rFonts w:hint="eastAsia" w:ascii="宋体" w:hAnsi="宋体" w:eastAsia="宋体" w:cs="宋体"/>
          <w:color w:val="auto"/>
          <w:sz w:val="24"/>
          <w:highlight w:val="none"/>
        </w:rPr>
        <w:tab/>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z w:val="24"/>
          <w:highlight w:val="none"/>
        </w:rPr>
        <w:t>（盖单位章）</w:t>
      </w:r>
    </w:p>
    <w:p>
      <w:pPr>
        <w:pStyle w:val="12"/>
        <w:kinsoku w:val="0"/>
        <w:overflowPunct w:val="0"/>
        <w:ind w:left="0"/>
        <w:rPr>
          <w:rFonts w:hint="eastAsia" w:ascii="宋体" w:hAnsi="宋体" w:eastAsia="宋体" w:cs="宋体"/>
          <w:color w:val="auto"/>
          <w:sz w:val="24"/>
          <w:highlight w:val="none"/>
        </w:rPr>
      </w:pPr>
    </w:p>
    <w:p>
      <w:pPr>
        <w:pStyle w:val="12"/>
        <w:tabs>
          <w:tab w:val="left" w:pos="6401"/>
        </w:tabs>
        <w:kinsoku w:val="0"/>
        <w:overflowPunct w:val="0"/>
        <w:spacing w:before="36"/>
        <w:ind w:left="2791" w:right="113"/>
        <w:rPr>
          <w:rFonts w:hint="eastAsia" w:ascii="宋体" w:hAnsi="宋体" w:eastAsia="宋体" w:cs="宋体"/>
          <w:color w:val="auto"/>
          <w:spacing w:val="-1"/>
          <w:sz w:val="24"/>
          <w:highlight w:val="none"/>
        </w:rPr>
      </w:pPr>
      <w:r>
        <w:rPr>
          <w:rFonts w:hint="eastAsia" w:ascii="宋体" w:hAnsi="宋体" w:eastAsia="宋体" w:cs="宋体"/>
          <w:color w:val="auto"/>
          <w:spacing w:val="-2"/>
          <w:sz w:val="24"/>
          <w:highlight w:val="none"/>
        </w:rPr>
        <w:t>法定代表人：</w:t>
      </w:r>
      <w:r>
        <w:rPr>
          <w:rFonts w:hint="eastAsia" w:ascii="宋体" w:hAnsi="宋体" w:eastAsia="宋体" w:cs="宋体"/>
          <w:color w:val="auto"/>
          <w:spacing w:val="-2"/>
          <w:sz w:val="24"/>
          <w:highlight w:val="none"/>
          <w:u w:val="single"/>
        </w:rPr>
        <w:tab/>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rPr>
        <w:t>（签字</w:t>
      </w:r>
      <w:r>
        <w:rPr>
          <w:rFonts w:hint="eastAsia" w:cs="宋体"/>
          <w:color w:val="auto"/>
          <w:spacing w:val="-1"/>
          <w:sz w:val="24"/>
          <w:highlight w:val="none"/>
          <w:lang w:val="en-US" w:eastAsia="zh-CN"/>
        </w:rPr>
        <w:t>或盖章</w:t>
      </w:r>
      <w:r>
        <w:rPr>
          <w:rFonts w:hint="eastAsia" w:ascii="宋体" w:hAnsi="宋体" w:eastAsia="宋体" w:cs="宋体"/>
          <w:color w:val="auto"/>
          <w:spacing w:val="-1"/>
          <w:sz w:val="24"/>
          <w:highlight w:val="none"/>
        </w:rPr>
        <w:t>）</w:t>
      </w:r>
    </w:p>
    <w:p>
      <w:pPr>
        <w:pStyle w:val="12"/>
        <w:kinsoku w:val="0"/>
        <w:overflowPunct w:val="0"/>
        <w:ind w:left="0"/>
        <w:rPr>
          <w:rFonts w:hint="eastAsia" w:ascii="宋体" w:hAnsi="宋体" w:eastAsia="宋体" w:cs="宋体"/>
          <w:color w:val="auto"/>
          <w:sz w:val="24"/>
          <w:highlight w:val="none"/>
        </w:rPr>
      </w:pPr>
    </w:p>
    <w:p>
      <w:pPr>
        <w:pStyle w:val="12"/>
        <w:tabs>
          <w:tab w:val="left" w:pos="8549"/>
        </w:tabs>
        <w:kinsoku w:val="0"/>
        <w:overflowPunct w:val="0"/>
        <w:spacing w:before="36"/>
        <w:ind w:left="2793" w:right="113"/>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2"/>
        <w:kinsoku w:val="0"/>
        <w:overflowPunct w:val="0"/>
        <w:ind w:left="0"/>
        <w:rPr>
          <w:rFonts w:hint="eastAsia" w:ascii="宋体" w:hAnsi="宋体" w:eastAsia="宋体" w:cs="宋体"/>
          <w:color w:val="auto"/>
          <w:sz w:val="24"/>
          <w:highlight w:val="none"/>
        </w:rPr>
      </w:pPr>
    </w:p>
    <w:p>
      <w:pPr>
        <w:pStyle w:val="12"/>
        <w:tabs>
          <w:tab w:val="left" w:pos="7661"/>
        </w:tabs>
        <w:kinsoku w:val="0"/>
        <w:overflowPunct w:val="0"/>
        <w:spacing w:before="36"/>
        <w:ind w:left="2793" w:right="113"/>
        <w:rPr>
          <w:rFonts w:hint="eastAsia" w:ascii="宋体" w:hAnsi="宋体" w:eastAsia="宋体" w:cs="宋体"/>
          <w:color w:val="auto"/>
          <w:spacing w:val="-1"/>
          <w:sz w:val="24"/>
          <w:highlight w:val="none"/>
        </w:rPr>
      </w:pPr>
      <w:r>
        <w:rPr>
          <w:rFonts w:hint="eastAsia" w:ascii="宋体" w:hAnsi="宋体" w:eastAsia="宋体" w:cs="宋体"/>
          <w:color w:val="auto"/>
          <w:spacing w:val="-2"/>
          <w:sz w:val="24"/>
          <w:highlight w:val="none"/>
        </w:rPr>
        <w:t>委托代理人：</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rPr>
        <w:t>（签字</w:t>
      </w:r>
      <w:r>
        <w:rPr>
          <w:rFonts w:hint="eastAsia" w:cs="宋体"/>
          <w:color w:val="auto"/>
          <w:spacing w:val="-1"/>
          <w:sz w:val="24"/>
          <w:highlight w:val="none"/>
          <w:lang w:val="en-US" w:eastAsia="zh-CN"/>
        </w:rPr>
        <w:t>或盖章</w:t>
      </w:r>
      <w:r>
        <w:rPr>
          <w:rFonts w:hint="eastAsia" w:ascii="宋体" w:hAnsi="宋体" w:eastAsia="宋体" w:cs="宋体"/>
          <w:color w:val="auto"/>
          <w:spacing w:val="-1"/>
          <w:sz w:val="24"/>
          <w:highlight w:val="none"/>
        </w:rPr>
        <w:t>）</w:t>
      </w:r>
    </w:p>
    <w:p>
      <w:pPr>
        <w:pStyle w:val="12"/>
        <w:kinsoku w:val="0"/>
        <w:overflowPunct w:val="0"/>
        <w:ind w:left="0"/>
        <w:rPr>
          <w:rFonts w:hint="eastAsia" w:ascii="宋体" w:hAnsi="宋体" w:eastAsia="宋体" w:cs="宋体"/>
          <w:color w:val="auto"/>
          <w:sz w:val="24"/>
          <w:highlight w:val="none"/>
        </w:rPr>
      </w:pPr>
    </w:p>
    <w:p>
      <w:pPr>
        <w:pStyle w:val="12"/>
        <w:tabs>
          <w:tab w:val="left" w:pos="8549"/>
        </w:tabs>
        <w:kinsoku w:val="0"/>
        <w:overflowPunct w:val="0"/>
        <w:spacing w:before="36"/>
        <w:ind w:left="2793" w:right="113"/>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2"/>
        <w:kinsoku w:val="0"/>
        <w:overflowPunct w:val="0"/>
        <w:spacing w:before="9"/>
        <w:ind w:left="0"/>
        <w:rPr>
          <w:rFonts w:hint="eastAsia" w:ascii="宋体" w:hAnsi="宋体" w:eastAsia="宋体" w:cs="宋体"/>
          <w:color w:val="auto"/>
          <w:sz w:val="24"/>
          <w:highlight w:val="none"/>
        </w:rPr>
      </w:pPr>
    </w:p>
    <w:p>
      <w:pPr>
        <w:pStyle w:val="12"/>
        <w:tabs>
          <w:tab w:val="left" w:pos="736"/>
          <w:tab w:val="left" w:pos="1682"/>
          <w:tab w:val="left" w:pos="2626"/>
        </w:tabs>
        <w:kinsoku w:val="0"/>
        <w:overflowPunct w:val="0"/>
        <w:spacing w:before="36"/>
        <w:ind w:left="0" w:right="113"/>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highlight w:val="none"/>
        </w:rPr>
        <w:sectPr>
          <w:pgSz w:w="11905" w:h="16838"/>
          <w:pgMar w:top="1417" w:right="1417" w:bottom="1417" w:left="1417" w:header="992" w:footer="992" w:gutter="0"/>
          <w:cols w:space="720" w:num="1"/>
        </w:sectPr>
      </w:pPr>
    </w:p>
    <w:p>
      <w:pPr>
        <w:pStyle w:val="5"/>
        <w:spacing w:before="120" w:after="120"/>
        <w:jc w:val="center"/>
        <w:rPr>
          <w:color w:val="auto"/>
          <w:sz w:val="28"/>
          <w:highlight w:val="none"/>
        </w:rPr>
      </w:pPr>
      <w:bookmarkStart w:id="199" w:name="bookmark181"/>
      <w:bookmarkEnd w:id="199"/>
      <w:bookmarkStart w:id="200" w:name="_Toc10111"/>
      <w:r>
        <w:rPr>
          <w:rFonts w:hint="eastAsia"/>
          <w:color w:val="auto"/>
          <w:sz w:val="28"/>
          <w:highlight w:val="none"/>
        </w:rPr>
        <w:t>三</w:t>
      </w:r>
      <w:r>
        <w:rPr>
          <w:color w:val="auto"/>
          <w:sz w:val="28"/>
          <w:highlight w:val="none"/>
        </w:rPr>
        <w:t>、</w:t>
      </w:r>
      <w:r>
        <w:rPr>
          <w:rFonts w:hint="eastAsia"/>
          <w:color w:val="auto"/>
          <w:sz w:val="28"/>
          <w:highlight w:val="none"/>
        </w:rPr>
        <w:t>投标报价书</w:t>
      </w:r>
    </w:p>
    <w:tbl>
      <w:tblPr>
        <w:tblStyle w:val="25"/>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9"/>
        <w:gridCol w:w="2183"/>
        <w:gridCol w:w="1728"/>
        <w:gridCol w:w="1513"/>
        <w:gridCol w:w="211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atLeast"/>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项目费用名称</w:t>
            </w:r>
          </w:p>
        </w:tc>
        <w:tc>
          <w:tcPr>
            <w:tcW w:w="9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最高投标限价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83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投标下浮率</w:t>
            </w: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投标报价（元）</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（下浮后费用）</w:t>
            </w: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u w:val="none"/>
              </w:rPr>
              <w:t>知识城塘面村河整治工程等11个水利项目用地报批征地前期工作咨询服务</w:t>
            </w:r>
          </w:p>
        </w:tc>
        <w:tc>
          <w:tcPr>
            <w:tcW w:w="948"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val="0"/>
                <w:color w:val="auto"/>
                <w:sz w:val="20"/>
                <w:szCs w:val="20"/>
                <w:highlight w:val="none"/>
                <w:lang w:val="en-US" w:eastAsia="zh-CN"/>
              </w:rPr>
            </w:pPr>
            <w:r>
              <w:rPr>
                <w:rFonts w:hint="eastAsia" w:ascii="Times New Roman" w:hAnsi="Times New Roman" w:eastAsia="黑体" w:cs="Times New Roman"/>
                <w:color w:val="auto"/>
                <w:kern w:val="0"/>
                <w:sz w:val="21"/>
                <w:szCs w:val="21"/>
                <w:highlight w:val="none"/>
                <w:lang w:val="en-US" w:eastAsia="zh-CN"/>
              </w:rPr>
              <w:t>1355.4410</w:t>
            </w:r>
          </w:p>
        </w:tc>
        <w:tc>
          <w:tcPr>
            <w:tcW w:w="830" w:type="pct"/>
            <w:vMerge w:val="restart"/>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highlight w:val="none"/>
              </w:rPr>
              <w:t>知识城塘面村河整治工程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color w:val="auto"/>
                <w:sz w:val="20"/>
                <w:szCs w:val="20"/>
                <w:highlight w:val="none"/>
                <w:lang w:eastAsia="zh-CN"/>
              </w:rPr>
            </w:pPr>
            <w:r>
              <w:rPr>
                <w:rFonts w:hint="eastAsia" w:ascii="Times New Roman" w:hAnsi="Times New Roman" w:eastAsia="黑体" w:cs="Times New Roman"/>
                <w:color w:val="auto"/>
                <w:kern w:val="0"/>
                <w:sz w:val="21"/>
                <w:szCs w:val="21"/>
                <w:highlight w:val="none"/>
                <w:lang w:val="en-US" w:eastAsia="zh-CN"/>
              </w:rPr>
              <w:t>117.0875</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知识城狮岭涌河道整治工程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Cs w:val="0"/>
                <w:color w:val="auto"/>
                <w:sz w:val="20"/>
                <w:szCs w:val="20"/>
                <w:highlight w:val="none"/>
                <w:lang w:val="en-US" w:eastAsia="zh-CN"/>
              </w:rPr>
            </w:pPr>
            <w:r>
              <w:rPr>
                <w:rFonts w:hint="eastAsia" w:ascii="Times New Roman" w:hAnsi="Times New Roman" w:eastAsia="黑体" w:cs="Times New Roman"/>
                <w:color w:val="auto"/>
                <w:kern w:val="0"/>
                <w:sz w:val="21"/>
                <w:szCs w:val="21"/>
                <w:highlight w:val="none"/>
                <w:lang w:val="en-US" w:eastAsia="zh-CN"/>
              </w:rPr>
              <w:t>136.6670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1.3</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知识城荔枝坑涌整治工程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olor w:val="auto"/>
                <w:sz w:val="21"/>
                <w:szCs w:val="21"/>
                <w:highlight w:val="none"/>
                <w:u w:val="single"/>
              </w:rPr>
            </w:pPr>
            <w:r>
              <w:rPr>
                <w:rFonts w:hint="eastAsia" w:ascii="Times New Roman" w:hAnsi="Times New Roman" w:eastAsia="黑体" w:cs="Times New Roman"/>
                <w:color w:val="auto"/>
                <w:kern w:val="0"/>
                <w:sz w:val="21"/>
                <w:szCs w:val="21"/>
                <w:highlight w:val="none"/>
                <w:lang w:val="en-US" w:eastAsia="zh-CN"/>
              </w:rPr>
              <w:t>90.2120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凤凰湖功能恢复及上游水体连通工程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olor w:val="auto"/>
                <w:sz w:val="21"/>
                <w:szCs w:val="21"/>
                <w:highlight w:val="none"/>
                <w:u w:val="single"/>
              </w:rPr>
            </w:pPr>
            <w:r>
              <w:rPr>
                <w:rFonts w:hint="eastAsia" w:ascii="Times New Roman" w:hAnsi="Times New Roman" w:eastAsia="黑体" w:cs="Times New Roman"/>
                <w:color w:val="auto"/>
                <w:kern w:val="0"/>
                <w:sz w:val="21"/>
                <w:szCs w:val="21"/>
                <w:highlight w:val="none"/>
                <w:lang w:val="en-US" w:eastAsia="zh-CN"/>
              </w:rPr>
              <w:t>80.0850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新建迳口窿河道工程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olor w:val="auto"/>
                <w:sz w:val="21"/>
                <w:szCs w:val="21"/>
                <w:highlight w:val="none"/>
                <w:u w:val="single"/>
              </w:rPr>
            </w:pPr>
            <w:r>
              <w:rPr>
                <w:rFonts w:hint="eastAsia" w:ascii="Times New Roman" w:hAnsi="Times New Roman" w:eastAsia="黑体" w:cs="Times New Roman"/>
                <w:color w:val="auto"/>
                <w:kern w:val="0"/>
                <w:sz w:val="21"/>
                <w:szCs w:val="21"/>
                <w:highlight w:val="none"/>
                <w:lang w:val="en-US" w:eastAsia="zh-CN"/>
              </w:rPr>
              <w:t>86.6875</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知识城北部片区水系连通工程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olor w:val="auto"/>
                <w:sz w:val="21"/>
                <w:szCs w:val="21"/>
                <w:highlight w:val="none"/>
                <w:u w:val="single"/>
              </w:rPr>
            </w:pPr>
            <w:r>
              <w:rPr>
                <w:rFonts w:hint="eastAsia" w:ascii="Times New Roman" w:hAnsi="Times New Roman" w:eastAsia="黑体" w:cs="Times New Roman"/>
                <w:color w:val="auto"/>
                <w:kern w:val="0"/>
                <w:sz w:val="21"/>
                <w:szCs w:val="21"/>
                <w:highlight w:val="none"/>
                <w:lang w:val="en-US" w:eastAsia="zh-CN"/>
              </w:rPr>
              <w:t>208.6010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1.7</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九龙湖与凤尾坑连通河道工程</w:t>
            </w:r>
          </w:p>
        </w:tc>
        <w:tc>
          <w:tcPr>
            <w:tcW w:w="1728" w:type="dxa"/>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宋体" w:hAnsi="宋体" w:eastAsia="宋体"/>
                <w:color w:val="auto"/>
                <w:sz w:val="21"/>
                <w:szCs w:val="21"/>
                <w:highlight w:val="none"/>
                <w:u w:val="single"/>
              </w:rPr>
            </w:pPr>
            <w:r>
              <w:rPr>
                <w:rFonts w:hint="eastAsia" w:ascii="Times New Roman" w:hAnsi="Times New Roman" w:eastAsia="黑体" w:cs="Times New Roman"/>
                <w:color w:val="auto"/>
                <w:kern w:val="0"/>
                <w:sz w:val="21"/>
                <w:szCs w:val="21"/>
                <w:highlight w:val="none"/>
                <w:lang w:val="en-US" w:eastAsia="zh-CN"/>
              </w:rPr>
              <w:t>143.6400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1.8</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color w:val="auto"/>
                <w:sz w:val="21"/>
                <w:highlight w:val="none"/>
              </w:rPr>
            </w:pPr>
            <w:r>
              <w:rPr>
                <w:rFonts w:hint="eastAsia" w:ascii="宋体" w:hAnsi="宋体" w:eastAsia="宋体" w:cs="宋体"/>
                <w:color w:val="auto"/>
                <w:sz w:val="21"/>
                <w:highlight w:val="none"/>
              </w:rPr>
              <w:t>九龙新城南侧排涝河工程</w:t>
            </w:r>
          </w:p>
        </w:tc>
        <w:tc>
          <w:tcPr>
            <w:tcW w:w="1728" w:type="dxa"/>
            <w:shd w:val="clear" w:color="auto" w:fill="FFFFFF"/>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s="Times New Roman"/>
                <w:b/>
                <w:bCs/>
                <w:i w:val="0"/>
                <w:iCs w:val="0"/>
                <w:color w:val="auto"/>
                <w:sz w:val="24"/>
                <w:szCs w:val="24"/>
                <w:highlight w:val="none"/>
                <w:u w:val="none"/>
                <w:lang w:val="en-US" w:eastAsia="zh-CN" w:bidi="ar-SA"/>
              </w:rPr>
            </w:pPr>
            <w:r>
              <w:rPr>
                <w:rFonts w:hint="eastAsia" w:ascii="Times New Roman" w:hAnsi="Times New Roman" w:eastAsia="黑体" w:cs="Times New Roman"/>
                <w:color w:val="auto"/>
                <w:kern w:val="0"/>
                <w:sz w:val="21"/>
                <w:szCs w:val="21"/>
                <w:highlight w:val="none"/>
                <w:lang w:val="en-US" w:eastAsia="zh-CN"/>
              </w:rPr>
              <w:t>108.4425</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1.9</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凤凰河南部支流及灌渠综合治理工程</w:t>
            </w:r>
          </w:p>
        </w:tc>
        <w:tc>
          <w:tcPr>
            <w:tcW w:w="1728" w:type="dxa"/>
            <w:shd w:val="clear" w:color="auto" w:fill="FFFFFF"/>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s="Times New Roman"/>
                <w:b/>
                <w:bCs/>
                <w:i w:val="0"/>
                <w:iCs w:val="0"/>
                <w:color w:val="auto"/>
                <w:sz w:val="24"/>
                <w:szCs w:val="24"/>
                <w:highlight w:val="none"/>
                <w:u w:val="none"/>
                <w:lang w:val="en-US" w:eastAsia="zh-CN" w:bidi="ar-SA"/>
              </w:rPr>
            </w:pPr>
            <w:r>
              <w:rPr>
                <w:rFonts w:hint="eastAsia" w:ascii="Times New Roman" w:hAnsi="Times New Roman" w:eastAsia="黑体" w:cs="Times New Roman"/>
                <w:color w:val="auto"/>
                <w:kern w:val="0"/>
                <w:sz w:val="21"/>
                <w:szCs w:val="21"/>
                <w:highlight w:val="none"/>
                <w:lang w:val="en-US" w:eastAsia="zh-CN"/>
              </w:rPr>
              <w:t>144.3810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1.10</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凤凰河中部支流及灌渠综合治理工程</w:t>
            </w:r>
          </w:p>
        </w:tc>
        <w:tc>
          <w:tcPr>
            <w:tcW w:w="1728" w:type="dxa"/>
            <w:shd w:val="clear" w:color="auto" w:fill="FFFFFF"/>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s="Times New Roman"/>
                <w:b/>
                <w:bCs/>
                <w:i w:val="0"/>
                <w:iCs w:val="0"/>
                <w:color w:val="auto"/>
                <w:sz w:val="24"/>
                <w:szCs w:val="24"/>
                <w:highlight w:val="none"/>
                <w:u w:val="none"/>
                <w:lang w:val="en-US" w:eastAsia="zh-CN" w:bidi="ar-SA"/>
              </w:rPr>
            </w:pPr>
            <w:r>
              <w:rPr>
                <w:rFonts w:hint="eastAsia" w:ascii="Times New Roman" w:hAnsi="Times New Roman" w:eastAsia="黑体" w:cs="Times New Roman"/>
                <w:color w:val="auto"/>
                <w:kern w:val="0"/>
                <w:sz w:val="21"/>
                <w:szCs w:val="21"/>
                <w:highlight w:val="none"/>
                <w:lang w:val="en-US" w:eastAsia="zh-CN"/>
              </w:rPr>
              <w:t>123.3290</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23"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1.11</w:t>
            </w:r>
          </w:p>
        </w:tc>
        <w:tc>
          <w:tcPr>
            <w:tcW w:w="119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凤凰河北部支流及灌渠综合治理工程</w:t>
            </w:r>
          </w:p>
        </w:tc>
        <w:tc>
          <w:tcPr>
            <w:tcW w:w="1728" w:type="dxa"/>
            <w:shd w:val="clear" w:color="auto" w:fill="FFFFFF"/>
            <w:noWrap w:val="0"/>
            <w:vAlign w:val="center"/>
          </w:tcPr>
          <w:p>
            <w:pPr>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s="Times New Roman"/>
                <w:b/>
                <w:bCs/>
                <w:i w:val="0"/>
                <w:iCs w:val="0"/>
                <w:color w:val="auto"/>
                <w:sz w:val="24"/>
                <w:szCs w:val="24"/>
                <w:highlight w:val="none"/>
                <w:u w:val="none"/>
                <w:lang w:val="en-US" w:eastAsia="zh-CN" w:bidi="ar-SA"/>
              </w:rPr>
            </w:pPr>
            <w:r>
              <w:rPr>
                <w:rFonts w:hint="eastAsia" w:ascii="Times New Roman" w:hAnsi="Times New Roman" w:eastAsia="黑体" w:cs="Times New Roman"/>
                <w:color w:val="auto"/>
                <w:kern w:val="0"/>
                <w:sz w:val="21"/>
                <w:szCs w:val="21"/>
                <w:highlight w:val="none"/>
                <w:lang w:val="en-US" w:eastAsia="zh-CN"/>
              </w:rPr>
              <w:t>116.3085</w:t>
            </w:r>
          </w:p>
        </w:tc>
        <w:tc>
          <w:tcPr>
            <w:tcW w:w="830" w:type="pct"/>
            <w:vMerge w:val="continue"/>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 w:val="21"/>
                <w:szCs w:val="21"/>
                <w:highlight w:val="none"/>
                <w:u w:val="single"/>
              </w:rPr>
            </w:pPr>
          </w:p>
        </w:tc>
        <w:tc>
          <w:tcPr>
            <w:tcW w:w="11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p>
        </w:tc>
        <w:tc>
          <w:tcPr>
            <w:tcW w:w="53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p>
        </w:tc>
      </w:tr>
    </w:tbl>
    <w:p>
      <w:pPr>
        <w:ind w:firstLine="0" w:firstLineChars="0"/>
        <w:rPr>
          <w:rFonts w:hint="eastAsia" w:ascii="宋体" w:hAnsi="宋体" w:eastAsia="宋体" w:cs="宋体"/>
          <w:bCs/>
          <w:color w:val="auto"/>
          <w:sz w:val="21"/>
          <w:szCs w:val="21"/>
          <w:highlight w:val="none"/>
        </w:rPr>
      </w:pPr>
    </w:p>
    <w:p>
      <w:pPr>
        <w:pStyle w:val="37"/>
        <w:spacing w:line="240"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注：</w:t>
      </w:r>
    </w:p>
    <w:p>
      <w:pPr>
        <w:pStyle w:val="37"/>
        <w:ind w:firstLine="428"/>
        <w:rPr>
          <w:rFonts w:ascii="宋体" w:hAnsi="宋体" w:cs="宋体"/>
          <w:color w:val="auto"/>
          <w:sz w:val="21"/>
          <w:szCs w:val="21"/>
          <w:highlight w:val="none"/>
        </w:rPr>
      </w:pPr>
      <w:r>
        <w:rPr>
          <w:rFonts w:ascii="宋体" w:hAnsi="宋体" w:cs="宋体"/>
          <w:color w:val="auto"/>
          <w:sz w:val="21"/>
          <w:szCs w:val="21"/>
          <w:highlight w:val="none"/>
        </w:rPr>
        <w:t>1、</w:t>
      </w:r>
      <w:r>
        <w:rPr>
          <w:rFonts w:ascii="宋体" w:hAnsi="宋体" w:cs="宋体"/>
          <w:color w:val="auto"/>
          <w:sz w:val="21"/>
          <w:szCs w:val="21"/>
          <w:highlight w:val="none"/>
          <w:lang w:val="zh-CN"/>
        </w:rPr>
        <w:t>投标下浮率以百分比为单位，保留到小数点后位</w:t>
      </w:r>
      <w:r>
        <w:rPr>
          <w:rFonts w:ascii="宋体" w:hAnsi="宋体" w:cs="宋体"/>
          <w:color w:val="auto"/>
          <w:sz w:val="21"/>
          <w:szCs w:val="21"/>
          <w:highlight w:val="none"/>
        </w:rPr>
        <w:t>，投标报价填报保留小数点后</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位。</w:t>
      </w:r>
    </w:p>
    <w:p>
      <w:pPr>
        <w:pStyle w:val="37"/>
        <w:ind w:firstLine="428"/>
        <w:rPr>
          <w:rFonts w:ascii="宋体" w:hAnsi="宋体" w:cs="宋体"/>
          <w:color w:val="auto"/>
          <w:sz w:val="21"/>
          <w:szCs w:val="21"/>
          <w:highlight w:val="none"/>
        </w:rPr>
      </w:pPr>
      <w:r>
        <w:rPr>
          <w:rFonts w:ascii="宋体" w:hAnsi="宋体" w:cs="宋体"/>
          <w:color w:val="auto"/>
          <w:sz w:val="21"/>
          <w:szCs w:val="21"/>
          <w:highlight w:val="none"/>
        </w:rPr>
        <w:t>2、投标下浮率=（最高投标限价-投标报价）/最高投标限价*100%。</w:t>
      </w:r>
    </w:p>
    <w:p>
      <w:pPr>
        <w:pStyle w:val="37"/>
        <w:ind w:firstLine="428"/>
        <w:outlineLvl w:val="2"/>
        <w:rPr>
          <w:rFonts w:ascii="宋体" w:hAnsi="宋体" w:cs="宋体"/>
          <w:color w:val="auto"/>
          <w:sz w:val="21"/>
          <w:szCs w:val="21"/>
          <w:highlight w:val="none"/>
        </w:rPr>
      </w:pPr>
      <w:r>
        <w:rPr>
          <w:rFonts w:ascii="宋体" w:hAnsi="宋体" w:cs="宋体"/>
          <w:color w:val="auto"/>
          <w:sz w:val="21"/>
          <w:szCs w:val="21"/>
          <w:highlight w:val="none"/>
        </w:rPr>
        <w:t>3、投标报价与投标下浮率不符时，以投标下浮率为准修正</w:t>
      </w:r>
      <w:r>
        <w:rPr>
          <w:rFonts w:hint="eastAsia" w:ascii="宋体" w:hAnsi="宋体" w:cs="宋体"/>
          <w:color w:val="auto"/>
          <w:sz w:val="21"/>
          <w:szCs w:val="21"/>
          <w:highlight w:val="none"/>
        </w:rPr>
        <w:t>报</w:t>
      </w:r>
      <w:r>
        <w:rPr>
          <w:rFonts w:ascii="宋体" w:hAnsi="宋体" w:cs="宋体"/>
          <w:color w:val="auto"/>
          <w:sz w:val="21"/>
          <w:szCs w:val="21"/>
          <w:highlight w:val="none"/>
        </w:rPr>
        <w:t>价。</w:t>
      </w:r>
    </w:p>
    <w:p>
      <w:pPr>
        <w:pStyle w:val="37"/>
        <w:ind w:firstLine="428"/>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4、投标报价不得超过本项目最高投标限价，且不得超过单个项目水利工程用</w:t>
      </w:r>
      <w:r>
        <w:rPr>
          <w:rFonts w:hint="eastAsia" w:ascii="宋体" w:hAnsi="宋体" w:cs="宋体"/>
          <w:color w:val="auto"/>
          <w:sz w:val="21"/>
          <w:szCs w:val="21"/>
          <w:highlight w:val="none"/>
          <w:lang w:val="en-US" w:eastAsia="zh-CN"/>
        </w:rPr>
        <w:t>地</w:t>
      </w:r>
      <w:r>
        <w:rPr>
          <w:rFonts w:hint="eastAsia" w:ascii="宋体" w:hAnsi="宋体" w:cs="宋体"/>
          <w:color w:val="auto"/>
          <w:sz w:val="21"/>
          <w:szCs w:val="21"/>
          <w:highlight w:val="none"/>
        </w:rPr>
        <w:t>报批费限价。</w:t>
      </w:r>
    </w:p>
    <w:p>
      <w:pPr>
        <w:spacing w:line="500" w:lineRule="exact"/>
        <w:ind w:firstLine="3960"/>
        <w:rPr>
          <w:rFonts w:hint="eastAsia" w:ascii="宋体" w:hAnsi="宋体" w:eastAsia="宋体" w:cs="宋体"/>
          <w:color w:val="auto"/>
          <w:sz w:val="21"/>
          <w:szCs w:val="21"/>
          <w:highlight w:val="none"/>
        </w:rPr>
      </w:pPr>
    </w:p>
    <w:p>
      <w:pPr>
        <w:spacing w:line="366" w:lineRule="exact"/>
        <w:rPr>
          <w:rFonts w:hint="default" w:ascii="宋体" w:hAnsi="宋体" w:eastAsia="宋体"/>
          <w:color w:val="auto"/>
          <w:sz w:val="21"/>
          <w:szCs w:val="21"/>
          <w:highlight w:val="none"/>
          <w:lang w:val="en-US" w:eastAsia="zh-CN"/>
        </w:rPr>
      </w:pPr>
    </w:p>
    <w:bookmarkEnd w:id="200"/>
    <w:p>
      <w:pPr>
        <w:kinsoku w:val="0"/>
        <w:overflowPunct w:val="0"/>
        <w:spacing w:before="120" w:after="120" w:line="456" w:lineRule="exact"/>
        <w:ind w:right="1"/>
        <w:jc w:val="center"/>
        <w:rPr>
          <w:rFonts w:hint="eastAsia" w:ascii="宋体" w:hAnsi="宋体" w:eastAsia="宋体" w:cs="宋体"/>
          <w:color w:val="auto"/>
          <w:sz w:val="28"/>
          <w:highlight w:val="none"/>
        </w:rPr>
      </w:pPr>
      <w:bookmarkStart w:id="201" w:name="bookmark184"/>
      <w:bookmarkEnd w:id="201"/>
      <w:bookmarkStart w:id="202" w:name="_Toc26761"/>
      <w:r>
        <w:rPr>
          <w:rFonts w:hint="eastAsia" w:ascii="宋体" w:hAnsi="宋体" w:eastAsia="宋体" w:cs="宋体"/>
          <w:color w:val="auto"/>
          <w:sz w:val="28"/>
          <w:highlight w:val="none"/>
        </w:rPr>
        <w:br w:type="page"/>
      </w:r>
    </w:p>
    <w:p>
      <w:pPr>
        <w:pStyle w:val="5"/>
        <w:kinsoku w:val="0"/>
        <w:overflowPunct w:val="0"/>
        <w:spacing w:before="120" w:after="120" w:line="456" w:lineRule="exact"/>
        <w:ind w:right="1"/>
        <w:jc w:val="center"/>
        <w:rPr>
          <w:rFonts w:hint="eastAsia" w:ascii="宋体" w:hAnsi="宋体" w:eastAsia="宋体" w:cs="宋体"/>
          <w:b w:val="0"/>
          <w:color w:val="auto"/>
          <w:sz w:val="28"/>
          <w:highlight w:val="none"/>
        </w:rPr>
      </w:pPr>
      <w:r>
        <w:rPr>
          <w:rFonts w:hint="eastAsia" w:ascii="宋体" w:hAnsi="宋体" w:eastAsia="宋体" w:cs="宋体"/>
          <w:color w:val="auto"/>
          <w:sz w:val="28"/>
          <w:highlight w:val="none"/>
        </w:rPr>
        <w:t>四、资格审查资料</w:t>
      </w:r>
      <w:bookmarkEnd w:id="202"/>
    </w:p>
    <w:p>
      <w:pPr>
        <w:widowControl/>
        <w:spacing w:line="360" w:lineRule="auto"/>
        <w:rPr>
          <w:rFonts w:ascii="宋体" w:hAnsi="宋体" w:cs="宋体"/>
          <w:bCs/>
          <w:color w:val="auto"/>
          <w:highlight w:val="none"/>
        </w:rPr>
      </w:pPr>
      <w:r>
        <w:rPr>
          <w:rFonts w:hint="eastAsia" w:ascii="宋体" w:hAnsi="宋体" w:cs="宋体"/>
          <w:bCs/>
          <w:color w:val="auto"/>
          <w:highlight w:val="none"/>
        </w:rPr>
        <w:t>（1）营业执照；</w:t>
      </w:r>
    </w:p>
    <w:p>
      <w:pPr>
        <w:widowControl/>
        <w:spacing w:line="360" w:lineRule="auto"/>
        <w:rPr>
          <w:rFonts w:ascii="宋体" w:hAnsi="宋体"/>
          <w:color w:val="auto"/>
          <w:highlight w:val="none"/>
        </w:rPr>
      </w:pPr>
      <w:r>
        <w:rPr>
          <w:rFonts w:hint="eastAsia" w:ascii="宋体" w:hAnsi="宋体" w:cs="宋体"/>
          <w:bCs/>
          <w:color w:val="auto"/>
          <w:highlight w:val="none"/>
        </w:rPr>
        <w:t>（2）投标人声明</w:t>
      </w:r>
      <w:r>
        <w:rPr>
          <w:rFonts w:hint="eastAsia" w:ascii="宋体" w:hAnsi="宋体"/>
          <w:color w:val="auto"/>
          <w:highlight w:val="none"/>
        </w:rPr>
        <w:t>；</w:t>
      </w:r>
    </w:p>
    <w:p>
      <w:pPr>
        <w:widowControl/>
        <w:spacing w:line="360" w:lineRule="auto"/>
        <w:rPr>
          <w:rFonts w:ascii="宋体" w:hAnsi="宋体" w:cs="宋体"/>
          <w:bCs/>
          <w:color w:val="auto"/>
          <w:highlight w:val="none"/>
        </w:rPr>
        <w:sectPr>
          <w:pgSz w:w="11906" w:h="16838"/>
          <w:pgMar w:top="1440" w:right="1440" w:bottom="1440" w:left="1440" w:header="0" w:footer="921" w:gutter="0"/>
          <w:cols w:space="720" w:num="1"/>
        </w:sectPr>
      </w:pPr>
      <w:r>
        <w:rPr>
          <w:rFonts w:hint="eastAsia" w:ascii="宋体" w:hAnsi="宋体"/>
          <w:color w:val="auto"/>
          <w:highlight w:val="none"/>
        </w:rPr>
        <w:t>（3）</w:t>
      </w:r>
      <w:r>
        <w:rPr>
          <w:rFonts w:hint="eastAsia" w:ascii="宋体" w:hAnsi="宋体" w:cs="宋体"/>
          <w:bCs/>
          <w:color w:val="auto"/>
          <w:highlight w:val="none"/>
        </w:rPr>
        <w:t>满足招标公告评审要求的其他资料。</w:t>
      </w:r>
    </w:p>
    <w:p>
      <w:pPr>
        <w:pStyle w:val="6"/>
        <w:rPr>
          <w:rFonts w:hint="eastAsia" w:ascii="宋体" w:hAnsi="宋体" w:eastAsia="宋体" w:cs="宋体"/>
          <w:b/>
          <w:color w:val="auto"/>
          <w:sz w:val="24"/>
          <w:highlight w:val="none"/>
        </w:rPr>
      </w:pPr>
      <w:bookmarkStart w:id="203" w:name="_Toc32582"/>
      <w:r>
        <w:rPr>
          <w:rFonts w:hint="eastAsia" w:ascii="宋体" w:hAnsi="宋体" w:eastAsia="宋体" w:cs="宋体"/>
          <w:b/>
          <w:color w:val="auto"/>
          <w:sz w:val="24"/>
          <w:highlight w:val="none"/>
        </w:rPr>
        <w:t>投标人声明格式</w:t>
      </w:r>
      <w:bookmarkEnd w:id="203"/>
    </w:p>
    <w:p>
      <w:pPr>
        <w:pStyle w:val="22"/>
        <w:snapToGrid w:val="0"/>
        <w:spacing w:before="120" w:beforeLines="50" w:after="120" w:afterLines="50" w:line="360" w:lineRule="auto"/>
        <w:jc w:val="center"/>
        <w:rPr>
          <w:rFonts w:hint="eastAsia" w:ascii="宋体" w:hAnsi="宋体" w:eastAsia="宋体" w:cs="宋体"/>
          <w:color w:val="auto"/>
          <w:sz w:val="21"/>
          <w:szCs w:val="21"/>
          <w:highlight w:val="none"/>
        </w:rPr>
      </w:pPr>
      <w:bookmarkStart w:id="204" w:name="_Toc681"/>
      <w:bookmarkStart w:id="205" w:name="_Toc7353"/>
      <w:r>
        <w:rPr>
          <w:rFonts w:hint="eastAsia" w:ascii="宋体" w:hAnsi="宋体" w:eastAsia="宋体" w:cs="宋体"/>
          <w:b/>
          <w:color w:val="auto"/>
          <w:sz w:val="32"/>
          <w:szCs w:val="32"/>
          <w:highlight w:val="none"/>
        </w:rPr>
        <w:t>投标人声明</w:t>
      </w:r>
      <w:bookmarkEnd w:id="204"/>
      <w:bookmarkEnd w:id="205"/>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本招标项目招标人及招标监管机构：</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本公司就参加</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rPr>
        <w:t>项目投标工作，作出郑重声明：</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二、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三、本公司不存在招标文件第二章投标人须知第1.4.3项所规定的任何一种情形。</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五、本公司具有履行合同的能力，包括专业、技术资格和能力，资金、设备和其他物质设施能力，管理能力，类似工程经验、信誉状况等。</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六</w:t>
      </w:r>
      <w:r>
        <w:rPr>
          <w:rFonts w:hint="eastAsia" w:ascii="宋体" w:hAnsi="宋体" w:eastAsia="宋体" w:cs="宋体"/>
          <w:b w:val="0"/>
          <w:bCs w:val="0"/>
          <w:color w:val="auto"/>
          <w:kern w:val="0"/>
          <w:sz w:val="21"/>
          <w:szCs w:val="21"/>
          <w:highlight w:val="none"/>
        </w:rPr>
        <w:t>、本公司承诺，中标后严格执行安全生产相关管理规定。</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七</w:t>
      </w:r>
      <w:r>
        <w:rPr>
          <w:rFonts w:hint="eastAsia" w:ascii="宋体" w:hAnsi="宋体" w:eastAsia="宋体" w:cs="宋体"/>
          <w:b w:val="0"/>
          <w:bCs w:val="0"/>
          <w:color w:val="auto"/>
          <w:kern w:val="0"/>
          <w:sz w:val="21"/>
          <w:szCs w:val="21"/>
          <w:highlight w:val="none"/>
        </w:rPr>
        <w:t>、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w:t>
      </w:r>
    </w:p>
    <w:p>
      <w:pPr>
        <w:pStyle w:val="34"/>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cs="宋体"/>
          <w:b w:val="0"/>
          <w:bCs w:val="0"/>
          <w:color w:val="auto"/>
          <w:kern w:val="0"/>
          <w:sz w:val="21"/>
          <w:szCs w:val="21"/>
          <w:highlight w:val="none"/>
          <w:lang w:val="en-US" w:eastAsia="zh-CN"/>
        </w:rPr>
        <w:t>九、</w:t>
      </w:r>
      <w:r>
        <w:rPr>
          <w:rFonts w:hint="eastAsia" w:ascii="宋体" w:hAnsi="宋体" w:eastAsia="宋体" w:cs="宋体"/>
          <w:color w:val="auto"/>
          <w:sz w:val="21"/>
          <w:szCs w:val="21"/>
          <w:highlight w:val="none"/>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pPr>
        <w:widowControl/>
        <w:shd w:val="clear" w:color="auto" w:fill="FFFFFF"/>
        <w:ind w:right="1449"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特此声明。</w:t>
      </w:r>
    </w:p>
    <w:p>
      <w:pPr>
        <w:snapToGrid w:val="0"/>
        <w:spacing w:line="360" w:lineRule="auto"/>
        <w:ind w:firstLine="4200" w:firstLineChars="20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声明企业</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企业公章）</w:t>
      </w:r>
      <w:r>
        <w:rPr>
          <w:rFonts w:hint="eastAsia" w:ascii="宋体" w:hAnsi="宋体" w:eastAsia="宋体" w:cs="宋体"/>
          <w:b w:val="0"/>
          <w:bCs w:val="0"/>
          <w:color w:val="auto"/>
          <w:kern w:val="0"/>
          <w:sz w:val="21"/>
          <w:szCs w:val="21"/>
          <w:highlight w:val="none"/>
        </w:rPr>
        <w:t>：</w:t>
      </w:r>
    </w:p>
    <w:p>
      <w:pPr>
        <w:snapToGrid w:val="0"/>
        <w:spacing w:line="360" w:lineRule="auto"/>
        <w:ind w:firstLine="4200" w:firstLineChars="20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法定代表人（签字）：</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年  月  日</w:t>
      </w:r>
    </w:p>
    <w:p>
      <w:pPr>
        <w:pStyle w:val="30"/>
        <w:ind w:firstLine="0" w:firstLineChars="0"/>
        <w:rPr>
          <w:rFonts w:hint="eastAsia" w:ascii="宋体" w:hAnsi="宋体" w:eastAsia="宋体" w:cs="宋体"/>
          <w:color w:val="auto"/>
          <w:szCs w:val="24"/>
          <w:highlight w:val="none"/>
        </w:rPr>
        <w:sectPr>
          <w:headerReference r:id="rId11" w:type="default"/>
          <w:footerReference r:id="rId12" w:type="default"/>
          <w:pgSz w:w="11905" w:h="16838"/>
          <w:pgMar w:top="1417" w:right="1417" w:bottom="1417" w:left="1417" w:header="992" w:footer="992" w:gutter="0"/>
          <w:cols w:space="720" w:num="1"/>
        </w:sectPr>
      </w:pPr>
    </w:p>
    <w:p>
      <w:pPr>
        <w:pStyle w:val="5"/>
        <w:spacing w:before="120" w:after="120"/>
        <w:jc w:val="center"/>
        <w:rPr>
          <w:color w:val="auto"/>
          <w:sz w:val="28"/>
          <w:highlight w:val="none"/>
        </w:rPr>
      </w:pPr>
      <w:bookmarkStart w:id="206" w:name="bookmark193"/>
      <w:bookmarkEnd w:id="206"/>
      <w:bookmarkStart w:id="207" w:name="_Toc3592"/>
      <w:r>
        <w:rPr>
          <w:rFonts w:hint="eastAsia" w:ascii="宋体" w:hAnsi="宋体" w:eastAsia="宋体" w:cs="宋体"/>
          <w:color w:val="auto"/>
          <w:sz w:val="28"/>
          <w:highlight w:val="none"/>
        </w:rPr>
        <w:t>五、</w:t>
      </w:r>
      <w:r>
        <w:rPr>
          <w:rFonts w:hint="eastAsia"/>
          <w:color w:val="auto"/>
          <w:sz w:val="28"/>
          <w:highlight w:val="none"/>
        </w:rPr>
        <w:t>技术</w:t>
      </w:r>
      <w:r>
        <w:rPr>
          <w:color w:val="auto"/>
          <w:sz w:val="28"/>
          <w:highlight w:val="none"/>
        </w:rPr>
        <w:t>服务方案</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（格式自定）</w:t>
      </w:r>
    </w:p>
    <w:p>
      <w:pPr>
        <w:pStyle w:val="12"/>
        <w:kinsoku w:val="0"/>
        <w:overflowPunct w:val="0"/>
        <w:spacing w:line="360" w:lineRule="auto"/>
        <w:ind w:left="480"/>
        <w:rPr>
          <w:color w:val="auto"/>
          <w:sz w:val="24"/>
          <w:highlight w:val="none"/>
        </w:rPr>
      </w:pPr>
      <w:r>
        <w:rPr>
          <w:color w:val="auto"/>
          <w:sz w:val="24"/>
          <w:highlight w:val="none"/>
        </w:rPr>
        <w:t>根据技术服务方案评分标准</w:t>
      </w:r>
      <w:r>
        <w:rPr>
          <w:rFonts w:hint="eastAsia"/>
          <w:color w:val="auto"/>
          <w:sz w:val="24"/>
          <w:highlight w:val="none"/>
        </w:rPr>
        <w:t>自</w:t>
      </w:r>
      <w:r>
        <w:rPr>
          <w:color w:val="auto"/>
          <w:sz w:val="24"/>
          <w:highlight w:val="none"/>
        </w:rPr>
        <w:t>行编制。</w:t>
      </w:r>
    </w:p>
    <w:bookmarkEnd w:id="207"/>
    <w:p>
      <w:pPr>
        <w:spacing w:before="120" w:after="120"/>
        <w:jc w:val="center"/>
        <w:rPr>
          <w:rFonts w:hint="eastAsia" w:ascii="宋体" w:hAnsi="宋体" w:eastAsia="宋体" w:cs="宋体"/>
          <w:strike/>
          <w:color w:val="auto"/>
          <w:sz w:val="28"/>
          <w:highlight w:val="none"/>
        </w:rPr>
      </w:pPr>
      <w:bookmarkStart w:id="208" w:name="bookmark194"/>
      <w:bookmarkEnd w:id="208"/>
      <w:bookmarkStart w:id="209" w:name="_Toc29707"/>
      <w:r>
        <w:rPr>
          <w:rFonts w:hint="eastAsia" w:ascii="宋体" w:hAnsi="宋体" w:eastAsia="宋体" w:cs="宋体"/>
          <w:strike/>
          <w:color w:val="auto"/>
          <w:sz w:val="28"/>
          <w:highlight w:val="none"/>
        </w:rPr>
        <w:br w:type="page"/>
      </w:r>
    </w:p>
    <w:bookmarkEnd w:id="209"/>
    <w:p>
      <w:pPr>
        <w:pStyle w:val="5"/>
        <w:spacing w:before="120" w:after="120"/>
        <w:jc w:val="center"/>
        <w:rPr>
          <w:b w:val="0"/>
          <w:color w:val="auto"/>
          <w:sz w:val="28"/>
          <w:highlight w:val="none"/>
        </w:rPr>
      </w:pPr>
      <w:bookmarkStart w:id="210" w:name="_Toc23944"/>
      <w:bookmarkStart w:id="211" w:name="_Toc17121"/>
      <w:bookmarkStart w:id="212" w:name="_Toc22693"/>
      <w:bookmarkStart w:id="213" w:name="_Toc6768"/>
      <w:r>
        <w:rPr>
          <w:rFonts w:hint="eastAsia" w:cs="宋体"/>
          <w:color w:val="auto"/>
          <w:sz w:val="28"/>
          <w:highlight w:val="none"/>
          <w:lang w:val="en-US" w:eastAsia="zh-CN"/>
        </w:rPr>
        <w:t>六</w:t>
      </w:r>
      <w:r>
        <w:rPr>
          <w:rFonts w:hint="eastAsia" w:ascii="宋体" w:hAnsi="宋体" w:eastAsia="宋体" w:cs="宋体"/>
          <w:color w:val="auto"/>
          <w:sz w:val="28"/>
          <w:highlight w:val="none"/>
        </w:rPr>
        <w:t>、</w:t>
      </w:r>
      <w:r>
        <w:rPr>
          <w:rFonts w:hint="eastAsia" w:ascii="宋体" w:hAnsi="宋体"/>
          <w:b w:val="0"/>
          <w:color w:val="auto"/>
          <w:sz w:val="28"/>
          <w:highlight w:val="none"/>
        </w:rPr>
        <w:t>其他资料</w:t>
      </w:r>
    </w:p>
    <w:p>
      <w:pPr>
        <w:pStyle w:val="5"/>
        <w:spacing w:before="120" w:after="120"/>
        <w:jc w:val="center"/>
        <w:rPr>
          <w:rFonts w:hint="eastAsia"/>
          <w:color w:val="auto"/>
          <w:highlight w:val="none"/>
        </w:rPr>
      </w:pPr>
      <w:r>
        <w:rPr>
          <w:rFonts w:hint="eastAsia"/>
          <w:color w:val="auto"/>
          <w:highlight w:val="none"/>
        </w:rPr>
        <w:t>（1）</w:t>
      </w:r>
      <w:r>
        <w:rPr>
          <w:rFonts w:hint="eastAsia" w:ascii="宋体" w:hAnsi="宋体" w:cs="Times New Roman"/>
          <w:color w:val="auto"/>
          <w:spacing w:val="0"/>
          <w:sz w:val="28"/>
          <w:szCs w:val="24"/>
          <w:highlight w:val="none"/>
        </w:rPr>
        <w:t>公司简介</w:t>
      </w:r>
      <w:r>
        <w:rPr>
          <w:rFonts w:hint="eastAsia"/>
          <w:color w:val="auto"/>
          <w:highlight w:val="none"/>
        </w:rPr>
        <w:t>（格式自拟）</w:t>
      </w:r>
    </w:p>
    <w:p>
      <w:pPr>
        <w:spacing w:before="120" w:after="12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22"/>
        <w:numPr>
          <w:ilvl w:val="0"/>
          <w:numId w:val="2"/>
        </w:numPr>
        <w:spacing w:before="120" w:beforeLines="50" w:beforeAutospacing="0" w:after="120" w:afterLines="50" w:afterAutospacing="0" w:line="360" w:lineRule="auto"/>
        <w:jc w:val="both"/>
        <w:rPr>
          <w:rFonts w:hint="eastAsia" w:ascii="宋体" w:hAnsi="宋体" w:cs="Times New Roman"/>
          <w:b w:val="0"/>
          <w:bCs w:val="0"/>
          <w:color w:val="auto"/>
          <w:sz w:val="28"/>
          <w:szCs w:val="24"/>
          <w:highlight w:val="none"/>
        </w:rPr>
      </w:pPr>
      <w:r>
        <w:rPr>
          <w:rFonts w:hint="eastAsia" w:ascii="宋体" w:hAnsi="宋体" w:cs="Times New Roman"/>
          <w:b w:val="0"/>
          <w:bCs w:val="0"/>
          <w:color w:val="auto"/>
          <w:sz w:val="28"/>
          <w:szCs w:val="24"/>
          <w:highlight w:val="none"/>
        </w:rPr>
        <w:t>投标人廉洁承诺书</w:t>
      </w:r>
    </w:p>
    <w:p>
      <w:pPr>
        <w:pStyle w:val="22"/>
        <w:numPr>
          <w:ilvl w:val="-1"/>
          <w:numId w:val="0"/>
        </w:numPr>
        <w:spacing w:before="120" w:beforeLines="50" w:beforeAutospacing="0" w:after="120" w:afterLines="50" w:afterAutospacing="0" w:line="360" w:lineRule="auto"/>
        <w:ind w:firstLine="2570" w:firstLineChars="8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pPr>
        <w:pStyle w:val="22"/>
        <w:shd w:val="clear" w:color="auto" w:fill="FFFFFF"/>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本招标项目招标人及招标监管机构：</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（项目名称/标段名称）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6"/>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pStyle w:val="16"/>
        <w:spacing w:line="360" w:lineRule="auto"/>
        <w:ind w:right="42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pPr>
        <w:pStyle w:val="16"/>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ascii="宋体" w:hAnsi="宋体" w:eastAsia="宋体" w:cs="宋体"/>
          <w:color w:val="auto"/>
          <w:sz w:val="24"/>
          <w:szCs w:val="24"/>
          <w:highlight w:val="none"/>
          <w:lang w:eastAsia="zh-CN"/>
        </w:rPr>
        <w:t>。</w:t>
      </w:r>
    </w:p>
    <w:p>
      <w:pPr>
        <w:pStyle w:val="16"/>
        <w:autoSpaceDE/>
        <w:autoSpaceDN/>
        <w:spacing w:line="360" w:lineRule="auto"/>
        <w:ind w:right="42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本公司违反上述承诺，或本承诺陈述与事实不符，经查实，本公司愿意接受公开通报，承担由此带来的法律后果。</w:t>
      </w:r>
    </w:p>
    <w:p>
      <w:pPr>
        <w:pStyle w:val="2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r>
        <w:rPr>
          <w:rFonts w:hint="eastAsia" w:ascii="宋体" w:hAnsi="宋体" w:eastAsia="宋体" w:cs="宋体"/>
          <w:color w:val="auto"/>
          <w:sz w:val="24"/>
          <w:szCs w:val="24"/>
          <w:highlight w:val="none"/>
          <w:lang w:eastAsia="zh-CN"/>
        </w:rPr>
        <w:t>。</w:t>
      </w:r>
    </w:p>
    <w:p>
      <w:pPr>
        <w:pStyle w:val="22"/>
        <w:shd w:val="clear" w:color="auto" w:fill="FFFFFF"/>
        <w:spacing w:before="0" w:beforeAutospacing="0" w:after="0" w:afterAutospacing="0" w:line="360" w:lineRule="auto"/>
        <w:ind w:right="1455" w:firstLine="2880"/>
        <w:jc w:val="right"/>
        <w:rPr>
          <w:rFonts w:hint="eastAsia" w:ascii="宋体" w:hAnsi="宋体" w:eastAsia="宋体" w:cs="宋体"/>
          <w:color w:val="auto"/>
          <w:highlight w:val="none"/>
        </w:rPr>
      </w:pPr>
      <w:r>
        <w:rPr>
          <w:rFonts w:hint="eastAsia" w:ascii="宋体" w:hAnsi="宋体" w:eastAsia="宋体" w:cs="宋体"/>
          <w:color w:val="auto"/>
          <w:highlight w:val="none"/>
        </w:rPr>
        <w:t>承诺企业（盖单位章）：      </w:t>
      </w:r>
    </w:p>
    <w:p>
      <w:pPr>
        <w:pStyle w:val="22"/>
        <w:shd w:val="clear" w:color="auto" w:fill="FFFFFF"/>
        <w:spacing w:before="0" w:beforeAutospacing="0" w:after="0" w:afterAutospacing="0" w:line="360" w:lineRule="auto"/>
        <w:ind w:right="960"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法定代表人签字：           </w:t>
      </w:r>
    </w:p>
    <w:p>
      <w:pPr>
        <w:pStyle w:val="30"/>
        <w:ind w:right="960" w:firstLine="0" w:firstLineChars="0"/>
        <w:jc w:val="right"/>
        <w:rPr>
          <w:rFonts w:hint="eastAsia" w:ascii="宋体" w:hAnsi="宋体" w:eastAsia="宋体" w:cs="宋体"/>
          <w:color w:val="auto"/>
          <w:szCs w:val="24"/>
          <w:highlight w:val="none"/>
        </w:rPr>
        <w:sectPr>
          <w:pgSz w:w="11905" w:h="16838"/>
          <w:pgMar w:top="1417" w:right="1417" w:bottom="1417" w:left="1417" w:header="992" w:footer="992" w:gutter="0"/>
          <w:cols w:space="720" w:num="1"/>
        </w:sectPr>
      </w:pPr>
      <w:r>
        <w:rPr>
          <w:rFonts w:hint="eastAsia" w:ascii="宋体" w:hAnsi="宋体" w:eastAsia="宋体" w:cs="宋体"/>
          <w:color w:val="auto"/>
          <w:szCs w:val="24"/>
          <w:highlight w:val="none"/>
        </w:rPr>
        <w:t>年   月   日</w:t>
      </w:r>
    </w:p>
    <w:bookmarkEnd w:id="210"/>
    <w:bookmarkEnd w:id="211"/>
    <w:bookmarkEnd w:id="212"/>
    <w:bookmarkEnd w:id="213"/>
    <w:p>
      <w:pPr>
        <w:pStyle w:val="7"/>
        <w:ind w:left="0"/>
        <w:rPr>
          <w:color w:val="auto"/>
          <w:szCs w:val="28"/>
          <w:highlight w:val="none"/>
        </w:rPr>
      </w:pPr>
      <w:r>
        <w:rPr>
          <w:rFonts w:hint="eastAsia"/>
          <w:color w:val="auto"/>
          <w:szCs w:val="28"/>
          <w:highlight w:val="none"/>
        </w:rPr>
        <w:t>（3</w:t>
      </w:r>
      <w:r>
        <w:rPr>
          <w:rFonts w:hint="eastAsia" w:hAnsi="宋体"/>
          <w:color w:val="auto"/>
          <w:sz w:val="28"/>
          <w:szCs w:val="28"/>
          <w:highlight w:val="none"/>
        </w:rPr>
        <w:t>）中小</w:t>
      </w:r>
      <w:bookmarkStart w:id="214" w:name="OLE_LINK94"/>
      <w:bookmarkStart w:id="215" w:name="OLE_LINK95"/>
      <w:r>
        <w:rPr>
          <w:rFonts w:hint="eastAsia" w:hAnsi="宋体"/>
          <w:color w:val="auto"/>
          <w:sz w:val="28"/>
          <w:szCs w:val="28"/>
          <w:highlight w:val="none"/>
        </w:rPr>
        <w:t>企业</w:t>
      </w:r>
      <w:bookmarkEnd w:id="214"/>
      <w:bookmarkEnd w:id="215"/>
      <w:r>
        <w:rPr>
          <w:rFonts w:hint="eastAsia" w:hAnsi="宋体"/>
          <w:color w:val="auto"/>
          <w:sz w:val="28"/>
          <w:szCs w:val="28"/>
          <w:highlight w:val="none"/>
        </w:rPr>
        <w:t>声明函（如有）</w:t>
      </w:r>
    </w:p>
    <w:p>
      <w:pPr>
        <w:rPr>
          <w:rFonts w:hint="eastAsia" w:ascii="宋体" w:hAnsi="宋体" w:eastAsia="宋体" w:cs="宋体"/>
          <w:color w:val="auto"/>
          <w:highlight w:val="none"/>
        </w:rPr>
      </w:pPr>
      <w:r>
        <w:rPr>
          <w:rFonts w:hint="eastAsia" w:ascii="宋体" w:hAnsi="宋体" w:eastAsia="宋体" w:cs="宋体"/>
          <w:b/>
          <w:color w:val="auto"/>
          <w:highlight w:val="none"/>
        </w:rPr>
        <w:t>（以下格式文件由投标人根据需要选用）</w:t>
      </w:r>
    </w:p>
    <w:p>
      <w:pPr>
        <w:spacing w:line="360" w:lineRule="auto"/>
        <w:ind w:firstLine="482"/>
        <w:jc w:val="center"/>
        <w:rPr>
          <w:rFonts w:hint="eastAsia" w:ascii="宋体" w:hAnsi="宋体" w:eastAsia="宋体" w:cs="宋体"/>
          <w:b/>
          <w:color w:val="auto"/>
          <w:kern w:val="44"/>
          <w:highlight w:val="none"/>
          <w:lang w:bidi="ar"/>
        </w:rPr>
      </w:pPr>
    </w:p>
    <w:p>
      <w:pPr>
        <w:spacing w:line="360" w:lineRule="auto"/>
        <w:ind w:firstLine="1405" w:firstLineChars="500"/>
        <w:jc w:val="both"/>
        <w:rPr>
          <w:rFonts w:ascii="宋体" w:hAnsi="宋体"/>
          <w:b/>
          <w:bCs/>
          <w:color w:val="auto"/>
          <w:sz w:val="28"/>
          <w:szCs w:val="28"/>
          <w:highlight w:val="none"/>
        </w:rPr>
      </w:pPr>
      <w:r>
        <w:rPr>
          <w:rFonts w:hint="eastAsia" w:ascii="宋体" w:hAnsi="宋体"/>
          <w:b/>
          <w:bCs/>
          <w:color w:val="auto"/>
          <w:sz w:val="28"/>
          <w:szCs w:val="28"/>
          <w:highlight w:val="none"/>
        </w:rPr>
        <w:t>中小企业声明函（如有）</w:t>
      </w:r>
    </w:p>
    <w:p>
      <w:pPr>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u w:val="single"/>
          <w:lang w:bidi="ar"/>
        </w:rPr>
        <w:t xml:space="preserve">   （投标人）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郑重声明，根据《关于印发中小企业划型标准规定的通知》（工信部联企业〔2011〕300号）的规定，</w:t>
      </w:r>
      <w:r>
        <w:rPr>
          <w:rFonts w:ascii="宋体" w:hAnsi="宋体" w:cs="宋体"/>
          <w:color w:val="auto"/>
          <w:sz w:val="24"/>
          <w:szCs w:val="24"/>
          <w:highlight w:val="none"/>
          <w:u w:val="single"/>
          <w:lang w:bidi="ar"/>
        </w:rPr>
        <w:t>（投标人名称）</w:t>
      </w:r>
      <w:r>
        <w:rPr>
          <w:rFonts w:hint="eastAsia" w:ascii="宋体" w:hAnsi="宋体" w:cs="宋体"/>
          <w:color w:val="auto"/>
          <w:sz w:val="24"/>
          <w:szCs w:val="24"/>
          <w:highlight w:val="none"/>
          <w:u w:val="single"/>
          <w:lang w:bidi="ar"/>
        </w:rPr>
        <w:t>...</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为符合政策要求的中小企业。</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bidi="ar"/>
        </w:rPr>
        <w:t>具体情况如下：</w:t>
      </w:r>
    </w:p>
    <w:p>
      <w:pPr>
        <w:numPr>
          <w:ilvl w:val="0"/>
          <w:numId w:val="3"/>
        </w:numPr>
        <w:spacing w:line="360" w:lineRule="auto"/>
        <w:ind w:firstLine="480"/>
        <w:rPr>
          <w:rFonts w:ascii="宋体" w:hAnsi="宋体" w:cs="宋体"/>
          <w:color w:val="auto"/>
          <w:sz w:val="24"/>
          <w:szCs w:val="24"/>
          <w:highlight w:val="none"/>
          <w:lang w:bidi="ar"/>
        </w:rPr>
      </w:pP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lang w:bidi="ar"/>
        </w:rPr>
        <w:t>，属于</w:t>
      </w:r>
      <w:r>
        <w:rPr>
          <w:rFonts w:hint="eastAsia" w:ascii="宋体" w:hAnsi="宋体" w:cs="宋体"/>
          <w:color w:val="auto"/>
          <w:sz w:val="24"/>
          <w:szCs w:val="24"/>
          <w:highlight w:val="none"/>
          <w:u w:val="single"/>
          <w:lang w:bidi="ar"/>
        </w:rPr>
        <w:t>中小企业划型标准规定的</w:t>
      </w:r>
      <w:r>
        <w:rPr>
          <w:rFonts w:hint="eastAsia" w:ascii="宋体" w:hAnsi="宋体" w:cs="宋体"/>
          <w:b/>
          <w:bCs/>
          <w:color w:val="auto"/>
          <w:sz w:val="24"/>
          <w:szCs w:val="24"/>
          <w:highlight w:val="none"/>
          <w:u w:val="single"/>
          <w:lang w:bidi="ar"/>
        </w:rPr>
        <w:t>其他未列明</w:t>
      </w:r>
      <w:r>
        <w:rPr>
          <w:rFonts w:hint="eastAsia" w:ascii="宋体" w:hAnsi="宋体" w:cs="宋体"/>
          <w:color w:val="auto"/>
          <w:sz w:val="24"/>
          <w:szCs w:val="24"/>
          <w:highlight w:val="none"/>
          <w:lang w:bidi="ar"/>
        </w:rPr>
        <w:t>行业；承接企业为</w:t>
      </w:r>
      <w:r>
        <w:rPr>
          <w:rFonts w:hint="eastAsia" w:ascii="宋体" w:hAnsi="宋体" w:cs="宋体"/>
          <w:color w:val="auto"/>
          <w:sz w:val="24"/>
          <w:szCs w:val="24"/>
          <w:highlight w:val="none"/>
          <w:u w:val="single"/>
          <w:lang w:bidi="ar"/>
        </w:rPr>
        <w:t xml:space="preserve">   （企业名称）   </w:t>
      </w:r>
      <w:r>
        <w:rPr>
          <w:rFonts w:hint="eastAsia" w:ascii="宋体" w:hAnsi="宋体" w:cs="宋体"/>
          <w:color w:val="auto"/>
          <w:sz w:val="24"/>
          <w:szCs w:val="24"/>
          <w:highlight w:val="none"/>
          <w:lang w:bidi="ar"/>
        </w:rPr>
        <w:t>，从业人员__________________人，属于</w:t>
      </w:r>
      <w:r>
        <w:rPr>
          <w:rFonts w:hint="eastAsia" w:ascii="宋体" w:hAnsi="宋体" w:cs="宋体"/>
          <w:color w:val="auto"/>
          <w:sz w:val="24"/>
          <w:szCs w:val="24"/>
          <w:highlight w:val="none"/>
          <w:u w:val="single"/>
          <w:lang w:bidi="ar"/>
        </w:rPr>
        <w:t>（小型企业、微型企业）</w:t>
      </w:r>
      <w:r>
        <w:rPr>
          <w:rFonts w:hint="eastAsia" w:ascii="宋体" w:hAnsi="宋体" w:cs="宋体"/>
          <w:color w:val="auto"/>
          <w:sz w:val="24"/>
          <w:szCs w:val="24"/>
          <w:highlight w:val="none"/>
          <w:lang w:bidi="ar"/>
        </w:rPr>
        <w:t>；在本项目中拟承担</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工作，在本项目的合同份额占合同总金额</w:t>
      </w:r>
      <w:r>
        <w:rPr>
          <w:rFonts w:hint="eastAsia" w:ascii="宋体" w:hAnsi="宋体" w:cs="宋体"/>
          <w:b/>
          <w:bCs/>
          <w:color w:val="auto"/>
          <w:sz w:val="24"/>
          <w:szCs w:val="24"/>
          <w:highlight w:val="none"/>
          <w:u w:val="single"/>
          <w:lang w:bidi="ar"/>
        </w:rPr>
        <w:t xml:space="preserve">    </w:t>
      </w:r>
      <w:r>
        <w:rPr>
          <w:rFonts w:hint="eastAsia" w:ascii="宋体" w:hAnsi="宋体" w:cs="宋体"/>
          <w:b/>
          <w:bCs/>
          <w:color w:val="auto"/>
          <w:sz w:val="24"/>
          <w:szCs w:val="24"/>
          <w:highlight w:val="none"/>
          <w:lang w:bidi="ar"/>
        </w:rPr>
        <w:t>%</w:t>
      </w:r>
      <w:r>
        <w:rPr>
          <w:rFonts w:hint="eastAsia" w:ascii="宋体" w:hAnsi="宋体" w:cs="宋体"/>
          <w:color w:val="auto"/>
          <w:sz w:val="24"/>
          <w:szCs w:val="24"/>
          <w:highlight w:val="none"/>
          <w:lang w:bidi="ar"/>
        </w:rPr>
        <w:t>。</w:t>
      </w:r>
    </w:p>
    <w:p>
      <w:pPr>
        <w:spacing w:line="360" w:lineRule="auto"/>
        <w:ind w:firstLine="48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bidi="ar"/>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本企业对上述声明内容的真实性负责。如有虚假，将依法承担相应责任。</w:t>
      </w:r>
    </w:p>
    <w:p>
      <w:pPr>
        <w:spacing w:line="360" w:lineRule="auto"/>
        <w:jc w:val="right"/>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投标人（盖章）：</w:t>
      </w:r>
    </w:p>
    <w:p>
      <w:pPr>
        <w:spacing w:line="360" w:lineRule="auto"/>
        <w:jc w:val="center"/>
        <w:rPr>
          <w:rFonts w:ascii="宋体" w:hAnsi="宋体"/>
          <w:color w:val="auto"/>
          <w:sz w:val="24"/>
          <w:szCs w:val="24"/>
          <w:highlight w:val="none"/>
        </w:rPr>
      </w:pPr>
      <w:r>
        <w:rPr>
          <w:rFonts w:hint="eastAsia" w:ascii="宋体" w:hAnsi="宋体" w:cs="宋体"/>
          <w:color w:val="auto"/>
          <w:sz w:val="24"/>
          <w:szCs w:val="24"/>
          <w:highlight w:val="none"/>
        </w:rPr>
        <w:t>日期：</w:t>
      </w:r>
    </w:p>
    <w:p>
      <w:pPr>
        <w:wordWrap w:val="0"/>
        <w:topLinePunct/>
        <w:spacing w:line="276" w:lineRule="auto"/>
        <w:rPr>
          <w:rFonts w:ascii="宋体" w:hAnsi="宋体"/>
          <w:color w:val="auto"/>
          <w:szCs w:val="21"/>
          <w:highlight w:val="none"/>
        </w:rPr>
      </w:pPr>
    </w:p>
    <w:p>
      <w:pPr>
        <w:wordWrap w:val="0"/>
        <w:topLinePunct/>
        <w:spacing w:line="276" w:lineRule="auto"/>
        <w:rPr>
          <w:rFonts w:ascii="宋体" w:hAnsi="宋体"/>
          <w:color w:val="auto"/>
          <w:szCs w:val="21"/>
          <w:highlight w:val="none"/>
        </w:rPr>
      </w:pPr>
      <w:r>
        <w:rPr>
          <w:rFonts w:hint="eastAsia" w:ascii="宋体" w:hAnsi="宋体"/>
          <w:color w:val="auto"/>
          <w:szCs w:val="21"/>
          <w:highlight w:val="none"/>
        </w:rPr>
        <w:t>注：</w:t>
      </w:r>
    </w:p>
    <w:p>
      <w:pPr>
        <w:wordWrap w:val="0"/>
        <w:topLinePunct/>
        <w:spacing w:line="276" w:lineRule="auto"/>
        <w:rPr>
          <w:rFonts w:ascii="宋体" w:hAnsi="宋体"/>
          <w:color w:val="auto"/>
          <w:szCs w:val="21"/>
          <w:highlight w:val="none"/>
        </w:rPr>
      </w:pPr>
      <w:r>
        <w:rPr>
          <w:rFonts w:hint="eastAsia" w:ascii="宋体" w:hAnsi="宋体"/>
          <w:color w:val="auto"/>
          <w:szCs w:val="21"/>
          <w:highlight w:val="none"/>
        </w:rPr>
        <w:t>1、营业收入、资产总额填报上一年度数据，无上一年度数据的新成立企业可不填报。</w:t>
      </w:r>
    </w:p>
    <w:p>
      <w:pPr>
        <w:wordWrap w:val="0"/>
        <w:topLinePunct/>
        <w:spacing w:line="276" w:lineRule="auto"/>
        <w:rPr>
          <w:rFonts w:ascii="宋体" w:hAnsi="宋体"/>
          <w:color w:val="auto"/>
          <w:szCs w:val="21"/>
          <w:highlight w:val="none"/>
        </w:rPr>
      </w:pPr>
      <w:r>
        <w:rPr>
          <w:rFonts w:hint="eastAsia" w:ascii="宋体" w:hAnsi="宋体"/>
          <w:color w:val="auto"/>
          <w:szCs w:val="21"/>
          <w:highlight w:val="none"/>
        </w:rPr>
        <w:t>2、投标人可参考《广东省财政厅关于进一步规范政府采购活动中落实促进中小企业发展政策的通知（粤财采购〔2024〕11 号）》（http://czt.gd.gov.cn/zfcg/content/post_4497011.html）、《广州市政府采购中心关于规范填写《中小企业声明函》的温馨提示》（集团公告- 详情页https://www.gzggzy.cn/jtgg/1001279.jhtml）填写，《中小企业声明函》由参加招投标活动的</w:t>
      </w:r>
      <w:r>
        <w:rPr>
          <w:rFonts w:hint="eastAsia" w:ascii="宋体" w:hAnsi="宋体"/>
          <w:b/>
          <w:color w:val="auto"/>
          <w:szCs w:val="21"/>
          <w:highlight w:val="none"/>
        </w:rPr>
        <w:t>投标人</w:t>
      </w:r>
      <w:r>
        <w:rPr>
          <w:rFonts w:hint="eastAsia" w:ascii="宋体" w:hAnsi="宋体"/>
          <w:color w:val="auto"/>
          <w:szCs w:val="21"/>
          <w:highlight w:val="none"/>
        </w:rPr>
        <w:t>出具。</w:t>
      </w:r>
      <w:r>
        <w:rPr>
          <w:rFonts w:hint="eastAsia" w:ascii="宋体" w:hAnsi="宋体"/>
          <w:b/>
          <w:bCs/>
          <w:color w:val="auto"/>
          <w:szCs w:val="21"/>
          <w:highlight w:val="none"/>
        </w:rPr>
        <w:t>以联合体形式参加投标活动的，《中小企业声明函》中需填写联合体中的小微企业相关信息。</w:t>
      </w:r>
    </w:p>
    <w:p>
      <w:pPr>
        <w:wordWrap w:val="0"/>
        <w:topLinePunct/>
        <w:spacing w:line="276" w:lineRule="auto"/>
        <w:rPr>
          <w:color w:val="auto"/>
          <w:szCs w:val="21"/>
          <w:highlight w:val="none"/>
        </w:rPr>
      </w:pPr>
      <w:r>
        <w:rPr>
          <w:rFonts w:hint="eastAsia" w:ascii="宋体" w:hAnsi="宋体"/>
          <w:color w:val="auto"/>
          <w:szCs w:val="21"/>
          <w:highlight w:val="none"/>
        </w:rPr>
        <w:t>3、投标人应当自行核实是否属于小微企业，并认真填写中小企业声明函，若有虚假将追究其责任。</w:t>
      </w:r>
    </w:p>
    <w:p>
      <w:pPr>
        <w:pStyle w:val="12"/>
        <w:kinsoku w:val="0"/>
        <w:overflowPunct w:val="0"/>
        <w:ind w:left="0" w:leftChars="0" w:firstLine="0" w:firstLineChars="0"/>
        <w:jc w:val="both"/>
        <w:rPr>
          <w:rFonts w:hint="eastAsia" w:ascii="宋体" w:hAnsi="宋体" w:eastAsia="宋体" w:cs="Times New Roman"/>
          <w:snapToGrid w:val="0"/>
          <w:color w:val="auto"/>
          <w:spacing w:val="4"/>
          <w:sz w:val="21"/>
          <w:szCs w:val="21"/>
          <w:highlight w:val="none"/>
          <w:lang w:val="en-US" w:eastAsia="zh-CN" w:bidi="ar-SA"/>
        </w:rPr>
      </w:pPr>
      <w:r>
        <w:rPr>
          <w:rFonts w:hint="eastAsia" w:ascii="宋体" w:hAnsi="宋体"/>
          <w:color w:val="auto"/>
          <w:szCs w:val="21"/>
          <w:highlight w:val="none"/>
        </w:rPr>
        <w:t>4、《中小企业声明函》，只作为报价评审优惠依据，不作为否决投标条款。</w:t>
      </w:r>
    </w:p>
    <w:p>
      <w:pPr>
        <w:pStyle w:val="62"/>
        <w:spacing w:line="360" w:lineRule="auto"/>
        <w:jc w:val="both"/>
        <w:outlineLvl w:val="3"/>
        <w:rPr>
          <w:rFonts w:hint="default" w:ascii="宋体" w:hAnsi="宋体" w:cs="宋体"/>
          <w:bCs/>
          <w:color w:val="auto"/>
          <w:sz w:val="28"/>
          <w:szCs w:val="28"/>
          <w:highlight w:val="none"/>
        </w:rPr>
      </w:pPr>
      <w:r>
        <w:rPr>
          <w:rFonts w:hint="eastAsia" w:ascii="宋体" w:hAnsi="宋体" w:eastAsia="宋体" w:cs="宋体"/>
          <w:color w:val="auto"/>
          <w:szCs w:val="21"/>
          <w:highlight w:val="none"/>
        </w:rPr>
        <w:br w:type="page"/>
      </w:r>
      <w:r>
        <w:rPr>
          <w:rFonts w:hint="default" w:ascii="宋体" w:hAnsi="宋体" w:cs="宋体"/>
          <w:bCs/>
          <w:color w:val="auto"/>
          <w:kern w:val="2"/>
          <w:sz w:val="28"/>
          <w:szCs w:val="28"/>
          <w:highlight w:val="none"/>
        </w:rPr>
        <w:t>（4）监狱企业证明文件（如有）</w:t>
      </w:r>
    </w:p>
    <w:p>
      <w:pPr>
        <w:pStyle w:val="62"/>
        <w:spacing w:line="360" w:lineRule="auto"/>
        <w:jc w:val="center"/>
        <w:outlineLvl w:val="3"/>
        <w:rPr>
          <w:rFonts w:hint="default" w:ascii="宋体" w:hAnsi="宋体" w:cs="宋体"/>
          <w:b/>
          <w:color w:val="auto"/>
          <w:sz w:val="24"/>
          <w:szCs w:val="24"/>
          <w:highlight w:val="none"/>
        </w:rPr>
      </w:pPr>
      <w:r>
        <w:rPr>
          <w:rFonts w:ascii="宋体" w:hAnsi="宋体" w:cs="宋体"/>
          <w:b/>
          <w:color w:val="auto"/>
          <w:kern w:val="2"/>
          <w:sz w:val="24"/>
          <w:szCs w:val="24"/>
          <w:highlight w:val="none"/>
        </w:rPr>
        <w:t>监狱企业证明文件（如有）</w:t>
      </w:r>
    </w:p>
    <w:p>
      <w:pPr>
        <w:pStyle w:val="62"/>
        <w:jc w:val="center"/>
        <w:outlineLvl w:val="3"/>
        <w:rPr>
          <w:rFonts w:hint="eastAsia" w:ascii="宋体" w:hAnsi="宋体" w:eastAsia="宋体" w:cs="宋体"/>
          <w:bCs/>
          <w:color w:val="auto"/>
          <w:highlight w:val="none"/>
          <w:lang w:eastAsia="zh-CN"/>
        </w:rPr>
      </w:pPr>
    </w:p>
    <w:p>
      <w:pPr>
        <w:pStyle w:val="62"/>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bCs/>
          <w:color w:val="auto"/>
          <w:highlight w:val="none"/>
          <w:lang w:val="en-US" w:eastAsia="zh-CN"/>
        </w:rPr>
      </w:pPr>
    </w:p>
    <w:p>
      <w:pPr>
        <w:pStyle w:val="62"/>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bCs/>
          <w:color w:val="auto"/>
          <w:highlight w:val="none"/>
          <w:lang w:val="en-US" w:eastAsia="zh-CN"/>
        </w:rPr>
      </w:pPr>
    </w:p>
    <w:p>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numPr>
          <w:ilvl w:val="0"/>
          <w:numId w:val="4"/>
        </w:numP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监狱企业参与投标的，需提供由省级以上监狱管理局、戒毒管理局（含新疆生产建设兵团）出具的属于监狱企业的证明文件。</w:t>
      </w:r>
      <w:r>
        <w:rPr>
          <w:rFonts w:hint="eastAsia" w:ascii="宋体" w:hAnsi="宋体" w:eastAsia="宋体" w:cs="宋体"/>
          <w:b/>
          <w:bCs w:val="0"/>
          <w:color w:val="auto"/>
          <w:szCs w:val="21"/>
          <w:highlight w:val="none"/>
        </w:rPr>
        <w:t>监狱企业视同小微企业，无需再提供《中小企业声明函》。</w:t>
      </w:r>
    </w:p>
    <w:p>
      <w:pPr>
        <w:keepNext w:val="0"/>
        <w:keepLines w:val="0"/>
        <w:pageBreakBefore w:val="0"/>
        <w:numPr>
          <w:ilvl w:val="0"/>
          <w:numId w:val="4"/>
        </w:numP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如非</w:t>
      </w:r>
      <w:r>
        <w:rPr>
          <w:rFonts w:hint="eastAsia" w:ascii="宋体" w:hAnsi="宋体" w:eastAsia="宋体" w:cs="宋体"/>
          <w:b w:val="0"/>
          <w:bCs/>
          <w:color w:val="auto"/>
          <w:szCs w:val="21"/>
          <w:highlight w:val="none"/>
        </w:rPr>
        <w:t>监狱企业</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不需要提供证明文件。</w:t>
      </w:r>
    </w:p>
    <w:p>
      <w:pPr>
        <w:keepNext w:val="0"/>
        <w:keepLines w:val="0"/>
        <w:pageBreakBefore w:val="0"/>
        <w:kinsoku/>
        <w:wordWrap/>
        <w:overflowPunct/>
        <w:topLinePunct w:val="0"/>
        <w:bidi w:val="0"/>
        <w:snapToGrid/>
        <w:spacing w:line="360" w:lineRule="auto"/>
        <w:ind w:firstLine="960" w:firstLineChars="40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br w:type="page"/>
      </w:r>
    </w:p>
    <w:p>
      <w:pPr>
        <w:pStyle w:val="62"/>
        <w:ind w:firstLine="480"/>
        <w:rPr>
          <w:rFonts w:hint="eastAsia" w:ascii="宋体" w:hAnsi="宋体" w:eastAsia="宋体" w:cs="宋体"/>
          <w:color w:val="auto"/>
          <w:highlight w:val="none"/>
        </w:rPr>
      </w:pPr>
    </w:p>
    <w:p>
      <w:pPr>
        <w:pStyle w:val="62"/>
        <w:numPr>
          <w:ilvl w:val="0"/>
          <w:numId w:val="5"/>
        </w:numPr>
        <w:jc w:val="both"/>
        <w:outlineLvl w:val="3"/>
        <w:rPr>
          <w:rFonts w:hint="eastAsia" w:ascii="宋体" w:hAnsi="宋体" w:eastAsia="宋体" w:cs="宋体"/>
          <w:b/>
          <w:bCs w:val="0"/>
          <w:color w:val="auto"/>
          <w:kern w:val="2"/>
          <w:sz w:val="32"/>
          <w:szCs w:val="32"/>
          <w:highlight w:val="none"/>
          <w:lang w:val="en-US" w:eastAsia="zh-CN" w:bidi="ar-SA"/>
        </w:rPr>
      </w:pPr>
      <w:r>
        <w:rPr>
          <w:rFonts w:ascii="宋体" w:hAnsi="宋体" w:cs="宋体"/>
          <w:bCs/>
          <w:color w:val="auto"/>
          <w:kern w:val="2"/>
          <w:sz w:val="24"/>
          <w:szCs w:val="24"/>
          <w:highlight w:val="none"/>
        </w:rPr>
        <w:t>残疾</w:t>
      </w:r>
      <w:bookmarkStart w:id="216" w:name="OLE_LINK98"/>
      <w:r>
        <w:rPr>
          <w:rFonts w:ascii="宋体" w:hAnsi="宋体" w:cs="宋体"/>
          <w:bCs/>
          <w:color w:val="auto"/>
          <w:kern w:val="2"/>
          <w:sz w:val="24"/>
          <w:szCs w:val="24"/>
          <w:highlight w:val="none"/>
        </w:rPr>
        <w:t>人</w:t>
      </w:r>
      <w:bookmarkEnd w:id="216"/>
      <w:r>
        <w:rPr>
          <w:rFonts w:ascii="宋体" w:hAnsi="宋体" w:cs="宋体"/>
          <w:bCs/>
          <w:color w:val="auto"/>
          <w:kern w:val="2"/>
          <w:sz w:val="24"/>
          <w:szCs w:val="24"/>
          <w:highlight w:val="none"/>
        </w:rPr>
        <w:t>福利性单位声明函（如有）</w:t>
      </w:r>
    </w:p>
    <w:p>
      <w:pPr>
        <w:pStyle w:val="62"/>
        <w:numPr>
          <w:ilvl w:val="-1"/>
          <w:numId w:val="0"/>
        </w:numPr>
        <w:ind w:firstLine="1606" w:firstLineChars="500"/>
        <w:jc w:val="both"/>
        <w:outlineLvl w:val="3"/>
        <w:rPr>
          <w:rFonts w:hint="eastAsia" w:ascii="宋体" w:hAnsi="宋体" w:eastAsia="宋体" w:cs="宋体"/>
          <w:b/>
          <w:bCs w:val="0"/>
          <w:color w:val="auto"/>
          <w:kern w:val="2"/>
          <w:sz w:val="32"/>
          <w:szCs w:val="32"/>
          <w:highlight w:val="none"/>
          <w:lang w:eastAsia="zh-CN" w:bidi="ar-SA"/>
        </w:rPr>
      </w:pPr>
    </w:p>
    <w:p>
      <w:pPr>
        <w:pStyle w:val="62"/>
        <w:numPr>
          <w:ilvl w:val="-1"/>
          <w:numId w:val="0"/>
        </w:numPr>
        <w:ind w:firstLine="2249" w:firstLineChars="700"/>
        <w:jc w:val="both"/>
        <w:outlineLvl w:val="3"/>
        <w:rPr>
          <w:rFonts w:hint="eastAsia" w:ascii="宋体" w:hAnsi="宋体" w:eastAsia="宋体" w:cs="宋体"/>
          <w:b w:val="0"/>
          <w:bCs/>
          <w:color w:val="auto"/>
          <w:kern w:val="2"/>
          <w:sz w:val="32"/>
          <w:szCs w:val="32"/>
          <w:highlight w:val="none"/>
          <w:lang w:eastAsia="zh-CN" w:bidi="ar-SA"/>
        </w:rPr>
      </w:pPr>
      <w:r>
        <w:rPr>
          <w:rFonts w:hint="eastAsia" w:ascii="宋体" w:hAnsi="宋体" w:eastAsia="宋体" w:cs="宋体"/>
          <w:b/>
          <w:bCs w:val="0"/>
          <w:color w:val="auto"/>
          <w:kern w:val="2"/>
          <w:sz w:val="32"/>
          <w:szCs w:val="32"/>
          <w:highlight w:val="none"/>
          <w:lang w:eastAsia="zh-CN" w:bidi="ar-SA"/>
        </w:rPr>
        <w:t>残疾人福利性单位声明函（</w:t>
      </w:r>
      <w:r>
        <w:rPr>
          <w:rFonts w:hint="eastAsia" w:ascii="宋体" w:hAnsi="宋体" w:eastAsia="宋体" w:cs="宋体"/>
          <w:b/>
          <w:bCs w:val="0"/>
          <w:color w:val="auto"/>
          <w:kern w:val="2"/>
          <w:sz w:val="32"/>
          <w:szCs w:val="32"/>
          <w:highlight w:val="none"/>
          <w:lang w:val="en-US" w:eastAsia="zh-CN" w:bidi="ar-SA"/>
        </w:rPr>
        <w:t>如有</w:t>
      </w:r>
      <w:r>
        <w:rPr>
          <w:rFonts w:hint="eastAsia" w:ascii="宋体" w:hAnsi="宋体" w:eastAsia="宋体" w:cs="宋体"/>
          <w:b/>
          <w:bCs w:val="0"/>
          <w:color w:val="auto"/>
          <w:kern w:val="2"/>
          <w:sz w:val="32"/>
          <w:szCs w:val="32"/>
          <w:highlight w:val="none"/>
          <w:lang w:eastAsia="zh-CN" w:bidi="ar-SA"/>
        </w:rPr>
        <w:t>）</w:t>
      </w:r>
    </w:p>
    <w:p>
      <w:pPr>
        <w:pStyle w:val="62"/>
        <w:spacing w:line="360" w:lineRule="auto"/>
        <w:ind w:firstLine="480" w:firstLineChars="200"/>
        <w:rPr>
          <w:rFonts w:hint="eastAsia" w:ascii="宋体" w:hAnsi="宋体" w:eastAsia="宋体" w:cs="宋体"/>
          <w:color w:val="auto"/>
          <w:sz w:val="24"/>
          <w:szCs w:val="20"/>
          <w:highlight w:val="none"/>
        </w:rPr>
      </w:pPr>
    </w:p>
    <w:p>
      <w:pPr>
        <w:pStyle w:val="62"/>
        <w:spacing w:line="360" w:lineRule="auto"/>
        <w:rPr>
          <w:rFonts w:hint="eastAsia" w:ascii="宋体" w:hAnsi="宋体" w:eastAsia="宋体" w:cs="宋体"/>
          <w:color w:val="auto"/>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（招标人）</w:t>
      </w:r>
      <w:r>
        <w:rPr>
          <w:rFonts w:hint="eastAsia" w:ascii="宋体" w:hAnsi="宋体" w:eastAsia="宋体" w:cs="宋体"/>
          <w:color w:val="auto"/>
          <w:sz w:val="24"/>
          <w:szCs w:val="20"/>
          <w:highlight w:val="none"/>
          <w:u w:val="single"/>
          <w:lang w:val="en-US" w:eastAsia="zh-CN"/>
        </w:rPr>
        <w:t xml:space="preserve">         </w:t>
      </w:r>
    </w:p>
    <w:p>
      <w:pPr>
        <w:pStyle w:val="6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0"/>
          <w:highlight w:val="none"/>
          <w:u w:val="single"/>
        </w:rPr>
        <w:t xml:space="preserve">        （招标人）</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项目名称</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由本单位承担工程。</w:t>
      </w:r>
    </w:p>
    <w:p>
      <w:pPr>
        <w:pStyle w:val="6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napToGrid/>
        <w:spacing w:line="360" w:lineRule="auto"/>
        <w:ind w:firstLine="5040" w:firstLineChars="2100"/>
        <w:jc w:val="both"/>
        <w:rPr>
          <w:rFonts w:hint="eastAsia" w:ascii="宋体" w:hAnsi="宋体" w:eastAsia="宋体" w:cs="宋体"/>
          <w:color w:val="auto"/>
          <w:sz w:val="24"/>
          <w:szCs w:val="20"/>
          <w:highlight w:val="none"/>
          <w:lang w:val="en-US" w:eastAsia="zh-CN"/>
        </w:rPr>
      </w:pPr>
    </w:p>
    <w:p>
      <w:pPr>
        <w:snapToGrid/>
        <w:spacing w:line="360" w:lineRule="auto"/>
        <w:ind w:firstLine="5040" w:firstLineChars="2100"/>
        <w:jc w:val="both"/>
        <w:rPr>
          <w:rFonts w:hint="eastAsia" w:ascii="宋体" w:hAnsi="宋体" w:eastAsia="宋体" w:cs="宋体"/>
          <w:color w:val="auto"/>
          <w:sz w:val="24"/>
          <w:szCs w:val="20"/>
          <w:highlight w:val="none"/>
          <w:lang w:val="en-US" w:eastAsia="zh-CN"/>
        </w:rPr>
      </w:pPr>
    </w:p>
    <w:p>
      <w:pPr>
        <w:pStyle w:val="16"/>
        <w:rPr>
          <w:rFonts w:hint="eastAsia" w:ascii="宋体" w:hAnsi="宋体" w:eastAsia="宋体" w:cs="宋体"/>
          <w:color w:val="auto"/>
          <w:sz w:val="24"/>
          <w:szCs w:val="20"/>
          <w:highlight w:val="none"/>
          <w:lang w:val="en-US" w:eastAsia="zh-CN"/>
        </w:rPr>
      </w:pPr>
    </w:p>
    <w:p>
      <w:pPr>
        <w:pStyle w:val="16"/>
        <w:rPr>
          <w:rFonts w:hint="eastAsia" w:ascii="宋体" w:hAnsi="宋体" w:eastAsia="宋体" w:cs="宋体"/>
          <w:color w:val="auto"/>
          <w:sz w:val="24"/>
          <w:szCs w:val="20"/>
          <w:highlight w:val="none"/>
          <w:lang w:val="en-US" w:eastAsia="zh-CN"/>
        </w:rPr>
      </w:pPr>
    </w:p>
    <w:p>
      <w:pPr>
        <w:spacing w:line="360" w:lineRule="auto"/>
        <w:ind w:firstLine="4080" w:firstLineChars="1700"/>
        <w:jc w:val="both"/>
        <w:rPr>
          <w:rFonts w:hint="eastAsia" w:ascii="宋体" w:hAnsi="宋体" w:eastAsia="宋体" w:cs="宋体"/>
          <w:strike w:val="0"/>
          <w:dstrike w:val="0"/>
          <w:color w:val="auto"/>
          <w:sz w:val="24"/>
          <w:szCs w:val="20"/>
          <w:highlight w:val="none"/>
        </w:rPr>
      </w:pPr>
      <w:r>
        <w:rPr>
          <w:rFonts w:hint="eastAsia" w:ascii="宋体" w:hAnsi="宋体" w:eastAsia="宋体" w:cs="宋体"/>
          <w:strike w:val="0"/>
          <w:dstrike w:val="0"/>
          <w:color w:val="auto"/>
          <w:sz w:val="24"/>
          <w:szCs w:val="20"/>
          <w:highlight w:val="none"/>
          <w:lang w:val="en-US" w:eastAsia="zh-CN"/>
        </w:rPr>
        <w:t>声明单位</w:t>
      </w:r>
      <w:r>
        <w:rPr>
          <w:rFonts w:hint="eastAsia" w:ascii="宋体" w:hAnsi="宋体" w:eastAsia="宋体" w:cs="宋体"/>
          <w:strike w:val="0"/>
          <w:dstrike w:val="0"/>
          <w:color w:val="auto"/>
          <w:sz w:val="24"/>
          <w:szCs w:val="20"/>
          <w:highlight w:val="none"/>
        </w:rPr>
        <w:t>名称（盖章</w:t>
      </w:r>
      <w:r>
        <w:rPr>
          <w:rFonts w:hint="eastAsia" w:ascii="宋体" w:hAnsi="宋体" w:eastAsia="宋体" w:cs="宋体"/>
          <w:strike w:val="0"/>
          <w:dstrike w:val="0"/>
          <w:color w:val="auto"/>
          <w:sz w:val="24"/>
          <w:szCs w:val="20"/>
          <w:highlight w:val="none"/>
          <w:lang w:val="en-US" w:eastAsia="zh-CN"/>
        </w:rPr>
        <w:t>或电子印章</w:t>
      </w:r>
      <w:r>
        <w:rPr>
          <w:rFonts w:hint="eastAsia" w:ascii="宋体" w:hAnsi="宋体" w:eastAsia="宋体" w:cs="宋体"/>
          <w:strike w:val="0"/>
          <w:dstrike w:val="0"/>
          <w:color w:val="auto"/>
          <w:sz w:val="24"/>
          <w:szCs w:val="20"/>
          <w:highlight w:val="none"/>
        </w:rPr>
        <w:t>）：</w:t>
      </w:r>
    </w:p>
    <w:p>
      <w:pPr>
        <w:spacing w:line="360" w:lineRule="auto"/>
        <w:ind w:firstLine="5040" w:firstLineChars="2100"/>
        <w:jc w:val="both"/>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sz w:val="24"/>
          <w:szCs w:val="20"/>
          <w:highlight w:val="none"/>
        </w:rPr>
        <w:t xml:space="preserve">日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期：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年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月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日</w:t>
      </w:r>
    </w:p>
    <w:p>
      <w:pPr>
        <w:pStyle w:val="59"/>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bidi w:val="0"/>
        <w:snapToGrid/>
        <w:spacing w:line="360" w:lineRule="auto"/>
        <w:jc w:val="both"/>
        <w:textAlignment w:val="auto"/>
        <w:rPr>
          <w:rFonts w:hint="eastAsia" w:ascii="宋体" w:hAnsi="宋体" w:eastAsia="宋体" w:cs="宋体"/>
          <w:b w:val="0"/>
          <w:bCs w:val="0"/>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rPr>
        <w:t>注：</w:t>
      </w:r>
      <w:r>
        <w:rPr>
          <w:rFonts w:hint="eastAsia" w:ascii="宋体" w:hAnsi="宋体" w:eastAsia="宋体" w:cs="宋体"/>
          <w:b w:val="0"/>
          <w:bCs w:val="0"/>
          <w:i w:val="0"/>
          <w:iCs w:val="0"/>
          <w:strike w:val="0"/>
          <w:dstrike w:val="0"/>
          <w:color w:val="auto"/>
          <w:szCs w:val="21"/>
          <w:highlight w:val="none"/>
          <w:lang w:val="en-US" w:eastAsia="zh-CN"/>
        </w:rPr>
        <w:t>1、</w:t>
      </w:r>
      <w:r>
        <w:rPr>
          <w:rFonts w:hint="eastAsia" w:ascii="宋体" w:hAnsi="宋体" w:eastAsia="宋体" w:cs="宋体"/>
          <w:b w:val="0"/>
          <w:bCs w:val="0"/>
          <w:i w:val="0"/>
          <w:iCs w:val="0"/>
          <w:strike w:val="0"/>
          <w:dstrike w:val="0"/>
          <w:color w:val="auto"/>
          <w:szCs w:val="21"/>
          <w:highlight w:val="none"/>
        </w:rPr>
        <w:t>残疾人福利性单位声明函（如有）适用于残疾人福利性单位参加招投标活动的。本函未填写的视作未做声明。</w:t>
      </w:r>
      <w:r>
        <w:rPr>
          <w:rFonts w:hint="eastAsia" w:ascii="宋体" w:hAnsi="宋体" w:eastAsia="宋体" w:cs="宋体"/>
          <w:b w:val="0"/>
          <w:bCs w:val="0"/>
          <w:strike w:val="0"/>
          <w:dstrike w:val="0"/>
          <w:color w:val="auto"/>
          <w:sz w:val="21"/>
          <w:szCs w:val="21"/>
          <w:highlight w:val="none"/>
          <w:lang w:val="en-US" w:eastAsia="zh-CN"/>
        </w:rPr>
        <w:t>如不适用，本格式不需要提供。</w:t>
      </w:r>
    </w:p>
    <w:p>
      <w:pPr>
        <w:keepNext w:val="0"/>
        <w:keepLines w:val="0"/>
        <w:pageBreakBefore w:val="0"/>
        <w:widowControl w:val="0"/>
        <w:kinsoku/>
        <w:wordWrap/>
        <w:overflowPunct/>
        <w:bidi w:val="0"/>
        <w:snapToGrid/>
        <w:spacing w:line="360" w:lineRule="auto"/>
        <w:ind w:firstLine="480" w:firstLineChars="200"/>
        <w:jc w:val="both"/>
        <w:textAlignment w:val="auto"/>
        <w:rPr>
          <w:rFonts w:hint="eastAsia" w:ascii="宋体" w:hAnsi="宋体" w:eastAsia="宋体" w:cs="宋体"/>
          <w:b/>
          <w:bCs/>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lang w:val="en-US" w:eastAsia="zh-CN"/>
        </w:rPr>
        <w:t>2、</w:t>
      </w:r>
      <w:r>
        <w:rPr>
          <w:rFonts w:hint="eastAsia" w:ascii="宋体" w:hAnsi="宋体" w:eastAsia="宋体" w:cs="宋体"/>
          <w:b/>
          <w:bCs/>
          <w:i w:val="0"/>
          <w:iCs w:val="0"/>
          <w:strike w:val="0"/>
          <w:dstrike w:val="0"/>
          <w:color w:val="auto"/>
          <w:szCs w:val="21"/>
          <w:highlight w:val="none"/>
        </w:rPr>
        <w:t>残疾人福利性单位视同小微企业，无需再提供《中小企业声明函》。</w:t>
      </w:r>
    </w:p>
    <w:p>
      <w:pPr>
        <w:spacing w:line="360" w:lineRule="auto"/>
        <w:ind w:firstLine="480"/>
        <w:rPr>
          <w:rFonts w:hint="eastAsia" w:ascii="宋体" w:hAnsi="宋体" w:eastAsia="宋体" w:cs="宋体"/>
          <w:color w:val="auto"/>
          <w:highlight w:val="none"/>
          <w:lang w:bidi="ar"/>
        </w:rPr>
      </w:pPr>
    </w:p>
    <w:p>
      <w:pPr>
        <w:widowControl/>
        <w:autoSpaceDE/>
        <w:autoSpaceDN/>
        <w:adjustRightInd/>
        <w:rPr>
          <w:rFonts w:hint="eastAsia" w:ascii="宋体" w:hAnsi="宋体" w:eastAsia="宋体" w:cs="宋体"/>
          <w:b/>
          <w:color w:val="auto"/>
          <w:sz w:val="44"/>
          <w:szCs w:val="44"/>
          <w:highlight w:val="none"/>
        </w:rPr>
      </w:pPr>
      <w:r>
        <w:rPr>
          <w:rFonts w:hint="eastAsia" w:ascii="宋体" w:hAnsi="宋体" w:eastAsia="宋体" w:cs="宋体"/>
          <w:color w:val="auto"/>
          <w:sz w:val="44"/>
          <w:szCs w:val="44"/>
          <w:highlight w:val="none"/>
        </w:rPr>
        <w:br w:type="page"/>
      </w:r>
    </w:p>
    <w:p>
      <w:pPr>
        <w:rPr>
          <w:rFonts w:ascii="宋体" w:hAnsi="宋体" w:cs="宋体"/>
          <w:b/>
          <w:bCs/>
          <w:color w:val="auto"/>
          <w:kern w:val="2"/>
          <w:highlight w:val="none"/>
        </w:rPr>
        <w:sectPr>
          <w:headerReference r:id="rId13" w:type="default"/>
          <w:footerReference r:id="rId14" w:type="default"/>
          <w:pgSz w:w="11905" w:h="16838"/>
          <w:pgMar w:top="1417" w:right="1417" w:bottom="1417" w:left="1417" w:header="992" w:footer="992" w:gutter="0"/>
          <w:cols w:space="720" w:num="1"/>
        </w:sectPr>
      </w:pPr>
      <w:r>
        <w:rPr>
          <w:rFonts w:hint="eastAsia" w:ascii="宋体" w:hAnsi="宋体" w:cs="宋体"/>
          <w:b/>
          <w:bCs/>
          <w:color w:val="auto"/>
          <w:kern w:val="2"/>
          <w:sz w:val="24"/>
          <w:szCs w:val="24"/>
          <w:highlight w:val="none"/>
        </w:rPr>
        <w:t>（</w:t>
      </w:r>
      <w:r>
        <w:rPr>
          <w:rFonts w:ascii="宋体" w:hAnsi="宋体" w:cs="宋体"/>
          <w:b/>
          <w:bCs/>
          <w:color w:val="auto"/>
          <w:kern w:val="2"/>
          <w:sz w:val="24"/>
          <w:szCs w:val="24"/>
          <w:highlight w:val="none"/>
        </w:rPr>
        <w:t>6</w:t>
      </w:r>
      <w:r>
        <w:rPr>
          <w:rFonts w:hint="eastAsia" w:ascii="宋体" w:hAnsi="宋体" w:cs="宋体"/>
          <w:b/>
          <w:bCs/>
          <w:color w:val="auto"/>
          <w:kern w:val="2"/>
          <w:sz w:val="24"/>
          <w:szCs w:val="24"/>
          <w:highlight w:val="none"/>
        </w:rPr>
        <w:t>）投标人认为其他应提交的材料（如有）</w:t>
      </w:r>
    </w:p>
    <w:p>
      <w:pPr>
        <w:pStyle w:val="4"/>
        <w:outlineLvl w:val="1"/>
        <w:rPr>
          <w:rFonts w:hint="eastAsia" w:ascii="宋体" w:hAnsi="宋体" w:eastAsia="宋体" w:cs="宋体"/>
          <w:color w:val="auto"/>
          <w:sz w:val="44"/>
          <w:szCs w:val="44"/>
          <w:highlight w:val="none"/>
        </w:rPr>
      </w:pPr>
      <w:bookmarkStart w:id="217" w:name="_Toc30542"/>
      <w:bookmarkStart w:id="218" w:name="_Toc6735"/>
      <w:bookmarkStart w:id="219" w:name="_Toc16048"/>
      <w:bookmarkStart w:id="220" w:name="_Toc9074"/>
      <w:r>
        <w:rPr>
          <w:rFonts w:hint="eastAsia" w:ascii="宋体" w:hAnsi="宋体" w:eastAsia="宋体" w:cs="宋体"/>
          <w:color w:val="auto"/>
          <w:sz w:val="44"/>
          <w:szCs w:val="44"/>
          <w:highlight w:val="none"/>
        </w:rPr>
        <w:t>第七章 投标人须知前附表规定的其他资料。</w:t>
      </w:r>
      <w:bookmarkEnd w:id="217"/>
      <w:bookmarkEnd w:id="218"/>
      <w:bookmarkEnd w:id="219"/>
      <w:bookmarkEnd w:id="220"/>
    </w:p>
    <w:p>
      <w:pPr>
        <w:rPr>
          <w:rFonts w:hint="eastAsia" w:ascii="宋体" w:hAnsi="宋体" w:eastAsia="宋体" w:cs="宋体"/>
          <w:color w:val="auto"/>
          <w:highlight w:val="none"/>
        </w:rPr>
      </w:pPr>
    </w:p>
    <w:p>
      <w:pPr>
        <w:spacing w:before="120" w:after="120"/>
        <w:ind w:left="0" w:leftChars="0" w:firstLine="0" w:firstLineChars="0"/>
        <w:jc w:val="center"/>
        <w:outlineLvl w:val="9"/>
        <w:rPr>
          <w:rFonts w:hint="eastAsia" w:ascii="宋体" w:hAnsi="宋体" w:eastAsia="宋体" w:cs="宋体"/>
          <w:color w:val="auto"/>
          <w:sz w:val="28"/>
          <w:szCs w:val="22"/>
          <w:highlight w:val="none"/>
        </w:rPr>
      </w:pPr>
      <w:bookmarkStart w:id="221" w:name="_Toc11244"/>
      <w:r>
        <w:rPr>
          <w:rFonts w:hint="eastAsia" w:ascii="宋体" w:hAnsi="宋体" w:eastAsia="宋体" w:cs="宋体"/>
          <w:b/>
          <w:bCs/>
          <w:color w:val="auto"/>
          <w:sz w:val="32"/>
          <w:szCs w:val="28"/>
          <w:highlight w:val="none"/>
        </w:rPr>
        <w:t>否决性条款汇总</w:t>
      </w:r>
      <w:bookmarkEnd w:id="221"/>
    </w:p>
    <w:p>
      <w:pPr>
        <w:spacing w:line="360" w:lineRule="auto"/>
        <w:ind w:firstLine="484" w:firstLineChars="202"/>
        <w:rPr>
          <w:rFonts w:hint="eastAsia" w:ascii="宋体" w:hAnsi="宋体" w:eastAsia="宋体" w:cs="宋体"/>
          <w:color w:val="auto"/>
          <w:highlight w:val="none"/>
          <w:u w:val="single"/>
        </w:rPr>
      </w:pPr>
      <w:r>
        <w:rPr>
          <w:rFonts w:hint="eastAsia" w:ascii="宋体" w:hAnsi="宋体" w:eastAsia="宋体" w:cs="宋体"/>
          <w:color w:val="auto"/>
          <w:highlight w:val="none"/>
          <w:u w:val="single"/>
        </w:rPr>
        <w:t>一、拒绝受理投标文件的情形</w:t>
      </w:r>
    </w:p>
    <w:p>
      <w:pPr>
        <w:spacing w:line="360" w:lineRule="auto"/>
        <w:ind w:firstLine="484" w:firstLineChars="202"/>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1、投标人未在投标截止时间（开标时间）前,通过电子招标投标交易平台投标登记并上传电子投标文件的；</w:t>
      </w:r>
    </w:p>
    <w:p>
      <w:pPr>
        <w:widowControl/>
        <w:autoSpaceDE/>
        <w:autoSpaceDN/>
        <w:adjustRightInd/>
        <w:spacing w:after="13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2、投标人未在规定时间内通过电子招标投标交易平台对已递交的电子投标文件进行解密的。</w:t>
      </w:r>
    </w:p>
    <w:p>
      <w:pPr>
        <w:widowControl/>
        <w:autoSpaceDE/>
        <w:autoSpaceDN/>
        <w:adjustRightInd/>
        <w:spacing w:after="13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二、作无效投标的情形</w:t>
      </w:r>
    </w:p>
    <w:p>
      <w:pPr>
        <w:widowControl/>
        <w:autoSpaceDE/>
        <w:autoSpaceDN/>
        <w:adjustRightInd/>
        <w:spacing w:after="13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投标文件不符合招标文件评标办法中形式评审标准、资格评审标准、响应性评审标准的要求。</w:t>
      </w:r>
    </w:p>
    <w:p>
      <w:pPr>
        <w:tabs>
          <w:tab w:val="left" w:pos="3280"/>
        </w:tabs>
        <w:spacing w:line="360" w:lineRule="auto"/>
        <w:ind w:right="-20" w:firstLine="487" w:firstLineChars="202"/>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注:如出现招标文件的其他条款与本章单列的否决性条款不一致的,以本章条款为准。</w:t>
      </w:r>
    </w:p>
    <w:p>
      <w:pPr>
        <w:widowControl/>
        <w:autoSpaceDE/>
        <w:autoSpaceDN/>
        <w:adjustRightInd/>
        <w:spacing w:after="135" w:line="360" w:lineRule="auto"/>
        <w:ind w:firstLine="480" w:firstLineChars="200"/>
        <w:rPr>
          <w:rFonts w:hint="eastAsia" w:ascii="宋体" w:hAnsi="宋体" w:eastAsia="宋体" w:cs="宋体"/>
          <w:color w:val="auto"/>
          <w:kern w:val="21"/>
          <w:highlight w:val="none"/>
        </w:rPr>
      </w:pPr>
    </w:p>
    <w:sectPr>
      <w:headerReference r:id="rId15" w:type="default"/>
      <w:footerReference r:id="rId16"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131770"/>
      <w:docPartObj>
        <w:docPartGallery w:val="autotext"/>
      </w:docPartObj>
    </w:sdtPr>
    <w:sdtContent>
      <w:p>
        <w:pPr>
          <w:pStyle w:val="18"/>
          <w:jc w:val="center"/>
        </w:pPr>
        <w:r>
          <w:fldChar w:fldCharType="begin"/>
        </w:r>
        <w:r>
          <w:instrText xml:space="preserve">PAGE   \* MERGEFORMAT</w:instrText>
        </w:r>
        <w:r>
          <w:fldChar w:fldCharType="separate"/>
        </w:r>
        <w:r>
          <w:rPr>
            <w:lang w:val="zh-CN"/>
          </w:rPr>
          <w:t>113</w:t>
        </w:r>
        <w:r>
          <w:fldChar w:fldCharType="end"/>
        </w:r>
      </w:p>
    </w:sdtContent>
  </w:sdt>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ind w:left="0"/>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85</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yT9o0wAAAAMBAAAPAAAAAAAAAAEAIAAAACIAAABkcnMvZG93bnJldi54&#10;bWxQSwECFAAUAAAACACHTuJAGvzAR8YBAACPAwAADgAAAAAAAAABACAAAAAiAQAAZHJzL2Uyb0Rv&#10;Yy54bWxQSwUGAAAAAAYABgBZAQAAWgUAAAAA&#10;">
              <v:fill on="f" focussize="0,0"/>
              <v:stroke on="f"/>
              <v:imagedata o:title=""/>
              <o:lock v:ext="edit" aspectratio="f"/>
              <v:textbox inset="0mm,0mm,0mm,0mm">
                <w:txbxContent>
                  <w:p>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85</w:t>
                    </w:r>
                    <w:r>
                      <w:rPr>
                        <w:rFonts w:ascii="Calibri" w:hAnsi="Calibri" w:eastAsia="Calibri"/>
                        <w:w w:val="99"/>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pPr>
          <w:pStyle w:val="18"/>
          <w:jc w:val="center"/>
        </w:pPr>
        <w:r>
          <w:fldChar w:fldCharType="begin"/>
        </w:r>
        <w:r>
          <w:instrText xml:space="preserve">PAGE   \* MERGEFORMAT</w:instrText>
        </w:r>
        <w:r>
          <w:fldChar w:fldCharType="separate"/>
        </w:r>
        <w:r>
          <w:rPr>
            <w:lang w:val="zh-CN"/>
          </w:rPr>
          <w:t>117</w:t>
        </w:r>
        <w:r>
          <w:fldChar w:fldCharType="end"/>
        </w:r>
      </w:p>
    </w:sdtContent>
  </w:sdt>
  <w:p>
    <w:pPr>
      <w:pStyle w:val="12"/>
      <w:kinsoku w:val="0"/>
      <w:overflowPunct w:val="0"/>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1707B"/>
    <w:multiLevelType w:val="singleLevel"/>
    <w:tmpl w:val="A221707B"/>
    <w:lvl w:ilvl="0" w:tentative="0">
      <w:start w:val="2"/>
      <w:numFmt w:val="decimal"/>
      <w:suff w:val="nothing"/>
      <w:lvlText w:val="（%1）"/>
      <w:lvlJc w:val="left"/>
    </w:lvl>
  </w:abstractNum>
  <w:abstractNum w:abstractNumId="1">
    <w:nsid w:val="FC0568FB"/>
    <w:multiLevelType w:val="singleLevel"/>
    <w:tmpl w:val="FC0568FB"/>
    <w:lvl w:ilvl="0" w:tentative="0">
      <w:start w:val="4"/>
      <w:numFmt w:val="chineseCounting"/>
      <w:suff w:val="nothing"/>
      <w:lvlText w:val="%1、"/>
      <w:lvlJc w:val="left"/>
      <w:rPr>
        <w:rFonts w:hint="eastAsia"/>
      </w:rPr>
    </w:lvl>
  </w:abstractNum>
  <w:abstractNum w:abstractNumId="2">
    <w:nsid w:val="1CC287DB"/>
    <w:multiLevelType w:val="singleLevel"/>
    <w:tmpl w:val="1CC287DB"/>
    <w:lvl w:ilvl="0" w:tentative="0">
      <w:start w:val="5"/>
      <w:numFmt w:val="decimal"/>
      <w:suff w:val="nothing"/>
      <w:lvlText w:val="（%1）"/>
      <w:lvlJc w:val="left"/>
    </w:lvl>
  </w:abstractNum>
  <w:abstractNum w:abstractNumId="3">
    <w:nsid w:val="3035DD9E"/>
    <w:multiLevelType w:val="singleLevel"/>
    <w:tmpl w:val="3035DD9E"/>
    <w:lvl w:ilvl="0" w:tentative="0">
      <w:start w:val="1"/>
      <w:numFmt w:val="decimal"/>
      <w:lvlText w:val="%1."/>
      <w:lvlJc w:val="left"/>
      <w:pPr>
        <w:tabs>
          <w:tab w:val="left" w:pos="312"/>
        </w:tabs>
      </w:pPr>
    </w:lvl>
  </w:abstractNum>
  <w:abstractNum w:abstractNumId="4">
    <w:nsid w:val="4FCC7DF6"/>
    <w:multiLevelType w:val="singleLevel"/>
    <w:tmpl w:val="4FCC7DF6"/>
    <w:lvl w:ilvl="0" w:tentative="0">
      <w:start w:val="2"/>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A71C2"/>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1938"/>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783976"/>
    <w:rsid w:val="028A78AE"/>
    <w:rsid w:val="02D51A04"/>
    <w:rsid w:val="0344331C"/>
    <w:rsid w:val="039C3694"/>
    <w:rsid w:val="03DB41BC"/>
    <w:rsid w:val="04162113"/>
    <w:rsid w:val="04BC223F"/>
    <w:rsid w:val="04DA126C"/>
    <w:rsid w:val="05486CD8"/>
    <w:rsid w:val="05BB5302"/>
    <w:rsid w:val="06AB256C"/>
    <w:rsid w:val="08660C6A"/>
    <w:rsid w:val="08F73310"/>
    <w:rsid w:val="08FB186C"/>
    <w:rsid w:val="08FC4BCA"/>
    <w:rsid w:val="08FC51DF"/>
    <w:rsid w:val="0918339F"/>
    <w:rsid w:val="09695DE1"/>
    <w:rsid w:val="09A60DC8"/>
    <w:rsid w:val="09C27272"/>
    <w:rsid w:val="0A6B1FEC"/>
    <w:rsid w:val="0AD96F7B"/>
    <w:rsid w:val="0C104C1F"/>
    <w:rsid w:val="0C5C70D2"/>
    <w:rsid w:val="0D756E7E"/>
    <w:rsid w:val="0DA01D29"/>
    <w:rsid w:val="0EF02D7D"/>
    <w:rsid w:val="0F517A28"/>
    <w:rsid w:val="0F6C0682"/>
    <w:rsid w:val="10062219"/>
    <w:rsid w:val="10804703"/>
    <w:rsid w:val="10913B38"/>
    <w:rsid w:val="11005262"/>
    <w:rsid w:val="114A0833"/>
    <w:rsid w:val="11987B90"/>
    <w:rsid w:val="11E15093"/>
    <w:rsid w:val="132E7181"/>
    <w:rsid w:val="134716E9"/>
    <w:rsid w:val="13623FB2"/>
    <w:rsid w:val="141708A4"/>
    <w:rsid w:val="142E0338"/>
    <w:rsid w:val="149F2FE4"/>
    <w:rsid w:val="14B83FC8"/>
    <w:rsid w:val="15250840"/>
    <w:rsid w:val="15273DFF"/>
    <w:rsid w:val="1571672E"/>
    <w:rsid w:val="15BE6FA9"/>
    <w:rsid w:val="15D55C6E"/>
    <w:rsid w:val="15EF3AF7"/>
    <w:rsid w:val="161C2B3E"/>
    <w:rsid w:val="16465E0D"/>
    <w:rsid w:val="16472A5F"/>
    <w:rsid w:val="166C05AB"/>
    <w:rsid w:val="1672275E"/>
    <w:rsid w:val="168406E3"/>
    <w:rsid w:val="16924BAE"/>
    <w:rsid w:val="1693176C"/>
    <w:rsid w:val="16D32075"/>
    <w:rsid w:val="1715758D"/>
    <w:rsid w:val="175F30F2"/>
    <w:rsid w:val="17864DA4"/>
    <w:rsid w:val="179C1785"/>
    <w:rsid w:val="17E46210"/>
    <w:rsid w:val="17F43647"/>
    <w:rsid w:val="17FA3BE0"/>
    <w:rsid w:val="198253AE"/>
    <w:rsid w:val="19A65341"/>
    <w:rsid w:val="1A4779A1"/>
    <w:rsid w:val="1A974E89"/>
    <w:rsid w:val="1C0A2194"/>
    <w:rsid w:val="1C5A43C0"/>
    <w:rsid w:val="1CFF2872"/>
    <w:rsid w:val="1D0D31E0"/>
    <w:rsid w:val="1D137258"/>
    <w:rsid w:val="1E067C30"/>
    <w:rsid w:val="1EA27958"/>
    <w:rsid w:val="1EAA7ACD"/>
    <w:rsid w:val="1EE53CE9"/>
    <w:rsid w:val="1F4153C3"/>
    <w:rsid w:val="1FAD3EC5"/>
    <w:rsid w:val="1FCD36EA"/>
    <w:rsid w:val="209534C5"/>
    <w:rsid w:val="20CD6908"/>
    <w:rsid w:val="22345E5B"/>
    <w:rsid w:val="225673D8"/>
    <w:rsid w:val="22A30143"/>
    <w:rsid w:val="23B87C1E"/>
    <w:rsid w:val="23E7074D"/>
    <w:rsid w:val="23E9602A"/>
    <w:rsid w:val="243906F0"/>
    <w:rsid w:val="24475584"/>
    <w:rsid w:val="24E707BB"/>
    <w:rsid w:val="25290DD3"/>
    <w:rsid w:val="25A44C59"/>
    <w:rsid w:val="25ED3EFB"/>
    <w:rsid w:val="26A63F87"/>
    <w:rsid w:val="26B306C3"/>
    <w:rsid w:val="271649AE"/>
    <w:rsid w:val="283D2FEC"/>
    <w:rsid w:val="28BC2737"/>
    <w:rsid w:val="28EF1334"/>
    <w:rsid w:val="2921747C"/>
    <w:rsid w:val="295A0648"/>
    <w:rsid w:val="297507A6"/>
    <w:rsid w:val="2A0B4F4C"/>
    <w:rsid w:val="2A657603"/>
    <w:rsid w:val="2A994270"/>
    <w:rsid w:val="2AB90504"/>
    <w:rsid w:val="2B3163E4"/>
    <w:rsid w:val="2B6C3C42"/>
    <w:rsid w:val="2B8325F8"/>
    <w:rsid w:val="2BAD5B8F"/>
    <w:rsid w:val="2BB4677D"/>
    <w:rsid w:val="2BB67139"/>
    <w:rsid w:val="2C520C10"/>
    <w:rsid w:val="2C762C40"/>
    <w:rsid w:val="2D045741"/>
    <w:rsid w:val="2D9B5C29"/>
    <w:rsid w:val="2DEF5453"/>
    <w:rsid w:val="2F2D5955"/>
    <w:rsid w:val="2F3167E7"/>
    <w:rsid w:val="2F9B208F"/>
    <w:rsid w:val="2FAB0637"/>
    <w:rsid w:val="30C67022"/>
    <w:rsid w:val="30CE282F"/>
    <w:rsid w:val="312356FF"/>
    <w:rsid w:val="31973569"/>
    <w:rsid w:val="31A348F2"/>
    <w:rsid w:val="32096215"/>
    <w:rsid w:val="322757E5"/>
    <w:rsid w:val="32292413"/>
    <w:rsid w:val="337B4EF0"/>
    <w:rsid w:val="34401C96"/>
    <w:rsid w:val="349B6ECC"/>
    <w:rsid w:val="355E2940"/>
    <w:rsid w:val="35B20971"/>
    <w:rsid w:val="363C0689"/>
    <w:rsid w:val="364D41F6"/>
    <w:rsid w:val="365712D2"/>
    <w:rsid w:val="36835E6A"/>
    <w:rsid w:val="36A91D74"/>
    <w:rsid w:val="36F80606"/>
    <w:rsid w:val="373B789A"/>
    <w:rsid w:val="374101FF"/>
    <w:rsid w:val="37C07488"/>
    <w:rsid w:val="397877DC"/>
    <w:rsid w:val="3A2931D7"/>
    <w:rsid w:val="3A4A7D8D"/>
    <w:rsid w:val="3AE07D2F"/>
    <w:rsid w:val="3B3766C7"/>
    <w:rsid w:val="3B985F13"/>
    <w:rsid w:val="3BAF6D22"/>
    <w:rsid w:val="3BF045A5"/>
    <w:rsid w:val="3BFD68F1"/>
    <w:rsid w:val="3D22018A"/>
    <w:rsid w:val="3D37175C"/>
    <w:rsid w:val="3D9A6C3F"/>
    <w:rsid w:val="3E265A58"/>
    <w:rsid w:val="3E2A7656"/>
    <w:rsid w:val="3F723AFA"/>
    <w:rsid w:val="3FA7706D"/>
    <w:rsid w:val="3FB12286"/>
    <w:rsid w:val="3FC9068F"/>
    <w:rsid w:val="40632CF4"/>
    <w:rsid w:val="409A44DC"/>
    <w:rsid w:val="40AE2A0E"/>
    <w:rsid w:val="40E0196B"/>
    <w:rsid w:val="412546ED"/>
    <w:rsid w:val="41524DB6"/>
    <w:rsid w:val="41D35EF7"/>
    <w:rsid w:val="426B25D4"/>
    <w:rsid w:val="42CE4911"/>
    <w:rsid w:val="43707776"/>
    <w:rsid w:val="43AF4742"/>
    <w:rsid w:val="43DA3072"/>
    <w:rsid w:val="43DE0B83"/>
    <w:rsid w:val="44293F63"/>
    <w:rsid w:val="44333C72"/>
    <w:rsid w:val="44EE417D"/>
    <w:rsid w:val="44FF247F"/>
    <w:rsid w:val="45350C77"/>
    <w:rsid w:val="45B1654F"/>
    <w:rsid w:val="45DC7EBB"/>
    <w:rsid w:val="45ED440D"/>
    <w:rsid w:val="46157C3C"/>
    <w:rsid w:val="463B050F"/>
    <w:rsid w:val="46EB4CDB"/>
    <w:rsid w:val="471C7F53"/>
    <w:rsid w:val="4752777C"/>
    <w:rsid w:val="482C6361"/>
    <w:rsid w:val="48367579"/>
    <w:rsid w:val="48592ECE"/>
    <w:rsid w:val="48844422"/>
    <w:rsid w:val="48A24875"/>
    <w:rsid w:val="48C04CFB"/>
    <w:rsid w:val="4A66393C"/>
    <w:rsid w:val="4A7D2EA4"/>
    <w:rsid w:val="4A977AF4"/>
    <w:rsid w:val="4B093F26"/>
    <w:rsid w:val="4B217832"/>
    <w:rsid w:val="4B230A05"/>
    <w:rsid w:val="4BD9235C"/>
    <w:rsid w:val="4C1930A0"/>
    <w:rsid w:val="4C7C350E"/>
    <w:rsid w:val="4DF13BD0"/>
    <w:rsid w:val="4E04568A"/>
    <w:rsid w:val="4E3E294A"/>
    <w:rsid w:val="4E9F590E"/>
    <w:rsid w:val="4F2D00A8"/>
    <w:rsid w:val="4F7505EE"/>
    <w:rsid w:val="4FA62AF1"/>
    <w:rsid w:val="4FB46D0C"/>
    <w:rsid w:val="50373AF5"/>
    <w:rsid w:val="506036C9"/>
    <w:rsid w:val="50B65C65"/>
    <w:rsid w:val="515D5533"/>
    <w:rsid w:val="51CE738D"/>
    <w:rsid w:val="51F85506"/>
    <w:rsid w:val="522B768A"/>
    <w:rsid w:val="526E487B"/>
    <w:rsid w:val="531B4789"/>
    <w:rsid w:val="535A5DA4"/>
    <w:rsid w:val="544D38E7"/>
    <w:rsid w:val="545B4B0B"/>
    <w:rsid w:val="54927C0A"/>
    <w:rsid w:val="55264138"/>
    <w:rsid w:val="55BD2AE1"/>
    <w:rsid w:val="56000B25"/>
    <w:rsid w:val="56DF0A43"/>
    <w:rsid w:val="56F5366D"/>
    <w:rsid w:val="56F87B9A"/>
    <w:rsid w:val="57071053"/>
    <w:rsid w:val="57D52571"/>
    <w:rsid w:val="58C66C34"/>
    <w:rsid w:val="58E51746"/>
    <w:rsid w:val="59017396"/>
    <w:rsid w:val="590B30A7"/>
    <w:rsid w:val="596362C7"/>
    <w:rsid w:val="59B2243E"/>
    <w:rsid w:val="5A1170DE"/>
    <w:rsid w:val="5A1D0965"/>
    <w:rsid w:val="5A250E62"/>
    <w:rsid w:val="5A33532D"/>
    <w:rsid w:val="5B0C447B"/>
    <w:rsid w:val="5BC715AF"/>
    <w:rsid w:val="5BDB3376"/>
    <w:rsid w:val="5BF40AEC"/>
    <w:rsid w:val="5CAD483A"/>
    <w:rsid w:val="5D082632"/>
    <w:rsid w:val="5D443CF5"/>
    <w:rsid w:val="5D5E4AAE"/>
    <w:rsid w:val="5DBE13B2"/>
    <w:rsid w:val="5DC0747F"/>
    <w:rsid w:val="5DD43000"/>
    <w:rsid w:val="5E7F3237"/>
    <w:rsid w:val="5EA20CD3"/>
    <w:rsid w:val="5EE4309A"/>
    <w:rsid w:val="5F1D035A"/>
    <w:rsid w:val="5F3538F6"/>
    <w:rsid w:val="5F836D59"/>
    <w:rsid w:val="5FEA20BE"/>
    <w:rsid w:val="5FF4555F"/>
    <w:rsid w:val="6045730F"/>
    <w:rsid w:val="604678A4"/>
    <w:rsid w:val="605230FF"/>
    <w:rsid w:val="608202BA"/>
    <w:rsid w:val="61501F46"/>
    <w:rsid w:val="615076B3"/>
    <w:rsid w:val="61723CCE"/>
    <w:rsid w:val="62127F1E"/>
    <w:rsid w:val="62763CA1"/>
    <w:rsid w:val="629C2F58"/>
    <w:rsid w:val="62AF1C11"/>
    <w:rsid w:val="632443AD"/>
    <w:rsid w:val="633E4358"/>
    <w:rsid w:val="638766EA"/>
    <w:rsid w:val="63A86D8C"/>
    <w:rsid w:val="64C33B59"/>
    <w:rsid w:val="64D94D23"/>
    <w:rsid w:val="64F831CA"/>
    <w:rsid w:val="651B155D"/>
    <w:rsid w:val="654A0785"/>
    <w:rsid w:val="65F71905"/>
    <w:rsid w:val="664D7777"/>
    <w:rsid w:val="66882EA5"/>
    <w:rsid w:val="668C4B37"/>
    <w:rsid w:val="66A355E9"/>
    <w:rsid w:val="66AB743B"/>
    <w:rsid w:val="66CA3897"/>
    <w:rsid w:val="68164ED3"/>
    <w:rsid w:val="68B97345"/>
    <w:rsid w:val="68D73A49"/>
    <w:rsid w:val="692919FC"/>
    <w:rsid w:val="69715E72"/>
    <w:rsid w:val="699D4CD3"/>
    <w:rsid w:val="69FB573C"/>
    <w:rsid w:val="6AA86504"/>
    <w:rsid w:val="6AB53B3C"/>
    <w:rsid w:val="6AC840B3"/>
    <w:rsid w:val="6B340F05"/>
    <w:rsid w:val="6B98713B"/>
    <w:rsid w:val="6B9F2F40"/>
    <w:rsid w:val="6C4D5032"/>
    <w:rsid w:val="6CA43E69"/>
    <w:rsid w:val="6DDA0185"/>
    <w:rsid w:val="6DEB3F8C"/>
    <w:rsid w:val="6E66587A"/>
    <w:rsid w:val="6E700C54"/>
    <w:rsid w:val="6E9A3775"/>
    <w:rsid w:val="6EC501F1"/>
    <w:rsid w:val="6ECF37C4"/>
    <w:rsid w:val="6EFC7F8C"/>
    <w:rsid w:val="6F0737B2"/>
    <w:rsid w:val="6F2B0871"/>
    <w:rsid w:val="6F2D283B"/>
    <w:rsid w:val="6F6C3363"/>
    <w:rsid w:val="6FC55602"/>
    <w:rsid w:val="70316526"/>
    <w:rsid w:val="7169695C"/>
    <w:rsid w:val="722A54E3"/>
    <w:rsid w:val="72482193"/>
    <w:rsid w:val="729329B5"/>
    <w:rsid w:val="72BC1B31"/>
    <w:rsid w:val="72F571CC"/>
    <w:rsid w:val="7341797A"/>
    <w:rsid w:val="73426D24"/>
    <w:rsid w:val="739B7582"/>
    <w:rsid w:val="73FF13C6"/>
    <w:rsid w:val="75B0548E"/>
    <w:rsid w:val="76607052"/>
    <w:rsid w:val="767B079C"/>
    <w:rsid w:val="77045839"/>
    <w:rsid w:val="77B0314A"/>
    <w:rsid w:val="784210E3"/>
    <w:rsid w:val="78A15E32"/>
    <w:rsid w:val="78BE7C47"/>
    <w:rsid w:val="791663CE"/>
    <w:rsid w:val="7AC17867"/>
    <w:rsid w:val="7BCA1988"/>
    <w:rsid w:val="7C0B35E0"/>
    <w:rsid w:val="7CCA50E4"/>
    <w:rsid w:val="7D2F3C22"/>
    <w:rsid w:val="7D6F2271"/>
    <w:rsid w:val="7D7F0EF0"/>
    <w:rsid w:val="7D8C29F1"/>
    <w:rsid w:val="7DCE4049"/>
    <w:rsid w:val="7E724B78"/>
    <w:rsid w:val="7E7F0292"/>
    <w:rsid w:val="7ED834C2"/>
    <w:rsid w:val="7F373E42"/>
    <w:rsid w:val="7F68026A"/>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link w:val="57"/>
    <w:unhideWhenUsed/>
    <w:qFormat/>
    <w:uiPriority w:val="1"/>
    <w:pPr>
      <w:ind w:left="3"/>
      <w:outlineLvl w:val="0"/>
    </w:pPr>
    <w:rPr>
      <w:rFonts w:hint="eastAsia" w:ascii="Microsoft JhengHei" w:hAnsi="Microsoft JhengHei" w:eastAsia="Microsoft JhengHei"/>
    </w:rPr>
  </w:style>
  <w:style w:type="paragraph" w:styleId="4">
    <w:name w:val="heading 2"/>
    <w:basedOn w:val="2"/>
    <w:next w:val="1"/>
    <w:link w:val="40"/>
    <w:unhideWhenUsed/>
    <w:qFormat/>
    <w:uiPriority w:val="1"/>
    <w:pPr>
      <w:outlineLvl w:val="1"/>
    </w:pPr>
    <w:rPr>
      <w:rFonts w:hint="default" w:ascii="宋体" w:hAnsi="宋体" w:eastAsia="宋体"/>
      <w:sz w:val="30"/>
    </w:rPr>
  </w:style>
  <w:style w:type="paragraph" w:styleId="5">
    <w:name w:val="heading 3"/>
    <w:basedOn w:val="1"/>
    <w:next w:val="1"/>
    <w:link w:val="32"/>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47"/>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6"/>
    <w:unhideWhenUsed/>
    <w:qFormat/>
    <w:uiPriority w:val="1"/>
    <w:pPr>
      <w:ind w:left="520"/>
    </w:pPr>
    <w:rPr>
      <w:rFonts w:ascii="宋体" w:hAnsi="宋体"/>
      <w:sz w:val="21"/>
    </w:rPr>
  </w:style>
  <w:style w:type="paragraph" w:styleId="13">
    <w:name w:val="Body Text Indent"/>
    <w:basedOn w:val="1"/>
    <w:next w:val="14"/>
    <w:unhideWhenUsed/>
    <w:qFormat/>
    <w:uiPriority w:val="99"/>
    <w:pPr>
      <w:spacing w:after="120"/>
      <w:ind w:left="420" w:leftChars="200"/>
    </w:p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99"/>
    <w:pPr>
      <w:ind w:left="840" w:leftChars="400"/>
    </w:pPr>
  </w:style>
  <w:style w:type="paragraph" w:styleId="16">
    <w:name w:val="Plain Text"/>
    <w:basedOn w:val="1"/>
    <w:link w:val="48"/>
    <w:unhideWhenUsed/>
    <w:qFormat/>
    <w:uiPriority w:val="0"/>
    <w:rPr>
      <w:rFonts w:ascii="宋体" w:hAnsi="Courier New"/>
    </w:rPr>
  </w:style>
  <w:style w:type="paragraph" w:styleId="17">
    <w:name w:val="Date"/>
    <w:basedOn w:val="1"/>
    <w:next w:val="1"/>
    <w:link w:val="49"/>
    <w:unhideWhenUsed/>
    <w:qFormat/>
    <w:uiPriority w:val="0"/>
    <w:pPr>
      <w:autoSpaceDE/>
      <w:autoSpaceDN/>
      <w:adjustRightInd/>
      <w:ind w:left="100" w:leftChars="2500"/>
      <w:jc w:val="both"/>
    </w:pPr>
    <w:rPr>
      <w:rFonts w:ascii="Calibri" w:hAnsi="Calibri"/>
      <w:sz w:val="20"/>
    </w:rPr>
  </w:style>
  <w:style w:type="paragraph" w:styleId="18">
    <w:name w:val="footer"/>
    <w:basedOn w:val="1"/>
    <w:link w:val="50"/>
    <w:unhideWhenUsed/>
    <w:qFormat/>
    <w:uiPriority w:val="99"/>
    <w:pPr>
      <w:tabs>
        <w:tab w:val="center" w:pos="4153"/>
        <w:tab w:val="right" w:pos="8306"/>
      </w:tabs>
      <w:snapToGrid w:val="0"/>
    </w:pPr>
    <w:rPr>
      <w:sz w:val="18"/>
    </w:rPr>
  </w:style>
  <w:style w:type="paragraph" w:styleId="19">
    <w:name w:val="header"/>
    <w:basedOn w:val="1"/>
    <w:link w:val="51"/>
    <w:unhideWhenUsed/>
    <w:qFormat/>
    <w:uiPriority w:val="99"/>
    <w:pPr>
      <w:tabs>
        <w:tab w:val="center" w:pos="4153"/>
        <w:tab w:val="right" w:pos="8306"/>
      </w:tabs>
      <w:snapToGrid w:val="0"/>
      <w:jc w:val="both"/>
    </w:pPr>
    <w:rPr>
      <w:sz w:val="18"/>
    </w:rPr>
  </w:style>
  <w:style w:type="paragraph" w:styleId="20">
    <w:name w:val="toc 1"/>
    <w:basedOn w:val="1"/>
    <w:next w:val="1"/>
    <w:qFormat/>
    <w:uiPriority w:val="99"/>
  </w:style>
  <w:style w:type="paragraph" w:styleId="21">
    <w:name w:val="toc 2"/>
    <w:basedOn w:val="1"/>
    <w:next w:val="1"/>
    <w:qFormat/>
    <w:uiPriority w:val="99"/>
    <w:pPr>
      <w:ind w:left="420" w:leftChars="200"/>
    </w:pPr>
  </w:style>
  <w:style w:type="paragraph" w:styleId="22">
    <w:name w:val="Normal (Web)"/>
    <w:basedOn w:val="1"/>
    <w:unhideWhenUsed/>
    <w:qFormat/>
    <w:uiPriority w:val="99"/>
    <w:pPr>
      <w:widowControl/>
      <w:spacing w:before="100" w:beforeAutospacing="1" w:after="100" w:afterAutospacing="1"/>
    </w:pPr>
    <w:rPr>
      <w:rFonts w:hint="eastAsia" w:eastAsia="Times New Roman"/>
    </w:rPr>
  </w:style>
  <w:style w:type="paragraph" w:styleId="23">
    <w:name w:val="Body Text First Indent"/>
    <w:basedOn w:val="12"/>
    <w:link w:val="58"/>
    <w:unhideWhenUsed/>
    <w:qFormat/>
    <w:uiPriority w:val="0"/>
    <w:pPr>
      <w:ind w:firstLine="420"/>
    </w:pPr>
    <w:rPr>
      <w:rFonts w:hint="eastAsia" w:ascii="Times New Roman" w:hAnsi="Times New Roman" w:eastAsia="楷体_GB2312"/>
      <w:sz w:val="20"/>
    </w:rPr>
  </w:style>
  <w:style w:type="paragraph" w:styleId="24">
    <w:name w:val="Body Text First Indent 2"/>
    <w:basedOn w:val="1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7">
    <w:name w:val="Strong"/>
    <w:basedOn w:val="26"/>
    <w:qFormat/>
    <w:uiPriority w:val="22"/>
    <w:rPr>
      <w:b/>
    </w:rPr>
  </w:style>
  <w:style w:type="character" w:styleId="28">
    <w:name w:val="page number"/>
    <w:qFormat/>
    <w:uiPriority w:val="0"/>
  </w:style>
  <w:style w:type="character" w:styleId="29">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1">
    <w:name w:val="正文1"/>
    <w:basedOn w:val="1"/>
    <w:unhideWhenUsed/>
    <w:qFormat/>
    <w:uiPriority w:val="0"/>
    <w:pPr>
      <w:spacing w:line="240" w:lineRule="atLeast"/>
      <w:jc w:val="center"/>
      <w:textAlignment w:val="baseline"/>
    </w:pPr>
    <w:rPr>
      <w:rFonts w:ascii="Tahoma" w:hAnsi="Tahoma"/>
    </w:rPr>
  </w:style>
  <w:style w:type="character" w:customStyle="1" w:styleId="32">
    <w:name w:val="标题 3 字符"/>
    <w:link w:val="5"/>
    <w:unhideWhenUsed/>
    <w:qFormat/>
    <w:uiPriority w:val="1"/>
    <w:rPr>
      <w:rFonts w:hint="default" w:ascii="宋体" w:hAnsi="宋体" w:eastAsia="宋体"/>
      <w:b/>
      <w:sz w:val="24"/>
      <w:szCs w:val="24"/>
    </w:rPr>
  </w:style>
  <w:style w:type="paragraph" w:customStyle="1" w:styleId="33">
    <w:name w:val="Table Paragraph"/>
    <w:basedOn w:val="1"/>
    <w:unhideWhenUsed/>
    <w:qFormat/>
    <w:uiPriority w:val="1"/>
  </w:style>
  <w:style w:type="paragraph" w:customStyle="1" w:styleId="34">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unhideWhenUsed/>
    <w:qFormat/>
    <w:uiPriority w:val="0"/>
    <w:pPr>
      <w:widowControl/>
      <w:spacing w:before="75" w:after="75"/>
    </w:pPr>
    <w:rPr>
      <w:rFonts w:ascii="宋体" w:hAnsi="宋体" w:cs="宋体"/>
    </w:rPr>
  </w:style>
  <w:style w:type="paragraph" w:styleId="36">
    <w:name w:val="List Paragraph"/>
    <w:basedOn w:val="1"/>
    <w:unhideWhenUsed/>
    <w:qFormat/>
    <w:uiPriority w:val="1"/>
  </w:style>
  <w:style w:type="paragraph" w:customStyle="1" w:styleId="37">
    <w:name w:val="文一"/>
    <w:basedOn w:val="1"/>
    <w:link w:val="52"/>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8">
    <w:name w:val="样式 宋体 行距: 1.5 倍行距"/>
    <w:basedOn w:val="1"/>
    <w:unhideWhenUsed/>
    <w:qFormat/>
    <w:uiPriority w:val="0"/>
    <w:pPr>
      <w:jc w:val="center"/>
    </w:pPr>
    <w:rPr>
      <w:b/>
    </w:rPr>
  </w:style>
  <w:style w:type="paragraph" w:customStyle="1" w:styleId="39">
    <w:name w:val="发文落款"/>
    <w:basedOn w:val="34"/>
    <w:unhideWhenUsed/>
    <w:qFormat/>
    <w:uiPriority w:val="99"/>
    <w:pPr>
      <w:ind w:left="4094" w:right="607" w:firstLine="0"/>
      <w:jc w:val="center"/>
    </w:pPr>
    <w:rPr>
      <w:rFonts w:cs="仿宋_GB2312"/>
      <w:szCs w:val="32"/>
    </w:rPr>
  </w:style>
  <w:style w:type="character" w:customStyle="1" w:styleId="40">
    <w:name w:val="标题 2 字符"/>
    <w:link w:val="4"/>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正文文本 字符"/>
    <w:basedOn w:val="26"/>
    <w:link w:val="12"/>
    <w:qFormat/>
    <w:uiPriority w:val="1"/>
    <w:rPr>
      <w:rFonts w:ascii="宋体" w:hAnsi="宋体"/>
      <w:sz w:val="21"/>
      <w:szCs w:val="24"/>
    </w:rPr>
  </w:style>
  <w:style w:type="character" w:customStyle="1" w:styleId="47">
    <w:name w:val="批注文字 字符"/>
    <w:basedOn w:val="26"/>
    <w:link w:val="10"/>
    <w:qFormat/>
    <w:uiPriority w:val="99"/>
    <w:rPr>
      <w:sz w:val="24"/>
      <w:szCs w:val="24"/>
    </w:rPr>
  </w:style>
  <w:style w:type="character" w:customStyle="1" w:styleId="48">
    <w:name w:val="纯文本 字符"/>
    <w:basedOn w:val="26"/>
    <w:link w:val="16"/>
    <w:qFormat/>
    <w:uiPriority w:val="0"/>
    <w:rPr>
      <w:rFonts w:ascii="宋体" w:hAnsi="Courier New"/>
      <w:sz w:val="24"/>
      <w:szCs w:val="24"/>
    </w:rPr>
  </w:style>
  <w:style w:type="character" w:customStyle="1" w:styleId="49">
    <w:name w:val="日期 字符"/>
    <w:basedOn w:val="26"/>
    <w:link w:val="17"/>
    <w:qFormat/>
    <w:uiPriority w:val="0"/>
    <w:rPr>
      <w:rFonts w:ascii="Calibri" w:hAnsi="Calibri"/>
      <w:szCs w:val="24"/>
    </w:rPr>
  </w:style>
  <w:style w:type="character" w:customStyle="1" w:styleId="50">
    <w:name w:val="页脚 字符"/>
    <w:basedOn w:val="26"/>
    <w:link w:val="18"/>
    <w:qFormat/>
    <w:uiPriority w:val="99"/>
    <w:rPr>
      <w:sz w:val="18"/>
      <w:szCs w:val="24"/>
    </w:rPr>
  </w:style>
  <w:style w:type="character" w:customStyle="1" w:styleId="51">
    <w:name w:val="页眉 字符"/>
    <w:basedOn w:val="26"/>
    <w:link w:val="19"/>
    <w:qFormat/>
    <w:uiPriority w:val="0"/>
    <w:rPr>
      <w:sz w:val="18"/>
      <w:szCs w:val="24"/>
    </w:rPr>
  </w:style>
  <w:style w:type="character" w:customStyle="1" w:styleId="52">
    <w:name w:val="文一 Char Char"/>
    <w:link w:val="37"/>
    <w:qFormat/>
    <w:locked/>
    <w:uiPriority w:val="0"/>
    <w:rPr>
      <w:rFonts w:ascii="Calibri" w:hAnsi="Calibri"/>
      <w:snapToGrid w:val="0"/>
      <w:spacing w:val="4"/>
      <w:sz w:val="24"/>
      <w:szCs w:val="24"/>
    </w:rPr>
  </w:style>
  <w:style w:type="paragraph" w:customStyle="1" w:styleId="5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4">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5">
    <w:name w:val="正文缩进 New"/>
    <w:basedOn w:val="53"/>
    <w:qFormat/>
    <w:uiPriority w:val="0"/>
    <w:pPr>
      <w:ind w:firstLine="420"/>
    </w:pPr>
    <w:rPr>
      <w:rFonts w:ascii="Times New Roman" w:hAnsi="Times New Roman" w:cs="Times New Roman"/>
      <w:snapToGrid/>
      <w:kern w:val="2"/>
      <w:szCs w:val="20"/>
    </w:rPr>
  </w:style>
  <w:style w:type="paragraph" w:customStyle="1" w:styleId="56">
    <w:name w:val="1"/>
    <w:basedOn w:val="1"/>
    <w:qFormat/>
    <w:uiPriority w:val="0"/>
    <w:pPr>
      <w:autoSpaceDE/>
      <w:autoSpaceDN/>
      <w:adjustRightInd/>
      <w:jc w:val="both"/>
    </w:pPr>
    <w:rPr>
      <w:kern w:val="2"/>
      <w:sz w:val="21"/>
      <w:szCs w:val="21"/>
    </w:rPr>
  </w:style>
  <w:style w:type="character" w:customStyle="1" w:styleId="57">
    <w:name w:val="标题 1 字符"/>
    <w:basedOn w:val="26"/>
    <w:link w:val="2"/>
    <w:qFormat/>
    <w:uiPriority w:val="0"/>
    <w:rPr>
      <w:rFonts w:hint="default" w:ascii="Calibri" w:hAnsi="Calibri" w:cs="Calibri"/>
      <w:b/>
      <w:bCs/>
      <w:kern w:val="44"/>
      <w:sz w:val="44"/>
      <w:szCs w:val="44"/>
    </w:rPr>
  </w:style>
  <w:style w:type="character" w:customStyle="1" w:styleId="58">
    <w:name w:val="正文首行缩进 字符"/>
    <w:link w:val="23"/>
    <w:qFormat/>
    <w:uiPriority w:val="0"/>
    <w:rPr>
      <w:sz w:val="24"/>
      <w:szCs w:val="24"/>
    </w:rPr>
  </w:style>
  <w:style w:type="paragraph" w:customStyle="1" w:styleId="59">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ull3"/>
    <w:qFormat/>
    <w:uiPriority w:val="0"/>
    <w:rPr>
      <w:rFonts w:hint="eastAsia" w:ascii="Calibri" w:hAnsi="Calibri" w:eastAsia="宋体" w:cs="Times New Roman"/>
      <w:kern w:val="0"/>
      <w:sz w:val="20"/>
      <w:szCs w:val="20"/>
      <w:lang w:val="en-US" w:eastAsia="zh-Hans" w:bidi="ar-SA"/>
    </w:rPr>
  </w:style>
  <w:style w:type="paragraph" w:customStyle="1" w:styleId="63">
    <w:name w:val="石墨文档正文"/>
    <w:qFormat/>
    <w:uiPriority w:val="0"/>
    <w:rPr>
      <w:rFonts w:ascii="微软雅黑" w:hAnsi="微软雅黑" w:eastAsia="微软雅黑" w:cs="微软雅黑"/>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46269</Words>
  <Characters>48292</Characters>
  <Lines>519</Lines>
  <Paragraphs>146</Paragraphs>
  <TotalTime>114</TotalTime>
  <ScaleCrop>false</ScaleCrop>
  <LinksUpToDate>false</LinksUpToDate>
  <CharactersWithSpaces>51827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D</cp:lastModifiedBy>
  <dcterms:modified xsi:type="dcterms:W3CDTF">2025-07-30T06:44:20Z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FA0F1A4E28C142E189DA7022E574D24C_13</vt:lpwstr>
  </property>
  <property fmtid="{D5CDD505-2E9C-101B-9397-08002B2CF9AE}" pid="4" name="KSOTemplateDocerSaveRecord">
    <vt:lpwstr>eyJoZGlkIjoiNGU5YTk2NWU3OTRhNTU0YjZlNWE0ODExMjY4YzM0MTgiLCJ1c2VySWQiOiI3MTgzMjQzMTYifQ==</vt:lpwstr>
  </property>
</Properties>
</file>