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DE0A2F">
      <w:pPr>
        <w:pStyle w:val="21"/>
        <w:rPr>
          <w:rFonts w:hint="eastAsia"/>
          <w:color w:val="auto"/>
          <w:sz w:val="36"/>
          <w:highlight w:val="none"/>
          <w:u w:val="single"/>
          <w:lang w:val="en-US" w:eastAsia="zh-CN"/>
        </w:rPr>
      </w:pPr>
    </w:p>
    <w:p w14:paraId="7D5FD09F">
      <w:pPr>
        <w:rPr>
          <w:rFonts w:hint="eastAsia"/>
          <w:color w:val="auto"/>
          <w:highlight w:val="none"/>
          <w:lang w:eastAsia="zh-CN"/>
        </w:rPr>
      </w:pPr>
    </w:p>
    <w:p w14:paraId="2E2C00D8">
      <w:pPr>
        <w:pStyle w:val="21"/>
        <w:jc w:val="center"/>
        <w:rPr>
          <w:rFonts w:hint="eastAsia" w:eastAsia="宋体"/>
          <w:color w:val="auto"/>
          <w:sz w:val="44"/>
          <w:szCs w:val="44"/>
          <w:highlight w:val="none"/>
          <w:u w:val="single"/>
          <w:lang w:eastAsia="zh-CN"/>
        </w:rPr>
      </w:pPr>
      <w:r>
        <w:rPr>
          <w:rFonts w:hint="eastAsia" w:cs="Times New Roman"/>
          <w:b/>
          <w:bCs/>
          <w:color w:val="auto"/>
          <w:sz w:val="48"/>
          <w:szCs w:val="48"/>
          <w:highlight w:val="none"/>
          <w:lang w:eastAsia="zh-CN"/>
        </w:rPr>
        <w:t>番禺区南村镇德兴北路（金山大道至园北路）工程施工总承包项目</w:t>
      </w:r>
    </w:p>
    <w:p w14:paraId="4ECA2CFC">
      <w:pPr>
        <w:pStyle w:val="21"/>
        <w:rPr>
          <w:color w:val="auto"/>
          <w:sz w:val="36"/>
          <w:highlight w:val="none"/>
          <w:u w:val="single"/>
        </w:rPr>
      </w:pPr>
    </w:p>
    <w:p w14:paraId="52A2E144">
      <w:pPr>
        <w:pStyle w:val="21"/>
        <w:rPr>
          <w:color w:val="auto"/>
          <w:sz w:val="36"/>
          <w:highlight w:val="none"/>
          <w:u w:val="single"/>
        </w:rPr>
      </w:pPr>
    </w:p>
    <w:p w14:paraId="1D364BDE">
      <w:pPr>
        <w:rPr>
          <w:color w:val="auto"/>
          <w:highlight w:val="none"/>
        </w:rPr>
      </w:pPr>
    </w:p>
    <w:p w14:paraId="7559B73B">
      <w:pPr>
        <w:rPr>
          <w:color w:val="auto"/>
          <w:highlight w:val="none"/>
        </w:rPr>
      </w:pPr>
    </w:p>
    <w:p w14:paraId="47368D96">
      <w:pPr>
        <w:rPr>
          <w:color w:val="auto"/>
          <w:highlight w:val="none"/>
        </w:rPr>
      </w:pPr>
    </w:p>
    <w:p w14:paraId="623F48D4">
      <w:pPr>
        <w:rPr>
          <w:color w:val="auto"/>
          <w:highlight w:val="none"/>
        </w:rPr>
      </w:pPr>
    </w:p>
    <w:p w14:paraId="06704949">
      <w:pPr>
        <w:rPr>
          <w:color w:val="auto"/>
          <w:highlight w:val="none"/>
        </w:rPr>
      </w:pPr>
    </w:p>
    <w:p w14:paraId="19F952D4">
      <w:pPr>
        <w:rPr>
          <w:color w:val="auto"/>
          <w:highlight w:val="none"/>
        </w:rPr>
      </w:pPr>
    </w:p>
    <w:p w14:paraId="713F0842">
      <w:pPr>
        <w:pStyle w:val="21"/>
        <w:rPr>
          <w:color w:val="auto"/>
          <w:sz w:val="36"/>
          <w:highlight w:val="none"/>
          <w:u w:val="single"/>
        </w:rPr>
      </w:pPr>
    </w:p>
    <w:p w14:paraId="0D63E906">
      <w:pPr>
        <w:spacing w:line="360" w:lineRule="auto"/>
        <w:jc w:val="center"/>
        <w:rPr>
          <w:rFonts w:eastAsia="楷体_GB2312"/>
          <w:b/>
          <w:bCs/>
          <w:color w:val="auto"/>
          <w:spacing w:val="26"/>
          <w:sz w:val="110"/>
          <w:szCs w:val="110"/>
          <w:highlight w:val="none"/>
        </w:rPr>
      </w:pPr>
      <w:r>
        <w:rPr>
          <w:rFonts w:hint="eastAsia" w:eastAsia="楷体_GB2312"/>
          <w:b/>
          <w:bCs/>
          <w:color w:val="auto"/>
          <w:spacing w:val="26"/>
          <w:sz w:val="110"/>
          <w:szCs w:val="110"/>
          <w:highlight w:val="none"/>
        </w:rPr>
        <w:t>招标文件</w:t>
      </w:r>
    </w:p>
    <w:p w14:paraId="2F3A0904">
      <w:pPr>
        <w:spacing w:line="360" w:lineRule="auto"/>
        <w:jc w:val="center"/>
        <w:rPr>
          <w:color w:val="auto"/>
          <w:sz w:val="32"/>
          <w:highlight w:val="none"/>
        </w:rPr>
      </w:pPr>
    </w:p>
    <w:p w14:paraId="5ECC9AB0">
      <w:pPr>
        <w:spacing w:line="360" w:lineRule="auto"/>
        <w:ind w:firstLine="2560" w:firstLineChars="800"/>
        <w:rPr>
          <w:color w:val="auto"/>
          <w:sz w:val="32"/>
          <w:highlight w:val="none"/>
        </w:rPr>
      </w:pPr>
    </w:p>
    <w:p w14:paraId="1218EAAD">
      <w:pPr>
        <w:spacing w:line="360" w:lineRule="auto"/>
        <w:rPr>
          <w:color w:val="auto"/>
          <w:sz w:val="52"/>
          <w:highlight w:val="none"/>
        </w:rPr>
      </w:pPr>
    </w:p>
    <w:p w14:paraId="545AFCB3">
      <w:pPr>
        <w:spacing w:line="360" w:lineRule="auto"/>
        <w:rPr>
          <w:color w:val="auto"/>
          <w:sz w:val="52"/>
          <w:highlight w:val="none"/>
        </w:rPr>
      </w:pPr>
    </w:p>
    <w:p w14:paraId="799E9327">
      <w:pPr>
        <w:spacing w:line="360" w:lineRule="auto"/>
        <w:ind w:firstLine="960" w:firstLineChars="300"/>
        <w:jc w:val="left"/>
        <w:rPr>
          <w:color w:val="auto"/>
          <w:sz w:val="32"/>
          <w:szCs w:val="32"/>
          <w:highlight w:val="none"/>
          <w:u w:val="single"/>
        </w:rPr>
      </w:pPr>
      <w:r>
        <w:rPr>
          <w:rFonts w:hint="eastAsia"/>
          <w:color w:val="auto"/>
          <w:sz w:val="32"/>
          <w:szCs w:val="32"/>
          <w:highlight w:val="none"/>
        </w:rPr>
        <w:t>招</w:t>
      </w:r>
      <w:r>
        <w:rPr>
          <w:color w:val="auto"/>
          <w:sz w:val="32"/>
          <w:szCs w:val="32"/>
          <w:highlight w:val="none"/>
        </w:rPr>
        <w:t xml:space="preserve">  </w:t>
      </w:r>
      <w:r>
        <w:rPr>
          <w:rFonts w:hint="eastAsia"/>
          <w:color w:val="auto"/>
          <w:sz w:val="32"/>
          <w:szCs w:val="32"/>
          <w:highlight w:val="none"/>
        </w:rPr>
        <w:t>标</w:t>
      </w:r>
      <w:r>
        <w:rPr>
          <w:color w:val="auto"/>
          <w:sz w:val="32"/>
          <w:szCs w:val="32"/>
          <w:highlight w:val="none"/>
        </w:rPr>
        <w:t xml:space="preserve"> </w:t>
      </w:r>
      <w:r>
        <w:rPr>
          <w:rFonts w:hint="eastAsia"/>
          <w:color w:val="auto"/>
          <w:sz w:val="32"/>
          <w:szCs w:val="32"/>
          <w:highlight w:val="none"/>
        </w:rPr>
        <w:t>单</w:t>
      </w:r>
      <w:r>
        <w:rPr>
          <w:color w:val="auto"/>
          <w:sz w:val="32"/>
          <w:szCs w:val="32"/>
          <w:highlight w:val="none"/>
        </w:rPr>
        <w:t xml:space="preserve"> </w:t>
      </w:r>
      <w:r>
        <w:rPr>
          <w:rFonts w:hint="eastAsia"/>
          <w:color w:val="auto"/>
          <w:sz w:val="32"/>
          <w:szCs w:val="32"/>
          <w:highlight w:val="none"/>
        </w:rPr>
        <w:t>位：</w:t>
      </w:r>
      <w:r>
        <w:rPr>
          <w:rFonts w:hint="eastAsia"/>
          <w:color w:val="auto"/>
          <w:sz w:val="32"/>
          <w:szCs w:val="32"/>
          <w:highlight w:val="none"/>
          <w:u w:val="single"/>
        </w:rPr>
        <w:t>广州市番禺区基本建设投资管理中心</w:t>
      </w:r>
    </w:p>
    <w:p w14:paraId="19FD62C7">
      <w:pPr>
        <w:spacing w:line="360" w:lineRule="auto"/>
        <w:ind w:firstLine="945"/>
        <w:jc w:val="left"/>
        <w:rPr>
          <w:rFonts w:hint="eastAsia" w:eastAsia="宋体"/>
          <w:color w:val="auto"/>
          <w:sz w:val="32"/>
          <w:szCs w:val="32"/>
          <w:highlight w:val="none"/>
          <w:u w:val="single"/>
          <w:lang w:eastAsia="zh-CN"/>
        </w:rPr>
      </w:pPr>
      <w:r>
        <w:rPr>
          <w:rFonts w:hint="eastAsia"/>
          <w:color w:val="auto"/>
          <w:sz w:val="32"/>
          <w:szCs w:val="32"/>
          <w:highlight w:val="none"/>
        </w:rPr>
        <w:t>招标代理单位：</w:t>
      </w:r>
      <w:r>
        <w:rPr>
          <w:rFonts w:hint="eastAsia" w:cs="Times New Roman"/>
          <w:color w:val="auto"/>
          <w:sz w:val="32"/>
          <w:szCs w:val="32"/>
          <w:highlight w:val="none"/>
          <w:u w:val="single"/>
          <w:lang w:eastAsia="zh-CN"/>
        </w:rPr>
        <w:t>广东弘海实业发展有限公司</w:t>
      </w:r>
    </w:p>
    <w:p w14:paraId="733F1B2E">
      <w:pPr>
        <w:spacing w:line="360" w:lineRule="auto"/>
        <w:ind w:firstLine="945"/>
        <w:rPr>
          <w:color w:val="auto"/>
          <w:sz w:val="32"/>
          <w:highlight w:val="none"/>
        </w:rPr>
      </w:pPr>
      <w:r>
        <w:rPr>
          <w:rFonts w:hint="default"/>
          <w:color w:val="auto"/>
          <w:sz w:val="32"/>
          <w:szCs w:val="32"/>
          <w:highlight w:val="none"/>
        </w:rPr>
        <w:t>日</w:t>
      </w:r>
      <w:r>
        <w:rPr>
          <w:rFonts w:hint="eastAsia"/>
          <w:color w:val="auto"/>
          <w:sz w:val="32"/>
          <w:szCs w:val="32"/>
          <w:highlight w:val="none"/>
          <w:lang w:val="en-US" w:eastAsia="zh-CN"/>
        </w:rPr>
        <w:t xml:space="preserve">        </w:t>
      </w:r>
      <w:r>
        <w:rPr>
          <w:rFonts w:hint="default"/>
          <w:color w:val="auto"/>
          <w:sz w:val="32"/>
          <w:szCs w:val="32"/>
          <w:highlight w:val="none"/>
        </w:rPr>
        <w:t>期：</w:t>
      </w:r>
      <w:r>
        <w:rPr>
          <w:rFonts w:hint="eastAsia"/>
          <w:color w:val="auto"/>
          <w:sz w:val="32"/>
          <w:highlight w:val="none"/>
          <w:u w:val="single"/>
          <w:lang w:val="en-US" w:eastAsia="zh-CN"/>
        </w:rPr>
        <w:t>2025</w:t>
      </w:r>
      <w:r>
        <w:rPr>
          <w:rFonts w:hint="eastAsia"/>
          <w:color w:val="auto"/>
          <w:sz w:val="32"/>
          <w:highlight w:val="none"/>
        </w:rPr>
        <w:t>年</w:t>
      </w:r>
      <w:r>
        <w:rPr>
          <w:rFonts w:hint="eastAsia"/>
          <w:color w:val="auto"/>
          <w:sz w:val="32"/>
          <w:highlight w:val="none"/>
          <w:u w:val="single"/>
          <w:lang w:val="en-US" w:eastAsia="zh-CN"/>
        </w:rPr>
        <w:t xml:space="preserve"> 7 </w:t>
      </w:r>
      <w:r>
        <w:rPr>
          <w:rFonts w:hint="eastAsia"/>
          <w:color w:val="auto"/>
          <w:sz w:val="32"/>
          <w:highlight w:val="none"/>
        </w:rPr>
        <w:t>月</w:t>
      </w:r>
      <w:r>
        <w:rPr>
          <w:rFonts w:hint="eastAsia"/>
          <w:color w:val="auto"/>
          <w:sz w:val="32"/>
          <w:highlight w:val="none"/>
          <w:u w:val="single"/>
          <w:lang w:val="en-US" w:eastAsia="zh-CN"/>
        </w:rPr>
        <w:t>31</w:t>
      </w:r>
      <w:r>
        <w:rPr>
          <w:rFonts w:hint="eastAsia"/>
          <w:color w:val="auto"/>
          <w:sz w:val="32"/>
          <w:highlight w:val="none"/>
        </w:rPr>
        <w:t>日</w:t>
      </w:r>
    </w:p>
    <w:p w14:paraId="07A58BDC">
      <w:pPr>
        <w:spacing w:line="360" w:lineRule="auto"/>
        <w:ind w:firstLine="960" w:firstLineChars="300"/>
        <w:jc w:val="left"/>
        <w:rPr>
          <w:rFonts w:hint="default" w:cs="Times New Roman"/>
          <w:color w:val="auto"/>
          <w:sz w:val="32"/>
          <w:szCs w:val="32"/>
          <w:highlight w:val="none"/>
        </w:rPr>
      </w:pPr>
      <w:bookmarkStart w:id="0" w:name="_Toc21525489"/>
      <w:bookmarkStart w:id="1" w:name="_Toc2272545"/>
    </w:p>
    <w:p w14:paraId="61F298A8">
      <w:pPr>
        <w:jc w:val="left"/>
        <w:rPr>
          <w:rFonts w:hint="eastAsia"/>
          <w:color w:val="auto"/>
          <w:highlight w:val="none"/>
        </w:rPr>
      </w:pPr>
    </w:p>
    <w:p w14:paraId="365C8000">
      <w:pPr>
        <w:jc w:val="left"/>
        <w:rPr>
          <w:rFonts w:hint="eastAsia"/>
          <w:color w:val="auto"/>
          <w:highlight w:val="none"/>
        </w:rPr>
      </w:pPr>
    </w:p>
    <w:p w14:paraId="246F75FB">
      <w:pPr>
        <w:jc w:val="left"/>
        <w:rPr>
          <w:rFonts w:hint="eastAsia"/>
          <w:color w:val="auto"/>
          <w:highlight w:val="none"/>
        </w:rPr>
        <w:sectPr>
          <w:headerReference r:id="rId5" w:type="first"/>
          <w:footerReference r:id="rId8" w:type="first"/>
          <w:headerReference r:id="rId3" w:type="default"/>
          <w:footerReference r:id="rId6" w:type="default"/>
          <w:headerReference r:id="rId4" w:type="even"/>
          <w:footerReference r:id="rId7" w:type="even"/>
          <w:endnotePr>
            <w:numFmt w:val="decimal"/>
          </w:endnotePr>
          <w:pgSz w:w="11906" w:h="16838"/>
          <w:pgMar w:top="1134" w:right="1418" w:bottom="1247" w:left="1418" w:header="851" w:footer="907" w:gutter="0"/>
          <w:pgBorders>
            <w:top w:val="none" w:sz="0" w:space="0"/>
            <w:left w:val="none" w:sz="0" w:space="0"/>
            <w:bottom w:val="none" w:sz="0" w:space="0"/>
            <w:right w:val="none" w:sz="0" w:space="0"/>
          </w:pgBorders>
          <w:pgNumType w:fmt="decimal"/>
          <w:cols w:space="425" w:num="1"/>
          <w:titlePg/>
          <w:docGrid w:type="lines" w:linePitch="312" w:charSpace="0"/>
        </w:sectPr>
      </w:pPr>
    </w:p>
    <w:p w14:paraId="00D2FE2B">
      <w:pPr>
        <w:pStyle w:val="4"/>
        <w:rPr>
          <w:rFonts w:hint="eastAsia"/>
          <w:color w:val="auto"/>
          <w:highlight w:val="none"/>
        </w:rPr>
      </w:pPr>
    </w:p>
    <w:p w14:paraId="72280B6A">
      <w:pPr>
        <w:spacing w:before="0" w:beforeLines="0" w:after="0" w:afterLines="0" w:line="240" w:lineRule="auto"/>
        <w:ind w:left="0" w:leftChars="0" w:right="0" w:rightChars="0" w:firstLine="0" w:firstLineChars="0"/>
        <w:jc w:val="center"/>
        <w:rPr>
          <w:rFonts w:hint="eastAsia" w:ascii="宋体" w:hAnsi="宋体" w:cs="宋体"/>
          <w:color w:val="auto"/>
          <w:highlight w:val="none"/>
        </w:rPr>
      </w:pPr>
      <w:r>
        <w:rPr>
          <w:rFonts w:ascii="宋体" w:hAnsi="宋体" w:eastAsia="宋体"/>
          <w:b/>
          <w:bCs/>
          <w:color w:val="auto"/>
          <w:sz w:val="28"/>
          <w:szCs w:val="28"/>
          <w:highlight w:val="none"/>
        </w:rPr>
        <w:t>目录</w:t>
      </w:r>
    </w:p>
    <w:p w14:paraId="69367602">
      <w:pPr>
        <w:pStyle w:val="28"/>
        <w:tabs>
          <w:tab w:val="right" w:leader="dot" w:pos="9070"/>
          <w:tab w:val="clear" w:pos="9060"/>
        </w:tabs>
        <w:rPr>
          <w:rFonts w:hint="eastAsia" w:cs="宋体"/>
          <w:color w:val="auto"/>
          <w:highlight w:val="none"/>
        </w:rPr>
      </w:pPr>
      <w:r>
        <w:rPr>
          <w:rFonts w:hint="eastAsia" w:cs="宋体"/>
          <w:color w:val="auto"/>
          <w:highlight w:val="none"/>
        </w:rPr>
        <w:fldChar w:fldCharType="begin"/>
      </w:r>
      <w:r>
        <w:rPr>
          <w:rFonts w:hint="eastAsia" w:cs="宋体"/>
          <w:color w:val="auto"/>
          <w:highlight w:val="none"/>
        </w:rPr>
        <w:instrText xml:space="preserve">TOC \o "1-3" \h \u </w:instrText>
      </w:r>
      <w:r>
        <w:rPr>
          <w:rFonts w:hint="eastAsia" w:cs="宋体"/>
          <w:color w:val="auto"/>
          <w:highlight w:val="none"/>
        </w:rPr>
        <w:fldChar w:fldCharType="separate"/>
      </w:r>
      <w:r>
        <w:rPr>
          <w:rFonts w:hint="eastAsia" w:cs="宋体"/>
          <w:color w:val="auto"/>
          <w:highlight w:val="none"/>
        </w:rPr>
        <w:fldChar w:fldCharType="begin"/>
      </w:r>
      <w:r>
        <w:rPr>
          <w:rFonts w:hint="eastAsia" w:cs="宋体"/>
          <w:color w:val="auto"/>
          <w:highlight w:val="none"/>
        </w:rPr>
        <w:instrText xml:space="preserve"> HYPERLINK \l _Toc22482 </w:instrText>
      </w:r>
      <w:r>
        <w:rPr>
          <w:rFonts w:hint="eastAsia" w:cs="宋体"/>
          <w:color w:val="auto"/>
          <w:highlight w:val="none"/>
        </w:rPr>
        <w:fldChar w:fldCharType="separate"/>
      </w:r>
      <w:r>
        <w:rPr>
          <w:rFonts w:hint="eastAsia" w:cs="宋体"/>
          <w:color w:val="auto"/>
          <w:highlight w:val="none"/>
        </w:rPr>
        <w:t>第一章  投标须知</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_Toc22482 \h </w:instrText>
      </w:r>
      <w:r>
        <w:rPr>
          <w:rFonts w:hint="eastAsia" w:cs="宋体"/>
          <w:color w:val="auto"/>
          <w:highlight w:val="none"/>
        </w:rPr>
        <w:fldChar w:fldCharType="separate"/>
      </w:r>
      <w:r>
        <w:rPr>
          <w:rFonts w:hint="eastAsia" w:cs="宋体"/>
          <w:color w:val="auto"/>
          <w:highlight w:val="none"/>
        </w:rPr>
        <w:t>2</w:t>
      </w:r>
      <w:r>
        <w:rPr>
          <w:rFonts w:hint="eastAsia" w:cs="宋体"/>
          <w:color w:val="auto"/>
          <w:highlight w:val="none"/>
        </w:rPr>
        <w:fldChar w:fldCharType="end"/>
      </w:r>
      <w:r>
        <w:rPr>
          <w:rFonts w:hint="eastAsia" w:cs="宋体"/>
          <w:color w:val="auto"/>
          <w:highlight w:val="none"/>
        </w:rPr>
        <w:fldChar w:fldCharType="end"/>
      </w:r>
    </w:p>
    <w:p w14:paraId="6973FD71">
      <w:pPr>
        <w:pStyle w:val="31"/>
        <w:tabs>
          <w:tab w:val="right" w:leader="dot" w:pos="9070"/>
          <w:tab w:val="clear" w:pos="9060"/>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_Toc23957 </w:instrText>
      </w:r>
      <w:r>
        <w:rPr>
          <w:rFonts w:hint="eastAsia" w:ascii="宋体" w:hAnsi="宋体" w:cs="宋体"/>
          <w:color w:val="auto"/>
          <w:highlight w:val="none"/>
        </w:rPr>
        <w:fldChar w:fldCharType="separate"/>
      </w:r>
      <w:r>
        <w:rPr>
          <w:rFonts w:hint="eastAsia" w:ascii="宋体" w:hAnsi="宋体" w:cs="宋体"/>
          <w:color w:val="auto"/>
          <w:highlight w:val="none"/>
        </w:rPr>
        <w:t>一、投标须知前附表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_Toc23957 \h </w:instrText>
      </w:r>
      <w:r>
        <w:rPr>
          <w:rFonts w:hint="eastAsia" w:ascii="宋体" w:hAnsi="宋体" w:cs="宋体"/>
          <w:color w:val="auto"/>
          <w:highlight w:val="none"/>
        </w:rPr>
        <w:fldChar w:fldCharType="separate"/>
      </w:r>
      <w:r>
        <w:rPr>
          <w:rFonts w:hint="eastAsia" w:ascii="宋体" w:hAnsi="宋体" w:cs="宋体"/>
          <w:color w:val="auto"/>
          <w:highlight w:val="none"/>
        </w:rPr>
        <w:t>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C4568DE">
      <w:pPr>
        <w:pStyle w:val="31"/>
        <w:tabs>
          <w:tab w:val="right" w:leader="dot" w:pos="9070"/>
          <w:tab w:val="clear" w:pos="9060"/>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_Toc5747 </w:instrText>
      </w:r>
      <w:r>
        <w:rPr>
          <w:rFonts w:hint="eastAsia" w:ascii="宋体" w:hAnsi="宋体" w:cs="宋体"/>
          <w:color w:val="auto"/>
          <w:highlight w:val="none"/>
        </w:rPr>
        <w:fldChar w:fldCharType="separate"/>
      </w:r>
      <w:r>
        <w:rPr>
          <w:rFonts w:hint="eastAsia" w:ascii="宋体" w:hAnsi="宋体" w:cs="宋体"/>
          <w:color w:val="auto"/>
          <w:highlight w:val="none"/>
        </w:rPr>
        <w:t>二、投标须知修改表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_Toc5747 \h </w:instrText>
      </w:r>
      <w:r>
        <w:rPr>
          <w:rFonts w:hint="eastAsia" w:ascii="宋体" w:hAnsi="宋体" w:cs="宋体"/>
          <w:color w:val="auto"/>
          <w:highlight w:val="none"/>
        </w:rPr>
        <w:fldChar w:fldCharType="separate"/>
      </w:r>
      <w:r>
        <w:rPr>
          <w:rFonts w:hint="eastAsia" w:ascii="宋体" w:hAnsi="宋体" w:cs="宋体"/>
          <w:color w:val="auto"/>
          <w:highlight w:val="none"/>
        </w:rPr>
        <w:t>10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106061D">
      <w:pPr>
        <w:pStyle w:val="31"/>
        <w:tabs>
          <w:tab w:val="right" w:leader="dot" w:pos="9070"/>
          <w:tab w:val="clear" w:pos="9060"/>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_Toc14935 </w:instrText>
      </w:r>
      <w:r>
        <w:rPr>
          <w:rFonts w:hint="eastAsia" w:ascii="宋体" w:hAnsi="宋体" w:cs="宋体"/>
          <w:color w:val="auto"/>
          <w:highlight w:val="none"/>
        </w:rPr>
        <w:fldChar w:fldCharType="separate"/>
      </w:r>
      <w:r>
        <w:rPr>
          <w:rFonts w:hint="eastAsia" w:ascii="宋体" w:hAnsi="宋体" w:cs="宋体"/>
          <w:color w:val="auto"/>
          <w:highlight w:val="none"/>
        </w:rPr>
        <w:t>三、投标须知通用条款</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_Toc14935 \h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DDBC529">
      <w:pPr>
        <w:pStyle w:val="20"/>
        <w:tabs>
          <w:tab w:val="right" w:leader="dot" w:pos="9070"/>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_Toc7269 </w:instrText>
      </w:r>
      <w:r>
        <w:rPr>
          <w:rFonts w:hint="eastAsia" w:ascii="宋体" w:hAnsi="宋体" w:cs="宋体"/>
          <w:color w:val="auto"/>
          <w:highlight w:val="none"/>
        </w:rPr>
        <w:fldChar w:fldCharType="separate"/>
      </w:r>
      <w:r>
        <w:rPr>
          <w:rFonts w:hint="eastAsia" w:ascii="宋体" w:hAnsi="宋体" w:cs="宋体"/>
          <w:color w:val="auto"/>
          <w:highlight w:val="none"/>
        </w:rPr>
        <w:t>（一）总则</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_Toc7269 \h </w:instrText>
      </w:r>
      <w:r>
        <w:rPr>
          <w:rFonts w:hint="eastAsia" w:ascii="宋体" w:hAnsi="宋体" w:cs="宋体"/>
          <w:color w:val="auto"/>
          <w:highlight w:val="none"/>
        </w:rPr>
        <w:fldChar w:fldCharType="separate"/>
      </w:r>
      <w:r>
        <w:rPr>
          <w:rFonts w:hint="eastAsia" w:ascii="宋体" w:hAnsi="宋体" w:cs="宋体"/>
          <w:color w:val="auto"/>
          <w:highlight w:val="none"/>
        </w:rPr>
        <w:t>29</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336C9E00">
      <w:pPr>
        <w:pStyle w:val="20"/>
        <w:tabs>
          <w:tab w:val="right" w:leader="dot" w:pos="9070"/>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_Toc8572 </w:instrText>
      </w:r>
      <w:r>
        <w:rPr>
          <w:rFonts w:hint="eastAsia" w:ascii="宋体" w:hAnsi="宋体" w:cs="宋体"/>
          <w:color w:val="auto"/>
          <w:highlight w:val="none"/>
        </w:rPr>
        <w:fldChar w:fldCharType="separate"/>
      </w:r>
      <w:r>
        <w:rPr>
          <w:rFonts w:hint="eastAsia" w:ascii="宋体" w:hAnsi="宋体" w:cs="宋体"/>
          <w:color w:val="auto"/>
          <w:highlight w:val="none"/>
        </w:rPr>
        <w:t>（二）招标文件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_Toc8572 \h </w:instrText>
      </w:r>
      <w:r>
        <w:rPr>
          <w:rFonts w:hint="eastAsia" w:ascii="宋体" w:hAnsi="宋体" w:cs="宋体"/>
          <w:color w:val="auto"/>
          <w:highlight w:val="none"/>
        </w:rPr>
        <w:fldChar w:fldCharType="separate"/>
      </w:r>
      <w:r>
        <w:rPr>
          <w:rFonts w:hint="eastAsia" w:ascii="宋体" w:hAnsi="宋体" w:cs="宋体"/>
          <w:color w:val="auto"/>
          <w:highlight w:val="none"/>
        </w:rPr>
        <w:t>30</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A17822B">
      <w:pPr>
        <w:pStyle w:val="20"/>
        <w:tabs>
          <w:tab w:val="right" w:leader="dot" w:pos="9070"/>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_Toc4901 </w:instrText>
      </w:r>
      <w:r>
        <w:rPr>
          <w:rFonts w:hint="eastAsia" w:ascii="宋体" w:hAnsi="宋体" w:cs="宋体"/>
          <w:color w:val="auto"/>
          <w:highlight w:val="none"/>
        </w:rPr>
        <w:fldChar w:fldCharType="separate"/>
      </w:r>
      <w:r>
        <w:rPr>
          <w:rFonts w:hint="eastAsia" w:ascii="宋体" w:hAnsi="宋体" w:cs="宋体"/>
          <w:color w:val="auto"/>
          <w:highlight w:val="none"/>
        </w:rPr>
        <w:t>（三）投标文件的编制</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_Toc4901 \h </w:instrText>
      </w:r>
      <w:r>
        <w:rPr>
          <w:rFonts w:hint="eastAsia" w:ascii="宋体" w:hAnsi="宋体" w:cs="宋体"/>
          <w:color w:val="auto"/>
          <w:highlight w:val="none"/>
        </w:rPr>
        <w:fldChar w:fldCharType="separate"/>
      </w:r>
      <w:r>
        <w:rPr>
          <w:rFonts w:hint="eastAsia" w:ascii="宋体" w:hAnsi="宋体" w:cs="宋体"/>
          <w:color w:val="auto"/>
          <w:highlight w:val="none"/>
        </w:rPr>
        <w:t>32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75A8ECA">
      <w:pPr>
        <w:pStyle w:val="20"/>
        <w:tabs>
          <w:tab w:val="right" w:leader="dot" w:pos="9070"/>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_Toc29520 </w:instrText>
      </w:r>
      <w:r>
        <w:rPr>
          <w:rFonts w:hint="eastAsia" w:ascii="宋体" w:hAnsi="宋体" w:cs="宋体"/>
          <w:color w:val="auto"/>
          <w:highlight w:val="none"/>
        </w:rPr>
        <w:fldChar w:fldCharType="separate"/>
      </w:r>
      <w:r>
        <w:rPr>
          <w:rFonts w:hint="eastAsia" w:ascii="宋体" w:hAnsi="宋体" w:cs="宋体"/>
          <w:color w:val="auto"/>
          <w:highlight w:val="none"/>
        </w:rPr>
        <w:t>（四）投标文件的提交</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_Toc29520 \h </w:instrText>
      </w:r>
      <w:r>
        <w:rPr>
          <w:rFonts w:hint="eastAsia" w:ascii="宋体" w:hAnsi="宋体" w:cs="宋体"/>
          <w:color w:val="auto"/>
          <w:highlight w:val="none"/>
        </w:rPr>
        <w:fldChar w:fldCharType="separate"/>
      </w:r>
      <w:r>
        <w:rPr>
          <w:rFonts w:hint="eastAsia" w:ascii="宋体" w:hAnsi="宋体" w:cs="宋体"/>
          <w:color w:val="auto"/>
          <w:highlight w:val="none"/>
        </w:rPr>
        <w:t>42</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6C8A708B">
      <w:pPr>
        <w:pStyle w:val="20"/>
        <w:tabs>
          <w:tab w:val="right" w:leader="dot" w:pos="9070"/>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_Toc19334 </w:instrText>
      </w:r>
      <w:r>
        <w:rPr>
          <w:rFonts w:hint="eastAsia" w:ascii="宋体" w:hAnsi="宋体" w:cs="宋体"/>
          <w:color w:val="auto"/>
          <w:highlight w:val="none"/>
        </w:rPr>
        <w:fldChar w:fldCharType="separate"/>
      </w:r>
      <w:r>
        <w:rPr>
          <w:rFonts w:hint="eastAsia" w:ascii="宋体" w:hAnsi="宋体" w:cs="宋体"/>
          <w:color w:val="auto"/>
          <w:highlight w:val="none"/>
        </w:rPr>
        <w:t>（五）开标、评标、定标及合同签定</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_Toc19334 \h </w:instrText>
      </w:r>
      <w:r>
        <w:rPr>
          <w:rFonts w:hint="eastAsia" w:ascii="宋体" w:hAnsi="宋体" w:cs="宋体"/>
          <w:color w:val="auto"/>
          <w:highlight w:val="none"/>
        </w:rPr>
        <w:fldChar w:fldCharType="separate"/>
      </w:r>
      <w:r>
        <w:rPr>
          <w:rFonts w:hint="eastAsia" w:ascii="宋体" w:hAnsi="宋体" w:cs="宋体"/>
          <w:color w:val="auto"/>
          <w:highlight w:val="none"/>
        </w:rPr>
        <w:t>43</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013D3A3">
      <w:pPr>
        <w:pStyle w:val="28"/>
        <w:tabs>
          <w:tab w:val="right" w:leader="dot" w:pos="9070"/>
          <w:tab w:val="clear" w:pos="9060"/>
        </w:tabs>
        <w:rPr>
          <w:rFonts w:hint="eastAsia" w:cs="宋体"/>
          <w:color w:val="auto"/>
          <w:highlight w:val="none"/>
        </w:rPr>
      </w:pPr>
      <w:r>
        <w:rPr>
          <w:rFonts w:hint="eastAsia" w:cs="宋体"/>
          <w:color w:val="auto"/>
          <w:highlight w:val="none"/>
        </w:rPr>
        <w:fldChar w:fldCharType="begin"/>
      </w:r>
      <w:r>
        <w:rPr>
          <w:rFonts w:hint="eastAsia" w:cs="宋体"/>
          <w:color w:val="auto"/>
          <w:highlight w:val="none"/>
        </w:rPr>
        <w:instrText xml:space="preserve"> HYPERLINK \l _Toc20528 </w:instrText>
      </w:r>
      <w:r>
        <w:rPr>
          <w:rFonts w:hint="eastAsia" w:cs="宋体"/>
          <w:color w:val="auto"/>
          <w:highlight w:val="none"/>
        </w:rPr>
        <w:fldChar w:fldCharType="separate"/>
      </w:r>
      <w:r>
        <w:rPr>
          <w:rFonts w:hint="eastAsia" w:cs="宋体"/>
          <w:color w:val="auto"/>
          <w:highlight w:val="none"/>
        </w:rPr>
        <w:t>第二章  开标、评标及定标办法</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_Toc20528 \h </w:instrText>
      </w:r>
      <w:r>
        <w:rPr>
          <w:rFonts w:hint="eastAsia" w:cs="宋体"/>
          <w:color w:val="auto"/>
          <w:highlight w:val="none"/>
        </w:rPr>
        <w:fldChar w:fldCharType="separate"/>
      </w:r>
      <w:r>
        <w:rPr>
          <w:rFonts w:hint="eastAsia" w:cs="宋体"/>
          <w:color w:val="auto"/>
          <w:highlight w:val="none"/>
        </w:rPr>
        <w:t>47</w:t>
      </w:r>
      <w:r>
        <w:rPr>
          <w:rFonts w:hint="eastAsia" w:cs="宋体"/>
          <w:color w:val="auto"/>
          <w:highlight w:val="none"/>
        </w:rPr>
        <w:fldChar w:fldCharType="end"/>
      </w:r>
      <w:r>
        <w:rPr>
          <w:rFonts w:hint="eastAsia" w:cs="宋体"/>
          <w:color w:val="auto"/>
          <w:highlight w:val="none"/>
        </w:rPr>
        <w:fldChar w:fldCharType="end"/>
      </w:r>
    </w:p>
    <w:p w14:paraId="6FE8B05D">
      <w:pPr>
        <w:pStyle w:val="31"/>
        <w:tabs>
          <w:tab w:val="right" w:leader="dot" w:pos="9070"/>
          <w:tab w:val="clear" w:pos="9060"/>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_Toc29698 </w:instrText>
      </w:r>
      <w:r>
        <w:rPr>
          <w:rFonts w:hint="eastAsia" w:ascii="宋体" w:hAnsi="宋体" w:cs="宋体"/>
          <w:color w:val="auto"/>
          <w:highlight w:val="none"/>
        </w:rPr>
        <w:fldChar w:fldCharType="separate"/>
      </w:r>
      <w:r>
        <w:rPr>
          <w:rFonts w:hint="eastAsia" w:ascii="宋体" w:hAnsi="宋体" w:cs="宋体"/>
          <w:color w:val="auto"/>
          <w:highlight w:val="none"/>
        </w:rPr>
        <w:t>一、开标、评标及定标办法修改表</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_Toc29698 \h </w:instrText>
      </w:r>
      <w:r>
        <w:rPr>
          <w:rFonts w:hint="eastAsia" w:ascii="宋体" w:hAnsi="宋体" w:cs="宋体"/>
          <w:color w:val="auto"/>
          <w:highlight w:val="none"/>
        </w:rPr>
        <w:fldChar w:fldCharType="separate"/>
      </w:r>
      <w:r>
        <w:rPr>
          <w:rFonts w:hint="eastAsia" w:ascii="宋体" w:hAnsi="宋体" w:cs="宋体"/>
          <w:color w:val="auto"/>
          <w:highlight w:val="none"/>
        </w:rPr>
        <w:t>47</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2CA5DABC">
      <w:pPr>
        <w:pStyle w:val="31"/>
        <w:tabs>
          <w:tab w:val="right" w:leader="dot" w:pos="9070"/>
          <w:tab w:val="clear" w:pos="9060"/>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_Toc9739 </w:instrText>
      </w:r>
      <w:r>
        <w:rPr>
          <w:rFonts w:hint="eastAsia" w:ascii="宋体" w:hAnsi="宋体" w:cs="宋体"/>
          <w:color w:val="auto"/>
          <w:highlight w:val="none"/>
        </w:rPr>
        <w:fldChar w:fldCharType="separate"/>
      </w:r>
      <w:r>
        <w:rPr>
          <w:rFonts w:hint="eastAsia" w:ascii="宋体" w:hAnsi="宋体" w:cs="宋体"/>
          <w:color w:val="auto"/>
          <w:highlight w:val="none"/>
        </w:rPr>
        <w:t>二、开标、评标及定标办法通用条款</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_Toc9739 \h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72A28EAA">
      <w:pPr>
        <w:pStyle w:val="20"/>
        <w:tabs>
          <w:tab w:val="right" w:leader="dot" w:pos="9070"/>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_Toc24224 </w:instrText>
      </w:r>
      <w:r>
        <w:rPr>
          <w:rFonts w:hint="eastAsia" w:ascii="宋体" w:hAnsi="宋体" w:cs="宋体"/>
          <w:color w:val="auto"/>
          <w:highlight w:val="none"/>
        </w:rPr>
        <w:fldChar w:fldCharType="separate"/>
      </w:r>
      <w:r>
        <w:rPr>
          <w:rFonts w:hint="eastAsia" w:ascii="宋体" w:hAnsi="宋体" w:cs="宋体"/>
          <w:color w:val="auto"/>
          <w:highlight w:val="none"/>
          <w:lang w:val="en-US" w:eastAsia="zh-CN"/>
        </w:rPr>
        <w:t>（一）总则</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_Toc24224 \h </w:instrText>
      </w:r>
      <w:r>
        <w:rPr>
          <w:rFonts w:hint="eastAsia" w:ascii="宋体" w:hAnsi="宋体" w:cs="宋体"/>
          <w:color w:val="auto"/>
          <w:highlight w:val="none"/>
        </w:rPr>
        <w:fldChar w:fldCharType="separate"/>
      </w:r>
      <w:r>
        <w:rPr>
          <w:rFonts w:hint="eastAsia" w:ascii="宋体" w:hAnsi="宋体" w:cs="宋体"/>
          <w:color w:val="auto"/>
          <w:highlight w:val="none"/>
        </w:rPr>
        <w:t>56</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04888891">
      <w:pPr>
        <w:pStyle w:val="20"/>
        <w:tabs>
          <w:tab w:val="right" w:leader="dot" w:pos="9070"/>
        </w:tabs>
        <w:rPr>
          <w:rFonts w:hint="eastAsia" w:ascii="宋体" w:hAnsi="宋体" w:cs="宋体"/>
          <w:color w:val="auto"/>
          <w:highlight w:val="none"/>
        </w:rPr>
      </w:pPr>
      <w:r>
        <w:rPr>
          <w:rFonts w:hint="eastAsia" w:ascii="宋体" w:hAnsi="宋体" w:cs="宋体"/>
          <w:color w:val="auto"/>
          <w:highlight w:val="none"/>
        </w:rPr>
        <w:fldChar w:fldCharType="begin"/>
      </w:r>
      <w:r>
        <w:rPr>
          <w:rFonts w:hint="eastAsia" w:ascii="宋体" w:hAnsi="宋体" w:cs="宋体"/>
          <w:color w:val="auto"/>
          <w:highlight w:val="none"/>
        </w:rPr>
        <w:instrText xml:space="preserve"> HYPERLINK \l _Toc4929 </w:instrText>
      </w:r>
      <w:r>
        <w:rPr>
          <w:rFonts w:hint="eastAsia" w:ascii="宋体" w:hAnsi="宋体" w:cs="宋体"/>
          <w:color w:val="auto"/>
          <w:highlight w:val="none"/>
        </w:rPr>
        <w:fldChar w:fldCharType="separate"/>
      </w:r>
      <w:r>
        <w:rPr>
          <w:rFonts w:hint="eastAsia" w:ascii="宋体" w:hAnsi="宋体" w:cs="宋体"/>
          <w:bCs/>
          <w:color w:val="auto"/>
          <w:szCs w:val="28"/>
          <w:highlight w:val="none"/>
          <w:lang w:eastAsia="zh-CN"/>
        </w:rPr>
        <w:t>（二）</w:t>
      </w:r>
      <w:r>
        <w:rPr>
          <w:rFonts w:hint="eastAsia" w:ascii="宋体" w:hAnsi="宋体" w:cs="宋体"/>
          <w:bCs/>
          <w:color w:val="auto"/>
          <w:szCs w:val="28"/>
          <w:highlight w:val="none"/>
        </w:rPr>
        <w:t>开标评标办法程序和细则</w:t>
      </w:r>
      <w:r>
        <w:rPr>
          <w:rFonts w:hint="eastAsia" w:ascii="宋体" w:hAnsi="宋体" w:cs="宋体"/>
          <w:color w:val="auto"/>
          <w:highlight w:val="none"/>
        </w:rPr>
        <w:tab/>
      </w:r>
      <w:r>
        <w:rPr>
          <w:rFonts w:hint="eastAsia" w:ascii="宋体" w:hAnsi="宋体" w:cs="宋体"/>
          <w:color w:val="auto"/>
          <w:highlight w:val="none"/>
        </w:rPr>
        <w:fldChar w:fldCharType="begin"/>
      </w:r>
      <w:r>
        <w:rPr>
          <w:rFonts w:hint="eastAsia" w:ascii="宋体" w:hAnsi="宋体" w:cs="宋体"/>
          <w:color w:val="auto"/>
          <w:highlight w:val="none"/>
        </w:rPr>
        <w:instrText xml:space="preserve"> PAGEREF _Toc4929 \h </w:instrText>
      </w:r>
      <w:r>
        <w:rPr>
          <w:rFonts w:hint="eastAsia" w:ascii="宋体" w:hAnsi="宋体" w:cs="宋体"/>
          <w:color w:val="auto"/>
          <w:highlight w:val="none"/>
        </w:rPr>
        <w:fldChar w:fldCharType="separate"/>
      </w:r>
      <w:r>
        <w:rPr>
          <w:rFonts w:hint="eastAsia" w:ascii="宋体" w:hAnsi="宋体" w:cs="宋体"/>
          <w:color w:val="auto"/>
          <w:highlight w:val="none"/>
        </w:rPr>
        <w:t>61</w:t>
      </w:r>
      <w:r>
        <w:rPr>
          <w:rFonts w:hint="eastAsia" w:ascii="宋体" w:hAnsi="宋体" w:cs="宋体"/>
          <w:color w:val="auto"/>
          <w:highlight w:val="none"/>
        </w:rPr>
        <w:fldChar w:fldCharType="end"/>
      </w:r>
      <w:r>
        <w:rPr>
          <w:rFonts w:hint="eastAsia" w:ascii="宋体" w:hAnsi="宋体" w:cs="宋体"/>
          <w:color w:val="auto"/>
          <w:highlight w:val="none"/>
        </w:rPr>
        <w:fldChar w:fldCharType="end"/>
      </w:r>
    </w:p>
    <w:p w14:paraId="1FEAFCF5">
      <w:pPr>
        <w:pStyle w:val="28"/>
        <w:tabs>
          <w:tab w:val="right" w:leader="dot" w:pos="9070"/>
          <w:tab w:val="clear" w:pos="9060"/>
        </w:tabs>
        <w:rPr>
          <w:rFonts w:hint="eastAsia" w:cs="宋体"/>
          <w:color w:val="auto"/>
          <w:highlight w:val="none"/>
        </w:rPr>
      </w:pPr>
      <w:r>
        <w:rPr>
          <w:rFonts w:hint="eastAsia" w:cs="宋体"/>
          <w:color w:val="auto"/>
          <w:highlight w:val="none"/>
        </w:rPr>
        <w:fldChar w:fldCharType="begin"/>
      </w:r>
      <w:r>
        <w:rPr>
          <w:rFonts w:hint="eastAsia" w:cs="宋体"/>
          <w:color w:val="auto"/>
          <w:highlight w:val="none"/>
        </w:rPr>
        <w:instrText xml:space="preserve"> HYPERLINK \l _Toc15087 </w:instrText>
      </w:r>
      <w:r>
        <w:rPr>
          <w:rFonts w:hint="eastAsia" w:cs="宋体"/>
          <w:color w:val="auto"/>
          <w:highlight w:val="none"/>
        </w:rPr>
        <w:fldChar w:fldCharType="separate"/>
      </w:r>
      <w:r>
        <w:rPr>
          <w:rFonts w:hint="eastAsia" w:ascii="宋体" w:hAnsi="宋体" w:cs="宋体"/>
          <w:bCs/>
          <w:color w:val="auto"/>
          <w:szCs w:val="32"/>
          <w:highlight w:val="none"/>
        </w:rPr>
        <w:t>定标因素表（定标阶段用表）</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_Toc15087 \h </w:instrText>
      </w:r>
      <w:r>
        <w:rPr>
          <w:rFonts w:hint="eastAsia" w:cs="宋体"/>
          <w:color w:val="auto"/>
          <w:highlight w:val="none"/>
        </w:rPr>
        <w:fldChar w:fldCharType="separate"/>
      </w:r>
      <w:r>
        <w:rPr>
          <w:rFonts w:hint="eastAsia" w:cs="宋体"/>
          <w:color w:val="auto"/>
          <w:highlight w:val="none"/>
        </w:rPr>
        <w:t>79</w:t>
      </w:r>
      <w:r>
        <w:rPr>
          <w:rFonts w:hint="eastAsia" w:cs="宋体"/>
          <w:color w:val="auto"/>
          <w:highlight w:val="none"/>
        </w:rPr>
        <w:fldChar w:fldCharType="end"/>
      </w:r>
      <w:r>
        <w:rPr>
          <w:rFonts w:hint="eastAsia" w:cs="宋体"/>
          <w:color w:val="auto"/>
          <w:highlight w:val="none"/>
        </w:rPr>
        <w:fldChar w:fldCharType="end"/>
      </w:r>
    </w:p>
    <w:p w14:paraId="6BD63E6F">
      <w:pPr>
        <w:pStyle w:val="28"/>
        <w:tabs>
          <w:tab w:val="right" w:leader="dot" w:pos="9070"/>
          <w:tab w:val="clear" w:pos="9060"/>
        </w:tabs>
        <w:rPr>
          <w:rFonts w:hint="eastAsia" w:cs="宋体"/>
          <w:color w:val="auto"/>
          <w:highlight w:val="none"/>
        </w:rPr>
      </w:pPr>
      <w:r>
        <w:rPr>
          <w:rFonts w:hint="eastAsia" w:cs="宋体"/>
          <w:color w:val="auto"/>
          <w:highlight w:val="none"/>
        </w:rPr>
        <w:fldChar w:fldCharType="begin"/>
      </w:r>
      <w:r>
        <w:rPr>
          <w:rFonts w:hint="eastAsia" w:cs="宋体"/>
          <w:color w:val="auto"/>
          <w:highlight w:val="none"/>
        </w:rPr>
        <w:instrText xml:space="preserve"> HYPERLINK \l _Toc4392 </w:instrText>
      </w:r>
      <w:r>
        <w:rPr>
          <w:rFonts w:hint="eastAsia" w:cs="宋体"/>
          <w:color w:val="auto"/>
          <w:highlight w:val="none"/>
        </w:rPr>
        <w:fldChar w:fldCharType="separate"/>
      </w:r>
      <w:r>
        <w:rPr>
          <w:rFonts w:hint="eastAsia" w:cs="宋体"/>
          <w:color w:val="auto"/>
          <w:highlight w:val="none"/>
        </w:rPr>
        <w:t>第三章  合同条款</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_Toc4392 \h </w:instrText>
      </w:r>
      <w:r>
        <w:rPr>
          <w:rFonts w:hint="eastAsia" w:cs="宋体"/>
          <w:color w:val="auto"/>
          <w:highlight w:val="none"/>
        </w:rPr>
        <w:fldChar w:fldCharType="separate"/>
      </w:r>
      <w:r>
        <w:rPr>
          <w:rFonts w:hint="eastAsia" w:cs="宋体"/>
          <w:color w:val="auto"/>
          <w:highlight w:val="none"/>
        </w:rPr>
        <w:t>86</w:t>
      </w:r>
      <w:r>
        <w:rPr>
          <w:rFonts w:hint="eastAsia" w:cs="宋体"/>
          <w:color w:val="auto"/>
          <w:highlight w:val="none"/>
        </w:rPr>
        <w:fldChar w:fldCharType="end"/>
      </w:r>
      <w:r>
        <w:rPr>
          <w:rFonts w:hint="eastAsia" w:cs="宋体"/>
          <w:color w:val="auto"/>
          <w:highlight w:val="none"/>
        </w:rPr>
        <w:fldChar w:fldCharType="end"/>
      </w:r>
    </w:p>
    <w:p w14:paraId="6DFFF81A">
      <w:pPr>
        <w:pStyle w:val="28"/>
        <w:tabs>
          <w:tab w:val="right" w:leader="dot" w:pos="9070"/>
          <w:tab w:val="clear" w:pos="9060"/>
        </w:tabs>
        <w:rPr>
          <w:rFonts w:hint="eastAsia" w:cs="宋体"/>
          <w:color w:val="auto"/>
          <w:highlight w:val="none"/>
        </w:rPr>
      </w:pPr>
      <w:r>
        <w:rPr>
          <w:rFonts w:hint="eastAsia" w:cs="宋体"/>
          <w:color w:val="auto"/>
          <w:highlight w:val="none"/>
        </w:rPr>
        <w:fldChar w:fldCharType="begin"/>
      </w:r>
      <w:r>
        <w:rPr>
          <w:rFonts w:hint="eastAsia" w:cs="宋体"/>
          <w:color w:val="auto"/>
          <w:highlight w:val="none"/>
        </w:rPr>
        <w:instrText xml:space="preserve"> HYPERLINK \l _Toc3296 </w:instrText>
      </w:r>
      <w:r>
        <w:rPr>
          <w:rFonts w:hint="eastAsia" w:cs="宋体"/>
          <w:color w:val="auto"/>
          <w:highlight w:val="none"/>
        </w:rPr>
        <w:fldChar w:fldCharType="separate"/>
      </w:r>
      <w:r>
        <w:rPr>
          <w:rFonts w:hint="eastAsia" w:cs="宋体"/>
          <w:color w:val="auto"/>
          <w:highlight w:val="none"/>
        </w:rPr>
        <w:t>第四章  投标文件格式</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_Toc3296 \h </w:instrText>
      </w:r>
      <w:r>
        <w:rPr>
          <w:rFonts w:hint="eastAsia" w:cs="宋体"/>
          <w:color w:val="auto"/>
          <w:highlight w:val="none"/>
        </w:rPr>
        <w:fldChar w:fldCharType="separate"/>
      </w:r>
      <w:r>
        <w:rPr>
          <w:rFonts w:hint="eastAsia" w:cs="宋体"/>
          <w:color w:val="auto"/>
          <w:highlight w:val="none"/>
        </w:rPr>
        <w:t>87</w:t>
      </w:r>
      <w:r>
        <w:rPr>
          <w:rFonts w:hint="eastAsia" w:cs="宋体"/>
          <w:color w:val="auto"/>
          <w:highlight w:val="none"/>
        </w:rPr>
        <w:fldChar w:fldCharType="end"/>
      </w:r>
      <w:r>
        <w:rPr>
          <w:rFonts w:hint="eastAsia" w:cs="宋体"/>
          <w:color w:val="auto"/>
          <w:highlight w:val="none"/>
        </w:rPr>
        <w:fldChar w:fldCharType="end"/>
      </w:r>
    </w:p>
    <w:p w14:paraId="681E9C9E">
      <w:pPr>
        <w:pStyle w:val="28"/>
        <w:tabs>
          <w:tab w:val="right" w:leader="dot" w:pos="9070"/>
          <w:tab w:val="clear" w:pos="9060"/>
        </w:tabs>
        <w:rPr>
          <w:rFonts w:hint="eastAsia" w:cs="宋体"/>
          <w:color w:val="auto"/>
          <w:highlight w:val="none"/>
        </w:rPr>
      </w:pPr>
      <w:r>
        <w:rPr>
          <w:rFonts w:hint="eastAsia" w:cs="宋体"/>
          <w:color w:val="auto"/>
          <w:highlight w:val="none"/>
        </w:rPr>
        <w:fldChar w:fldCharType="begin"/>
      </w:r>
      <w:r>
        <w:rPr>
          <w:rFonts w:hint="eastAsia" w:cs="宋体"/>
          <w:color w:val="auto"/>
          <w:highlight w:val="none"/>
        </w:rPr>
        <w:instrText xml:space="preserve"> HYPERLINK \l _Toc11260 </w:instrText>
      </w:r>
      <w:r>
        <w:rPr>
          <w:rFonts w:hint="eastAsia" w:cs="宋体"/>
          <w:color w:val="auto"/>
          <w:highlight w:val="none"/>
        </w:rPr>
        <w:fldChar w:fldCharType="separate"/>
      </w:r>
      <w:r>
        <w:rPr>
          <w:rFonts w:hint="eastAsia" w:cs="宋体"/>
          <w:color w:val="auto"/>
          <w:highlight w:val="none"/>
        </w:rPr>
        <w:t>第五章  技术条件（工程建设标准）</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_Toc11260 \h </w:instrText>
      </w:r>
      <w:r>
        <w:rPr>
          <w:rFonts w:hint="eastAsia" w:cs="宋体"/>
          <w:color w:val="auto"/>
          <w:highlight w:val="none"/>
        </w:rPr>
        <w:fldChar w:fldCharType="separate"/>
      </w:r>
      <w:r>
        <w:rPr>
          <w:rFonts w:hint="eastAsia" w:cs="宋体"/>
          <w:color w:val="auto"/>
          <w:highlight w:val="none"/>
        </w:rPr>
        <w:t>109</w:t>
      </w:r>
      <w:r>
        <w:rPr>
          <w:rFonts w:hint="eastAsia" w:cs="宋体"/>
          <w:color w:val="auto"/>
          <w:highlight w:val="none"/>
        </w:rPr>
        <w:fldChar w:fldCharType="end"/>
      </w:r>
      <w:r>
        <w:rPr>
          <w:rFonts w:hint="eastAsia" w:cs="宋体"/>
          <w:color w:val="auto"/>
          <w:highlight w:val="none"/>
        </w:rPr>
        <w:fldChar w:fldCharType="end"/>
      </w:r>
    </w:p>
    <w:p w14:paraId="762B1845">
      <w:pPr>
        <w:pStyle w:val="28"/>
        <w:tabs>
          <w:tab w:val="right" w:leader="dot" w:pos="9070"/>
          <w:tab w:val="clear" w:pos="9060"/>
        </w:tabs>
        <w:rPr>
          <w:rFonts w:hint="eastAsia" w:cs="宋体"/>
          <w:color w:val="auto"/>
          <w:highlight w:val="none"/>
        </w:rPr>
      </w:pPr>
      <w:r>
        <w:rPr>
          <w:rFonts w:hint="eastAsia" w:cs="宋体"/>
          <w:color w:val="auto"/>
          <w:highlight w:val="none"/>
        </w:rPr>
        <w:fldChar w:fldCharType="begin"/>
      </w:r>
      <w:r>
        <w:rPr>
          <w:rFonts w:hint="eastAsia" w:cs="宋体"/>
          <w:color w:val="auto"/>
          <w:highlight w:val="none"/>
        </w:rPr>
        <w:instrText xml:space="preserve"> HYPERLINK \l _Toc12178 </w:instrText>
      </w:r>
      <w:r>
        <w:rPr>
          <w:rFonts w:hint="eastAsia" w:cs="宋体"/>
          <w:color w:val="auto"/>
          <w:highlight w:val="none"/>
        </w:rPr>
        <w:fldChar w:fldCharType="separate"/>
      </w:r>
      <w:r>
        <w:rPr>
          <w:rFonts w:hint="eastAsia" w:cs="宋体"/>
          <w:color w:val="auto"/>
          <w:highlight w:val="none"/>
        </w:rPr>
        <w:t>第六章  图纸及勘察资料</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_Toc12178 \h </w:instrText>
      </w:r>
      <w:r>
        <w:rPr>
          <w:rFonts w:hint="eastAsia" w:cs="宋体"/>
          <w:color w:val="auto"/>
          <w:highlight w:val="none"/>
        </w:rPr>
        <w:fldChar w:fldCharType="separate"/>
      </w:r>
      <w:r>
        <w:rPr>
          <w:rFonts w:hint="eastAsia" w:cs="宋体"/>
          <w:color w:val="auto"/>
          <w:highlight w:val="none"/>
        </w:rPr>
        <w:t>115</w:t>
      </w:r>
      <w:r>
        <w:rPr>
          <w:rFonts w:hint="eastAsia" w:cs="宋体"/>
          <w:color w:val="auto"/>
          <w:highlight w:val="none"/>
        </w:rPr>
        <w:fldChar w:fldCharType="end"/>
      </w:r>
      <w:r>
        <w:rPr>
          <w:rFonts w:hint="eastAsia" w:cs="宋体"/>
          <w:color w:val="auto"/>
          <w:highlight w:val="none"/>
        </w:rPr>
        <w:fldChar w:fldCharType="end"/>
      </w:r>
    </w:p>
    <w:p w14:paraId="3F690159">
      <w:pPr>
        <w:pStyle w:val="28"/>
        <w:tabs>
          <w:tab w:val="right" w:leader="dot" w:pos="9070"/>
          <w:tab w:val="clear" w:pos="9060"/>
        </w:tabs>
        <w:rPr>
          <w:rFonts w:hint="eastAsia" w:cs="宋体"/>
          <w:color w:val="auto"/>
          <w:highlight w:val="none"/>
        </w:rPr>
      </w:pPr>
      <w:r>
        <w:rPr>
          <w:rFonts w:hint="eastAsia" w:cs="宋体"/>
          <w:color w:val="auto"/>
          <w:highlight w:val="none"/>
        </w:rPr>
        <w:fldChar w:fldCharType="begin"/>
      </w:r>
      <w:r>
        <w:rPr>
          <w:rFonts w:hint="eastAsia" w:cs="宋体"/>
          <w:color w:val="auto"/>
          <w:highlight w:val="none"/>
        </w:rPr>
        <w:instrText xml:space="preserve"> HYPERLINK \l _Toc31491 </w:instrText>
      </w:r>
      <w:r>
        <w:rPr>
          <w:rFonts w:hint="eastAsia" w:cs="宋体"/>
          <w:color w:val="auto"/>
          <w:highlight w:val="none"/>
        </w:rPr>
        <w:fldChar w:fldCharType="separate"/>
      </w:r>
      <w:r>
        <w:rPr>
          <w:rFonts w:hint="eastAsia" w:cs="宋体"/>
          <w:color w:val="auto"/>
          <w:highlight w:val="none"/>
        </w:rPr>
        <w:t>第七章  工程量清单</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_Toc31491 \h </w:instrText>
      </w:r>
      <w:r>
        <w:rPr>
          <w:rFonts w:hint="eastAsia" w:cs="宋体"/>
          <w:color w:val="auto"/>
          <w:highlight w:val="none"/>
        </w:rPr>
        <w:fldChar w:fldCharType="separate"/>
      </w:r>
      <w:r>
        <w:rPr>
          <w:rFonts w:hint="eastAsia" w:cs="宋体"/>
          <w:color w:val="auto"/>
          <w:highlight w:val="none"/>
        </w:rPr>
        <w:t>116</w:t>
      </w:r>
      <w:r>
        <w:rPr>
          <w:rFonts w:hint="eastAsia" w:cs="宋体"/>
          <w:color w:val="auto"/>
          <w:highlight w:val="none"/>
        </w:rPr>
        <w:fldChar w:fldCharType="end"/>
      </w:r>
      <w:r>
        <w:rPr>
          <w:rFonts w:hint="eastAsia" w:cs="宋体"/>
          <w:color w:val="auto"/>
          <w:highlight w:val="none"/>
        </w:rPr>
        <w:fldChar w:fldCharType="end"/>
      </w:r>
    </w:p>
    <w:p w14:paraId="2299C89F">
      <w:pPr>
        <w:pStyle w:val="28"/>
        <w:tabs>
          <w:tab w:val="right" w:leader="dot" w:pos="9070"/>
          <w:tab w:val="clear" w:pos="9060"/>
        </w:tabs>
        <w:rPr>
          <w:rFonts w:hint="eastAsia" w:cs="宋体"/>
          <w:color w:val="auto"/>
          <w:highlight w:val="none"/>
        </w:rPr>
      </w:pPr>
      <w:r>
        <w:rPr>
          <w:rFonts w:hint="eastAsia" w:cs="宋体"/>
          <w:color w:val="auto"/>
          <w:highlight w:val="none"/>
        </w:rPr>
        <w:fldChar w:fldCharType="begin"/>
      </w:r>
      <w:r>
        <w:rPr>
          <w:rFonts w:hint="eastAsia" w:cs="宋体"/>
          <w:color w:val="auto"/>
          <w:highlight w:val="none"/>
        </w:rPr>
        <w:instrText xml:space="preserve"> HYPERLINK \l _Toc27460 </w:instrText>
      </w:r>
      <w:r>
        <w:rPr>
          <w:rFonts w:hint="eastAsia" w:cs="宋体"/>
          <w:color w:val="auto"/>
          <w:highlight w:val="none"/>
        </w:rPr>
        <w:fldChar w:fldCharType="separate"/>
      </w:r>
      <w:r>
        <w:rPr>
          <w:rFonts w:hint="eastAsia" w:cs="宋体"/>
          <w:color w:val="auto"/>
          <w:highlight w:val="none"/>
        </w:rPr>
        <w:t>第八章  最高投标限价</w:t>
      </w:r>
      <w:r>
        <w:rPr>
          <w:rFonts w:hint="eastAsia" w:cs="宋体"/>
          <w:color w:val="auto"/>
          <w:highlight w:val="none"/>
        </w:rPr>
        <w:tab/>
      </w:r>
      <w:r>
        <w:rPr>
          <w:rFonts w:hint="eastAsia" w:cs="宋体"/>
          <w:color w:val="auto"/>
          <w:highlight w:val="none"/>
        </w:rPr>
        <w:fldChar w:fldCharType="begin"/>
      </w:r>
      <w:r>
        <w:rPr>
          <w:rFonts w:hint="eastAsia" w:cs="宋体"/>
          <w:color w:val="auto"/>
          <w:highlight w:val="none"/>
        </w:rPr>
        <w:instrText xml:space="preserve"> PAGEREF _Toc27460 \h </w:instrText>
      </w:r>
      <w:r>
        <w:rPr>
          <w:rFonts w:hint="eastAsia" w:cs="宋体"/>
          <w:color w:val="auto"/>
          <w:highlight w:val="none"/>
        </w:rPr>
        <w:fldChar w:fldCharType="separate"/>
      </w:r>
      <w:r>
        <w:rPr>
          <w:rFonts w:hint="eastAsia" w:cs="宋体"/>
          <w:color w:val="auto"/>
          <w:highlight w:val="none"/>
        </w:rPr>
        <w:t>119</w:t>
      </w:r>
      <w:r>
        <w:rPr>
          <w:rFonts w:hint="eastAsia" w:cs="宋体"/>
          <w:color w:val="auto"/>
          <w:highlight w:val="none"/>
        </w:rPr>
        <w:fldChar w:fldCharType="end"/>
      </w:r>
      <w:r>
        <w:rPr>
          <w:rFonts w:hint="eastAsia" w:cs="宋体"/>
          <w:color w:val="auto"/>
          <w:highlight w:val="none"/>
        </w:rPr>
        <w:fldChar w:fldCharType="end"/>
      </w:r>
    </w:p>
    <w:p w14:paraId="35B9CB7A">
      <w:pPr>
        <w:pStyle w:val="2"/>
        <w:rPr>
          <w:rFonts w:hint="eastAsia"/>
          <w:color w:val="auto"/>
          <w:highlight w:val="none"/>
        </w:rPr>
      </w:pPr>
      <w:r>
        <w:rPr>
          <w:rFonts w:hint="eastAsia" w:ascii="宋体" w:hAnsi="宋体" w:cs="宋体"/>
          <w:color w:val="auto"/>
          <w:highlight w:val="none"/>
        </w:rPr>
        <w:fldChar w:fldCharType="end"/>
      </w:r>
    </w:p>
    <w:p w14:paraId="20A44D3F">
      <w:pPr>
        <w:pStyle w:val="2"/>
        <w:bidi w:val="0"/>
        <w:rPr>
          <w:rFonts w:hint="eastAsia"/>
          <w:color w:val="auto"/>
          <w:highlight w:val="none"/>
        </w:rPr>
      </w:pPr>
      <w:bookmarkStart w:id="2" w:name="_Toc31735"/>
      <w:bookmarkStart w:id="3" w:name="_Toc20110"/>
    </w:p>
    <w:p w14:paraId="4196DB58">
      <w:pPr>
        <w:pStyle w:val="4"/>
        <w:rPr>
          <w:rFonts w:hint="eastAsia"/>
          <w:color w:val="auto"/>
          <w:highlight w:val="none"/>
        </w:rPr>
      </w:pPr>
    </w:p>
    <w:p w14:paraId="66DD96A8">
      <w:pPr>
        <w:pStyle w:val="2"/>
        <w:bidi w:val="0"/>
        <w:rPr>
          <w:color w:val="auto"/>
          <w:highlight w:val="none"/>
        </w:rPr>
      </w:pPr>
      <w:bookmarkStart w:id="4" w:name="_Toc22375"/>
      <w:bookmarkStart w:id="5" w:name="_Toc22482"/>
      <w:r>
        <w:rPr>
          <w:rFonts w:hint="eastAsia"/>
          <w:color w:val="auto"/>
          <w:highlight w:val="none"/>
        </w:rPr>
        <w:t>第一章</w:t>
      </w:r>
      <w:r>
        <w:rPr>
          <w:color w:val="auto"/>
          <w:highlight w:val="none"/>
        </w:rPr>
        <w:t xml:space="preserve">  </w:t>
      </w:r>
      <w:r>
        <w:rPr>
          <w:rFonts w:hint="eastAsia"/>
          <w:color w:val="auto"/>
          <w:highlight w:val="none"/>
        </w:rPr>
        <w:t>投标须知</w:t>
      </w:r>
      <w:bookmarkEnd w:id="0"/>
      <w:bookmarkEnd w:id="1"/>
      <w:bookmarkEnd w:id="2"/>
      <w:bookmarkEnd w:id="3"/>
      <w:bookmarkEnd w:id="4"/>
      <w:bookmarkEnd w:id="5"/>
    </w:p>
    <w:p w14:paraId="0DCDB109">
      <w:pPr>
        <w:pStyle w:val="6"/>
        <w:bidi w:val="0"/>
        <w:rPr>
          <w:color w:val="auto"/>
          <w:highlight w:val="none"/>
        </w:rPr>
      </w:pPr>
      <w:bookmarkStart w:id="6" w:name="_Toc21525490"/>
      <w:bookmarkStart w:id="7" w:name="_Toc28976"/>
      <w:bookmarkStart w:id="8" w:name="_Toc2272546"/>
      <w:bookmarkStart w:id="9" w:name="_Toc23957"/>
      <w:bookmarkStart w:id="10" w:name="_Toc8599"/>
      <w:bookmarkStart w:id="11" w:name="_Toc7462"/>
      <w:r>
        <w:rPr>
          <w:rFonts w:hint="eastAsia"/>
          <w:color w:val="auto"/>
          <w:highlight w:val="none"/>
        </w:rPr>
        <w:t>一、投标须知前附表</w:t>
      </w:r>
      <w:bookmarkEnd w:id="6"/>
      <w:bookmarkEnd w:id="7"/>
      <w:bookmarkEnd w:id="8"/>
      <w:bookmarkEnd w:id="9"/>
      <w:bookmarkEnd w:id="10"/>
      <w:bookmarkEnd w:id="11"/>
    </w:p>
    <w:p w14:paraId="13726C7C">
      <w:pPr>
        <w:pStyle w:val="9"/>
        <w:spacing w:line="360" w:lineRule="auto"/>
        <w:ind w:firstLine="0"/>
        <w:rPr>
          <w:rFonts w:ascii="宋体" w:hAnsi="宋体"/>
          <w:b/>
          <w:color w:val="auto"/>
          <w:sz w:val="24"/>
          <w:szCs w:val="24"/>
          <w:highlight w:val="none"/>
        </w:rPr>
      </w:pPr>
      <w:r>
        <w:rPr>
          <w:rFonts w:hint="eastAsia" w:ascii="宋体" w:hAnsi="宋体"/>
          <w:b/>
          <w:color w:val="auto"/>
          <w:sz w:val="24"/>
          <w:szCs w:val="24"/>
          <w:highlight w:val="none"/>
        </w:rPr>
        <w:t>声明：本投标须知前附表使用</w:t>
      </w:r>
      <w:r>
        <w:rPr>
          <w:rFonts w:hint="eastAsia" w:ascii="宋体" w:hAnsi="宋体"/>
          <w:b/>
          <w:color w:val="auto"/>
          <w:sz w:val="24"/>
          <w:szCs w:val="24"/>
          <w:highlight w:val="none"/>
          <w:lang w:eastAsia="zh-CN"/>
        </w:rPr>
        <w:t>GZJTZB202</w:t>
      </w:r>
      <w:r>
        <w:rPr>
          <w:rFonts w:hint="eastAsia" w:ascii="宋体" w:hAnsi="宋体"/>
          <w:b/>
          <w:color w:val="auto"/>
          <w:sz w:val="24"/>
          <w:szCs w:val="24"/>
          <w:highlight w:val="none"/>
          <w:lang w:val="en-US" w:eastAsia="zh-CN"/>
        </w:rPr>
        <w:t>5</w:t>
      </w:r>
      <w:r>
        <w:rPr>
          <w:rFonts w:hint="eastAsia" w:ascii="宋体" w:hAnsi="宋体"/>
          <w:b/>
          <w:color w:val="auto"/>
          <w:sz w:val="24"/>
          <w:szCs w:val="24"/>
          <w:highlight w:val="none"/>
          <w:lang w:eastAsia="zh-CN"/>
        </w:rPr>
        <w:t>-3</w:t>
      </w:r>
      <w:r>
        <w:rPr>
          <w:rFonts w:hint="eastAsia" w:ascii="宋体" w:hAnsi="宋体"/>
          <w:b/>
          <w:color w:val="auto"/>
          <w:sz w:val="24"/>
          <w:szCs w:val="24"/>
          <w:highlight w:val="none"/>
        </w:rPr>
        <w:t>招标文件范本，与范本不同之处均以下划线标明，所有标明下划线部分属于本表的组成部分，同其他部分具有同样的效力。对范本《投标须知通用条款》和《开标、评标和定标办法通用条款》可选择部分的选择使用，均已在本表中注明，通用条款可选择部分中未被本投标须知前附表选择的部分无效。</w:t>
      </w:r>
    </w:p>
    <w:tbl>
      <w:tblPr>
        <w:tblStyle w:val="37"/>
        <w:tblW w:w="9350" w:type="dxa"/>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2"/>
        <w:gridCol w:w="981"/>
        <w:gridCol w:w="1733"/>
        <w:gridCol w:w="5934"/>
      </w:tblGrid>
      <w:tr w14:paraId="7293C29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66" w:hRule="atLeast"/>
          <w:tblHeader/>
        </w:trPr>
        <w:tc>
          <w:tcPr>
            <w:tcW w:w="702" w:type="dxa"/>
            <w:tcBorders>
              <w:top w:val="double" w:color="auto" w:sz="4" w:space="0"/>
              <w:left w:val="double" w:color="auto" w:sz="4" w:space="0"/>
              <w:bottom w:val="single" w:color="auto" w:sz="4" w:space="0"/>
              <w:right w:val="single" w:color="auto" w:sz="4" w:space="0"/>
            </w:tcBorders>
            <w:vAlign w:val="center"/>
          </w:tcPr>
          <w:p w14:paraId="0E3AEAF8">
            <w:pPr>
              <w:rPr>
                <w:rFonts w:ascii="宋体" w:hAnsi="宋体"/>
                <w:color w:val="auto"/>
                <w:szCs w:val="21"/>
                <w:highlight w:val="none"/>
              </w:rPr>
            </w:pPr>
            <w:r>
              <w:rPr>
                <w:rFonts w:hint="eastAsia" w:ascii="宋体" w:hAnsi="宋体"/>
                <w:color w:val="auto"/>
                <w:szCs w:val="21"/>
                <w:highlight w:val="none"/>
              </w:rPr>
              <w:t>项目</w:t>
            </w:r>
          </w:p>
        </w:tc>
        <w:tc>
          <w:tcPr>
            <w:tcW w:w="981" w:type="dxa"/>
            <w:tcBorders>
              <w:top w:val="double" w:color="auto" w:sz="4" w:space="0"/>
              <w:left w:val="single" w:color="auto" w:sz="4" w:space="0"/>
              <w:bottom w:val="single" w:color="auto" w:sz="4" w:space="0"/>
              <w:right w:val="single" w:color="auto" w:sz="4" w:space="0"/>
            </w:tcBorders>
            <w:vAlign w:val="center"/>
          </w:tcPr>
          <w:p w14:paraId="55608C36">
            <w:pPr>
              <w:rPr>
                <w:rFonts w:ascii="宋体" w:hAnsi="宋体"/>
                <w:color w:val="auto"/>
                <w:szCs w:val="21"/>
                <w:highlight w:val="none"/>
              </w:rPr>
            </w:pPr>
            <w:r>
              <w:rPr>
                <w:rFonts w:hint="eastAsia" w:ascii="宋体" w:hAnsi="宋体"/>
                <w:color w:val="auto"/>
                <w:szCs w:val="21"/>
                <w:highlight w:val="none"/>
              </w:rPr>
              <w:t>条款号</w:t>
            </w:r>
          </w:p>
        </w:tc>
        <w:tc>
          <w:tcPr>
            <w:tcW w:w="1733" w:type="dxa"/>
            <w:tcBorders>
              <w:top w:val="double" w:color="auto" w:sz="4" w:space="0"/>
              <w:left w:val="single" w:color="auto" w:sz="4" w:space="0"/>
              <w:bottom w:val="single" w:color="auto" w:sz="4" w:space="0"/>
              <w:right w:val="single" w:color="auto" w:sz="4" w:space="0"/>
            </w:tcBorders>
            <w:vAlign w:val="center"/>
          </w:tcPr>
          <w:p w14:paraId="6CEFF77C">
            <w:pPr>
              <w:ind w:firstLine="458"/>
              <w:rPr>
                <w:rFonts w:ascii="宋体" w:hAnsi="宋体"/>
                <w:color w:val="auto"/>
                <w:szCs w:val="21"/>
                <w:highlight w:val="none"/>
              </w:rPr>
            </w:pPr>
            <w:r>
              <w:rPr>
                <w:rFonts w:hint="eastAsia" w:ascii="宋体" w:hAnsi="宋体"/>
                <w:color w:val="auto"/>
                <w:szCs w:val="21"/>
                <w:highlight w:val="none"/>
              </w:rPr>
              <w:t>内容</w:t>
            </w:r>
          </w:p>
        </w:tc>
        <w:tc>
          <w:tcPr>
            <w:tcW w:w="5934" w:type="dxa"/>
            <w:tcBorders>
              <w:top w:val="double" w:color="auto" w:sz="4" w:space="0"/>
              <w:left w:val="single" w:color="auto" w:sz="4" w:space="0"/>
              <w:bottom w:val="single" w:color="auto" w:sz="4" w:space="0"/>
              <w:right w:val="double" w:color="auto" w:sz="4" w:space="0"/>
            </w:tcBorders>
            <w:vAlign w:val="center"/>
          </w:tcPr>
          <w:p w14:paraId="5A4EEFB1">
            <w:pPr>
              <w:pStyle w:val="22"/>
              <w:ind w:firstLine="458"/>
              <w:jc w:val="center"/>
              <w:rPr>
                <w:rFonts w:ascii="宋体" w:hAnsi="宋体"/>
                <w:color w:val="auto"/>
                <w:szCs w:val="21"/>
                <w:highlight w:val="none"/>
              </w:rPr>
            </w:pPr>
            <w:r>
              <w:rPr>
                <w:rFonts w:hint="eastAsia" w:ascii="宋体" w:hAnsi="宋体"/>
                <w:color w:val="auto"/>
                <w:szCs w:val="21"/>
                <w:highlight w:val="none"/>
              </w:rPr>
              <w:t>说明与要求</w:t>
            </w:r>
          </w:p>
        </w:tc>
      </w:tr>
      <w:tr w14:paraId="3A62B2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304" w:hRule="atLeast"/>
        </w:trPr>
        <w:tc>
          <w:tcPr>
            <w:tcW w:w="702" w:type="dxa"/>
            <w:tcBorders>
              <w:top w:val="single" w:color="auto" w:sz="4" w:space="0"/>
              <w:left w:val="double" w:color="auto" w:sz="4" w:space="0"/>
              <w:bottom w:val="single" w:color="auto" w:sz="4" w:space="0"/>
              <w:right w:val="single" w:color="auto" w:sz="4" w:space="0"/>
            </w:tcBorders>
            <w:vAlign w:val="center"/>
          </w:tcPr>
          <w:p w14:paraId="1D33350C">
            <w:pPr>
              <w:rPr>
                <w:rFonts w:ascii="宋体" w:hAnsi="宋体"/>
                <w:color w:val="auto"/>
                <w:szCs w:val="21"/>
                <w:highlight w:val="none"/>
              </w:rPr>
            </w:pPr>
            <w:r>
              <w:rPr>
                <w:rFonts w:ascii="宋体" w:hAnsi="宋体"/>
                <w:color w:val="auto"/>
                <w:szCs w:val="21"/>
                <w:highlight w:val="none"/>
              </w:rPr>
              <w:t>1</w:t>
            </w:r>
          </w:p>
        </w:tc>
        <w:tc>
          <w:tcPr>
            <w:tcW w:w="981" w:type="dxa"/>
            <w:tcBorders>
              <w:top w:val="single" w:color="auto" w:sz="4" w:space="0"/>
              <w:left w:val="single" w:color="auto" w:sz="4" w:space="0"/>
              <w:bottom w:val="single" w:color="auto" w:sz="4" w:space="0"/>
              <w:right w:val="single" w:color="auto" w:sz="4" w:space="0"/>
            </w:tcBorders>
            <w:vAlign w:val="center"/>
          </w:tcPr>
          <w:p w14:paraId="1E7C37F9">
            <w:pPr>
              <w:rPr>
                <w:rFonts w:ascii="宋体" w:hAnsi="宋体"/>
                <w:color w:val="auto"/>
                <w:szCs w:val="21"/>
                <w:highlight w:val="none"/>
              </w:rPr>
            </w:pPr>
            <w:r>
              <w:rPr>
                <w:rFonts w:ascii="宋体" w:hAnsi="宋体"/>
                <w:color w:val="auto"/>
                <w:szCs w:val="21"/>
                <w:highlight w:val="none"/>
              </w:rPr>
              <w:t>1</w:t>
            </w:r>
          </w:p>
        </w:tc>
        <w:tc>
          <w:tcPr>
            <w:tcW w:w="1733" w:type="dxa"/>
            <w:tcBorders>
              <w:top w:val="single" w:color="auto" w:sz="4" w:space="0"/>
              <w:left w:val="single" w:color="auto" w:sz="4" w:space="0"/>
              <w:bottom w:val="single" w:color="auto" w:sz="4" w:space="0"/>
              <w:right w:val="single" w:color="auto" w:sz="4" w:space="0"/>
            </w:tcBorders>
            <w:vAlign w:val="center"/>
          </w:tcPr>
          <w:p w14:paraId="0A5265BD">
            <w:pPr>
              <w:rPr>
                <w:rFonts w:ascii="宋体" w:hAnsi="宋体"/>
                <w:color w:val="auto"/>
                <w:szCs w:val="21"/>
                <w:highlight w:val="none"/>
              </w:rPr>
            </w:pPr>
            <w:r>
              <w:rPr>
                <w:rFonts w:hint="eastAsia" w:ascii="宋体" w:hAnsi="宋体"/>
                <w:color w:val="auto"/>
                <w:szCs w:val="21"/>
                <w:highlight w:val="none"/>
              </w:rPr>
              <w:t>定义</w:t>
            </w:r>
          </w:p>
        </w:tc>
        <w:tc>
          <w:tcPr>
            <w:tcW w:w="5934" w:type="dxa"/>
            <w:tcBorders>
              <w:top w:val="single" w:color="auto" w:sz="4" w:space="0"/>
              <w:left w:val="single" w:color="auto" w:sz="4" w:space="0"/>
              <w:bottom w:val="single" w:color="auto" w:sz="4" w:space="0"/>
              <w:right w:val="double" w:color="auto" w:sz="4" w:space="0"/>
            </w:tcBorders>
            <w:vAlign w:val="center"/>
          </w:tcPr>
          <w:p w14:paraId="76E860C4">
            <w:pPr>
              <w:rPr>
                <w:rFonts w:ascii="宋体" w:hAnsi="宋体"/>
                <w:color w:val="auto"/>
                <w:szCs w:val="21"/>
                <w:highlight w:val="none"/>
              </w:rPr>
            </w:pPr>
            <w:r>
              <w:rPr>
                <w:rFonts w:hint="eastAsia" w:ascii="宋体" w:hAnsi="宋体" w:cs="宋体"/>
                <w:color w:val="auto"/>
                <w:szCs w:val="21"/>
                <w:highlight w:val="none"/>
              </w:rPr>
              <w:t>招标人（即发包人）：</w:t>
            </w:r>
            <w:r>
              <w:rPr>
                <w:rFonts w:hint="eastAsia" w:ascii="宋体" w:hAnsi="宋体" w:cs="宋体"/>
                <w:color w:val="auto"/>
                <w:szCs w:val="21"/>
                <w:highlight w:val="none"/>
                <w:u w:val="single"/>
              </w:rPr>
              <w:t>广州市番禺区基本建设投资管理中心</w:t>
            </w:r>
          </w:p>
          <w:p w14:paraId="1AFBD307">
            <w:pPr>
              <w:rPr>
                <w:rFonts w:hint="eastAsia" w:ascii="宋体" w:hAnsi="宋体"/>
                <w:color w:val="auto"/>
                <w:szCs w:val="21"/>
                <w:highlight w:val="none"/>
                <w:u w:val="single"/>
              </w:rPr>
            </w:pPr>
            <w:r>
              <w:rPr>
                <w:rFonts w:hint="eastAsia" w:ascii="宋体" w:hAnsi="宋体"/>
                <w:color w:val="auto"/>
                <w:szCs w:val="21"/>
                <w:highlight w:val="none"/>
              </w:rPr>
              <w:t>项目建设管理单位：</w:t>
            </w:r>
            <w:r>
              <w:rPr>
                <w:rFonts w:ascii="宋体" w:hAnsi="宋体"/>
                <w:color w:val="auto"/>
                <w:szCs w:val="21"/>
                <w:highlight w:val="none"/>
                <w:u w:val="single"/>
              </w:rPr>
              <w:t xml:space="preserve">  </w:t>
            </w:r>
            <w:r>
              <w:rPr>
                <w:rFonts w:hint="eastAsia" w:ascii="宋体" w:hAnsi="宋体"/>
                <w:color w:val="auto"/>
                <w:szCs w:val="21"/>
                <w:highlight w:val="none"/>
                <w:u w:val="single"/>
                <w:lang w:val="en-US" w:eastAsia="zh-CN"/>
              </w:rPr>
              <w:t>/</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p>
          <w:p w14:paraId="7A4C3806">
            <w:pPr>
              <w:pStyle w:val="21"/>
              <w:rPr>
                <w:rFonts w:hint="default" w:eastAsia="宋体"/>
                <w:color w:val="auto"/>
                <w:highlight w:val="none"/>
                <w:u w:val="single"/>
                <w:lang w:val="en-US" w:eastAsia="zh-CN"/>
              </w:rPr>
            </w:pPr>
            <w:r>
              <w:rPr>
                <w:rFonts w:hint="eastAsia"/>
                <w:color w:val="auto"/>
                <w:highlight w:val="none"/>
                <w:lang w:val="en-US" w:eastAsia="zh-CN"/>
              </w:rPr>
              <w:t>项目代建单位：</w:t>
            </w:r>
            <w:r>
              <w:rPr>
                <w:rFonts w:hint="eastAsia"/>
                <w:color w:val="auto"/>
                <w:highlight w:val="none"/>
                <w:u w:val="single"/>
                <w:lang w:val="en-US" w:eastAsia="zh-CN"/>
              </w:rPr>
              <w:t xml:space="preserve">  /  </w:t>
            </w:r>
          </w:p>
          <w:p w14:paraId="0EEAFFC7">
            <w:pPr>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招标代理：</w:t>
            </w:r>
            <w:r>
              <w:rPr>
                <w:rFonts w:hint="eastAsia" w:ascii="宋体" w:hAnsi="宋体" w:cs="宋体"/>
                <w:color w:val="auto"/>
                <w:sz w:val="21"/>
                <w:szCs w:val="21"/>
                <w:highlight w:val="none"/>
                <w:u w:val="none"/>
                <w:lang w:eastAsia="zh-CN"/>
              </w:rPr>
              <w:t>广东弘海实业发展有限公司</w:t>
            </w:r>
          </w:p>
          <w:p w14:paraId="37B3AAE4">
            <w:pPr>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设计单位：</w:t>
            </w:r>
            <w:r>
              <w:rPr>
                <w:rFonts w:hint="eastAsia" w:ascii="宋体" w:hAnsi="宋体" w:cs="宋体"/>
                <w:color w:val="auto"/>
                <w:szCs w:val="21"/>
                <w:highlight w:val="none"/>
                <w:u w:val="single"/>
                <w:lang w:val="en-US" w:eastAsia="zh-CN"/>
              </w:rPr>
              <w:t>广东省冶金建筑设计研究院有限公司</w:t>
            </w:r>
          </w:p>
          <w:p w14:paraId="61A981AE">
            <w:pPr>
              <w:rPr>
                <w:rFonts w:ascii="宋体" w:hAnsi="宋体" w:cs="宋体"/>
                <w:color w:val="auto"/>
                <w:szCs w:val="21"/>
                <w:highlight w:val="none"/>
                <w:u w:val="single"/>
              </w:rPr>
            </w:pPr>
            <w:r>
              <w:rPr>
                <w:rFonts w:hint="eastAsia" w:ascii="宋体" w:hAnsi="宋体" w:cs="宋体"/>
                <w:color w:val="auto"/>
                <w:szCs w:val="21"/>
                <w:highlight w:val="none"/>
              </w:rPr>
              <w:t>监理单位：</w:t>
            </w:r>
            <w:r>
              <w:rPr>
                <w:rFonts w:hint="eastAsia" w:ascii="宋体" w:hAnsi="宋体" w:cs="宋体"/>
                <w:color w:val="auto"/>
                <w:szCs w:val="21"/>
                <w:highlight w:val="none"/>
                <w:u w:val="single"/>
              </w:rPr>
              <w:t xml:space="preserve">        /               </w:t>
            </w:r>
          </w:p>
          <w:p w14:paraId="79EB843C">
            <w:pPr>
              <w:rPr>
                <w:rFonts w:ascii="宋体" w:hAnsi="宋体"/>
                <w:color w:val="auto"/>
                <w:szCs w:val="21"/>
                <w:highlight w:val="none"/>
              </w:rPr>
            </w:pPr>
            <w:r>
              <w:rPr>
                <w:rFonts w:hint="eastAsia" w:ascii="宋体" w:hAnsi="宋体" w:cs="宋体"/>
                <w:color w:val="auto"/>
                <w:szCs w:val="21"/>
                <w:highlight w:val="none"/>
              </w:rPr>
              <w:t>检测机构：</w:t>
            </w:r>
            <w:r>
              <w:rPr>
                <w:rFonts w:hint="eastAsia" w:ascii="宋体" w:hAnsi="宋体" w:cs="宋体"/>
                <w:color w:val="auto"/>
                <w:szCs w:val="21"/>
                <w:highlight w:val="none"/>
                <w:u w:val="single"/>
              </w:rPr>
              <w:t xml:space="preserve">        /               </w:t>
            </w:r>
          </w:p>
        </w:tc>
      </w:tr>
      <w:tr w14:paraId="454741F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854" w:hRule="atLeast"/>
        </w:trPr>
        <w:tc>
          <w:tcPr>
            <w:tcW w:w="702" w:type="dxa"/>
            <w:tcBorders>
              <w:top w:val="single" w:color="auto" w:sz="4" w:space="0"/>
              <w:left w:val="double" w:color="auto" w:sz="4" w:space="0"/>
              <w:bottom w:val="single" w:color="auto" w:sz="4" w:space="0"/>
              <w:right w:val="single" w:color="auto" w:sz="4" w:space="0"/>
            </w:tcBorders>
            <w:vAlign w:val="center"/>
          </w:tcPr>
          <w:p w14:paraId="632B72AF">
            <w:pPr>
              <w:rPr>
                <w:rFonts w:ascii="宋体" w:hAnsi="宋体"/>
                <w:color w:val="auto"/>
                <w:szCs w:val="21"/>
                <w:highlight w:val="none"/>
              </w:rPr>
            </w:pPr>
            <w:r>
              <w:rPr>
                <w:rFonts w:ascii="宋体" w:hAnsi="宋体"/>
                <w:color w:val="auto"/>
                <w:szCs w:val="21"/>
                <w:highlight w:val="none"/>
              </w:rPr>
              <w:t>2</w:t>
            </w:r>
          </w:p>
        </w:tc>
        <w:tc>
          <w:tcPr>
            <w:tcW w:w="981" w:type="dxa"/>
            <w:tcBorders>
              <w:top w:val="single" w:color="auto" w:sz="4" w:space="0"/>
              <w:left w:val="single" w:color="auto" w:sz="4" w:space="0"/>
              <w:bottom w:val="single" w:color="auto" w:sz="4" w:space="0"/>
              <w:right w:val="single" w:color="auto" w:sz="4" w:space="0"/>
            </w:tcBorders>
            <w:vAlign w:val="center"/>
          </w:tcPr>
          <w:p w14:paraId="285D617C">
            <w:pPr>
              <w:rPr>
                <w:rFonts w:ascii="宋体" w:hAnsi="宋体"/>
                <w:color w:val="auto"/>
                <w:szCs w:val="21"/>
                <w:highlight w:val="none"/>
              </w:rPr>
            </w:pPr>
            <w:r>
              <w:rPr>
                <w:rFonts w:ascii="宋体" w:hAnsi="宋体"/>
                <w:color w:val="auto"/>
                <w:szCs w:val="21"/>
                <w:highlight w:val="none"/>
              </w:rPr>
              <w:t>2.2</w:t>
            </w:r>
          </w:p>
        </w:tc>
        <w:tc>
          <w:tcPr>
            <w:tcW w:w="1733" w:type="dxa"/>
            <w:tcBorders>
              <w:top w:val="single" w:color="auto" w:sz="4" w:space="0"/>
              <w:left w:val="single" w:color="auto" w:sz="4" w:space="0"/>
              <w:bottom w:val="single" w:color="auto" w:sz="4" w:space="0"/>
              <w:right w:val="single" w:color="auto" w:sz="4" w:space="0"/>
            </w:tcBorders>
            <w:vAlign w:val="center"/>
          </w:tcPr>
          <w:p w14:paraId="4896A6E4">
            <w:pPr>
              <w:rPr>
                <w:rFonts w:ascii="宋体" w:hAnsi="宋体"/>
                <w:color w:val="auto"/>
                <w:szCs w:val="21"/>
                <w:highlight w:val="none"/>
              </w:rPr>
            </w:pPr>
            <w:r>
              <w:rPr>
                <w:rFonts w:hint="eastAsia" w:ascii="宋体" w:hAnsi="宋体"/>
                <w:color w:val="auto"/>
                <w:szCs w:val="21"/>
                <w:highlight w:val="none"/>
              </w:rPr>
              <w:t>名称</w:t>
            </w:r>
          </w:p>
        </w:tc>
        <w:tc>
          <w:tcPr>
            <w:tcW w:w="5934" w:type="dxa"/>
            <w:tcBorders>
              <w:top w:val="single" w:color="auto" w:sz="4" w:space="0"/>
              <w:left w:val="single" w:color="auto" w:sz="4" w:space="0"/>
              <w:bottom w:val="single" w:color="auto" w:sz="4" w:space="0"/>
              <w:right w:val="double" w:color="auto" w:sz="4" w:space="0"/>
            </w:tcBorders>
            <w:vAlign w:val="center"/>
          </w:tcPr>
          <w:p w14:paraId="0DE51876">
            <w:pPr>
              <w:rPr>
                <w:rFonts w:hint="default" w:eastAsia="宋体"/>
                <w:color w:val="auto"/>
                <w:highlight w:val="none"/>
                <w:lang w:val="en-US" w:eastAsia="zh-CN"/>
              </w:rPr>
            </w:pPr>
            <w:r>
              <w:rPr>
                <w:rFonts w:hint="eastAsia"/>
                <w:color w:val="auto"/>
                <w:highlight w:val="none"/>
                <w:lang w:eastAsia="zh-CN"/>
              </w:rPr>
              <w:t>工程名称：</w:t>
            </w:r>
            <w:r>
              <w:rPr>
                <w:rFonts w:hint="eastAsia" w:ascii="宋体" w:hAnsi="宋体" w:cs="宋体"/>
                <w:color w:val="auto"/>
                <w:sz w:val="21"/>
                <w:szCs w:val="21"/>
                <w:highlight w:val="none"/>
                <w:u w:val="single"/>
                <w:lang w:eastAsia="zh-CN"/>
              </w:rPr>
              <w:t>番禺区南村镇德兴北路（金山大道至园北路）工程</w:t>
            </w:r>
          </w:p>
          <w:p w14:paraId="013FF1AA">
            <w:pPr>
              <w:pStyle w:val="21"/>
              <w:rPr>
                <w:rFonts w:hint="default" w:eastAsia="宋体"/>
                <w:color w:val="auto"/>
                <w:highlight w:val="none"/>
                <w:u w:val="single"/>
                <w:lang w:val="en-US" w:eastAsia="zh-CN"/>
              </w:rPr>
            </w:pPr>
            <w:r>
              <w:rPr>
                <w:rFonts w:hint="eastAsia" w:hAnsi="宋体"/>
                <w:color w:val="auto"/>
                <w:szCs w:val="21"/>
                <w:highlight w:val="none"/>
                <w:lang w:eastAsia="zh-CN"/>
              </w:rPr>
              <w:t>招标项目名称：</w:t>
            </w:r>
            <w:r>
              <w:rPr>
                <w:rFonts w:hint="eastAsia" w:hAnsi="宋体" w:cs="宋体"/>
                <w:color w:val="auto"/>
                <w:sz w:val="21"/>
                <w:szCs w:val="21"/>
                <w:highlight w:val="none"/>
                <w:u w:val="single"/>
                <w:lang w:eastAsia="zh-CN"/>
              </w:rPr>
              <w:t>番禺区南村镇德兴北路（金山大道至园北路）工程施工总承包项目</w:t>
            </w:r>
          </w:p>
        </w:tc>
      </w:tr>
      <w:tr w14:paraId="4BF152C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452" w:hRule="atLeast"/>
        </w:trPr>
        <w:tc>
          <w:tcPr>
            <w:tcW w:w="702" w:type="dxa"/>
            <w:tcBorders>
              <w:top w:val="single" w:color="auto" w:sz="4" w:space="0"/>
              <w:left w:val="double" w:color="auto" w:sz="4" w:space="0"/>
              <w:bottom w:val="single" w:color="auto" w:sz="4" w:space="0"/>
              <w:right w:val="single" w:color="auto" w:sz="4" w:space="0"/>
            </w:tcBorders>
            <w:vAlign w:val="center"/>
          </w:tcPr>
          <w:p w14:paraId="464D0526">
            <w:pPr>
              <w:rPr>
                <w:rFonts w:ascii="宋体" w:hAnsi="宋体"/>
                <w:color w:val="auto"/>
                <w:szCs w:val="21"/>
                <w:highlight w:val="none"/>
              </w:rPr>
            </w:pPr>
            <w:r>
              <w:rPr>
                <w:rFonts w:ascii="宋体" w:hAnsi="宋体"/>
                <w:color w:val="auto"/>
                <w:szCs w:val="21"/>
                <w:highlight w:val="none"/>
              </w:rPr>
              <w:t>3</w:t>
            </w:r>
          </w:p>
        </w:tc>
        <w:tc>
          <w:tcPr>
            <w:tcW w:w="981" w:type="dxa"/>
            <w:tcBorders>
              <w:top w:val="single" w:color="auto" w:sz="4" w:space="0"/>
              <w:left w:val="single" w:color="auto" w:sz="4" w:space="0"/>
              <w:bottom w:val="single" w:color="auto" w:sz="4" w:space="0"/>
              <w:right w:val="single" w:color="auto" w:sz="4" w:space="0"/>
            </w:tcBorders>
            <w:vAlign w:val="center"/>
          </w:tcPr>
          <w:p w14:paraId="006896CA">
            <w:pPr>
              <w:rPr>
                <w:rFonts w:ascii="宋体" w:hAnsi="宋体"/>
                <w:color w:val="auto"/>
                <w:szCs w:val="21"/>
                <w:highlight w:val="none"/>
              </w:rPr>
            </w:pPr>
            <w:r>
              <w:rPr>
                <w:rFonts w:ascii="宋体" w:hAnsi="宋体"/>
                <w:color w:val="auto"/>
                <w:szCs w:val="21"/>
                <w:highlight w:val="none"/>
              </w:rPr>
              <w:t>2.2</w:t>
            </w:r>
          </w:p>
        </w:tc>
        <w:tc>
          <w:tcPr>
            <w:tcW w:w="1733" w:type="dxa"/>
            <w:tcBorders>
              <w:top w:val="single" w:color="auto" w:sz="4" w:space="0"/>
              <w:left w:val="single" w:color="auto" w:sz="4" w:space="0"/>
              <w:bottom w:val="single" w:color="auto" w:sz="4" w:space="0"/>
              <w:right w:val="single" w:color="auto" w:sz="4" w:space="0"/>
            </w:tcBorders>
            <w:vAlign w:val="center"/>
          </w:tcPr>
          <w:p w14:paraId="2A14BE85">
            <w:pPr>
              <w:rPr>
                <w:rFonts w:ascii="宋体" w:hAnsi="宋体"/>
                <w:color w:val="auto"/>
                <w:szCs w:val="21"/>
                <w:highlight w:val="none"/>
              </w:rPr>
            </w:pPr>
            <w:r>
              <w:rPr>
                <w:rFonts w:hint="eastAsia" w:ascii="宋体" w:hAnsi="宋体"/>
                <w:color w:val="auto"/>
                <w:szCs w:val="21"/>
                <w:highlight w:val="none"/>
              </w:rPr>
              <w:t>建设地点</w:t>
            </w:r>
          </w:p>
        </w:tc>
        <w:tc>
          <w:tcPr>
            <w:tcW w:w="5934" w:type="dxa"/>
            <w:tcBorders>
              <w:top w:val="single" w:color="auto" w:sz="4" w:space="0"/>
              <w:left w:val="single" w:color="auto" w:sz="4" w:space="0"/>
              <w:bottom w:val="single" w:color="auto" w:sz="4" w:space="0"/>
              <w:right w:val="double" w:color="auto" w:sz="4" w:space="0"/>
            </w:tcBorders>
            <w:vAlign w:val="center"/>
          </w:tcPr>
          <w:p w14:paraId="3B56CBE8">
            <w:pPr>
              <w:rPr>
                <w:rFonts w:ascii="宋体" w:hAnsi="宋体"/>
                <w:color w:val="auto"/>
                <w:szCs w:val="21"/>
                <w:highlight w:val="none"/>
                <w:u w:val="single"/>
              </w:rPr>
            </w:pPr>
            <w:r>
              <w:rPr>
                <w:rFonts w:hint="eastAsia" w:ascii="宋体" w:hAnsi="宋体"/>
                <w:color w:val="auto"/>
                <w:szCs w:val="21"/>
                <w:highlight w:val="none"/>
                <w:u w:val="single"/>
                <w:lang w:eastAsia="zh-CN"/>
              </w:rPr>
              <w:t>广州市番禺区南村镇樟边村</w:t>
            </w:r>
          </w:p>
        </w:tc>
      </w:tr>
      <w:tr w14:paraId="6F03E0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trPr>
        <w:tc>
          <w:tcPr>
            <w:tcW w:w="702" w:type="dxa"/>
            <w:tcBorders>
              <w:top w:val="single" w:color="auto" w:sz="4" w:space="0"/>
              <w:left w:val="double" w:color="auto" w:sz="4" w:space="0"/>
              <w:bottom w:val="single" w:color="auto" w:sz="4" w:space="0"/>
              <w:right w:val="single" w:color="auto" w:sz="4" w:space="0"/>
            </w:tcBorders>
            <w:vAlign w:val="center"/>
          </w:tcPr>
          <w:p w14:paraId="0AF695F7">
            <w:pPr>
              <w:rPr>
                <w:rFonts w:ascii="宋体" w:hAnsi="宋体"/>
                <w:color w:val="auto"/>
                <w:szCs w:val="21"/>
                <w:highlight w:val="none"/>
              </w:rPr>
            </w:pPr>
            <w:r>
              <w:rPr>
                <w:rFonts w:ascii="宋体" w:hAnsi="宋体"/>
                <w:color w:val="auto"/>
                <w:szCs w:val="21"/>
                <w:highlight w:val="none"/>
              </w:rPr>
              <w:t>4</w:t>
            </w:r>
          </w:p>
        </w:tc>
        <w:tc>
          <w:tcPr>
            <w:tcW w:w="981" w:type="dxa"/>
            <w:tcBorders>
              <w:top w:val="single" w:color="auto" w:sz="4" w:space="0"/>
              <w:left w:val="single" w:color="auto" w:sz="4" w:space="0"/>
              <w:bottom w:val="single" w:color="auto" w:sz="4" w:space="0"/>
              <w:right w:val="single" w:color="auto" w:sz="4" w:space="0"/>
            </w:tcBorders>
            <w:vAlign w:val="center"/>
          </w:tcPr>
          <w:p w14:paraId="10135813">
            <w:pPr>
              <w:rPr>
                <w:rFonts w:ascii="宋体" w:hAnsi="宋体"/>
                <w:color w:val="auto"/>
                <w:szCs w:val="21"/>
                <w:highlight w:val="none"/>
              </w:rPr>
            </w:pPr>
            <w:r>
              <w:rPr>
                <w:rFonts w:ascii="宋体" w:hAnsi="宋体"/>
                <w:color w:val="auto"/>
                <w:szCs w:val="21"/>
                <w:highlight w:val="none"/>
              </w:rPr>
              <w:t>2.2</w:t>
            </w:r>
          </w:p>
        </w:tc>
        <w:tc>
          <w:tcPr>
            <w:tcW w:w="1733" w:type="dxa"/>
            <w:tcBorders>
              <w:top w:val="single" w:color="auto" w:sz="4" w:space="0"/>
              <w:left w:val="single" w:color="auto" w:sz="4" w:space="0"/>
              <w:bottom w:val="single" w:color="auto" w:sz="4" w:space="0"/>
              <w:right w:val="single" w:color="auto" w:sz="4" w:space="0"/>
            </w:tcBorders>
            <w:vAlign w:val="center"/>
          </w:tcPr>
          <w:p w14:paraId="7ED73F2F">
            <w:pPr>
              <w:rPr>
                <w:rFonts w:ascii="宋体" w:hAnsi="宋体"/>
                <w:color w:val="auto"/>
                <w:szCs w:val="21"/>
                <w:highlight w:val="none"/>
              </w:rPr>
            </w:pPr>
            <w:r>
              <w:rPr>
                <w:rFonts w:hint="eastAsia" w:ascii="宋体" w:hAnsi="宋体"/>
                <w:color w:val="auto"/>
                <w:szCs w:val="21"/>
                <w:highlight w:val="none"/>
              </w:rPr>
              <w:t>建设规模</w:t>
            </w:r>
          </w:p>
        </w:tc>
        <w:tc>
          <w:tcPr>
            <w:tcW w:w="5934" w:type="dxa"/>
            <w:tcBorders>
              <w:top w:val="single" w:color="auto" w:sz="4" w:space="0"/>
              <w:left w:val="single" w:color="auto" w:sz="4" w:space="0"/>
              <w:bottom w:val="single" w:color="auto" w:sz="4" w:space="0"/>
              <w:right w:val="double" w:color="auto" w:sz="4" w:space="0"/>
            </w:tcBorders>
            <w:vAlign w:val="center"/>
          </w:tcPr>
          <w:p w14:paraId="08D0C854">
            <w:pPr>
              <w:rPr>
                <w:rFonts w:ascii="宋体" w:hAnsi="宋体"/>
                <w:color w:val="auto"/>
                <w:szCs w:val="21"/>
                <w:highlight w:val="none"/>
                <w:u w:val="single"/>
              </w:rPr>
            </w:pPr>
            <w:r>
              <w:rPr>
                <w:rFonts w:hint="eastAsia" w:ascii="宋体" w:hAnsi="宋体" w:cs="宋体"/>
                <w:color w:val="auto"/>
                <w:szCs w:val="21"/>
                <w:highlight w:val="none"/>
                <w:u w:val="single"/>
              </w:rPr>
              <w:t>详见本工程招标公告</w:t>
            </w:r>
            <w:r>
              <w:rPr>
                <w:rFonts w:hint="eastAsia" w:ascii="宋体" w:hAnsi="宋体" w:cs="宋体"/>
                <w:color w:val="auto"/>
                <w:szCs w:val="21"/>
                <w:highlight w:val="none"/>
                <w:u w:val="single"/>
                <w:lang w:eastAsia="zh-CN"/>
              </w:rPr>
              <w:t>。</w:t>
            </w:r>
          </w:p>
        </w:tc>
      </w:tr>
      <w:tr w14:paraId="59EABC6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74" w:hRule="atLeast"/>
        </w:trPr>
        <w:tc>
          <w:tcPr>
            <w:tcW w:w="702" w:type="dxa"/>
            <w:tcBorders>
              <w:top w:val="single" w:color="auto" w:sz="4" w:space="0"/>
              <w:left w:val="double" w:color="auto" w:sz="4" w:space="0"/>
              <w:bottom w:val="single" w:color="auto" w:sz="4" w:space="0"/>
              <w:right w:val="single" w:color="auto" w:sz="4" w:space="0"/>
            </w:tcBorders>
            <w:vAlign w:val="center"/>
          </w:tcPr>
          <w:p w14:paraId="263346B0">
            <w:pPr>
              <w:rPr>
                <w:rFonts w:ascii="宋体" w:hAnsi="宋体"/>
                <w:color w:val="auto"/>
                <w:szCs w:val="21"/>
                <w:highlight w:val="none"/>
              </w:rPr>
            </w:pPr>
            <w:r>
              <w:rPr>
                <w:rFonts w:ascii="宋体" w:hAnsi="宋体"/>
                <w:color w:val="auto"/>
                <w:szCs w:val="21"/>
                <w:highlight w:val="none"/>
              </w:rPr>
              <w:t>5</w:t>
            </w:r>
          </w:p>
        </w:tc>
        <w:tc>
          <w:tcPr>
            <w:tcW w:w="981" w:type="dxa"/>
            <w:tcBorders>
              <w:top w:val="single" w:color="auto" w:sz="4" w:space="0"/>
              <w:left w:val="single" w:color="auto" w:sz="4" w:space="0"/>
              <w:bottom w:val="single" w:color="auto" w:sz="4" w:space="0"/>
              <w:right w:val="single" w:color="auto" w:sz="4" w:space="0"/>
            </w:tcBorders>
            <w:vAlign w:val="center"/>
          </w:tcPr>
          <w:p w14:paraId="16088057">
            <w:pPr>
              <w:rPr>
                <w:rFonts w:ascii="宋体" w:hAnsi="宋体"/>
                <w:color w:val="auto"/>
                <w:szCs w:val="21"/>
                <w:highlight w:val="none"/>
              </w:rPr>
            </w:pPr>
            <w:r>
              <w:rPr>
                <w:rFonts w:ascii="宋体" w:hAnsi="宋体"/>
                <w:color w:val="auto"/>
                <w:szCs w:val="21"/>
                <w:highlight w:val="none"/>
              </w:rPr>
              <w:t>2.2</w:t>
            </w:r>
          </w:p>
        </w:tc>
        <w:tc>
          <w:tcPr>
            <w:tcW w:w="1733" w:type="dxa"/>
            <w:tcBorders>
              <w:top w:val="single" w:color="auto" w:sz="4" w:space="0"/>
              <w:left w:val="single" w:color="auto" w:sz="4" w:space="0"/>
              <w:bottom w:val="single" w:color="auto" w:sz="4" w:space="0"/>
              <w:right w:val="single" w:color="auto" w:sz="4" w:space="0"/>
            </w:tcBorders>
            <w:vAlign w:val="center"/>
          </w:tcPr>
          <w:p w14:paraId="703A14EB">
            <w:pPr>
              <w:rPr>
                <w:rFonts w:ascii="宋体" w:hAnsi="宋体"/>
                <w:color w:val="auto"/>
                <w:szCs w:val="21"/>
                <w:highlight w:val="none"/>
              </w:rPr>
            </w:pPr>
            <w:r>
              <w:rPr>
                <w:rFonts w:hint="eastAsia" w:ascii="宋体" w:hAnsi="宋体"/>
                <w:color w:val="auto"/>
                <w:szCs w:val="21"/>
                <w:highlight w:val="none"/>
              </w:rPr>
              <w:t>承包方式</w:t>
            </w:r>
          </w:p>
        </w:tc>
        <w:tc>
          <w:tcPr>
            <w:tcW w:w="5934" w:type="dxa"/>
            <w:tcBorders>
              <w:top w:val="single" w:color="auto" w:sz="4" w:space="0"/>
              <w:left w:val="single" w:color="auto" w:sz="4" w:space="0"/>
              <w:bottom w:val="single" w:color="auto" w:sz="4" w:space="0"/>
              <w:right w:val="double" w:color="auto" w:sz="4" w:space="0"/>
            </w:tcBorders>
            <w:vAlign w:val="center"/>
          </w:tcPr>
          <w:p w14:paraId="3FDACF8D">
            <w:pPr>
              <w:rPr>
                <w:rFonts w:ascii="宋体" w:hAnsi="宋体"/>
                <w:color w:val="auto"/>
                <w:szCs w:val="21"/>
                <w:highlight w:val="none"/>
              </w:rPr>
            </w:pPr>
            <w:r>
              <w:rPr>
                <w:rFonts w:hint="eastAsia" w:ascii="宋体" w:hAnsi="宋体" w:cs="宋体"/>
                <w:color w:val="auto"/>
                <w:szCs w:val="21"/>
                <w:highlight w:val="none"/>
                <w:u w:val="single"/>
              </w:rPr>
              <w:t>包工、包料、包工期、包质量、包安全、包文明施工。合同约定风险范围内按投标综合单价（含项目措施费综合单价）不变、不可计量项目措施费包干。总价合同，图纸大包干</w:t>
            </w:r>
            <w:r>
              <w:rPr>
                <w:rFonts w:hint="eastAsia" w:ascii="宋体" w:hAnsi="宋体" w:cs="宋体"/>
                <w:color w:val="auto"/>
                <w:szCs w:val="21"/>
                <w:highlight w:val="none"/>
                <w:u w:val="single"/>
                <w:lang w:eastAsia="zh-CN"/>
              </w:rPr>
              <w:t>。</w:t>
            </w:r>
          </w:p>
        </w:tc>
      </w:tr>
      <w:tr w14:paraId="5A3F952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trPr>
        <w:tc>
          <w:tcPr>
            <w:tcW w:w="702" w:type="dxa"/>
            <w:tcBorders>
              <w:top w:val="single" w:color="auto" w:sz="4" w:space="0"/>
              <w:left w:val="double" w:color="auto" w:sz="4" w:space="0"/>
              <w:bottom w:val="single" w:color="auto" w:sz="4" w:space="0"/>
              <w:right w:val="single" w:color="auto" w:sz="4" w:space="0"/>
            </w:tcBorders>
            <w:vAlign w:val="center"/>
          </w:tcPr>
          <w:p w14:paraId="593808D7">
            <w:pPr>
              <w:rPr>
                <w:rFonts w:ascii="宋体" w:hAnsi="宋体"/>
                <w:color w:val="auto"/>
                <w:szCs w:val="21"/>
                <w:highlight w:val="none"/>
              </w:rPr>
            </w:pPr>
            <w:r>
              <w:rPr>
                <w:rFonts w:ascii="宋体" w:hAnsi="宋体"/>
                <w:color w:val="auto"/>
                <w:szCs w:val="21"/>
                <w:highlight w:val="none"/>
              </w:rPr>
              <w:t>6</w:t>
            </w:r>
          </w:p>
        </w:tc>
        <w:tc>
          <w:tcPr>
            <w:tcW w:w="981" w:type="dxa"/>
            <w:tcBorders>
              <w:top w:val="single" w:color="auto" w:sz="4" w:space="0"/>
              <w:left w:val="single" w:color="auto" w:sz="4" w:space="0"/>
              <w:bottom w:val="single" w:color="auto" w:sz="4" w:space="0"/>
              <w:right w:val="single" w:color="auto" w:sz="4" w:space="0"/>
            </w:tcBorders>
            <w:vAlign w:val="center"/>
          </w:tcPr>
          <w:p w14:paraId="6735310F">
            <w:pPr>
              <w:rPr>
                <w:rFonts w:ascii="宋体" w:hAnsi="宋体"/>
                <w:color w:val="auto"/>
                <w:szCs w:val="21"/>
                <w:highlight w:val="none"/>
              </w:rPr>
            </w:pPr>
            <w:r>
              <w:rPr>
                <w:rFonts w:ascii="宋体" w:hAnsi="宋体"/>
                <w:color w:val="auto"/>
                <w:szCs w:val="21"/>
                <w:highlight w:val="none"/>
              </w:rPr>
              <w:t>2.2</w:t>
            </w:r>
          </w:p>
        </w:tc>
        <w:tc>
          <w:tcPr>
            <w:tcW w:w="1733" w:type="dxa"/>
            <w:tcBorders>
              <w:top w:val="single" w:color="auto" w:sz="4" w:space="0"/>
              <w:left w:val="single" w:color="auto" w:sz="4" w:space="0"/>
              <w:bottom w:val="single" w:color="auto" w:sz="4" w:space="0"/>
              <w:right w:val="single" w:color="auto" w:sz="4" w:space="0"/>
            </w:tcBorders>
            <w:vAlign w:val="center"/>
          </w:tcPr>
          <w:p w14:paraId="46759AA8">
            <w:pPr>
              <w:rPr>
                <w:rFonts w:ascii="宋体" w:hAnsi="宋体"/>
                <w:color w:val="auto"/>
                <w:szCs w:val="21"/>
                <w:highlight w:val="none"/>
              </w:rPr>
            </w:pPr>
            <w:r>
              <w:rPr>
                <w:rFonts w:hint="eastAsia" w:ascii="宋体" w:hAnsi="宋体"/>
                <w:color w:val="auto"/>
                <w:szCs w:val="21"/>
                <w:highlight w:val="none"/>
              </w:rPr>
              <w:t>质量标准</w:t>
            </w:r>
          </w:p>
        </w:tc>
        <w:tc>
          <w:tcPr>
            <w:tcW w:w="5934" w:type="dxa"/>
            <w:tcBorders>
              <w:top w:val="single" w:color="auto" w:sz="4" w:space="0"/>
              <w:left w:val="single" w:color="auto" w:sz="4" w:space="0"/>
              <w:bottom w:val="single" w:color="auto" w:sz="4" w:space="0"/>
              <w:right w:val="double" w:color="auto" w:sz="4" w:space="0"/>
            </w:tcBorders>
            <w:vAlign w:val="center"/>
          </w:tcPr>
          <w:p w14:paraId="1D2BFCCB">
            <w:pPr>
              <w:rPr>
                <w:rFonts w:ascii="宋体" w:hAnsi="宋体"/>
                <w:color w:val="auto"/>
                <w:szCs w:val="21"/>
                <w:highlight w:val="none"/>
                <w:u w:val="single"/>
              </w:rPr>
            </w:pPr>
            <w:r>
              <w:rPr>
                <w:rFonts w:hint="eastAsia" w:ascii="宋体" w:hAnsi="宋体" w:cs="宋体"/>
                <w:color w:val="auto"/>
                <w:szCs w:val="21"/>
                <w:highlight w:val="none"/>
                <w:u w:val="single"/>
              </w:rPr>
              <w:t>工程质量符合现行《工程施工质量验收规范》合格标准。</w:t>
            </w:r>
          </w:p>
        </w:tc>
      </w:tr>
      <w:tr w14:paraId="4EE6025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518" w:hRule="atLeast"/>
        </w:trPr>
        <w:tc>
          <w:tcPr>
            <w:tcW w:w="702" w:type="dxa"/>
            <w:tcBorders>
              <w:top w:val="single" w:color="auto" w:sz="4" w:space="0"/>
              <w:left w:val="double" w:color="auto" w:sz="4" w:space="0"/>
              <w:bottom w:val="single" w:color="auto" w:sz="4" w:space="0"/>
              <w:right w:val="single" w:color="auto" w:sz="4" w:space="0"/>
            </w:tcBorders>
            <w:vAlign w:val="center"/>
          </w:tcPr>
          <w:p w14:paraId="73FCBE86">
            <w:pPr>
              <w:rPr>
                <w:rFonts w:ascii="宋体" w:hAnsi="宋体"/>
                <w:color w:val="auto"/>
                <w:szCs w:val="21"/>
                <w:highlight w:val="none"/>
              </w:rPr>
            </w:pPr>
            <w:r>
              <w:rPr>
                <w:rFonts w:ascii="宋体" w:hAnsi="宋体"/>
                <w:color w:val="auto"/>
                <w:szCs w:val="21"/>
                <w:highlight w:val="none"/>
              </w:rPr>
              <w:t>7</w:t>
            </w:r>
          </w:p>
        </w:tc>
        <w:tc>
          <w:tcPr>
            <w:tcW w:w="981" w:type="dxa"/>
            <w:tcBorders>
              <w:top w:val="single" w:color="auto" w:sz="4" w:space="0"/>
              <w:left w:val="single" w:color="auto" w:sz="4" w:space="0"/>
              <w:bottom w:val="single" w:color="auto" w:sz="4" w:space="0"/>
              <w:right w:val="single" w:color="auto" w:sz="4" w:space="0"/>
            </w:tcBorders>
            <w:vAlign w:val="center"/>
          </w:tcPr>
          <w:p w14:paraId="13AB55E9">
            <w:pPr>
              <w:rPr>
                <w:rFonts w:ascii="宋体" w:hAnsi="宋体"/>
                <w:color w:val="auto"/>
                <w:szCs w:val="21"/>
                <w:highlight w:val="none"/>
              </w:rPr>
            </w:pPr>
            <w:r>
              <w:rPr>
                <w:rFonts w:ascii="宋体" w:hAnsi="宋体"/>
                <w:color w:val="auto"/>
                <w:szCs w:val="21"/>
                <w:highlight w:val="none"/>
              </w:rPr>
              <w:t>2.2</w:t>
            </w:r>
          </w:p>
        </w:tc>
        <w:tc>
          <w:tcPr>
            <w:tcW w:w="1733" w:type="dxa"/>
            <w:tcBorders>
              <w:top w:val="single" w:color="auto" w:sz="4" w:space="0"/>
              <w:left w:val="single" w:color="auto" w:sz="4" w:space="0"/>
              <w:bottom w:val="single" w:color="auto" w:sz="4" w:space="0"/>
              <w:right w:val="single" w:color="auto" w:sz="4" w:space="0"/>
            </w:tcBorders>
            <w:vAlign w:val="center"/>
          </w:tcPr>
          <w:p w14:paraId="22679CDB">
            <w:pPr>
              <w:rPr>
                <w:rFonts w:ascii="宋体" w:hAnsi="宋体"/>
                <w:color w:val="auto"/>
                <w:szCs w:val="21"/>
                <w:highlight w:val="none"/>
              </w:rPr>
            </w:pPr>
            <w:r>
              <w:rPr>
                <w:rFonts w:hint="eastAsia" w:ascii="宋体" w:hAnsi="宋体"/>
                <w:color w:val="auto"/>
                <w:szCs w:val="21"/>
                <w:highlight w:val="none"/>
              </w:rPr>
              <w:t>招标范围</w:t>
            </w:r>
          </w:p>
        </w:tc>
        <w:tc>
          <w:tcPr>
            <w:tcW w:w="5934" w:type="dxa"/>
            <w:tcBorders>
              <w:top w:val="single" w:color="auto" w:sz="4" w:space="0"/>
              <w:left w:val="single" w:color="auto" w:sz="4" w:space="0"/>
              <w:bottom w:val="single" w:color="auto" w:sz="4" w:space="0"/>
              <w:right w:val="double" w:color="auto" w:sz="4" w:space="0"/>
            </w:tcBorders>
            <w:vAlign w:val="center"/>
          </w:tcPr>
          <w:p w14:paraId="16EF5918">
            <w:pPr>
              <w:rPr>
                <w:rFonts w:ascii="宋体" w:hAnsi="宋体"/>
                <w:color w:val="auto"/>
                <w:szCs w:val="21"/>
                <w:highlight w:val="none"/>
                <w:u w:val="single"/>
              </w:rPr>
            </w:pPr>
            <w:r>
              <w:rPr>
                <w:rFonts w:hint="eastAsia" w:ascii="宋体" w:hAnsi="宋体" w:cs="宋体"/>
                <w:color w:val="auto"/>
                <w:szCs w:val="21"/>
                <w:highlight w:val="none"/>
                <w:u w:val="single"/>
              </w:rPr>
              <w:t>详见本工程招标公告。</w:t>
            </w:r>
          </w:p>
        </w:tc>
      </w:tr>
      <w:tr w14:paraId="628CE0A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702" w:type="dxa"/>
            <w:tcBorders>
              <w:top w:val="single" w:color="auto" w:sz="4" w:space="0"/>
              <w:left w:val="double" w:color="auto" w:sz="4" w:space="0"/>
              <w:bottom w:val="single" w:color="auto" w:sz="4" w:space="0"/>
              <w:right w:val="single" w:color="auto" w:sz="4" w:space="0"/>
            </w:tcBorders>
            <w:vAlign w:val="center"/>
          </w:tcPr>
          <w:p w14:paraId="5E56FC29">
            <w:pPr>
              <w:rPr>
                <w:rFonts w:ascii="宋体" w:hAnsi="宋体"/>
                <w:color w:val="auto"/>
                <w:szCs w:val="21"/>
                <w:highlight w:val="none"/>
              </w:rPr>
            </w:pPr>
            <w:r>
              <w:rPr>
                <w:rFonts w:ascii="宋体" w:hAnsi="宋体"/>
                <w:color w:val="auto"/>
                <w:szCs w:val="21"/>
                <w:highlight w:val="none"/>
              </w:rPr>
              <w:t>8</w:t>
            </w:r>
          </w:p>
        </w:tc>
        <w:tc>
          <w:tcPr>
            <w:tcW w:w="981" w:type="dxa"/>
            <w:tcBorders>
              <w:top w:val="single" w:color="auto" w:sz="4" w:space="0"/>
              <w:left w:val="single" w:color="auto" w:sz="4" w:space="0"/>
              <w:bottom w:val="single" w:color="auto" w:sz="4" w:space="0"/>
              <w:right w:val="single" w:color="auto" w:sz="4" w:space="0"/>
            </w:tcBorders>
            <w:vAlign w:val="center"/>
          </w:tcPr>
          <w:p w14:paraId="071FB3EA">
            <w:pPr>
              <w:rPr>
                <w:rFonts w:ascii="宋体" w:hAnsi="宋体"/>
                <w:color w:val="auto"/>
                <w:szCs w:val="21"/>
                <w:highlight w:val="none"/>
              </w:rPr>
            </w:pPr>
            <w:r>
              <w:rPr>
                <w:rFonts w:ascii="宋体" w:hAnsi="宋体"/>
                <w:color w:val="auto"/>
                <w:szCs w:val="21"/>
                <w:highlight w:val="none"/>
              </w:rPr>
              <w:t>2.2</w:t>
            </w:r>
          </w:p>
        </w:tc>
        <w:tc>
          <w:tcPr>
            <w:tcW w:w="1733" w:type="dxa"/>
            <w:tcBorders>
              <w:top w:val="single" w:color="auto" w:sz="4" w:space="0"/>
              <w:left w:val="single" w:color="auto" w:sz="4" w:space="0"/>
              <w:bottom w:val="single" w:color="auto" w:sz="4" w:space="0"/>
              <w:right w:val="single" w:color="auto" w:sz="4" w:space="0"/>
            </w:tcBorders>
            <w:vAlign w:val="center"/>
          </w:tcPr>
          <w:p w14:paraId="2B4F1ABB">
            <w:pPr>
              <w:rPr>
                <w:rFonts w:ascii="宋体" w:hAnsi="宋体"/>
                <w:color w:val="auto"/>
                <w:szCs w:val="21"/>
                <w:highlight w:val="none"/>
              </w:rPr>
            </w:pPr>
            <w:r>
              <w:rPr>
                <w:rFonts w:hint="eastAsia" w:ascii="宋体" w:hAnsi="宋体"/>
                <w:color w:val="auto"/>
                <w:szCs w:val="21"/>
                <w:highlight w:val="none"/>
              </w:rPr>
              <w:t>工期要求</w:t>
            </w:r>
          </w:p>
        </w:tc>
        <w:tc>
          <w:tcPr>
            <w:tcW w:w="5934" w:type="dxa"/>
            <w:tcBorders>
              <w:top w:val="single" w:color="auto" w:sz="4" w:space="0"/>
              <w:left w:val="single" w:color="auto" w:sz="4" w:space="0"/>
              <w:bottom w:val="single" w:color="auto" w:sz="4" w:space="0"/>
              <w:right w:val="double" w:color="auto" w:sz="4" w:space="0"/>
            </w:tcBorders>
            <w:vAlign w:val="center"/>
          </w:tcPr>
          <w:p w14:paraId="4C92CEAC">
            <w:pPr>
              <w:numPr>
                <w:ilvl w:val="-1"/>
                <w:numId w:val="0"/>
              </w:numPr>
              <w:ind w:left="0" w:leftChars="0" w:firstLine="0" w:firstLineChars="0"/>
              <w:rPr>
                <w:rFonts w:ascii="宋体" w:hAnsi="宋体"/>
                <w:color w:val="auto"/>
                <w:szCs w:val="21"/>
                <w:highlight w:val="none"/>
              </w:rPr>
            </w:pPr>
            <w:r>
              <w:rPr>
                <w:rFonts w:hint="eastAsia" w:ascii="宋体" w:hAnsi="宋体" w:cs="宋体"/>
                <w:color w:val="auto"/>
                <w:szCs w:val="21"/>
                <w:highlight w:val="none"/>
              </w:rPr>
              <w:t>施工总工期：</w:t>
            </w:r>
            <w:r>
              <w:rPr>
                <w:rFonts w:hint="eastAsia" w:ascii="宋体" w:hAnsi="宋体" w:cs="宋体"/>
                <w:color w:val="auto"/>
                <w:szCs w:val="21"/>
                <w:highlight w:val="none"/>
                <w:u w:val="single"/>
                <w:lang w:val="en-US" w:eastAsia="zh-CN"/>
              </w:rPr>
              <w:t>525</w:t>
            </w:r>
            <w:r>
              <w:rPr>
                <w:rFonts w:hint="eastAsia" w:ascii="宋体" w:hAnsi="宋体" w:cs="宋体"/>
                <w:color w:val="auto"/>
                <w:szCs w:val="21"/>
                <w:highlight w:val="none"/>
                <w:u w:val="single"/>
              </w:rPr>
              <w:t>日历天</w:t>
            </w:r>
            <w:r>
              <w:rPr>
                <w:rFonts w:hint="eastAsia" w:ascii="宋体" w:hAnsi="宋体" w:cs="宋体"/>
                <w:color w:val="auto"/>
                <w:szCs w:val="21"/>
                <w:highlight w:val="none"/>
              </w:rPr>
              <w:t>内完工</w:t>
            </w:r>
            <w:r>
              <w:rPr>
                <w:rFonts w:hint="eastAsia" w:ascii="宋体" w:hAnsi="宋体" w:cs="宋体"/>
                <w:color w:val="auto"/>
                <w:szCs w:val="21"/>
                <w:highlight w:val="none"/>
                <w:lang w:eastAsia="zh-CN"/>
              </w:rPr>
              <w:t>，</w:t>
            </w:r>
            <w:r>
              <w:rPr>
                <w:rFonts w:hint="eastAsia" w:ascii="宋体" w:hAnsi="宋体" w:cs="宋体"/>
                <w:color w:val="auto"/>
                <w:szCs w:val="21"/>
                <w:highlight w:val="none"/>
                <w:u w:val="single"/>
              </w:rPr>
              <w:t>完工是指完成合同约定的工程各项内容（包括项目实体及应由施工单位提供的相关资料），经发包人检查确认并签发《工程完工确认书》为准。</w:t>
            </w:r>
            <w:r>
              <w:rPr>
                <w:rFonts w:ascii="宋体" w:hAnsi="宋体"/>
                <w:color w:val="auto"/>
                <w:szCs w:val="21"/>
                <w:highlight w:val="none"/>
              </w:rPr>
              <w:t xml:space="preserve">                                                        </w:t>
            </w:r>
          </w:p>
        </w:tc>
      </w:tr>
      <w:tr w14:paraId="640AE8F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432F4B3B">
            <w:pPr>
              <w:rPr>
                <w:rFonts w:ascii="宋体" w:hAnsi="宋体"/>
                <w:color w:val="auto"/>
                <w:szCs w:val="21"/>
                <w:highlight w:val="none"/>
              </w:rPr>
            </w:pPr>
            <w:r>
              <w:rPr>
                <w:rFonts w:ascii="宋体" w:hAnsi="宋体"/>
                <w:color w:val="auto"/>
                <w:szCs w:val="21"/>
                <w:highlight w:val="none"/>
              </w:rPr>
              <w:t>9</w:t>
            </w:r>
          </w:p>
        </w:tc>
        <w:tc>
          <w:tcPr>
            <w:tcW w:w="981" w:type="dxa"/>
            <w:tcBorders>
              <w:top w:val="single" w:color="auto" w:sz="4" w:space="0"/>
              <w:left w:val="single" w:color="auto" w:sz="4" w:space="0"/>
              <w:bottom w:val="single" w:color="auto" w:sz="4" w:space="0"/>
              <w:right w:val="single" w:color="auto" w:sz="4" w:space="0"/>
            </w:tcBorders>
            <w:vAlign w:val="center"/>
          </w:tcPr>
          <w:p w14:paraId="1F3186F7">
            <w:pPr>
              <w:rPr>
                <w:rFonts w:ascii="宋体" w:hAnsi="宋体"/>
                <w:color w:val="auto"/>
                <w:szCs w:val="21"/>
                <w:highlight w:val="none"/>
              </w:rPr>
            </w:pPr>
            <w:r>
              <w:rPr>
                <w:rFonts w:ascii="宋体" w:hAnsi="宋体"/>
                <w:color w:val="auto"/>
                <w:szCs w:val="21"/>
                <w:highlight w:val="none"/>
              </w:rPr>
              <w:t>3.1</w:t>
            </w:r>
          </w:p>
        </w:tc>
        <w:tc>
          <w:tcPr>
            <w:tcW w:w="1733" w:type="dxa"/>
            <w:tcBorders>
              <w:top w:val="single" w:color="auto" w:sz="4" w:space="0"/>
              <w:left w:val="single" w:color="auto" w:sz="4" w:space="0"/>
              <w:bottom w:val="single" w:color="auto" w:sz="4" w:space="0"/>
              <w:right w:val="single" w:color="auto" w:sz="4" w:space="0"/>
            </w:tcBorders>
            <w:vAlign w:val="center"/>
          </w:tcPr>
          <w:p w14:paraId="1FB0CA6A">
            <w:pPr>
              <w:rPr>
                <w:rFonts w:ascii="宋体" w:hAnsi="宋体"/>
                <w:color w:val="auto"/>
                <w:szCs w:val="21"/>
                <w:highlight w:val="none"/>
              </w:rPr>
            </w:pPr>
            <w:r>
              <w:rPr>
                <w:rFonts w:hint="eastAsia" w:ascii="宋体" w:hAnsi="宋体"/>
                <w:color w:val="auto"/>
                <w:szCs w:val="21"/>
                <w:highlight w:val="none"/>
              </w:rPr>
              <w:t>资金来源</w:t>
            </w:r>
          </w:p>
        </w:tc>
        <w:tc>
          <w:tcPr>
            <w:tcW w:w="5934" w:type="dxa"/>
            <w:tcBorders>
              <w:top w:val="single" w:color="auto" w:sz="4" w:space="0"/>
              <w:left w:val="single" w:color="auto" w:sz="4" w:space="0"/>
              <w:bottom w:val="single" w:color="auto" w:sz="4" w:space="0"/>
              <w:right w:val="double" w:color="auto" w:sz="4" w:space="0"/>
            </w:tcBorders>
            <w:vAlign w:val="center"/>
          </w:tcPr>
          <w:p w14:paraId="772E8054">
            <w:pPr>
              <w:rPr>
                <w:rFonts w:ascii="宋体" w:hAnsi="宋体"/>
                <w:color w:val="auto"/>
                <w:szCs w:val="21"/>
                <w:highlight w:val="none"/>
                <w:u w:val="single"/>
              </w:rPr>
            </w:pPr>
            <w:r>
              <w:rPr>
                <w:rFonts w:hint="eastAsia" w:ascii="宋体" w:hAnsi="宋体" w:cs="宋体"/>
                <w:color w:val="auto"/>
                <w:szCs w:val="21"/>
                <w:highlight w:val="none"/>
              </w:rPr>
              <w:t>财政资金</w:t>
            </w:r>
          </w:p>
        </w:tc>
      </w:tr>
      <w:tr w14:paraId="2CA3A61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87" w:hRule="atLeast"/>
        </w:trPr>
        <w:tc>
          <w:tcPr>
            <w:tcW w:w="702" w:type="dxa"/>
            <w:tcBorders>
              <w:top w:val="single" w:color="auto" w:sz="4" w:space="0"/>
              <w:left w:val="double" w:color="auto" w:sz="4" w:space="0"/>
              <w:bottom w:val="single" w:color="auto" w:sz="4" w:space="0"/>
              <w:right w:val="single" w:color="auto" w:sz="4" w:space="0"/>
            </w:tcBorders>
            <w:vAlign w:val="center"/>
          </w:tcPr>
          <w:p w14:paraId="4C375A3A">
            <w:pPr>
              <w:rPr>
                <w:rFonts w:ascii="宋体" w:hAnsi="宋体"/>
                <w:color w:val="auto"/>
                <w:szCs w:val="21"/>
                <w:highlight w:val="none"/>
              </w:rPr>
            </w:pPr>
            <w:r>
              <w:rPr>
                <w:rFonts w:ascii="宋体" w:hAnsi="宋体"/>
                <w:color w:val="auto"/>
                <w:szCs w:val="21"/>
                <w:highlight w:val="none"/>
              </w:rPr>
              <w:t>10</w:t>
            </w:r>
          </w:p>
        </w:tc>
        <w:tc>
          <w:tcPr>
            <w:tcW w:w="981" w:type="dxa"/>
            <w:tcBorders>
              <w:top w:val="single" w:color="auto" w:sz="4" w:space="0"/>
              <w:left w:val="single" w:color="auto" w:sz="4" w:space="0"/>
              <w:bottom w:val="single" w:color="auto" w:sz="4" w:space="0"/>
              <w:right w:val="single" w:color="auto" w:sz="4" w:space="0"/>
            </w:tcBorders>
            <w:vAlign w:val="center"/>
          </w:tcPr>
          <w:p w14:paraId="3F394418">
            <w:pPr>
              <w:rPr>
                <w:rFonts w:ascii="宋体" w:hAnsi="宋体"/>
                <w:color w:val="auto"/>
                <w:szCs w:val="21"/>
                <w:highlight w:val="none"/>
              </w:rPr>
            </w:pPr>
            <w:r>
              <w:rPr>
                <w:rFonts w:ascii="宋体" w:hAnsi="宋体"/>
                <w:color w:val="auto"/>
                <w:szCs w:val="21"/>
                <w:highlight w:val="none"/>
              </w:rPr>
              <w:t>4.1</w:t>
            </w:r>
          </w:p>
        </w:tc>
        <w:tc>
          <w:tcPr>
            <w:tcW w:w="1733" w:type="dxa"/>
            <w:tcBorders>
              <w:top w:val="single" w:color="auto" w:sz="4" w:space="0"/>
              <w:left w:val="single" w:color="auto" w:sz="4" w:space="0"/>
              <w:bottom w:val="single" w:color="auto" w:sz="4" w:space="0"/>
              <w:right w:val="single" w:color="auto" w:sz="4" w:space="0"/>
            </w:tcBorders>
            <w:vAlign w:val="center"/>
          </w:tcPr>
          <w:p w14:paraId="1789BF21">
            <w:pPr>
              <w:rPr>
                <w:rFonts w:ascii="宋体" w:hAnsi="宋体"/>
                <w:color w:val="auto"/>
                <w:szCs w:val="21"/>
                <w:highlight w:val="none"/>
              </w:rPr>
            </w:pPr>
            <w:r>
              <w:rPr>
                <w:rFonts w:hint="eastAsia" w:ascii="宋体" w:hAnsi="宋体"/>
                <w:color w:val="auto"/>
                <w:szCs w:val="21"/>
                <w:highlight w:val="none"/>
              </w:rPr>
              <w:t>投标人资质等级及项目负责人等级要求</w:t>
            </w:r>
          </w:p>
        </w:tc>
        <w:tc>
          <w:tcPr>
            <w:tcW w:w="5934" w:type="dxa"/>
            <w:tcBorders>
              <w:top w:val="single" w:color="auto" w:sz="4" w:space="0"/>
              <w:left w:val="single" w:color="auto" w:sz="4" w:space="0"/>
              <w:bottom w:val="single" w:color="auto" w:sz="4" w:space="0"/>
              <w:right w:val="double" w:color="auto" w:sz="4" w:space="0"/>
            </w:tcBorders>
            <w:vAlign w:val="center"/>
          </w:tcPr>
          <w:p w14:paraId="6F8B0845">
            <w:pPr>
              <w:rPr>
                <w:rFonts w:ascii="宋体" w:hAnsi="宋体"/>
                <w:color w:val="auto"/>
                <w:szCs w:val="21"/>
                <w:highlight w:val="none"/>
              </w:rPr>
            </w:pPr>
            <w:r>
              <w:rPr>
                <w:rFonts w:hint="eastAsia" w:ascii="宋体" w:hAnsi="宋体"/>
                <w:color w:val="auto"/>
                <w:szCs w:val="21"/>
                <w:highlight w:val="none"/>
              </w:rPr>
              <w:t>详见本工程招标公告。</w:t>
            </w:r>
          </w:p>
        </w:tc>
      </w:tr>
      <w:tr w14:paraId="5053ADE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04A3AB75">
            <w:pPr>
              <w:rPr>
                <w:rFonts w:ascii="宋体" w:hAnsi="宋体"/>
                <w:color w:val="auto"/>
                <w:szCs w:val="21"/>
                <w:highlight w:val="none"/>
              </w:rPr>
            </w:pPr>
            <w:r>
              <w:rPr>
                <w:rFonts w:ascii="宋体" w:hAnsi="宋体"/>
                <w:color w:val="auto"/>
                <w:szCs w:val="21"/>
                <w:highlight w:val="none"/>
              </w:rPr>
              <w:t>11</w:t>
            </w:r>
          </w:p>
        </w:tc>
        <w:tc>
          <w:tcPr>
            <w:tcW w:w="981" w:type="dxa"/>
            <w:tcBorders>
              <w:top w:val="single" w:color="auto" w:sz="4" w:space="0"/>
              <w:left w:val="single" w:color="auto" w:sz="4" w:space="0"/>
              <w:bottom w:val="single" w:color="auto" w:sz="4" w:space="0"/>
              <w:right w:val="single" w:color="auto" w:sz="4" w:space="0"/>
            </w:tcBorders>
            <w:vAlign w:val="center"/>
          </w:tcPr>
          <w:p w14:paraId="50C726BC">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4.2</w:t>
            </w:r>
          </w:p>
        </w:tc>
        <w:tc>
          <w:tcPr>
            <w:tcW w:w="1733" w:type="dxa"/>
            <w:tcBorders>
              <w:top w:val="single" w:color="auto" w:sz="4" w:space="0"/>
              <w:left w:val="single" w:color="auto" w:sz="4" w:space="0"/>
              <w:bottom w:val="single" w:color="auto" w:sz="4" w:space="0"/>
              <w:right w:val="single" w:color="auto" w:sz="4" w:space="0"/>
            </w:tcBorders>
            <w:vAlign w:val="center"/>
          </w:tcPr>
          <w:p w14:paraId="7BB82461">
            <w:pPr>
              <w:rPr>
                <w:rFonts w:ascii="宋体" w:hAnsi="宋体"/>
                <w:color w:val="auto"/>
                <w:szCs w:val="21"/>
                <w:highlight w:val="none"/>
              </w:rPr>
            </w:pPr>
            <w:r>
              <w:rPr>
                <w:rFonts w:hint="eastAsia" w:ascii="宋体" w:hAnsi="宋体"/>
                <w:color w:val="auto"/>
                <w:szCs w:val="21"/>
                <w:highlight w:val="none"/>
              </w:rPr>
              <w:t>资格审查方式</w:t>
            </w:r>
          </w:p>
        </w:tc>
        <w:tc>
          <w:tcPr>
            <w:tcW w:w="5934" w:type="dxa"/>
            <w:tcBorders>
              <w:top w:val="single" w:color="auto" w:sz="4" w:space="0"/>
              <w:left w:val="single" w:color="auto" w:sz="4" w:space="0"/>
              <w:bottom w:val="single" w:color="auto" w:sz="4" w:space="0"/>
              <w:right w:val="double" w:color="auto" w:sz="4" w:space="0"/>
            </w:tcBorders>
            <w:vAlign w:val="center"/>
          </w:tcPr>
          <w:p w14:paraId="1F8D5A33">
            <w:pPr>
              <w:rPr>
                <w:rFonts w:ascii="宋体" w:hAnsi="宋体"/>
                <w:color w:val="auto"/>
                <w:szCs w:val="21"/>
                <w:highlight w:val="none"/>
              </w:rPr>
            </w:pPr>
            <w:r>
              <w:rPr>
                <w:rFonts w:hint="eastAsia" w:ascii="宋体" w:hAnsi="宋体"/>
                <w:color w:val="auto"/>
                <w:szCs w:val="21"/>
                <w:highlight w:val="none"/>
              </w:rPr>
              <w:t>详见本工程招标公告。</w:t>
            </w:r>
          </w:p>
        </w:tc>
      </w:tr>
      <w:tr w14:paraId="1206FB4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1F37BFC7">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12</w:t>
            </w:r>
          </w:p>
        </w:tc>
        <w:tc>
          <w:tcPr>
            <w:tcW w:w="981" w:type="dxa"/>
            <w:tcBorders>
              <w:top w:val="single" w:color="auto" w:sz="4" w:space="0"/>
              <w:left w:val="single" w:color="auto" w:sz="4" w:space="0"/>
              <w:bottom w:val="single" w:color="auto" w:sz="4" w:space="0"/>
              <w:right w:val="single" w:color="auto" w:sz="4" w:space="0"/>
            </w:tcBorders>
            <w:vAlign w:val="center"/>
          </w:tcPr>
          <w:p w14:paraId="6A513332">
            <w:pPr>
              <w:rPr>
                <w:rFonts w:hint="eastAsia" w:ascii="宋体" w:hAnsi="宋体"/>
                <w:color w:val="auto"/>
                <w:szCs w:val="21"/>
                <w:highlight w:val="none"/>
                <w:lang w:val="en-US" w:eastAsia="zh-CN"/>
              </w:rPr>
            </w:pPr>
            <w:r>
              <w:rPr>
                <w:rFonts w:ascii="宋体" w:hAnsi="宋体"/>
                <w:color w:val="auto"/>
                <w:szCs w:val="21"/>
                <w:highlight w:val="none"/>
              </w:rPr>
              <w:t>5</w:t>
            </w:r>
          </w:p>
        </w:tc>
        <w:tc>
          <w:tcPr>
            <w:tcW w:w="1733" w:type="dxa"/>
            <w:tcBorders>
              <w:top w:val="single" w:color="auto" w:sz="4" w:space="0"/>
              <w:left w:val="single" w:color="auto" w:sz="4" w:space="0"/>
              <w:bottom w:val="single" w:color="auto" w:sz="4" w:space="0"/>
              <w:right w:val="single" w:color="auto" w:sz="4" w:space="0"/>
            </w:tcBorders>
            <w:vAlign w:val="center"/>
          </w:tcPr>
          <w:p w14:paraId="6A317060">
            <w:pPr>
              <w:rPr>
                <w:rFonts w:hint="eastAsia" w:ascii="宋体" w:hAnsi="宋体"/>
                <w:color w:val="auto"/>
                <w:szCs w:val="21"/>
                <w:highlight w:val="none"/>
              </w:rPr>
            </w:pPr>
            <w:r>
              <w:rPr>
                <w:rFonts w:hint="eastAsia" w:ascii="宋体" w:hAnsi="宋体"/>
                <w:color w:val="auto"/>
                <w:szCs w:val="21"/>
                <w:highlight w:val="none"/>
              </w:rPr>
              <w:t>踏勘现场及投标费用</w:t>
            </w:r>
          </w:p>
        </w:tc>
        <w:tc>
          <w:tcPr>
            <w:tcW w:w="5934" w:type="dxa"/>
            <w:tcBorders>
              <w:top w:val="single" w:color="auto" w:sz="4" w:space="0"/>
              <w:left w:val="single" w:color="auto" w:sz="4" w:space="0"/>
              <w:bottom w:val="single" w:color="auto" w:sz="4" w:space="0"/>
              <w:right w:val="double" w:color="auto" w:sz="4" w:space="0"/>
            </w:tcBorders>
            <w:vAlign w:val="center"/>
          </w:tcPr>
          <w:p w14:paraId="5FB52196">
            <w:pPr>
              <w:pStyle w:val="22"/>
              <w:rPr>
                <w:rFonts w:hint="eastAsia" w:ascii="宋体" w:hAnsi="宋体"/>
                <w:color w:val="auto"/>
                <w:szCs w:val="21"/>
                <w:highlight w:val="none"/>
              </w:rPr>
            </w:pPr>
            <w:r>
              <w:rPr>
                <w:rFonts w:hint="eastAsia" w:ascii="宋体" w:hAnsi="宋体" w:eastAsia="宋体" w:cs="Times New Roman"/>
                <w:color w:val="auto"/>
                <w:sz w:val="21"/>
                <w:highlight w:val="none"/>
                <w:lang w:val="en-US" w:eastAsia="zh-CN" w:bidi="ar-SA"/>
              </w:rPr>
              <w:t>招标人不集中组织，由投标人自行踏勘；</w:t>
            </w:r>
            <w:r>
              <w:rPr>
                <w:rFonts w:hint="eastAsia" w:ascii="宋体" w:hAnsi="宋体" w:eastAsia="宋体" w:cs="Times New Roman"/>
                <w:color w:val="auto"/>
                <w:sz w:val="21"/>
                <w:highlight w:val="none"/>
                <w:u w:val="single"/>
                <w:lang w:val="en-US" w:eastAsia="zh-CN" w:bidi="ar-SA"/>
              </w:rPr>
              <w:t>自</w:t>
            </w:r>
            <w:r>
              <w:rPr>
                <w:rFonts w:hint="eastAsia" w:ascii="宋体" w:hAnsi="宋体" w:cs="Times New Roman"/>
                <w:color w:val="auto"/>
                <w:sz w:val="21"/>
                <w:highlight w:val="none"/>
                <w:u w:val="single"/>
                <w:lang w:val="en-US" w:eastAsia="zh-CN" w:bidi="ar-SA"/>
              </w:rPr>
              <w:t>招标公告发布之日</w:t>
            </w:r>
            <w:r>
              <w:rPr>
                <w:rFonts w:hint="eastAsia" w:ascii="宋体" w:hAnsi="宋体" w:eastAsia="宋体" w:cs="Times New Roman"/>
                <w:color w:val="auto"/>
                <w:sz w:val="21"/>
                <w:highlight w:val="none"/>
                <w:u w:val="single"/>
                <w:lang w:val="en-US" w:eastAsia="zh-CN" w:bidi="ar-SA"/>
              </w:rPr>
              <w:t>起具备现场踏勘条件；</w:t>
            </w:r>
            <w:r>
              <w:rPr>
                <w:rFonts w:hint="eastAsia" w:ascii="宋体" w:hAnsi="宋体" w:eastAsia="宋体" w:cs="Times New Roman"/>
                <w:color w:val="auto"/>
                <w:sz w:val="21"/>
                <w:highlight w:val="none"/>
                <w:lang w:val="en-US" w:eastAsia="zh-CN" w:bidi="ar-SA"/>
              </w:rPr>
              <w:t>现场详细地点：</w:t>
            </w:r>
            <w:r>
              <w:rPr>
                <w:rFonts w:hint="eastAsia" w:ascii="宋体" w:hAnsi="宋体" w:cs="Times New Roman"/>
                <w:color w:val="auto"/>
                <w:sz w:val="21"/>
                <w:highlight w:val="none"/>
                <w:u w:val="single"/>
                <w:lang w:val="en-US" w:eastAsia="zh-CN" w:bidi="ar-SA"/>
              </w:rPr>
              <w:t>详见施工地点位置示意图。</w:t>
            </w:r>
          </w:p>
        </w:tc>
      </w:tr>
      <w:tr w14:paraId="0ECE87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75624758">
            <w:pP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13</w:t>
            </w:r>
          </w:p>
        </w:tc>
        <w:tc>
          <w:tcPr>
            <w:tcW w:w="981" w:type="dxa"/>
            <w:tcBorders>
              <w:top w:val="single" w:color="auto" w:sz="4" w:space="0"/>
              <w:left w:val="single" w:color="auto" w:sz="4" w:space="0"/>
              <w:bottom w:val="single" w:color="auto" w:sz="4" w:space="0"/>
              <w:right w:val="single" w:color="auto" w:sz="4" w:space="0"/>
            </w:tcBorders>
            <w:vAlign w:val="center"/>
          </w:tcPr>
          <w:p w14:paraId="147FA910">
            <w:pPr>
              <w:rPr>
                <w:rFonts w:ascii="宋体" w:hAnsi="宋体"/>
                <w:color w:val="auto"/>
                <w:szCs w:val="21"/>
                <w:highlight w:val="none"/>
              </w:rPr>
            </w:pPr>
            <w:r>
              <w:rPr>
                <w:rFonts w:ascii="宋体" w:hAnsi="宋体"/>
                <w:color w:val="auto"/>
                <w:szCs w:val="21"/>
                <w:highlight w:val="none"/>
              </w:rPr>
              <w:t>8</w:t>
            </w:r>
          </w:p>
        </w:tc>
        <w:tc>
          <w:tcPr>
            <w:tcW w:w="1733" w:type="dxa"/>
            <w:tcBorders>
              <w:top w:val="single" w:color="auto" w:sz="4" w:space="0"/>
              <w:left w:val="single" w:color="auto" w:sz="4" w:space="0"/>
              <w:bottom w:val="single" w:color="auto" w:sz="4" w:space="0"/>
              <w:right w:val="single" w:color="auto" w:sz="4" w:space="0"/>
            </w:tcBorders>
            <w:vAlign w:val="center"/>
          </w:tcPr>
          <w:p w14:paraId="4D17C7DC">
            <w:pPr>
              <w:rPr>
                <w:rFonts w:hint="eastAsia" w:ascii="宋体" w:hAnsi="宋体"/>
                <w:color w:val="auto"/>
                <w:szCs w:val="21"/>
                <w:highlight w:val="none"/>
              </w:rPr>
            </w:pPr>
            <w:r>
              <w:rPr>
                <w:rFonts w:hint="eastAsia" w:ascii="宋体" w:hAnsi="宋体"/>
                <w:color w:val="auto"/>
                <w:szCs w:val="21"/>
                <w:highlight w:val="none"/>
              </w:rPr>
              <w:t>投标答疑</w:t>
            </w:r>
          </w:p>
        </w:tc>
        <w:tc>
          <w:tcPr>
            <w:tcW w:w="5934" w:type="dxa"/>
            <w:tcBorders>
              <w:top w:val="single" w:color="auto" w:sz="4" w:space="0"/>
              <w:left w:val="single" w:color="auto" w:sz="4" w:space="0"/>
              <w:bottom w:val="single" w:color="auto" w:sz="4" w:space="0"/>
              <w:right w:val="double" w:color="auto" w:sz="4" w:space="0"/>
            </w:tcBorders>
            <w:vAlign w:val="center"/>
          </w:tcPr>
          <w:p w14:paraId="7811EADC">
            <w:pPr>
              <w:rPr>
                <w:rFonts w:ascii="宋体" w:hAnsi="宋体"/>
                <w:color w:val="auto"/>
                <w:szCs w:val="21"/>
                <w:highlight w:val="none"/>
              </w:rPr>
            </w:pPr>
            <w:r>
              <w:rPr>
                <w:rFonts w:hint="eastAsia" w:ascii="宋体" w:hAnsi="宋体"/>
                <w:color w:val="auto"/>
                <w:szCs w:val="21"/>
                <w:highlight w:val="none"/>
              </w:rPr>
              <w:t>疑问提交时间：</w:t>
            </w:r>
            <w:r>
              <w:rPr>
                <w:rFonts w:hint="eastAsia" w:ascii="宋体" w:hAnsi="宋体"/>
                <w:color w:val="auto"/>
                <w:szCs w:val="21"/>
                <w:highlight w:val="none"/>
                <w:u w:val="single"/>
                <w:lang w:val="en-US" w:eastAsia="zh-CN"/>
              </w:rPr>
              <w:t>2025</w:t>
            </w:r>
            <w:r>
              <w:rPr>
                <w:rFonts w:hint="eastAsia" w:ascii="宋体" w:hAnsi="宋体"/>
                <w:color w:val="auto"/>
                <w:szCs w:val="21"/>
                <w:highlight w:val="none"/>
              </w:rPr>
              <w:t>年</w:t>
            </w:r>
            <w:r>
              <w:rPr>
                <w:rFonts w:hint="eastAsia" w:ascii="宋体" w:hAnsi="宋体"/>
                <w:color w:val="auto"/>
                <w:szCs w:val="21"/>
                <w:highlight w:val="none"/>
                <w:u w:val="single"/>
                <w:lang w:val="en-US" w:eastAsia="zh-CN"/>
              </w:rPr>
              <w:t>08</w:t>
            </w:r>
            <w:r>
              <w:rPr>
                <w:rFonts w:hint="eastAsia" w:ascii="宋体" w:hAnsi="宋体"/>
                <w:color w:val="auto"/>
                <w:szCs w:val="21"/>
                <w:highlight w:val="none"/>
              </w:rPr>
              <w:t>月</w:t>
            </w:r>
            <w:r>
              <w:rPr>
                <w:rFonts w:hint="eastAsia" w:ascii="宋体" w:hAnsi="宋体"/>
                <w:color w:val="auto"/>
                <w:szCs w:val="21"/>
                <w:highlight w:val="none"/>
                <w:u w:val="single"/>
                <w:lang w:val="en-US" w:eastAsia="zh-CN"/>
              </w:rPr>
              <w:t>03</w:t>
            </w:r>
            <w:r>
              <w:rPr>
                <w:rFonts w:hint="eastAsia" w:ascii="宋体" w:hAnsi="宋体"/>
                <w:color w:val="auto"/>
                <w:szCs w:val="21"/>
                <w:highlight w:val="none"/>
              </w:rPr>
              <w:t>日</w:t>
            </w:r>
            <w:r>
              <w:rPr>
                <w:rFonts w:hint="eastAsia" w:ascii="宋体" w:hAnsi="宋体"/>
                <w:color w:val="auto"/>
                <w:szCs w:val="21"/>
                <w:highlight w:val="none"/>
                <w:u w:val="single"/>
                <w:lang w:val="en-US" w:eastAsia="zh-CN"/>
              </w:rPr>
              <w:t>00</w:t>
            </w:r>
            <w:r>
              <w:rPr>
                <w:rFonts w:hint="eastAsia" w:ascii="宋体" w:hAnsi="宋体"/>
                <w:color w:val="auto"/>
                <w:szCs w:val="21"/>
                <w:highlight w:val="none"/>
              </w:rPr>
              <w:t>时前；</w:t>
            </w:r>
          </w:p>
          <w:p w14:paraId="665C58EE">
            <w:pPr>
              <w:rPr>
                <w:rFonts w:ascii="宋体" w:hAnsi="宋体"/>
                <w:color w:val="auto"/>
                <w:szCs w:val="21"/>
                <w:highlight w:val="none"/>
              </w:rPr>
            </w:pPr>
            <w:r>
              <w:rPr>
                <w:rFonts w:hint="eastAsia" w:ascii="宋体" w:hAnsi="宋体"/>
                <w:color w:val="auto"/>
                <w:szCs w:val="21"/>
                <w:highlight w:val="none"/>
              </w:rPr>
              <w:t>形式：投标人的疑问通过</w:t>
            </w:r>
            <w:r>
              <w:rPr>
                <w:rFonts w:hint="eastAsia" w:ascii="宋体" w:hAnsi="宋体"/>
                <w:color w:val="auto"/>
                <w:szCs w:val="21"/>
                <w:highlight w:val="none"/>
                <w:u w:val="single"/>
              </w:rPr>
              <w:t>广州交易集团有限公司（广州公共资源交易中心）</w:t>
            </w:r>
            <w:r>
              <w:rPr>
                <w:rFonts w:hint="eastAsia" w:ascii="宋体" w:hAnsi="宋体"/>
                <w:color w:val="auto"/>
                <w:szCs w:val="21"/>
                <w:highlight w:val="none"/>
              </w:rPr>
              <w:t>交易平台提交。</w:t>
            </w:r>
          </w:p>
          <w:p w14:paraId="3D0E576F">
            <w:pPr>
              <w:rPr>
                <w:rFonts w:hint="eastAsia" w:ascii="宋体" w:hAnsi="宋体"/>
                <w:color w:val="auto"/>
                <w:szCs w:val="21"/>
                <w:highlight w:val="none"/>
              </w:rPr>
            </w:pPr>
            <w:r>
              <w:rPr>
                <w:rFonts w:hint="eastAsia" w:ascii="宋体" w:hAnsi="宋体"/>
                <w:color w:val="auto"/>
                <w:szCs w:val="21"/>
                <w:highlight w:val="none"/>
              </w:rPr>
              <w:t>具体要求：按照交易平台关于全流程电子化项目的相关指南进行操作，详见：</w:t>
            </w:r>
            <w:r>
              <w:rPr>
                <w:rFonts w:hint="eastAsia" w:ascii="宋体" w:hAnsi="宋体"/>
                <w:color w:val="auto"/>
                <w:szCs w:val="21"/>
                <w:highlight w:val="none"/>
                <w:u w:val="single"/>
              </w:rPr>
              <w:t>登陆广州交易集团有限公司（广州公共资源交易中心）新建设工程交易平台中“我是投标人”→“我的投标”→“招标答疑提问”通过项目编号或名称找到所需的项目→在上述的答疑时间内点击“提问”→无记名或匿名提出问题以及查看所有的问题（提交问题时需插入投标人CA证书）。</w:t>
            </w:r>
            <w:r>
              <w:rPr>
                <w:rFonts w:hint="eastAsia" w:ascii="宋体" w:hAnsi="宋体"/>
                <w:color w:val="auto"/>
                <w:szCs w:val="21"/>
                <w:highlight w:val="none"/>
              </w:rPr>
              <w:t>提问一律不得署名。</w:t>
            </w:r>
          </w:p>
          <w:p w14:paraId="1D05EDE1">
            <w:pPr>
              <w:rPr>
                <w:rFonts w:hint="eastAsia" w:ascii="宋体" w:hAnsi="宋体"/>
                <w:color w:val="auto"/>
                <w:szCs w:val="21"/>
                <w:highlight w:val="none"/>
                <w:lang w:val="en-US" w:eastAsia="zh-CN"/>
              </w:rPr>
            </w:pPr>
            <w:r>
              <w:rPr>
                <w:rFonts w:hint="eastAsia" w:ascii="宋体" w:hAnsi="宋体"/>
                <w:color w:val="auto"/>
                <w:szCs w:val="21"/>
                <w:highlight w:val="none"/>
                <w:u w:val="single"/>
              </w:rPr>
              <w:t>答疑纪要在广州交易集团有限公司（广州公共资源交易中心）网站“建设工程”→“项目查询（日程安排、答疑纪要）”专区发布。</w:t>
            </w:r>
          </w:p>
        </w:tc>
      </w:tr>
      <w:tr w14:paraId="218A86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0024C02B">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14</w:t>
            </w:r>
          </w:p>
        </w:tc>
        <w:tc>
          <w:tcPr>
            <w:tcW w:w="981" w:type="dxa"/>
            <w:tcBorders>
              <w:top w:val="single" w:color="auto" w:sz="4" w:space="0"/>
              <w:left w:val="single" w:color="auto" w:sz="4" w:space="0"/>
              <w:bottom w:val="single" w:color="auto" w:sz="4" w:space="0"/>
              <w:right w:val="single" w:color="auto" w:sz="4" w:space="0"/>
            </w:tcBorders>
            <w:vAlign w:val="center"/>
          </w:tcPr>
          <w:p w14:paraId="11110239">
            <w:pPr>
              <w:rPr>
                <w:rFonts w:ascii="宋体" w:hAnsi="宋体"/>
                <w:color w:val="auto"/>
                <w:szCs w:val="21"/>
                <w:highlight w:val="none"/>
              </w:rPr>
            </w:pPr>
            <w:r>
              <w:rPr>
                <w:rFonts w:ascii="宋体" w:hAnsi="宋体"/>
                <w:color w:val="auto"/>
                <w:szCs w:val="21"/>
                <w:highlight w:val="none"/>
              </w:rPr>
              <w:t>13.1</w:t>
            </w:r>
          </w:p>
        </w:tc>
        <w:tc>
          <w:tcPr>
            <w:tcW w:w="1733" w:type="dxa"/>
            <w:tcBorders>
              <w:top w:val="single" w:color="auto" w:sz="4" w:space="0"/>
              <w:left w:val="single" w:color="auto" w:sz="4" w:space="0"/>
              <w:bottom w:val="single" w:color="auto" w:sz="4" w:space="0"/>
              <w:right w:val="single" w:color="auto" w:sz="4" w:space="0"/>
            </w:tcBorders>
            <w:vAlign w:val="center"/>
          </w:tcPr>
          <w:p w14:paraId="49F852C8">
            <w:pPr>
              <w:rPr>
                <w:rFonts w:ascii="宋体" w:hAnsi="宋体"/>
                <w:color w:val="auto"/>
                <w:szCs w:val="21"/>
                <w:highlight w:val="none"/>
              </w:rPr>
            </w:pPr>
            <w:r>
              <w:rPr>
                <w:rFonts w:hint="eastAsia" w:ascii="宋体" w:hAnsi="宋体"/>
                <w:color w:val="auto"/>
                <w:szCs w:val="21"/>
                <w:highlight w:val="none"/>
              </w:rPr>
              <w:t>报价以及单价和总价计算方式</w:t>
            </w:r>
          </w:p>
        </w:tc>
        <w:tc>
          <w:tcPr>
            <w:tcW w:w="5934" w:type="dxa"/>
            <w:tcBorders>
              <w:top w:val="single" w:color="auto" w:sz="4" w:space="0"/>
              <w:left w:val="single" w:color="auto" w:sz="4" w:space="0"/>
              <w:bottom w:val="single" w:color="auto" w:sz="4" w:space="0"/>
              <w:right w:val="double" w:color="auto" w:sz="4" w:space="0"/>
            </w:tcBorders>
            <w:vAlign w:val="center"/>
          </w:tcPr>
          <w:p w14:paraId="4BA9E3CD">
            <w:pPr>
              <w:rPr>
                <w:rFonts w:ascii="宋体" w:hAnsi="宋体"/>
                <w:color w:val="auto"/>
                <w:szCs w:val="21"/>
                <w:highlight w:val="none"/>
              </w:rPr>
            </w:pPr>
            <w:r>
              <w:rPr>
                <w:rFonts w:hint="eastAsia" w:ascii="宋体" w:hAnsi="宋体"/>
                <w:color w:val="auto"/>
                <w:szCs w:val="21"/>
                <w:highlight w:val="none"/>
                <w:u w:val="single"/>
              </w:rPr>
              <w:t>工程量清单计价。</w:t>
            </w:r>
          </w:p>
        </w:tc>
      </w:tr>
      <w:tr w14:paraId="6AD0F9B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56986E58">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15</w:t>
            </w:r>
          </w:p>
        </w:tc>
        <w:tc>
          <w:tcPr>
            <w:tcW w:w="981" w:type="dxa"/>
            <w:tcBorders>
              <w:top w:val="single" w:color="auto" w:sz="4" w:space="0"/>
              <w:left w:val="single" w:color="auto" w:sz="4" w:space="0"/>
              <w:bottom w:val="single" w:color="auto" w:sz="4" w:space="0"/>
              <w:right w:val="single" w:color="auto" w:sz="4" w:space="0"/>
            </w:tcBorders>
            <w:vAlign w:val="center"/>
          </w:tcPr>
          <w:p w14:paraId="69552CC6">
            <w:pPr>
              <w:rPr>
                <w:rFonts w:ascii="宋体" w:hAnsi="宋体"/>
                <w:color w:val="auto"/>
                <w:szCs w:val="21"/>
                <w:highlight w:val="none"/>
              </w:rPr>
            </w:pPr>
            <w:r>
              <w:rPr>
                <w:rFonts w:ascii="宋体" w:hAnsi="宋体"/>
                <w:color w:val="auto"/>
                <w:szCs w:val="21"/>
                <w:highlight w:val="none"/>
              </w:rPr>
              <w:t>15.1</w:t>
            </w:r>
          </w:p>
        </w:tc>
        <w:tc>
          <w:tcPr>
            <w:tcW w:w="1733" w:type="dxa"/>
            <w:tcBorders>
              <w:top w:val="single" w:color="auto" w:sz="4" w:space="0"/>
              <w:left w:val="single" w:color="auto" w:sz="4" w:space="0"/>
              <w:bottom w:val="single" w:color="auto" w:sz="4" w:space="0"/>
              <w:right w:val="single" w:color="auto" w:sz="4" w:space="0"/>
            </w:tcBorders>
            <w:vAlign w:val="center"/>
          </w:tcPr>
          <w:p w14:paraId="4B5BCE2B">
            <w:pPr>
              <w:rPr>
                <w:rFonts w:ascii="宋体" w:hAnsi="宋体"/>
                <w:color w:val="auto"/>
                <w:szCs w:val="21"/>
                <w:highlight w:val="none"/>
              </w:rPr>
            </w:pPr>
            <w:r>
              <w:rPr>
                <w:rFonts w:hint="eastAsia" w:ascii="宋体" w:hAnsi="宋体"/>
                <w:color w:val="auto"/>
                <w:szCs w:val="21"/>
                <w:highlight w:val="none"/>
              </w:rPr>
              <w:t>投标有效期</w:t>
            </w:r>
          </w:p>
        </w:tc>
        <w:tc>
          <w:tcPr>
            <w:tcW w:w="5934" w:type="dxa"/>
            <w:tcBorders>
              <w:top w:val="single" w:color="auto" w:sz="4" w:space="0"/>
              <w:left w:val="single" w:color="auto" w:sz="4" w:space="0"/>
              <w:bottom w:val="single" w:color="auto" w:sz="4" w:space="0"/>
              <w:right w:val="double" w:color="auto" w:sz="4" w:space="0"/>
            </w:tcBorders>
            <w:vAlign w:val="center"/>
          </w:tcPr>
          <w:p w14:paraId="5200B8C6">
            <w:pPr>
              <w:rPr>
                <w:rFonts w:ascii="宋体" w:hAnsi="宋体"/>
                <w:color w:val="auto"/>
                <w:szCs w:val="21"/>
                <w:highlight w:val="none"/>
                <w:u w:val="single"/>
              </w:rPr>
            </w:pPr>
            <w:r>
              <w:rPr>
                <w:rFonts w:hint="eastAsia" w:ascii="宋体" w:hAnsi="宋体"/>
                <w:color w:val="auto"/>
                <w:szCs w:val="21"/>
                <w:highlight w:val="none"/>
                <w:u w:val="single"/>
              </w:rPr>
              <w:t>90</w:t>
            </w:r>
            <w:r>
              <w:rPr>
                <w:rFonts w:hint="eastAsia" w:ascii="宋体" w:hAnsi="宋体"/>
                <w:color w:val="auto"/>
                <w:szCs w:val="21"/>
                <w:highlight w:val="none"/>
              </w:rPr>
              <w:t>日历天。（从投标截止之日计起）</w:t>
            </w:r>
          </w:p>
        </w:tc>
      </w:tr>
      <w:tr w14:paraId="2254D17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19846D3B">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16</w:t>
            </w:r>
          </w:p>
        </w:tc>
        <w:tc>
          <w:tcPr>
            <w:tcW w:w="981" w:type="dxa"/>
            <w:tcBorders>
              <w:top w:val="single" w:color="auto" w:sz="4" w:space="0"/>
              <w:left w:val="single" w:color="auto" w:sz="4" w:space="0"/>
              <w:bottom w:val="single" w:color="auto" w:sz="4" w:space="0"/>
              <w:right w:val="single" w:color="auto" w:sz="4" w:space="0"/>
            </w:tcBorders>
            <w:vAlign w:val="center"/>
          </w:tcPr>
          <w:p w14:paraId="3670A4EA">
            <w:pPr>
              <w:rPr>
                <w:rFonts w:ascii="宋体" w:hAnsi="宋体"/>
                <w:color w:val="auto"/>
                <w:szCs w:val="21"/>
                <w:highlight w:val="none"/>
              </w:rPr>
            </w:pPr>
            <w:r>
              <w:rPr>
                <w:rFonts w:ascii="宋体" w:hAnsi="宋体"/>
                <w:color w:val="auto"/>
                <w:szCs w:val="21"/>
                <w:highlight w:val="none"/>
              </w:rPr>
              <w:t>16.1</w:t>
            </w:r>
          </w:p>
        </w:tc>
        <w:tc>
          <w:tcPr>
            <w:tcW w:w="1733" w:type="dxa"/>
            <w:tcBorders>
              <w:top w:val="single" w:color="auto" w:sz="4" w:space="0"/>
              <w:left w:val="single" w:color="auto" w:sz="4" w:space="0"/>
              <w:bottom w:val="single" w:color="auto" w:sz="4" w:space="0"/>
              <w:right w:val="single" w:color="auto" w:sz="4" w:space="0"/>
            </w:tcBorders>
            <w:vAlign w:val="center"/>
          </w:tcPr>
          <w:p w14:paraId="4BEC0539">
            <w:pPr>
              <w:rPr>
                <w:rFonts w:ascii="宋体" w:hAnsi="宋体"/>
                <w:color w:val="auto"/>
                <w:szCs w:val="21"/>
                <w:highlight w:val="none"/>
              </w:rPr>
            </w:pPr>
            <w:r>
              <w:rPr>
                <w:rFonts w:hint="eastAsia" w:ascii="宋体" w:hAnsi="宋体"/>
                <w:color w:val="auto"/>
                <w:szCs w:val="21"/>
                <w:highlight w:val="none"/>
              </w:rPr>
              <w:t>投标保证金</w:t>
            </w:r>
          </w:p>
        </w:tc>
        <w:tc>
          <w:tcPr>
            <w:tcW w:w="5934" w:type="dxa"/>
            <w:tcBorders>
              <w:top w:val="single" w:color="auto" w:sz="4" w:space="0"/>
              <w:left w:val="single" w:color="auto" w:sz="4" w:space="0"/>
              <w:bottom w:val="single" w:color="auto" w:sz="4" w:space="0"/>
              <w:right w:val="double" w:color="auto" w:sz="4" w:space="0"/>
            </w:tcBorders>
            <w:vAlign w:val="center"/>
          </w:tcPr>
          <w:p w14:paraId="3DA27B83">
            <w:pPr>
              <w:widowControl/>
              <w:jc w:val="left"/>
              <w:rPr>
                <w:rFonts w:hint="eastAsia"/>
                <w:color w:val="auto"/>
                <w:highlight w:val="none"/>
                <w:lang w:val="en-US" w:eastAsia="zh-CN"/>
              </w:rPr>
            </w:pPr>
            <w:r>
              <w:rPr>
                <w:rFonts w:hint="eastAsia"/>
                <w:color w:val="auto"/>
                <w:highlight w:val="none"/>
              </w:rPr>
              <w:t>方式一：本项目不收投标保证金。</w:t>
            </w:r>
          </w:p>
          <w:p w14:paraId="1EB6F375">
            <w:pPr>
              <w:rPr>
                <w:rFonts w:ascii="宋体" w:hAnsi="宋体" w:cs="宋体"/>
                <w:color w:val="auto"/>
                <w:szCs w:val="21"/>
                <w:highlight w:val="none"/>
                <w:u w:val="single"/>
              </w:rPr>
            </w:pPr>
            <w:r>
              <w:rPr>
                <w:rFonts w:hint="eastAsia" w:ascii="宋体" w:hAnsi="宋体" w:cs="宋体"/>
                <w:color w:val="auto"/>
                <w:szCs w:val="21"/>
                <w:highlight w:val="none"/>
                <w:u w:val="single"/>
                <w:lang w:val="en-US" w:eastAsia="zh-CN"/>
              </w:rPr>
              <w:t>1.</w:t>
            </w:r>
            <w:r>
              <w:rPr>
                <w:rFonts w:ascii="宋体" w:hAnsi="宋体" w:cs="宋体"/>
                <w:color w:val="auto"/>
                <w:szCs w:val="21"/>
                <w:highlight w:val="none"/>
                <w:u w:val="single"/>
              </w:rPr>
              <w:t>具体规定如下：提供《关于投标保证金的承诺》（详见</w:t>
            </w:r>
            <w:r>
              <w:rPr>
                <w:rFonts w:hint="eastAsia" w:ascii="宋体" w:hAnsi="宋体" w:cs="宋体"/>
                <w:color w:val="auto"/>
                <w:szCs w:val="21"/>
                <w:highlight w:val="none"/>
                <w:u w:val="single"/>
              </w:rPr>
              <w:t>第四章投标文件格式</w:t>
            </w:r>
            <w:r>
              <w:rPr>
                <w:rFonts w:ascii="宋体" w:hAnsi="宋体" w:cs="宋体"/>
                <w:color w:val="auto"/>
                <w:szCs w:val="21"/>
                <w:highlight w:val="none"/>
                <w:u w:val="single"/>
              </w:rPr>
              <w:t>）。</w:t>
            </w:r>
          </w:p>
          <w:p w14:paraId="340D48F9">
            <w:pPr>
              <w:pStyle w:val="21"/>
              <w:rPr>
                <w:rFonts w:hint="eastAsia"/>
                <w:color w:val="auto"/>
                <w:highlight w:val="none"/>
                <w:lang w:eastAsia="zh-CN"/>
              </w:rPr>
            </w:pPr>
            <w:r>
              <w:rPr>
                <w:rFonts w:ascii="宋体" w:hAnsi="宋体" w:cs="宋体"/>
                <w:color w:val="auto"/>
                <w:szCs w:val="21"/>
                <w:highlight w:val="none"/>
                <w:u w:val="single"/>
              </w:rPr>
              <w:t>2.对于投标人已提供《关于投标保证金的承诺》，若投标人存在16.4条款所列情形，该投标人应在发现存在16.4条款所列情形之日起5个工作日内补交人民</w:t>
            </w:r>
            <w:r>
              <w:rPr>
                <w:rFonts w:hint="eastAsia" w:ascii="宋体" w:hAnsi="宋体" w:cs="宋体"/>
                <w:color w:val="auto"/>
                <w:szCs w:val="21"/>
                <w:highlight w:val="none"/>
                <w:u w:val="single"/>
              </w:rPr>
              <w:t>币</w:t>
            </w:r>
            <w:r>
              <w:rPr>
                <w:rFonts w:hint="eastAsia" w:ascii="宋体" w:hAnsi="宋体" w:cs="宋体"/>
                <w:b/>
                <w:bCs/>
                <w:color w:val="auto"/>
                <w:szCs w:val="21"/>
                <w:highlight w:val="none"/>
                <w:u w:val="single"/>
                <w:lang w:val="en-US" w:eastAsia="zh-CN"/>
              </w:rPr>
              <w:t>50</w:t>
            </w:r>
            <w:r>
              <w:rPr>
                <w:rFonts w:ascii="宋体" w:hAnsi="宋体" w:cs="宋体"/>
                <w:color w:val="auto"/>
                <w:szCs w:val="21"/>
                <w:highlight w:val="none"/>
                <w:u w:val="single"/>
              </w:rPr>
              <w:t>万元投标保证金；若未按要求补交投标保证金的将暂停其参与招标人后续工程投标，直至完成补交手续为止。</w:t>
            </w:r>
          </w:p>
        </w:tc>
      </w:tr>
      <w:tr w14:paraId="1DE619C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32A6B6EF">
            <w:pPr>
              <w:rPr>
                <w:rFonts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7</w:t>
            </w:r>
          </w:p>
        </w:tc>
        <w:tc>
          <w:tcPr>
            <w:tcW w:w="981" w:type="dxa"/>
            <w:tcBorders>
              <w:top w:val="single" w:color="auto" w:sz="4" w:space="0"/>
              <w:left w:val="single" w:color="auto" w:sz="4" w:space="0"/>
              <w:bottom w:val="single" w:color="auto" w:sz="4" w:space="0"/>
              <w:right w:val="single" w:color="auto" w:sz="4" w:space="0"/>
            </w:tcBorders>
            <w:vAlign w:val="center"/>
          </w:tcPr>
          <w:p w14:paraId="67351306">
            <w:pPr>
              <w:rPr>
                <w:rFonts w:ascii="宋体" w:hAnsi="宋体"/>
                <w:color w:val="auto"/>
                <w:szCs w:val="21"/>
                <w:highlight w:val="none"/>
              </w:rPr>
            </w:pPr>
            <w:r>
              <w:rPr>
                <w:rFonts w:hint="eastAsia" w:ascii="宋体" w:hAnsi="宋体"/>
                <w:color w:val="auto"/>
                <w:szCs w:val="21"/>
                <w:highlight w:val="none"/>
              </w:rPr>
              <w:t>20</w:t>
            </w:r>
            <w:r>
              <w:rPr>
                <w:rFonts w:ascii="宋体" w:hAnsi="宋体"/>
                <w:color w:val="auto"/>
                <w:szCs w:val="21"/>
                <w:highlight w:val="none"/>
              </w:rPr>
              <w:t>.1</w:t>
            </w:r>
          </w:p>
        </w:tc>
        <w:tc>
          <w:tcPr>
            <w:tcW w:w="1733" w:type="dxa"/>
            <w:tcBorders>
              <w:top w:val="single" w:color="auto" w:sz="4" w:space="0"/>
              <w:left w:val="single" w:color="auto" w:sz="4" w:space="0"/>
              <w:bottom w:val="single" w:color="auto" w:sz="4" w:space="0"/>
              <w:right w:val="single" w:color="auto" w:sz="4" w:space="0"/>
            </w:tcBorders>
            <w:vAlign w:val="center"/>
          </w:tcPr>
          <w:p w14:paraId="656B4CDA">
            <w:pPr>
              <w:rPr>
                <w:rFonts w:ascii="宋体" w:hAnsi="宋体"/>
                <w:color w:val="auto"/>
                <w:szCs w:val="21"/>
                <w:highlight w:val="none"/>
              </w:rPr>
            </w:pPr>
            <w:r>
              <w:rPr>
                <w:rFonts w:hint="eastAsia" w:ascii="宋体" w:hAnsi="宋体"/>
                <w:color w:val="auto"/>
                <w:szCs w:val="21"/>
                <w:highlight w:val="none"/>
              </w:rPr>
              <w:t>投标截止时间</w:t>
            </w:r>
          </w:p>
        </w:tc>
        <w:tc>
          <w:tcPr>
            <w:tcW w:w="5934" w:type="dxa"/>
            <w:tcBorders>
              <w:top w:val="single" w:color="auto" w:sz="4" w:space="0"/>
              <w:left w:val="single" w:color="auto" w:sz="4" w:space="0"/>
              <w:bottom w:val="single" w:color="auto" w:sz="4" w:space="0"/>
              <w:right w:val="double" w:color="auto" w:sz="4" w:space="0"/>
            </w:tcBorders>
            <w:vAlign w:val="center"/>
          </w:tcPr>
          <w:p w14:paraId="7768164F">
            <w:pPr>
              <w:rPr>
                <w:rFonts w:ascii="宋体" w:hAnsi="宋体"/>
                <w:strike/>
                <w:color w:val="auto"/>
                <w:szCs w:val="21"/>
                <w:highlight w:val="none"/>
              </w:rPr>
            </w:pPr>
            <w:r>
              <w:rPr>
                <w:rFonts w:hint="eastAsia" w:ascii="宋体" w:hAnsi="宋体"/>
                <w:color w:val="auto"/>
                <w:szCs w:val="21"/>
                <w:highlight w:val="none"/>
                <w:u w:val="single"/>
                <w:lang w:val="en-US" w:eastAsia="zh-CN"/>
              </w:rPr>
              <w:t>2025</w:t>
            </w:r>
            <w:r>
              <w:rPr>
                <w:rFonts w:hint="eastAsia" w:ascii="宋体" w:hAnsi="宋体"/>
                <w:color w:val="auto"/>
                <w:szCs w:val="21"/>
                <w:highlight w:val="none"/>
              </w:rPr>
              <w:t>年</w:t>
            </w:r>
            <w:r>
              <w:rPr>
                <w:rFonts w:hint="eastAsia" w:ascii="宋体" w:hAnsi="宋体"/>
                <w:color w:val="auto"/>
                <w:szCs w:val="21"/>
                <w:highlight w:val="none"/>
                <w:u w:val="single"/>
                <w:lang w:val="en-US" w:eastAsia="zh-CN"/>
              </w:rPr>
              <w:t>08</w:t>
            </w:r>
            <w:r>
              <w:rPr>
                <w:rFonts w:hint="eastAsia" w:ascii="宋体" w:hAnsi="宋体"/>
                <w:color w:val="auto"/>
                <w:szCs w:val="21"/>
                <w:highlight w:val="none"/>
              </w:rPr>
              <w:t>月</w:t>
            </w:r>
            <w:r>
              <w:rPr>
                <w:rFonts w:hint="eastAsia" w:ascii="宋体" w:hAnsi="宋体"/>
                <w:color w:val="auto"/>
                <w:szCs w:val="21"/>
                <w:highlight w:val="none"/>
                <w:u w:val="single"/>
                <w:lang w:val="en-US" w:eastAsia="zh-CN"/>
              </w:rPr>
              <w:t>21</w:t>
            </w:r>
            <w:r>
              <w:rPr>
                <w:rFonts w:hint="eastAsia" w:ascii="宋体" w:hAnsi="宋体"/>
                <w:color w:val="auto"/>
                <w:szCs w:val="21"/>
                <w:highlight w:val="none"/>
              </w:rPr>
              <w:t>日</w:t>
            </w:r>
            <w:r>
              <w:rPr>
                <w:rFonts w:hint="eastAsia" w:ascii="宋体" w:hAnsi="宋体"/>
                <w:color w:val="auto"/>
                <w:szCs w:val="21"/>
                <w:highlight w:val="none"/>
                <w:u w:val="single"/>
                <w:lang w:val="en-US" w:eastAsia="zh-CN"/>
              </w:rPr>
              <w:t>10</w:t>
            </w:r>
            <w:r>
              <w:rPr>
                <w:rFonts w:hint="eastAsia" w:ascii="宋体" w:hAnsi="宋体"/>
                <w:color w:val="auto"/>
                <w:szCs w:val="21"/>
                <w:highlight w:val="none"/>
              </w:rPr>
              <w:t>时（北京时间）。</w:t>
            </w:r>
          </w:p>
        </w:tc>
      </w:tr>
      <w:tr w14:paraId="62E89A4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374" w:hRule="atLeast"/>
        </w:trPr>
        <w:tc>
          <w:tcPr>
            <w:tcW w:w="702" w:type="dxa"/>
            <w:tcBorders>
              <w:top w:val="single" w:color="auto" w:sz="4" w:space="0"/>
              <w:left w:val="double" w:color="auto" w:sz="4" w:space="0"/>
              <w:bottom w:val="single" w:color="auto" w:sz="4" w:space="0"/>
              <w:right w:val="single" w:color="auto" w:sz="4" w:space="0"/>
            </w:tcBorders>
            <w:vAlign w:val="center"/>
          </w:tcPr>
          <w:p w14:paraId="1450F711">
            <w:pPr>
              <w:rPr>
                <w:rFonts w:ascii="宋体" w:hAnsi="宋体"/>
                <w:color w:val="auto"/>
                <w:szCs w:val="21"/>
                <w:highlight w:val="none"/>
              </w:rPr>
            </w:pPr>
            <w:r>
              <w:rPr>
                <w:rFonts w:hint="eastAsia" w:ascii="宋体" w:hAnsi="宋体"/>
                <w:color w:val="auto"/>
                <w:szCs w:val="21"/>
                <w:highlight w:val="none"/>
              </w:rPr>
              <w:t>18</w:t>
            </w:r>
          </w:p>
        </w:tc>
        <w:tc>
          <w:tcPr>
            <w:tcW w:w="981" w:type="dxa"/>
            <w:tcBorders>
              <w:top w:val="single" w:color="auto" w:sz="4" w:space="0"/>
              <w:left w:val="single" w:color="auto" w:sz="4" w:space="0"/>
              <w:bottom w:val="single" w:color="auto" w:sz="4" w:space="0"/>
              <w:right w:val="single" w:color="auto" w:sz="4" w:space="0"/>
            </w:tcBorders>
            <w:vAlign w:val="center"/>
          </w:tcPr>
          <w:p w14:paraId="75EAEBAA">
            <w:pPr>
              <w:rPr>
                <w:rFonts w:ascii="宋体" w:hAnsi="宋体"/>
                <w:color w:val="auto"/>
                <w:szCs w:val="21"/>
                <w:highlight w:val="none"/>
              </w:rPr>
            </w:pPr>
            <w:r>
              <w:rPr>
                <w:rFonts w:ascii="宋体" w:hAnsi="宋体"/>
                <w:color w:val="auto"/>
                <w:szCs w:val="21"/>
                <w:highlight w:val="none"/>
              </w:rPr>
              <w:t>20.1</w:t>
            </w:r>
          </w:p>
        </w:tc>
        <w:tc>
          <w:tcPr>
            <w:tcW w:w="1733" w:type="dxa"/>
            <w:tcBorders>
              <w:top w:val="single" w:color="auto" w:sz="4" w:space="0"/>
              <w:left w:val="single" w:color="auto" w:sz="4" w:space="0"/>
              <w:bottom w:val="single" w:color="auto" w:sz="4" w:space="0"/>
              <w:right w:val="single" w:color="auto" w:sz="4" w:space="0"/>
            </w:tcBorders>
            <w:vAlign w:val="center"/>
          </w:tcPr>
          <w:p w14:paraId="0F786176">
            <w:pPr>
              <w:rPr>
                <w:rFonts w:ascii="宋体" w:hAnsi="宋体"/>
                <w:color w:val="auto"/>
                <w:szCs w:val="21"/>
                <w:highlight w:val="none"/>
              </w:rPr>
            </w:pPr>
            <w:r>
              <w:rPr>
                <w:rFonts w:hint="eastAsia" w:ascii="宋体" w:hAnsi="宋体"/>
                <w:color w:val="auto"/>
                <w:szCs w:val="21"/>
                <w:highlight w:val="none"/>
              </w:rPr>
              <w:t>开标开始时间和地点</w:t>
            </w:r>
          </w:p>
        </w:tc>
        <w:tc>
          <w:tcPr>
            <w:tcW w:w="5934" w:type="dxa"/>
            <w:tcBorders>
              <w:top w:val="single" w:color="auto" w:sz="4" w:space="0"/>
              <w:left w:val="single" w:color="auto" w:sz="4" w:space="0"/>
              <w:bottom w:val="single" w:color="auto" w:sz="4" w:space="0"/>
              <w:right w:val="double" w:color="auto" w:sz="4" w:space="0"/>
            </w:tcBorders>
            <w:vAlign w:val="center"/>
          </w:tcPr>
          <w:p w14:paraId="1E458933">
            <w:pPr>
              <w:widowControl/>
              <w:jc w:val="left"/>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（技术标和经济标同时开标）</w:t>
            </w:r>
          </w:p>
          <w:p w14:paraId="03AE37AF">
            <w:pPr>
              <w:widowControl/>
              <w:numPr>
                <w:ilvl w:val="0"/>
                <w:numId w:val="3"/>
              </w:numPr>
              <w:jc w:val="left"/>
              <w:rPr>
                <w:rFonts w:hint="eastAsia" w:ascii="宋体" w:hAnsi="宋体" w:cs="宋体"/>
                <w:b w:val="0"/>
                <w:bCs w:val="0"/>
                <w:color w:val="auto"/>
                <w:kern w:val="0"/>
                <w:szCs w:val="21"/>
                <w:highlight w:val="none"/>
              </w:rPr>
            </w:pPr>
            <w:r>
              <w:rPr>
                <w:rFonts w:hint="eastAsia" w:ascii="宋体" w:hAnsi="宋体" w:cs="宋体"/>
                <w:bCs/>
                <w:color w:val="auto"/>
                <w:kern w:val="0"/>
                <w:szCs w:val="21"/>
                <w:highlight w:val="none"/>
              </w:rPr>
              <w:t>开标开始时间：</w:t>
            </w:r>
            <w:r>
              <w:rPr>
                <w:rFonts w:hint="eastAsia" w:ascii="宋体" w:hAnsi="宋体" w:cs="宋体"/>
                <w:bCs/>
                <w:color w:val="auto"/>
                <w:kern w:val="0"/>
                <w:szCs w:val="21"/>
                <w:highlight w:val="none"/>
                <w:u w:val="single"/>
                <w:lang w:val="en-US" w:eastAsia="zh-CN"/>
              </w:rPr>
              <w:t>2025</w:t>
            </w:r>
            <w:r>
              <w:rPr>
                <w:rFonts w:hint="eastAsia" w:ascii="宋体" w:hAnsi="宋体" w:cs="宋体"/>
                <w:bCs/>
                <w:color w:val="auto"/>
                <w:kern w:val="0"/>
                <w:szCs w:val="21"/>
                <w:highlight w:val="none"/>
              </w:rPr>
              <w:t>年</w:t>
            </w:r>
            <w:r>
              <w:rPr>
                <w:rFonts w:hint="eastAsia" w:ascii="宋体" w:hAnsi="宋体" w:cs="宋体"/>
                <w:bCs/>
                <w:color w:val="auto"/>
                <w:kern w:val="0"/>
                <w:szCs w:val="21"/>
                <w:highlight w:val="none"/>
                <w:u w:val="single"/>
                <w:lang w:val="en-US" w:eastAsia="zh-CN"/>
              </w:rPr>
              <w:t>08</w:t>
            </w:r>
            <w:r>
              <w:rPr>
                <w:rFonts w:hint="eastAsia" w:ascii="宋体" w:hAnsi="宋体" w:cs="宋体"/>
                <w:bCs/>
                <w:color w:val="auto"/>
                <w:kern w:val="0"/>
                <w:szCs w:val="21"/>
                <w:highlight w:val="none"/>
              </w:rPr>
              <w:t>月</w:t>
            </w:r>
            <w:r>
              <w:rPr>
                <w:rFonts w:hint="eastAsia" w:ascii="宋体" w:hAnsi="宋体" w:cs="宋体"/>
                <w:bCs/>
                <w:color w:val="auto"/>
                <w:kern w:val="0"/>
                <w:szCs w:val="21"/>
                <w:highlight w:val="none"/>
                <w:u w:val="single"/>
                <w:lang w:val="en-US" w:eastAsia="zh-CN"/>
              </w:rPr>
              <w:t>21</w:t>
            </w:r>
            <w:r>
              <w:rPr>
                <w:rFonts w:hint="eastAsia" w:ascii="宋体" w:hAnsi="宋体" w:cs="宋体"/>
                <w:bCs/>
                <w:color w:val="auto"/>
                <w:kern w:val="0"/>
                <w:szCs w:val="21"/>
                <w:highlight w:val="none"/>
              </w:rPr>
              <w:t>日</w:t>
            </w:r>
            <w:r>
              <w:rPr>
                <w:rFonts w:hint="eastAsia" w:ascii="宋体" w:hAnsi="宋体" w:cs="宋体"/>
                <w:bCs/>
                <w:color w:val="auto"/>
                <w:kern w:val="0"/>
                <w:szCs w:val="21"/>
                <w:highlight w:val="none"/>
                <w:u w:val="single"/>
                <w:lang w:val="en-US" w:eastAsia="zh-CN"/>
              </w:rPr>
              <w:t>10</w:t>
            </w:r>
            <w:r>
              <w:rPr>
                <w:rFonts w:hint="eastAsia" w:ascii="宋体" w:hAnsi="宋体" w:cs="宋体"/>
                <w:bCs/>
                <w:color w:val="auto"/>
                <w:kern w:val="0"/>
                <w:szCs w:val="21"/>
                <w:highlight w:val="none"/>
              </w:rPr>
              <w:t>时</w:t>
            </w:r>
            <w:r>
              <w:rPr>
                <w:rFonts w:hint="eastAsia" w:ascii="宋体" w:hAnsi="宋体" w:cs="宋体"/>
                <w:bCs/>
                <w:color w:val="auto"/>
                <w:kern w:val="0"/>
                <w:szCs w:val="21"/>
                <w:highlight w:val="none"/>
                <w:u w:val="single"/>
                <w:lang w:val="en-US" w:eastAsia="zh-CN"/>
              </w:rPr>
              <w:t>00</w:t>
            </w:r>
            <w:r>
              <w:rPr>
                <w:rFonts w:hint="eastAsia" w:ascii="宋体" w:hAnsi="宋体" w:cs="宋体"/>
                <w:bCs/>
                <w:color w:val="auto"/>
                <w:kern w:val="0"/>
                <w:szCs w:val="21"/>
                <w:highlight w:val="none"/>
              </w:rPr>
              <w:t>分（与投标截止时间为同一时间），地点：</w:t>
            </w:r>
            <w:r>
              <w:rPr>
                <w:rFonts w:hint="eastAsia" w:ascii="宋体" w:hAnsi="宋体" w:eastAsia="宋体" w:cs="宋体"/>
                <w:bCs/>
                <w:color w:val="auto"/>
                <w:kern w:val="0"/>
                <w:szCs w:val="21"/>
                <w:highlight w:val="none"/>
                <w:u w:val="single"/>
                <w:lang w:eastAsia="zh-CN"/>
              </w:rPr>
              <w:t>广州交易集团有限公司（广州公共资源交易中心）</w:t>
            </w:r>
            <w:r>
              <w:rPr>
                <w:rFonts w:hint="eastAsia" w:ascii="宋体" w:hAnsi="宋体" w:eastAsia="宋体" w:cs="宋体"/>
                <w:bCs/>
                <w:color w:val="auto"/>
                <w:kern w:val="0"/>
                <w:szCs w:val="21"/>
                <w:highlight w:val="none"/>
                <w:u w:val="single"/>
              </w:rPr>
              <w:t>（</w:t>
            </w:r>
            <w:r>
              <w:rPr>
                <w:rFonts w:hint="eastAsia" w:ascii="宋体" w:hAnsi="宋体" w:eastAsia="宋体" w:cs="宋体"/>
                <w:bCs/>
                <w:i w:val="0"/>
                <w:iCs w:val="0"/>
                <w:caps w:val="0"/>
                <w:color w:val="auto"/>
                <w:spacing w:val="0"/>
                <w:kern w:val="0"/>
                <w:sz w:val="21"/>
                <w:szCs w:val="21"/>
                <w:highlight w:val="none"/>
                <w:u w:val="single"/>
                <w:shd w:val="clear"/>
              </w:rPr>
              <w:t>天润路333号</w:t>
            </w:r>
            <w:r>
              <w:rPr>
                <w:rFonts w:hint="eastAsia" w:ascii="宋体" w:hAnsi="宋体" w:eastAsia="宋体" w:cs="宋体"/>
                <w:bCs/>
                <w:color w:val="auto"/>
                <w:kern w:val="0"/>
                <w:szCs w:val="21"/>
                <w:highlight w:val="none"/>
                <w:u w:val="single"/>
              </w:rPr>
              <w:t>）开标室</w:t>
            </w:r>
            <w:r>
              <w:rPr>
                <w:rFonts w:hint="eastAsia" w:ascii="宋体" w:hAnsi="宋体" w:cs="宋体"/>
                <w:bCs/>
                <w:color w:val="auto"/>
                <w:kern w:val="0"/>
                <w:szCs w:val="21"/>
                <w:highlight w:val="none"/>
              </w:rPr>
              <w:t>。</w:t>
            </w:r>
            <w:r>
              <w:rPr>
                <w:rFonts w:hint="eastAsia" w:ascii="宋体" w:hAnsi="宋体" w:cs="宋体"/>
                <w:b/>
                <w:bCs/>
                <w:color w:val="auto"/>
                <w:kern w:val="0"/>
                <w:szCs w:val="21"/>
                <w:highlight w:val="none"/>
              </w:rPr>
              <w:t>投标人也可选择参加在线开标，具体按照交易平台相关指南进行操作。详见：</w:t>
            </w:r>
            <w:r>
              <w:rPr>
                <w:rFonts w:hint="eastAsia" w:ascii="宋体" w:hAnsi="宋体" w:cs="宋体"/>
                <w:b/>
                <w:bCs/>
                <w:color w:val="auto"/>
                <w:kern w:val="0"/>
                <w:szCs w:val="21"/>
                <w:highlight w:val="none"/>
                <w:u w:val="single"/>
              </w:rPr>
              <w:t>广州交易集团有限公司（广州公共资源交易中心）网站</w:t>
            </w:r>
            <w:r>
              <w:rPr>
                <w:rFonts w:hint="eastAsia" w:ascii="宋体" w:hAnsi="宋体" w:cs="宋体"/>
                <w:b/>
                <w:bCs/>
                <w:color w:val="auto"/>
                <w:kern w:val="0"/>
                <w:szCs w:val="21"/>
                <w:highlight w:val="none"/>
              </w:rPr>
              <w:t>。</w:t>
            </w:r>
          </w:p>
          <w:p w14:paraId="4A3597EF">
            <w:pPr>
              <w:widowControl/>
              <w:jc w:val="left"/>
              <w:rPr>
                <w:color w:val="auto"/>
                <w:highlight w:val="none"/>
              </w:rPr>
            </w:pPr>
            <w:r>
              <w:rPr>
                <w:rFonts w:hint="eastAsia"/>
                <w:color w:val="auto"/>
                <w:highlight w:val="none"/>
              </w:rPr>
              <w:t>注：投标文件解密问题。投标人只用执行一次解密，招标人执行解密次数根据招标文件开标次数确定。</w:t>
            </w:r>
            <w:bookmarkStart w:id="115" w:name="_GoBack"/>
            <w:bookmarkEnd w:id="115"/>
          </w:p>
          <w:p w14:paraId="45211D85">
            <w:pPr>
              <w:widowControl/>
              <w:jc w:val="left"/>
              <w:rPr>
                <w:color w:val="auto"/>
                <w:highlight w:val="none"/>
              </w:rPr>
            </w:pPr>
            <w:r>
              <w:rPr>
                <w:color w:val="auto"/>
                <w:highlight w:val="none"/>
              </w:rPr>
              <w:t>2、递交投标文件备用光盘时间：</w:t>
            </w:r>
            <w:r>
              <w:rPr>
                <w:rFonts w:hint="eastAsia" w:ascii="宋体" w:hAnsi="宋体" w:eastAsia="宋体" w:cs="宋体"/>
                <w:color w:val="auto"/>
                <w:highlight w:val="none"/>
                <w:u w:val="single"/>
                <w:lang w:val="en-US" w:eastAsia="zh-CN"/>
              </w:rPr>
              <w:t>2025</w:t>
            </w:r>
            <w:r>
              <w:rPr>
                <w:rFonts w:hint="eastAsia" w:ascii="宋体" w:hAnsi="宋体" w:eastAsia="宋体" w:cs="宋体"/>
                <w:color w:val="auto"/>
                <w:highlight w:val="none"/>
                <w:u w:val="single"/>
              </w:rPr>
              <w:t>年</w:t>
            </w:r>
            <w:r>
              <w:rPr>
                <w:rFonts w:hint="eastAsia" w:ascii="宋体" w:hAnsi="宋体" w:eastAsia="宋体" w:cs="宋体"/>
                <w:color w:val="auto"/>
                <w:highlight w:val="none"/>
                <w:u w:val="single"/>
                <w:lang w:val="en-US" w:eastAsia="zh-CN"/>
              </w:rPr>
              <w:t>08</w:t>
            </w:r>
            <w:r>
              <w:rPr>
                <w:rFonts w:hint="eastAsia" w:ascii="宋体" w:hAnsi="宋体" w:eastAsia="宋体" w:cs="宋体"/>
                <w:color w:val="auto"/>
                <w:highlight w:val="none"/>
                <w:u w:val="single"/>
              </w:rPr>
              <w:t>月</w:t>
            </w:r>
            <w:r>
              <w:rPr>
                <w:rFonts w:hint="eastAsia" w:ascii="宋体" w:hAnsi="宋体" w:eastAsia="宋体" w:cs="宋体"/>
                <w:color w:val="auto"/>
                <w:highlight w:val="none"/>
                <w:u w:val="single"/>
                <w:lang w:val="en-US" w:eastAsia="zh-CN"/>
              </w:rPr>
              <w:t>21</w:t>
            </w:r>
            <w:r>
              <w:rPr>
                <w:rFonts w:hint="eastAsia" w:ascii="宋体" w:hAnsi="宋体" w:eastAsia="宋体" w:cs="宋体"/>
                <w:color w:val="auto"/>
                <w:highlight w:val="none"/>
                <w:u w:val="single"/>
              </w:rPr>
              <w:t>日</w:t>
            </w:r>
            <w:r>
              <w:rPr>
                <w:rFonts w:hint="eastAsia" w:ascii="宋体" w:hAnsi="宋体" w:eastAsia="宋体" w:cs="宋体"/>
                <w:color w:val="auto"/>
                <w:highlight w:val="none"/>
                <w:u w:val="single"/>
                <w:lang w:val="en-US" w:eastAsia="zh-CN"/>
              </w:rPr>
              <w:t>09</w:t>
            </w:r>
            <w:r>
              <w:rPr>
                <w:rFonts w:hint="eastAsia" w:ascii="宋体" w:hAnsi="宋体" w:eastAsia="宋体" w:cs="宋体"/>
                <w:color w:val="auto"/>
                <w:highlight w:val="none"/>
                <w:u w:val="single"/>
              </w:rPr>
              <w:t>时</w:t>
            </w:r>
            <w:r>
              <w:rPr>
                <w:rFonts w:hint="eastAsia" w:ascii="宋体" w:hAnsi="宋体" w:eastAsia="宋体" w:cs="宋体"/>
                <w:color w:val="auto"/>
                <w:highlight w:val="none"/>
                <w:u w:val="single"/>
                <w:lang w:val="en-US" w:eastAsia="zh-CN"/>
              </w:rPr>
              <w:t>45</w:t>
            </w:r>
            <w:r>
              <w:rPr>
                <w:rFonts w:hint="eastAsia" w:ascii="宋体" w:hAnsi="宋体" w:eastAsia="宋体" w:cs="宋体"/>
                <w:color w:val="auto"/>
                <w:highlight w:val="none"/>
                <w:u w:val="single"/>
              </w:rPr>
              <w:t>分至</w:t>
            </w:r>
            <w:r>
              <w:rPr>
                <w:rFonts w:hint="eastAsia" w:ascii="宋体" w:hAnsi="宋体" w:eastAsia="宋体" w:cs="宋体"/>
                <w:color w:val="auto"/>
                <w:highlight w:val="none"/>
                <w:u w:val="single"/>
                <w:lang w:val="en-US" w:eastAsia="zh-CN"/>
              </w:rPr>
              <w:t>2025</w:t>
            </w:r>
            <w:r>
              <w:rPr>
                <w:rFonts w:hint="eastAsia" w:ascii="宋体" w:hAnsi="宋体" w:eastAsia="宋体" w:cs="宋体"/>
                <w:color w:val="auto"/>
                <w:highlight w:val="none"/>
                <w:u w:val="single"/>
              </w:rPr>
              <w:t>年</w:t>
            </w:r>
            <w:r>
              <w:rPr>
                <w:rFonts w:hint="eastAsia" w:ascii="宋体" w:hAnsi="宋体" w:eastAsia="宋体" w:cs="宋体"/>
                <w:color w:val="auto"/>
                <w:highlight w:val="none"/>
                <w:u w:val="single"/>
                <w:lang w:val="en-US" w:eastAsia="zh-CN"/>
              </w:rPr>
              <w:t>08</w:t>
            </w:r>
            <w:r>
              <w:rPr>
                <w:rFonts w:hint="eastAsia" w:ascii="宋体" w:hAnsi="宋体" w:eastAsia="宋体" w:cs="宋体"/>
                <w:color w:val="auto"/>
                <w:highlight w:val="none"/>
                <w:u w:val="single"/>
              </w:rPr>
              <w:t>月</w:t>
            </w:r>
            <w:r>
              <w:rPr>
                <w:rFonts w:hint="eastAsia" w:ascii="宋体" w:hAnsi="宋体" w:eastAsia="宋体" w:cs="宋体"/>
                <w:color w:val="auto"/>
                <w:highlight w:val="none"/>
                <w:u w:val="single"/>
                <w:lang w:val="en-US" w:eastAsia="zh-CN"/>
              </w:rPr>
              <w:t>21</w:t>
            </w:r>
            <w:r>
              <w:rPr>
                <w:rFonts w:hint="eastAsia" w:ascii="宋体" w:hAnsi="宋体" w:eastAsia="宋体" w:cs="宋体"/>
                <w:color w:val="auto"/>
                <w:highlight w:val="none"/>
                <w:u w:val="single"/>
              </w:rPr>
              <w:t>日</w:t>
            </w:r>
            <w:r>
              <w:rPr>
                <w:rFonts w:hint="eastAsia" w:ascii="宋体" w:hAnsi="宋体" w:eastAsia="宋体" w:cs="宋体"/>
                <w:color w:val="auto"/>
                <w:highlight w:val="none"/>
                <w:u w:val="single"/>
                <w:lang w:val="en-US" w:eastAsia="zh-CN"/>
              </w:rPr>
              <w:t>10</w:t>
            </w:r>
            <w:r>
              <w:rPr>
                <w:rFonts w:hint="eastAsia" w:ascii="宋体" w:hAnsi="宋体" w:eastAsia="宋体" w:cs="宋体"/>
                <w:color w:val="auto"/>
                <w:highlight w:val="none"/>
                <w:u w:val="single"/>
              </w:rPr>
              <w:t>时</w:t>
            </w:r>
            <w:r>
              <w:rPr>
                <w:rFonts w:hint="eastAsia" w:ascii="宋体" w:hAnsi="宋体" w:eastAsia="宋体" w:cs="宋体"/>
                <w:color w:val="auto"/>
                <w:highlight w:val="none"/>
                <w:u w:val="single"/>
                <w:lang w:val="en-US" w:eastAsia="zh-CN"/>
              </w:rPr>
              <w:t>00</w:t>
            </w:r>
            <w:r>
              <w:rPr>
                <w:rFonts w:hint="eastAsia" w:ascii="宋体" w:hAnsi="宋体" w:eastAsia="宋体" w:cs="宋体"/>
                <w:color w:val="auto"/>
                <w:highlight w:val="none"/>
                <w:u w:val="single"/>
              </w:rPr>
              <w:t>分</w:t>
            </w:r>
            <w:r>
              <w:rPr>
                <w:rFonts w:hint="eastAsia"/>
                <w:color w:val="auto"/>
                <w:highlight w:val="none"/>
                <w:u w:val="single"/>
              </w:rPr>
              <w:t>；递交地点：</w:t>
            </w:r>
            <w:r>
              <w:rPr>
                <w:rFonts w:hint="eastAsia" w:ascii="宋体" w:hAnsi="宋体" w:eastAsia="宋体" w:cs="宋体"/>
                <w:bCs/>
                <w:color w:val="auto"/>
                <w:kern w:val="0"/>
                <w:szCs w:val="21"/>
                <w:highlight w:val="none"/>
                <w:u w:val="single"/>
                <w:lang w:eastAsia="zh-CN"/>
              </w:rPr>
              <w:t>广州交易集团有限公司（广州公共资源交易中心）</w:t>
            </w:r>
            <w:r>
              <w:rPr>
                <w:rFonts w:hint="eastAsia" w:ascii="宋体" w:hAnsi="宋体" w:eastAsia="宋体" w:cs="宋体"/>
                <w:bCs/>
                <w:color w:val="auto"/>
                <w:kern w:val="0"/>
                <w:szCs w:val="21"/>
                <w:highlight w:val="none"/>
                <w:u w:val="single"/>
              </w:rPr>
              <w:t>（</w:t>
            </w:r>
            <w:r>
              <w:rPr>
                <w:rFonts w:hint="eastAsia" w:ascii="宋体" w:hAnsi="宋体" w:eastAsia="宋体" w:cs="宋体"/>
                <w:bCs/>
                <w:i w:val="0"/>
                <w:iCs w:val="0"/>
                <w:caps w:val="0"/>
                <w:color w:val="auto"/>
                <w:spacing w:val="0"/>
                <w:kern w:val="0"/>
                <w:sz w:val="21"/>
                <w:szCs w:val="21"/>
                <w:highlight w:val="none"/>
                <w:u w:val="single"/>
                <w:shd w:val="clear"/>
              </w:rPr>
              <w:t>天润路333号</w:t>
            </w:r>
            <w:r>
              <w:rPr>
                <w:rFonts w:hint="eastAsia" w:ascii="宋体" w:hAnsi="宋体" w:eastAsia="宋体" w:cs="宋体"/>
                <w:bCs/>
                <w:color w:val="auto"/>
                <w:kern w:val="0"/>
                <w:szCs w:val="21"/>
                <w:highlight w:val="none"/>
                <w:u w:val="single"/>
              </w:rPr>
              <w:t>）开标室</w:t>
            </w:r>
            <w:r>
              <w:rPr>
                <w:rFonts w:hint="eastAsia"/>
                <w:color w:val="auto"/>
                <w:highlight w:val="none"/>
              </w:rPr>
              <w:t>。</w:t>
            </w:r>
            <w:r>
              <w:rPr>
                <w:color w:val="auto"/>
                <w:highlight w:val="none"/>
              </w:rPr>
              <w:t>(建议安排在投标文件截止时间前</w:t>
            </w:r>
            <w:r>
              <w:rPr>
                <w:rFonts w:hint="eastAsia" w:ascii="宋体" w:hAnsi="宋体" w:eastAsia="宋体" w:cs="宋体"/>
                <w:color w:val="auto"/>
                <w:highlight w:val="none"/>
              </w:rPr>
              <w:t>15</w:t>
            </w:r>
            <w:r>
              <w:rPr>
                <w:color w:val="auto"/>
                <w:highlight w:val="none"/>
              </w:rPr>
              <w:t>分钟至投标文件截止时间）</w:t>
            </w:r>
          </w:p>
          <w:p w14:paraId="6583C565">
            <w:pPr>
              <w:widowControl/>
              <w:jc w:val="left"/>
              <w:rPr>
                <w:rFonts w:ascii="宋体" w:hAnsi="宋体" w:cs="宋体"/>
                <w:bCs/>
                <w:color w:val="auto"/>
                <w:kern w:val="0"/>
                <w:szCs w:val="21"/>
                <w:highlight w:val="none"/>
              </w:rPr>
            </w:pPr>
            <w:r>
              <w:rPr>
                <w:rFonts w:hint="eastAsia" w:ascii="宋体" w:hAnsi="宋体" w:cs="宋体"/>
                <w:color w:val="auto"/>
                <w:szCs w:val="21"/>
                <w:highlight w:val="none"/>
                <w:u w:val="single"/>
              </w:rPr>
              <w:t>3</w:t>
            </w:r>
            <w:r>
              <w:rPr>
                <w:rFonts w:hint="eastAsia" w:ascii="宋体" w:hAnsi="宋体" w:cs="宋体"/>
                <w:b/>
                <w:bCs/>
                <w:color w:val="auto"/>
                <w:szCs w:val="21"/>
                <w:highlight w:val="none"/>
                <w:u w:val="single"/>
              </w:rPr>
              <w:t>、本项目不设置项目负责人签到。</w:t>
            </w:r>
          </w:p>
          <w:p w14:paraId="1B09F29F">
            <w:pPr>
              <w:widowControl/>
              <w:jc w:val="left"/>
              <w:rPr>
                <w:rFonts w:hint="eastAsia" w:ascii="宋体" w:hAnsi="宋体" w:cs="宋体"/>
                <w:bCs/>
                <w:color w:val="auto"/>
                <w:kern w:val="0"/>
                <w:szCs w:val="21"/>
                <w:highlight w:val="none"/>
              </w:rPr>
            </w:pPr>
            <w:r>
              <w:rPr>
                <w:rFonts w:hint="eastAsia"/>
                <w:color w:val="auto"/>
                <w:highlight w:val="none"/>
              </w:rPr>
              <w:t>上述时间及地点是否有改变，请密切留意补充公告和招标答疑纪要的相关信息。</w:t>
            </w:r>
          </w:p>
        </w:tc>
      </w:tr>
      <w:tr w14:paraId="34B9826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87" w:hRule="atLeast"/>
        </w:trPr>
        <w:tc>
          <w:tcPr>
            <w:tcW w:w="702" w:type="dxa"/>
            <w:tcBorders>
              <w:top w:val="single" w:color="auto" w:sz="4" w:space="0"/>
              <w:left w:val="double" w:color="auto" w:sz="4" w:space="0"/>
              <w:bottom w:val="single" w:color="auto" w:sz="4" w:space="0"/>
              <w:right w:val="single" w:color="auto" w:sz="4" w:space="0"/>
            </w:tcBorders>
            <w:vAlign w:val="center"/>
          </w:tcPr>
          <w:p w14:paraId="63CB0AE7">
            <w:pPr>
              <w:rPr>
                <w:rFonts w:ascii="宋体" w:hAnsi="宋体"/>
                <w:color w:val="auto"/>
                <w:szCs w:val="21"/>
                <w:highlight w:val="none"/>
              </w:rPr>
            </w:pPr>
            <w:r>
              <w:rPr>
                <w:rFonts w:hint="eastAsia" w:ascii="宋体" w:hAnsi="宋体"/>
                <w:color w:val="auto"/>
                <w:szCs w:val="21"/>
                <w:highlight w:val="none"/>
              </w:rPr>
              <w:t>19</w:t>
            </w:r>
          </w:p>
        </w:tc>
        <w:tc>
          <w:tcPr>
            <w:tcW w:w="981" w:type="dxa"/>
            <w:tcBorders>
              <w:top w:val="single" w:color="auto" w:sz="4" w:space="0"/>
              <w:left w:val="single" w:color="auto" w:sz="4" w:space="0"/>
              <w:bottom w:val="single" w:color="auto" w:sz="4" w:space="0"/>
              <w:right w:val="single" w:color="auto" w:sz="4" w:space="0"/>
            </w:tcBorders>
            <w:vAlign w:val="center"/>
          </w:tcPr>
          <w:p w14:paraId="148E0620">
            <w:pPr>
              <w:rPr>
                <w:rFonts w:ascii="宋体" w:hAnsi="宋体"/>
                <w:color w:val="auto"/>
                <w:szCs w:val="21"/>
                <w:highlight w:val="none"/>
              </w:rPr>
            </w:pPr>
            <w:r>
              <w:rPr>
                <w:rFonts w:ascii="宋体" w:hAnsi="宋体"/>
                <w:color w:val="auto"/>
                <w:szCs w:val="21"/>
                <w:highlight w:val="none"/>
              </w:rPr>
              <w:t>26</w:t>
            </w:r>
          </w:p>
        </w:tc>
        <w:tc>
          <w:tcPr>
            <w:tcW w:w="1733" w:type="dxa"/>
            <w:tcBorders>
              <w:top w:val="single" w:color="auto" w:sz="4" w:space="0"/>
              <w:left w:val="single" w:color="auto" w:sz="4" w:space="0"/>
              <w:bottom w:val="single" w:color="auto" w:sz="4" w:space="0"/>
              <w:right w:val="single" w:color="auto" w:sz="4" w:space="0"/>
            </w:tcBorders>
            <w:vAlign w:val="center"/>
          </w:tcPr>
          <w:p w14:paraId="0C512BA0">
            <w:pPr>
              <w:rPr>
                <w:rFonts w:hint="eastAsia" w:ascii="宋体" w:hAnsi="宋体"/>
                <w:color w:val="auto"/>
                <w:szCs w:val="21"/>
                <w:highlight w:val="none"/>
                <w:lang w:eastAsia="zh-CN"/>
              </w:rPr>
            </w:pPr>
            <w:r>
              <w:rPr>
                <w:rFonts w:hint="eastAsia" w:ascii="宋体" w:hAnsi="宋体"/>
                <w:color w:val="auto"/>
                <w:szCs w:val="21"/>
                <w:highlight w:val="none"/>
              </w:rPr>
              <w:t>开标评标办法</w:t>
            </w:r>
            <w:r>
              <w:rPr>
                <w:rFonts w:hint="eastAsia" w:ascii="宋体" w:hAnsi="宋体"/>
                <w:color w:val="auto"/>
                <w:szCs w:val="21"/>
                <w:highlight w:val="none"/>
                <w:lang w:eastAsia="zh-CN"/>
              </w:rPr>
              <w:t>：</w:t>
            </w:r>
          </w:p>
          <w:p w14:paraId="40875C2E">
            <w:pPr>
              <w:rPr>
                <w:rFonts w:ascii="宋体" w:hAnsi="宋体"/>
                <w:color w:val="auto"/>
                <w:szCs w:val="21"/>
                <w:highlight w:val="none"/>
              </w:rPr>
            </w:pPr>
          </w:p>
        </w:tc>
        <w:tc>
          <w:tcPr>
            <w:tcW w:w="5934" w:type="dxa"/>
            <w:tcBorders>
              <w:top w:val="single" w:color="auto" w:sz="4" w:space="0"/>
              <w:left w:val="single" w:color="auto" w:sz="4" w:space="0"/>
              <w:bottom w:val="single" w:color="auto" w:sz="4" w:space="0"/>
              <w:right w:val="double" w:color="auto" w:sz="4" w:space="0"/>
            </w:tcBorders>
            <w:vAlign w:val="center"/>
          </w:tcPr>
          <w:p w14:paraId="3D86B49F">
            <w:pPr>
              <w:pStyle w:val="4"/>
              <w:ind w:firstLine="0"/>
              <w:rPr>
                <w:rFonts w:hint="eastAsia" w:ascii="宋体" w:hAnsi="宋体"/>
                <w:color w:val="auto"/>
                <w:szCs w:val="21"/>
                <w:highlight w:val="none"/>
              </w:rPr>
            </w:pPr>
            <w:r>
              <w:rPr>
                <w:rFonts w:hint="eastAsia" w:ascii="宋体" w:hAnsi="宋体"/>
                <w:color w:val="auto"/>
                <w:szCs w:val="21"/>
                <w:highlight w:val="none"/>
              </w:rPr>
              <w:t>方式一：选取方法</w:t>
            </w:r>
            <w:r>
              <w:rPr>
                <w:rFonts w:hint="eastAsia" w:ascii="宋体" w:hAnsi="宋体"/>
                <w:color w:val="auto"/>
                <w:szCs w:val="21"/>
                <w:highlight w:val="none"/>
                <w:u w:val="single"/>
              </w:rPr>
              <w:t>七</w:t>
            </w:r>
            <w:r>
              <w:rPr>
                <w:rFonts w:hint="eastAsia" w:ascii="宋体" w:hAnsi="宋体"/>
                <w:color w:val="auto"/>
                <w:szCs w:val="21"/>
                <w:highlight w:val="none"/>
              </w:rPr>
              <w:t>；</w:t>
            </w:r>
          </w:p>
          <w:p w14:paraId="5CCC79A4">
            <w:pPr>
              <w:pStyle w:val="4"/>
              <w:ind w:firstLine="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评标委员会对投标文件进行资格审查，再对通过资格审查的技术标投标文件、经济标投标文件进行有效性审查，评出合格的投标人。若通过有效性审查的合格投标人大于等于3家，小于等于</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家的，则全部通过有效性审查的合格投标人进入定标阶段；</w:t>
            </w:r>
          </w:p>
          <w:p w14:paraId="1847BCE4">
            <w:pPr>
              <w:pStyle w:val="4"/>
              <w:ind w:firstLine="0"/>
              <w:rPr>
                <w:rFonts w:hint="eastAsia" w:ascii="宋体" w:hAnsi="宋体" w:eastAsia="宋体" w:cs="宋体"/>
                <w:color w:val="auto"/>
                <w:kern w:val="2"/>
                <w:sz w:val="21"/>
                <w:szCs w:val="21"/>
                <w:highlight w:val="none"/>
                <w:u w:val="single"/>
              </w:rPr>
            </w:pPr>
            <w:r>
              <w:rPr>
                <w:rFonts w:hint="eastAsia" w:ascii="宋体" w:hAnsi="宋体" w:eastAsia="宋体" w:cs="宋体"/>
                <w:color w:val="auto"/>
                <w:kern w:val="2"/>
                <w:sz w:val="21"/>
                <w:szCs w:val="21"/>
                <w:highlight w:val="none"/>
              </w:rPr>
              <w:t>若通过有效性审查的合格投标人大于</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家的，按综合得分从高到低进行排序（综合得分相同的则名次并列占用名次），推荐排序位于前</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名次不排序的入围定标阶段的候选人进入定标阶段（若前</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名次的候选人中存在综合得分相同的，则综合得分相同的所有前</w:t>
            </w: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名次的候选人均进入定标阶段）。</w:t>
            </w:r>
          </w:p>
          <w:p w14:paraId="5D6F3F46">
            <w:pPr>
              <w:pStyle w:val="4"/>
              <w:ind w:firstLine="0" w:firstLineChars="0"/>
              <w:rPr>
                <w:rFonts w:ascii="宋体" w:hAnsi="宋体"/>
                <w:color w:val="auto"/>
                <w:szCs w:val="21"/>
                <w:highlight w:val="none"/>
              </w:rPr>
            </w:pPr>
            <w:r>
              <w:rPr>
                <w:rFonts w:hint="eastAsia" w:ascii="宋体" w:hAnsi="宋体" w:eastAsia="宋体" w:cs="宋体"/>
                <w:color w:val="auto"/>
                <w:kern w:val="2"/>
                <w:sz w:val="21"/>
                <w:szCs w:val="21"/>
                <w:highlight w:val="none"/>
                <w:u w:val="single"/>
              </w:rPr>
              <w:t>注：本项目采用评定分离定标办法。</w:t>
            </w:r>
          </w:p>
        </w:tc>
      </w:tr>
      <w:tr w14:paraId="5798B7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787" w:hRule="atLeast"/>
        </w:trPr>
        <w:tc>
          <w:tcPr>
            <w:tcW w:w="702" w:type="dxa"/>
            <w:tcBorders>
              <w:top w:val="single" w:color="auto" w:sz="4" w:space="0"/>
              <w:left w:val="double" w:color="auto" w:sz="4" w:space="0"/>
              <w:bottom w:val="single" w:color="auto" w:sz="4" w:space="0"/>
              <w:right w:val="single" w:color="auto" w:sz="4" w:space="0"/>
            </w:tcBorders>
            <w:vAlign w:val="center"/>
          </w:tcPr>
          <w:p w14:paraId="42388569">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20</w:t>
            </w:r>
          </w:p>
        </w:tc>
        <w:tc>
          <w:tcPr>
            <w:tcW w:w="981" w:type="dxa"/>
            <w:tcBorders>
              <w:top w:val="single" w:color="auto" w:sz="4" w:space="0"/>
              <w:left w:val="single" w:color="auto" w:sz="4" w:space="0"/>
              <w:bottom w:val="single" w:color="auto" w:sz="4" w:space="0"/>
              <w:right w:val="single" w:color="auto" w:sz="4" w:space="0"/>
            </w:tcBorders>
            <w:vAlign w:val="center"/>
          </w:tcPr>
          <w:p w14:paraId="50D56685">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27</w:t>
            </w:r>
          </w:p>
        </w:tc>
        <w:tc>
          <w:tcPr>
            <w:tcW w:w="1733" w:type="dxa"/>
            <w:tcBorders>
              <w:top w:val="single" w:color="auto" w:sz="4" w:space="0"/>
              <w:left w:val="single" w:color="auto" w:sz="4" w:space="0"/>
              <w:bottom w:val="single" w:color="auto" w:sz="4" w:space="0"/>
              <w:right w:val="single" w:color="auto" w:sz="4" w:space="0"/>
            </w:tcBorders>
            <w:vAlign w:val="center"/>
          </w:tcPr>
          <w:p w14:paraId="61549473">
            <w:pPr>
              <w:rPr>
                <w:rFonts w:hint="eastAsia" w:ascii="宋体" w:hAnsi="宋体" w:eastAsia="宋体"/>
                <w:color w:val="auto"/>
                <w:szCs w:val="21"/>
                <w:highlight w:val="none"/>
                <w:lang w:eastAsia="zh-CN"/>
              </w:rPr>
            </w:pPr>
            <w:r>
              <w:rPr>
                <w:rFonts w:hint="eastAsia" w:ascii="宋体" w:hAnsi="宋体"/>
                <w:color w:val="auto"/>
                <w:szCs w:val="21"/>
                <w:highlight w:val="none"/>
                <w:lang w:eastAsia="zh-CN"/>
              </w:rPr>
              <w:t>定标</w:t>
            </w:r>
          </w:p>
        </w:tc>
        <w:tc>
          <w:tcPr>
            <w:tcW w:w="5934" w:type="dxa"/>
            <w:tcBorders>
              <w:top w:val="single" w:color="auto" w:sz="4" w:space="0"/>
              <w:left w:val="single" w:color="auto" w:sz="4" w:space="0"/>
              <w:bottom w:val="single" w:color="auto" w:sz="4" w:space="0"/>
              <w:right w:val="double" w:color="auto" w:sz="4" w:space="0"/>
            </w:tcBorders>
            <w:vAlign w:val="center"/>
          </w:tcPr>
          <w:p w14:paraId="404032E2">
            <w:pPr>
              <w:pStyle w:val="4"/>
              <w:ind w:firstLine="0"/>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rPr>
              <w:t>定标办法：票决定标法；</w:t>
            </w:r>
          </w:p>
          <w:p w14:paraId="284A902B">
            <w:pPr>
              <w:pStyle w:val="4"/>
              <w:ind w:firstLine="0"/>
              <w:rPr>
                <w:rFonts w:hint="eastAsia" w:ascii="宋体" w:hAnsi="宋体"/>
                <w:color w:val="auto"/>
                <w:szCs w:val="21"/>
                <w:highlight w:val="none"/>
              </w:rPr>
            </w:pPr>
            <w:r>
              <w:rPr>
                <w:rFonts w:hint="eastAsia" w:ascii="宋体" w:hAnsi="宋体" w:eastAsia="宋体" w:cs="宋体"/>
                <w:color w:val="auto"/>
                <w:kern w:val="2"/>
                <w:sz w:val="21"/>
                <w:szCs w:val="21"/>
                <w:highlight w:val="none"/>
              </w:rPr>
              <w:t>注：本项目采用评定分离定标办法。</w:t>
            </w:r>
          </w:p>
        </w:tc>
      </w:tr>
      <w:tr w14:paraId="73283C2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2DDB3EA1">
            <w:pPr>
              <w:rPr>
                <w:rFonts w:hint="eastAsia" w:ascii="宋体" w:hAnsi="宋体" w:eastAsia="宋体"/>
                <w:color w:val="auto"/>
                <w:szCs w:val="21"/>
                <w:highlight w:val="none"/>
                <w:lang w:eastAsia="zh-CN"/>
              </w:rPr>
            </w:pPr>
            <w:r>
              <w:rPr>
                <w:rFonts w:ascii="宋体" w:hAnsi="宋体"/>
                <w:color w:val="auto"/>
                <w:szCs w:val="21"/>
                <w:highlight w:val="none"/>
              </w:rPr>
              <w:t>2</w:t>
            </w:r>
            <w:r>
              <w:rPr>
                <w:rFonts w:hint="eastAsia" w:ascii="宋体" w:hAnsi="宋体"/>
                <w:color w:val="auto"/>
                <w:szCs w:val="21"/>
                <w:highlight w:val="none"/>
                <w:lang w:val="en-US" w:eastAsia="zh-CN"/>
              </w:rPr>
              <w:t>1</w:t>
            </w:r>
          </w:p>
        </w:tc>
        <w:tc>
          <w:tcPr>
            <w:tcW w:w="981" w:type="dxa"/>
            <w:tcBorders>
              <w:top w:val="single" w:color="auto" w:sz="4" w:space="0"/>
              <w:left w:val="single" w:color="auto" w:sz="4" w:space="0"/>
              <w:bottom w:val="single" w:color="auto" w:sz="4" w:space="0"/>
              <w:right w:val="single" w:color="auto" w:sz="4" w:space="0"/>
            </w:tcBorders>
            <w:vAlign w:val="center"/>
          </w:tcPr>
          <w:p w14:paraId="0E8AC18F">
            <w:pPr>
              <w:rPr>
                <w:rFonts w:ascii="宋体" w:hAnsi="宋体"/>
                <w:color w:val="auto"/>
                <w:szCs w:val="21"/>
                <w:highlight w:val="none"/>
              </w:rPr>
            </w:pPr>
            <w:r>
              <w:rPr>
                <w:rFonts w:hint="eastAsia" w:ascii="宋体" w:hAnsi="宋体"/>
                <w:color w:val="auto"/>
                <w:szCs w:val="21"/>
                <w:highlight w:val="none"/>
                <w:lang w:val="en-US" w:eastAsia="zh-CN"/>
              </w:rPr>
              <w:t>30</w:t>
            </w:r>
            <w:r>
              <w:rPr>
                <w:rFonts w:ascii="宋体" w:hAnsi="宋体"/>
                <w:color w:val="auto"/>
                <w:szCs w:val="21"/>
                <w:highlight w:val="none"/>
              </w:rPr>
              <w:t>.1</w:t>
            </w:r>
          </w:p>
        </w:tc>
        <w:tc>
          <w:tcPr>
            <w:tcW w:w="1733" w:type="dxa"/>
            <w:tcBorders>
              <w:top w:val="single" w:color="auto" w:sz="4" w:space="0"/>
              <w:left w:val="single" w:color="auto" w:sz="4" w:space="0"/>
              <w:bottom w:val="single" w:color="auto" w:sz="4" w:space="0"/>
              <w:right w:val="single" w:color="auto" w:sz="4" w:space="0"/>
            </w:tcBorders>
            <w:vAlign w:val="center"/>
          </w:tcPr>
          <w:p w14:paraId="325070C0">
            <w:pPr>
              <w:rPr>
                <w:rFonts w:ascii="宋体" w:hAnsi="宋体"/>
                <w:color w:val="auto"/>
                <w:szCs w:val="21"/>
                <w:highlight w:val="none"/>
              </w:rPr>
            </w:pPr>
            <w:r>
              <w:rPr>
                <w:rFonts w:hint="eastAsia" w:ascii="宋体" w:hAnsi="宋体"/>
                <w:color w:val="auto"/>
                <w:szCs w:val="21"/>
                <w:highlight w:val="none"/>
              </w:rPr>
              <w:t>履约担保</w:t>
            </w:r>
          </w:p>
        </w:tc>
        <w:tc>
          <w:tcPr>
            <w:tcW w:w="5934" w:type="dxa"/>
            <w:tcBorders>
              <w:top w:val="single" w:color="auto" w:sz="4" w:space="0"/>
              <w:left w:val="single" w:color="auto" w:sz="4" w:space="0"/>
              <w:bottom w:val="single" w:color="auto" w:sz="4" w:space="0"/>
              <w:right w:val="double" w:color="auto" w:sz="4" w:space="0"/>
            </w:tcBorders>
            <w:vAlign w:val="center"/>
          </w:tcPr>
          <w:p w14:paraId="232E3B22">
            <w:pPr>
              <w:rPr>
                <w:rFonts w:hint="eastAsia"/>
                <w:color w:val="auto"/>
                <w:highlight w:val="none"/>
                <w:lang w:eastAsia="zh-CN"/>
              </w:rPr>
            </w:pPr>
            <w:r>
              <w:rPr>
                <w:rFonts w:hint="eastAsia"/>
                <w:color w:val="auto"/>
                <w:highlight w:val="none"/>
                <w:lang w:eastAsia="zh-CN"/>
              </w:rPr>
              <w:t>是否要求投标人提交履约担保：</w:t>
            </w:r>
          </w:p>
          <w:p w14:paraId="2DE9BA84">
            <w:pPr>
              <w:pStyle w:val="21"/>
              <w:rPr>
                <w:rFonts w:hint="eastAsia"/>
                <w:color w:val="auto"/>
                <w:highlight w:val="none"/>
                <w:lang w:eastAsia="zh-CN"/>
              </w:rPr>
            </w:pPr>
            <w:r>
              <w:rPr>
                <w:rFonts w:hint="eastAsia"/>
                <w:color w:val="auto"/>
                <w:highlight w:val="none"/>
                <w:lang w:eastAsia="zh-CN"/>
              </w:rPr>
              <w:t>□不要求</w:t>
            </w:r>
          </w:p>
          <w:p w14:paraId="5FE393F1">
            <w:pPr>
              <w:pStyle w:val="21"/>
              <w:rPr>
                <w:rFonts w:hint="eastAsia"/>
                <w:color w:val="auto"/>
                <w:highlight w:val="none"/>
                <w:lang w:eastAsia="zh-CN"/>
              </w:rPr>
            </w:pPr>
            <w:r>
              <w:rPr>
                <w:rFonts w:hint="eastAsia"/>
                <w:color w:val="auto"/>
                <w:highlight w:val="none"/>
                <w:lang w:eastAsia="zh-CN"/>
              </w:rPr>
              <w:t>☑要求：</w:t>
            </w:r>
          </w:p>
          <w:p w14:paraId="5489770A">
            <w:pPr>
              <w:pStyle w:val="21"/>
              <w:rPr>
                <w:rFonts w:hint="default"/>
                <w:color w:val="auto"/>
                <w:highlight w:val="none"/>
                <w:u w:val="single"/>
                <w:lang w:val="en-US" w:eastAsia="zh-CN"/>
              </w:rPr>
            </w:pPr>
            <w:r>
              <w:rPr>
                <w:rFonts w:hint="eastAsia"/>
                <w:color w:val="auto"/>
                <w:highlight w:val="none"/>
                <w:lang w:eastAsia="zh-CN"/>
              </w:rPr>
              <w:t>履约保证金的金额：</w:t>
            </w:r>
            <w:r>
              <w:rPr>
                <w:rFonts w:hint="eastAsia"/>
                <w:color w:val="auto"/>
                <w:highlight w:val="none"/>
                <w:u w:val="single"/>
                <w:lang w:val="en-US" w:eastAsia="zh-CN"/>
              </w:rPr>
              <w:t xml:space="preserve">      </w:t>
            </w:r>
          </w:p>
          <w:p w14:paraId="3288910D">
            <w:pPr>
              <w:rPr>
                <w:rFonts w:ascii="宋体" w:hAnsi="宋体"/>
                <w:color w:val="auto"/>
                <w:highlight w:val="none"/>
              </w:rPr>
            </w:pPr>
            <w:r>
              <w:rPr>
                <w:rFonts w:hint="eastAsia"/>
                <w:color w:val="auto"/>
                <w:highlight w:val="none"/>
                <w:lang w:eastAsia="zh-CN"/>
              </w:rPr>
              <w:t>☑</w:t>
            </w:r>
            <w:r>
              <w:rPr>
                <w:rFonts w:hint="eastAsia" w:ascii="宋体" w:hAnsi="宋体"/>
                <w:color w:val="auto"/>
                <w:highlight w:val="none"/>
              </w:rPr>
              <w:t>方式一：中标人提供的履约保证金为中标价款的</w:t>
            </w:r>
            <w:r>
              <w:rPr>
                <w:rFonts w:hint="eastAsia" w:ascii="宋体" w:hAnsi="宋体"/>
                <w:color w:val="auto"/>
                <w:highlight w:val="none"/>
                <w:u w:val="single"/>
                <w:lang w:val="en-US" w:eastAsia="zh-CN"/>
              </w:rPr>
              <w:t>10</w:t>
            </w:r>
            <w:r>
              <w:rPr>
                <w:rFonts w:hint="eastAsia" w:ascii="宋体" w:hAnsi="宋体"/>
                <w:color w:val="auto"/>
                <w:highlight w:val="none"/>
              </w:rPr>
              <w:t>%</w:t>
            </w:r>
            <w:r>
              <w:rPr>
                <w:rFonts w:hint="eastAsia" w:ascii="宋体" w:hAnsi="宋体"/>
                <w:color w:val="auto"/>
                <w:highlight w:val="none"/>
                <w:lang w:eastAsia="zh-CN"/>
              </w:rPr>
              <w:t>（不高于</w:t>
            </w:r>
            <w:r>
              <w:rPr>
                <w:rFonts w:hint="eastAsia" w:ascii="宋体" w:hAnsi="宋体"/>
                <w:color w:val="auto"/>
                <w:highlight w:val="none"/>
                <w:lang w:val="en-US" w:eastAsia="zh-CN"/>
              </w:rPr>
              <w:t>10%）</w:t>
            </w:r>
            <w:r>
              <w:rPr>
                <w:rFonts w:hint="eastAsia" w:ascii="宋体" w:hAnsi="宋体"/>
                <w:color w:val="auto"/>
                <w:highlight w:val="none"/>
              </w:rPr>
              <w:t>。</w:t>
            </w:r>
          </w:p>
          <w:p w14:paraId="3CCF560A">
            <w:pPr>
              <w:pStyle w:val="4"/>
              <w:spacing w:after="0"/>
              <w:ind w:firstLine="0"/>
              <w:rPr>
                <w:rFonts w:ascii="宋体" w:hAnsi="宋体"/>
                <w:color w:val="auto"/>
                <w:highlight w:val="none"/>
                <w:u w:val="single"/>
              </w:rPr>
            </w:pPr>
            <w:r>
              <w:rPr>
                <w:rFonts w:hint="eastAsia" w:ascii="宋体" w:hAnsi="宋体"/>
                <w:color w:val="auto"/>
                <w:highlight w:val="none"/>
                <w:lang w:eastAsia="zh-CN"/>
              </w:rPr>
              <w:t>履约保证金的形式：</w:t>
            </w:r>
            <w:r>
              <w:rPr>
                <w:rFonts w:hint="eastAsia" w:ascii="宋体" w:hAnsi="宋体"/>
                <w:color w:val="auto"/>
                <w:highlight w:val="none"/>
                <w:u w:val="single"/>
              </w:rPr>
              <w:t>采用现金或者支票、银行保函、保证保险、专业担保公司担保等方式：若采用现金或者支票方式的：中标人提供的履约保证金为中标价款的10%(若中标人为中小企业，则为5%)。</w:t>
            </w:r>
          </w:p>
          <w:p w14:paraId="7AB97081">
            <w:pPr>
              <w:pStyle w:val="4"/>
              <w:spacing w:after="0"/>
              <w:ind w:firstLine="0"/>
              <w:rPr>
                <w:rFonts w:ascii="宋体" w:hAnsi="宋体"/>
                <w:color w:val="auto"/>
                <w:highlight w:val="none"/>
                <w:u w:val="single"/>
              </w:rPr>
            </w:pPr>
            <w:r>
              <w:rPr>
                <w:rFonts w:hint="eastAsia" w:ascii="宋体" w:hAnsi="宋体"/>
                <w:color w:val="auto"/>
                <w:highlight w:val="none"/>
                <w:u w:val="single"/>
              </w:rPr>
              <w:t>中标通知书发放后15个日历天内,中标人须向招标人提交履约保证金，履约保证金的提交方式为：方式一：从中标人开户银行帐户中转帐或汇款到招标人以下三个银行帐户﹙收款单位：广州市番禺区基本建设投资管理中心，银行帐号一：3602070119200076312，开户银行：工商银行广州番禺平康支行；银行帐号二：44001531416059000078，开户银行：中国建设银行番禺东区支行；银行帐号三：391160100100059844，开户银行：兴业银行番禺支行﹚中的任一个帐户内。</w:t>
            </w:r>
          </w:p>
          <w:p w14:paraId="05922E70">
            <w:pPr>
              <w:pStyle w:val="4"/>
              <w:spacing w:after="0"/>
              <w:ind w:firstLine="0"/>
              <w:rPr>
                <w:rFonts w:ascii="宋体" w:hAnsi="宋体"/>
                <w:color w:val="auto"/>
                <w:highlight w:val="none"/>
                <w:u w:val="single"/>
              </w:rPr>
            </w:pPr>
            <w:r>
              <w:rPr>
                <w:rFonts w:hint="eastAsia" w:ascii="宋体" w:hAnsi="宋体"/>
                <w:color w:val="auto"/>
                <w:highlight w:val="none"/>
                <w:u w:val="single"/>
              </w:rPr>
              <w:t>方式二：若采用银行保函方式的：中标人按本合同附件中的格式3向发包人提供保证额为中标价款的10%(若中标人为中小企业，则为5%)的履约保证金银行保函，该银行保函应由在中国注册的银行开具。</w:t>
            </w:r>
          </w:p>
          <w:p w14:paraId="64DEEA3C">
            <w:pPr>
              <w:pStyle w:val="4"/>
              <w:spacing w:after="0"/>
              <w:ind w:firstLine="0"/>
              <w:rPr>
                <w:rFonts w:ascii="宋体" w:hAnsi="宋体"/>
                <w:color w:val="auto"/>
                <w:highlight w:val="none"/>
                <w:u w:val="single"/>
              </w:rPr>
            </w:pPr>
            <w:r>
              <w:rPr>
                <w:rFonts w:hint="eastAsia" w:ascii="宋体" w:hAnsi="宋体"/>
                <w:color w:val="auto"/>
                <w:highlight w:val="none"/>
                <w:u w:val="single"/>
              </w:rPr>
              <w:t>在中标通知书发放后15个日历天内，中标人未提交履约担保且未征得招标人同意延期缴交的，招标人有权取消其中标资格并没收其补交的投标保证金，招标人可以重新招标或由原定标委员会根据原定标办法从其他合格的中标候选人中重新票决确定中标人并公示。</w:t>
            </w:r>
          </w:p>
          <w:p w14:paraId="7D9564CA">
            <w:pPr>
              <w:widowControl/>
              <w:jc w:val="left"/>
              <w:rPr>
                <w:rFonts w:hint="eastAsia" w:ascii="宋体" w:hAnsi="宋体"/>
                <w:color w:val="auto"/>
                <w:szCs w:val="21"/>
                <w:highlight w:val="none"/>
                <w:u w:val="single"/>
                <w:lang w:val="en-US" w:eastAsia="zh-CN"/>
              </w:rPr>
            </w:pPr>
            <w:r>
              <w:rPr>
                <w:rFonts w:hint="eastAsia" w:ascii="宋体" w:hAnsi="宋体"/>
                <w:color w:val="auto"/>
                <w:highlight w:val="none"/>
                <w:u w:val="single"/>
              </w:rPr>
              <w:t>中标人须于中标通知书发出之日起，18个日历天内完成签订施工合同的工作，并将中标人已签妥的施工合同及相关协议文件提交招标人。若不提交，招标人有权取消其中标资格。</w:t>
            </w:r>
          </w:p>
        </w:tc>
      </w:tr>
      <w:tr w14:paraId="72528631">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60" w:hRule="atLeast"/>
        </w:trPr>
        <w:tc>
          <w:tcPr>
            <w:tcW w:w="702" w:type="dxa"/>
            <w:tcBorders>
              <w:top w:val="single" w:color="auto" w:sz="4" w:space="0"/>
              <w:left w:val="double" w:color="auto" w:sz="4" w:space="0"/>
              <w:bottom w:val="single" w:color="auto" w:sz="4" w:space="0"/>
              <w:right w:val="single" w:color="auto" w:sz="4" w:space="0"/>
            </w:tcBorders>
            <w:vAlign w:val="center"/>
          </w:tcPr>
          <w:p w14:paraId="6E2DCBDD">
            <w:pPr>
              <w:rPr>
                <w:rFonts w:ascii="宋体" w:hAnsi="宋体"/>
                <w:color w:val="auto"/>
                <w:szCs w:val="21"/>
                <w:highlight w:val="none"/>
              </w:rPr>
            </w:pPr>
            <w:r>
              <w:rPr>
                <w:rFonts w:hint="eastAsia" w:ascii="宋体" w:hAnsi="宋体"/>
                <w:color w:val="auto"/>
                <w:szCs w:val="21"/>
                <w:highlight w:val="none"/>
                <w:lang w:val="en-US" w:eastAsia="zh-CN"/>
              </w:rPr>
              <w:t>22</w:t>
            </w:r>
          </w:p>
        </w:tc>
        <w:tc>
          <w:tcPr>
            <w:tcW w:w="981" w:type="dxa"/>
            <w:tcBorders>
              <w:top w:val="single" w:color="auto" w:sz="4" w:space="0"/>
              <w:left w:val="single" w:color="auto" w:sz="4" w:space="0"/>
              <w:bottom w:val="single" w:color="auto" w:sz="4" w:space="0"/>
              <w:right w:val="single" w:color="auto" w:sz="4" w:space="0"/>
            </w:tcBorders>
            <w:vAlign w:val="center"/>
          </w:tcPr>
          <w:p w14:paraId="6D7B4912">
            <w:pPr>
              <w:rPr>
                <w:rFonts w:ascii="宋体" w:hAnsi="宋体"/>
                <w:color w:val="auto"/>
                <w:szCs w:val="21"/>
                <w:highlight w:val="none"/>
              </w:rPr>
            </w:pPr>
            <w:r>
              <w:rPr>
                <w:rFonts w:hint="eastAsia" w:ascii="宋体" w:hAnsi="宋体"/>
                <w:color w:val="auto"/>
                <w:szCs w:val="21"/>
                <w:highlight w:val="none"/>
                <w:lang w:val="en-US" w:eastAsia="zh-CN"/>
              </w:rPr>
              <w:t>32.1</w:t>
            </w:r>
          </w:p>
        </w:tc>
        <w:tc>
          <w:tcPr>
            <w:tcW w:w="1733" w:type="dxa"/>
            <w:tcBorders>
              <w:top w:val="single" w:color="auto" w:sz="4" w:space="0"/>
              <w:left w:val="single" w:color="auto" w:sz="4" w:space="0"/>
              <w:bottom w:val="single" w:color="auto" w:sz="4" w:space="0"/>
              <w:right w:val="single" w:color="auto" w:sz="4" w:space="0"/>
            </w:tcBorders>
            <w:vAlign w:val="center"/>
          </w:tcPr>
          <w:p w14:paraId="7241A16C">
            <w:pPr>
              <w:rPr>
                <w:rFonts w:hint="eastAsia" w:ascii="宋体" w:hAnsi="宋体"/>
                <w:color w:val="auto"/>
                <w:szCs w:val="21"/>
                <w:highlight w:val="none"/>
              </w:rPr>
            </w:pPr>
            <w:r>
              <w:rPr>
                <w:rFonts w:hint="eastAsia" w:ascii="宋体" w:hAnsi="宋体"/>
                <w:color w:val="auto"/>
                <w:szCs w:val="21"/>
                <w:highlight w:val="none"/>
                <w:lang w:val="en-US" w:eastAsia="zh-CN"/>
              </w:rPr>
              <w:t>专业</w:t>
            </w:r>
            <w:r>
              <w:rPr>
                <w:rFonts w:hint="eastAsia" w:ascii="宋体" w:hAnsi="宋体"/>
                <w:color w:val="auto"/>
                <w:szCs w:val="21"/>
                <w:highlight w:val="none"/>
                <w:lang w:eastAsia="zh-CN"/>
              </w:rPr>
              <w:t>分包</w:t>
            </w:r>
          </w:p>
        </w:tc>
        <w:tc>
          <w:tcPr>
            <w:tcW w:w="5934" w:type="dxa"/>
            <w:tcBorders>
              <w:top w:val="single" w:color="auto" w:sz="4" w:space="0"/>
              <w:left w:val="single" w:color="auto" w:sz="4" w:space="0"/>
              <w:bottom w:val="single" w:color="auto" w:sz="4" w:space="0"/>
              <w:right w:val="double" w:color="auto" w:sz="4" w:space="0"/>
            </w:tcBorders>
            <w:vAlign w:val="center"/>
          </w:tcPr>
          <w:p w14:paraId="2158574B">
            <w:pPr>
              <w:rPr>
                <w:rFonts w:ascii="宋体" w:hAnsi="宋体"/>
                <w:color w:val="auto"/>
                <w:kern w:val="0"/>
                <w:szCs w:val="21"/>
                <w:highlight w:val="none"/>
                <w:lang w:val="zh-CN"/>
              </w:rPr>
            </w:pPr>
            <w:r>
              <w:rPr>
                <w:rFonts w:hint="eastAsia" w:ascii="宋体" w:hAnsi="宋体"/>
                <w:color w:val="auto"/>
                <w:kern w:val="0"/>
                <w:szCs w:val="21"/>
                <w:highlight w:val="none"/>
                <w:lang w:val="zh-CN"/>
              </w:rPr>
              <w:t>□不允许；</w:t>
            </w:r>
          </w:p>
          <w:p w14:paraId="1A9B9F6E">
            <w:pPr>
              <w:rPr>
                <w:rFonts w:hint="eastAsia" w:ascii="宋体" w:hAnsi="宋体" w:cs="宋体"/>
                <w:color w:val="auto"/>
                <w:kern w:val="0"/>
                <w:szCs w:val="21"/>
                <w:highlight w:val="none"/>
                <w:lang w:val="zh-CN"/>
              </w:rPr>
            </w:pPr>
            <w:r>
              <w:rPr>
                <w:rFonts w:hint="eastAsia" w:ascii="宋体" w:hAnsi="宋体"/>
                <w:color w:val="auto"/>
                <w:kern w:val="0"/>
                <w:szCs w:val="21"/>
                <w:highlight w:val="none"/>
                <w:lang w:val="zh-CN"/>
              </w:rPr>
              <w:t>☑允许：</w:t>
            </w:r>
            <w:r>
              <w:rPr>
                <w:rFonts w:hint="eastAsia" w:ascii="宋体" w:hAnsi="宋体" w:cs="宋体"/>
                <w:color w:val="auto"/>
                <w:kern w:val="0"/>
                <w:szCs w:val="21"/>
                <w:highlight w:val="none"/>
                <w:u w:val="single"/>
                <w:lang w:val="zh-CN"/>
              </w:rPr>
              <w:t>允许非主体、非关键性工程进行分包，承包人不具备相应资质的，需经发包人审核批准后分包给具有相应资质和能力的专业单位实施。</w:t>
            </w:r>
          </w:p>
          <w:p w14:paraId="2D9D0972">
            <w:pPr>
              <w:pStyle w:val="4"/>
              <w:spacing w:after="0"/>
              <w:ind w:firstLine="0" w:firstLineChars="0"/>
              <w:rPr>
                <w:rFonts w:hint="eastAsia" w:ascii="宋体" w:hAnsi="宋体"/>
                <w:color w:val="auto"/>
                <w:highlight w:val="none"/>
                <w:lang w:eastAsia="zh-CN"/>
              </w:rPr>
            </w:pPr>
            <w:r>
              <w:rPr>
                <w:rFonts w:hint="eastAsia"/>
                <w:b/>
                <w:bCs/>
                <w:color w:val="auto"/>
                <w:highlight w:val="none"/>
                <w:u w:val="single"/>
                <w:lang w:val="zh-CN" w:eastAsia="zh-CN"/>
              </w:rPr>
              <w:t>注：（</w:t>
            </w:r>
            <w:r>
              <w:rPr>
                <w:rFonts w:hint="eastAsia"/>
                <w:b/>
                <w:bCs/>
                <w:color w:val="auto"/>
                <w:highlight w:val="none"/>
                <w:u w:val="single"/>
                <w:lang w:val="en-US" w:eastAsia="zh-CN"/>
              </w:rPr>
              <w:t>1</w:t>
            </w:r>
            <w:r>
              <w:rPr>
                <w:rFonts w:hint="eastAsia"/>
                <w:b/>
                <w:bCs/>
                <w:color w:val="auto"/>
                <w:highlight w:val="none"/>
                <w:u w:val="single"/>
                <w:lang w:val="zh-CN" w:eastAsia="zh-CN"/>
              </w:rPr>
              <w:t>）大中型企业向一家或者多家小微企业分包的（分包承诺小微企业的合同份额占到合同总金额30%以上），在采用其原报价进行评分的基础上增加其价格得分的2%作为其价格分（经济分），若原报价已满分，仍可突破满分上限继续享受加分优惠，以实际计算结果作为最终价格分（经济分）。（</w:t>
            </w:r>
            <w:r>
              <w:rPr>
                <w:rFonts w:hint="eastAsia"/>
                <w:b/>
                <w:bCs/>
                <w:color w:val="auto"/>
                <w:highlight w:val="none"/>
                <w:u w:val="single"/>
                <w:lang w:val="en-US" w:eastAsia="zh-CN"/>
              </w:rPr>
              <w:t>2</w:t>
            </w:r>
            <w:r>
              <w:rPr>
                <w:rFonts w:hint="eastAsia"/>
                <w:b/>
                <w:bCs/>
                <w:color w:val="auto"/>
                <w:highlight w:val="none"/>
                <w:u w:val="single"/>
                <w:lang w:val="zh-CN" w:eastAsia="zh-CN"/>
              </w:rPr>
              <w:t>）规定享受扶持政策获得</w:t>
            </w:r>
            <w:r>
              <w:rPr>
                <w:rFonts w:hint="eastAsia"/>
                <w:b/>
                <w:bCs/>
                <w:color w:val="auto"/>
                <w:highlight w:val="none"/>
                <w:u w:val="single"/>
                <w:lang w:val="en-US" w:eastAsia="zh-CN"/>
              </w:rPr>
              <w:t>承包</w:t>
            </w:r>
            <w:r>
              <w:rPr>
                <w:rFonts w:hint="eastAsia"/>
                <w:b/>
                <w:bCs/>
                <w:color w:val="auto"/>
                <w:highlight w:val="none"/>
                <w:u w:val="single"/>
                <w:lang w:val="zh-CN" w:eastAsia="zh-CN"/>
              </w:rPr>
              <w:t>合同的，小微企业不得将合同分包给大中型企业，中型企业不得将合同分包给大型企业。</w:t>
            </w:r>
          </w:p>
        </w:tc>
      </w:tr>
      <w:tr w14:paraId="093AF0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1196" w:hRule="atLeast"/>
        </w:trPr>
        <w:tc>
          <w:tcPr>
            <w:tcW w:w="702" w:type="dxa"/>
            <w:tcBorders>
              <w:top w:val="single" w:color="auto" w:sz="4" w:space="0"/>
              <w:left w:val="double" w:color="auto" w:sz="4" w:space="0"/>
              <w:bottom w:val="single" w:color="auto" w:sz="4" w:space="0"/>
              <w:right w:val="single" w:color="auto" w:sz="4" w:space="0"/>
            </w:tcBorders>
            <w:vAlign w:val="center"/>
          </w:tcPr>
          <w:p w14:paraId="5B5489A5">
            <w:pPr>
              <w:rPr>
                <w:rFonts w:hint="eastAsia" w:ascii="宋体" w:hAnsi="宋体" w:eastAsia="宋体"/>
                <w:color w:val="auto"/>
                <w:szCs w:val="21"/>
                <w:highlight w:val="none"/>
                <w:lang w:val="en-US" w:eastAsia="zh-CN"/>
              </w:rPr>
            </w:pPr>
            <w:r>
              <w:rPr>
                <w:rFonts w:ascii="宋体" w:hAnsi="宋体"/>
                <w:color w:val="auto"/>
                <w:szCs w:val="21"/>
                <w:highlight w:val="none"/>
              </w:rPr>
              <w:t>2</w:t>
            </w:r>
            <w:r>
              <w:rPr>
                <w:rFonts w:hint="eastAsia" w:ascii="宋体" w:hAnsi="宋体"/>
                <w:color w:val="auto"/>
                <w:szCs w:val="21"/>
                <w:highlight w:val="none"/>
                <w:lang w:val="en-US" w:eastAsia="zh-CN"/>
              </w:rPr>
              <w:t>3</w:t>
            </w:r>
          </w:p>
        </w:tc>
        <w:tc>
          <w:tcPr>
            <w:tcW w:w="981" w:type="dxa"/>
            <w:tcBorders>
              <w:top w:val="single" w:color="auto" w:sz="4" w:space="0"/>
              <w:left w:val="single" w:color="auto" w:sz="4" w:space="0"/>
              <w:bottom w:val="single" w:color="auto" w:sz="4" w:space="0"/>
              <w:right w:val="single" w:color="auto" w:sz="4" w:space="0"/>
            </w:tcBorders>
            <w:vAlign w:val="center"/>
          </w:tcPr>
          <w:p w14:paraId="1AA4389F">
            <w:pPr>
              <w:rPr>
                <w:rFonts w:hint="eastAsia" w:ascii="宋体" w:hAnsi="宋体"/>
                <w:color w:val="auto"/>
                <w:szCs w:val="21"/>
                <w:highlight w:val="none"/>
                <w:lang w:val="en-US" w:eastAsia="zh-CN"/>
              </w:rPr>
            </w:pPr>
          </w:p>
        </w:tc>
        <w:tc>
          <w:tcPr>
            <w:tcW w:w="1733" w:type="dxa"/>
            <w:tcBorders>
              <w:top w:val="single" w:color="auto" w:sz="4" w:space="0"/>
              <w:left w:val="single" w:color="auto" w:sz="4" w:space="0"/>
              <w:bottom w:val="single" w:color="auto" w:sz="4" w:space="0"/>
              <w:right w:val="single" w:color="auto" w:sz="4" w:space="0"/>
            </w:tcBorders>
            <w:vAlign w:val="center"/>
          </w:tcPr>
          <w:p w14:paraId="4D5DB238">
            <w:pPr>
              <w:rPr>
                <w:rFonts w:hint="eastAsia" w:ascii="宋体" w:hAnsi="宋体"/>
                <w:color w:val="auto"/>
                <w:szCs w:val="21"/>
                <w:highlight w:val="none"/>
                <w:lang w:eastAsia="zh-CN"/>
              </w:rPr>
            </w:pPr>
            <w:r>
              <w:rPr>
                <w:rFonts w:hint="eastAsia" w:ascii="宋体" w:hAnsi="宋体"/>
                <w:color w:val="auto"/>
                <w:szCs w:val="21"/>
                <w:highlight w:val="none"/>
              </w:rPr>
              <w:t>最高投标限价</w:t>
            </w:r>
          </w:p>
        </w:tc>
        <w:tc>
          <w:tcPr>
            <w:tcW w:w="5934" w:type="dxa"/>
            <w:tcBorders>
              <w:top w:val="single" w:color="auto" w:sz="4" w:space="0"/>
              <w:left w:val="single" w:color="auto" w:sz="4" w:space="0"/>
              <w:bottom w:val="single" w:color="auto" w:sz="4" w:space="0"/>
              <w:right w:val="double" w:color="auto" w:sz="4" w:space="0"/>
            </w:tcBorders>
            <w:vAlign w:val="center"/>
          </w:tcPr>
          <w:p w14:paraId="273CA536">
            <w:pPr>
              <w:widowControl/>
              <w:jc w:val="left"/>
              <w:rPr>
                <w:rFonts w:hint="eastAsia" w:ascii="宋体" w:hAnsi="宋体"/>
                <w:color w:val="auto"/>
                <w:highlight w:val="none"/>
                <w:lang w:eastAsia="zh-CN"/>
              </w:rPr>
            </w:pPr>
            <w:r>
              <w:rPr>
                <w:rFonts w:hint="eastAsia" w:ascii="宋体" w:hAnsi="宋体" w:cs="宋体"/>
                <w:color w:val="auto"/>
                <w:szCs w:val="21"/>
                <w:highlight w:val="none"/>
              </w:rPr>
              <w:t>本项目</w:t>
            </w:r>
            <w:r>
              <w:rPr>
                <w:rFonts w:hint="eastAsia" w:ascii="宋体" w:hAnsi="宋体" w:cs="宋体"/>
                <w:color w:val="auto"/>
                <w:szCs w:val="21"/>
                <w:highlight w:val="none"/>
                <w:u w:val="single"/>
              </w:rPr>
              <w:t>设置最高投标限价、综合单价最高限价，</w:t>
            </w:r>
            <w:r>
              <w:rPr>
                <w:rFonts w:hint="eastAsia" w:ascii="宋体" w:hAnsi="宋体" w:cs="宋体"/>
                <w:color w:val="auto"/>
                <w:szCs w:val="21"/>
                <w:highlight w:val="none"/>
              </w:rPr>
              <w:t>最高投标限价为人民币</w:t>
            </w:r>
            <w:r>
              <w:rPr>
                <w:rFonts w:hint="eastAsia" w:ascii="宋体" w:hAnsi="宋体" w:cs="宋体"/>
                <w:color w:val="auto"/>
                <w:szCs w:val="21"/>
                <w:highlight w:val="none"/>
                <w:u w:val="single"/>
              </w:rPr>
              <w:t>¥</w:t>
            </w:r>
            <w:r>
              <w:rPr>
                <w:rFonts w:hint="eastAsia" w:ascii="宋体" w:hAnsi="宋体" w:eastAsia="宋体" w:cs="宋体"/>
                <w:color w:val="auto"/>
                <w:kern w:val="2"/>
                <w:sz w:val="21"/>
                <w:szCs w:val="21"/>
                <w:highlight w:val="none"/>
                <w:u w:val="single"/>
                <w:lang w:val="en-US" w:eastAsia="zh-CN" w:bidi="ar"/>
              </w:rPr>
              <w:t>72808773.89</w:t>
            </w:r>
            <w:r>
              <w:rPr>
                <w:rFonts w:hint="eastAsia" w:ascii="宋体" w:hAnsi="宋体" w:cs="宋体"/>
                <w:color w:val="auto"/>
                <w:szCs w:val="21"/>
                <w:highlight w:val="none"/>
              </w:rPr>
              <w:t>元</w:t>
            </w:r>
            <w:r>
              <w:rPr>
                <w:rFonts w:hint="eastAsia" w:ascii="宋体" w:hAnsi="宋体"/>
                <w:color w:val="auto"/>
                <w:highlight w:val="none"/>
                <w:lang w:eastAsia="zh-CN"/>
              </w:rPr>
              <w:t>。详见本项目最高投标限价公布表，</w:t>
            </w:r>
            <w:r>
              <w:rPr>
                <w:rFonts w:hint="eastAsia" w:ascii="宋体" w:hAnsi="宋体" w:cs="宋体"/>
                <w:color w:val="auto"/>
                <w:szCs w:val="21"/>
                <w:highlight w:val="none"/>
                <w:u w:val="single"/>
              </w:rPr>
              <w:t>综合单价最高限价详见招标工程量清单</w:t>
            </w:r>
            <w:r>
              <w:rPr>
                <w:rFonts w:hint="eastAsia" w:ascii="宋体" w:hAnsi="宋体"/>
                <w:color w:val="auto"/>
                <w:highlight w:val="none"/>
                <w:u w:val="single"/>
                <w:lang w:eastAsia="zh-CN"/>
              </w:rPr>
              <w:t>。</w:t>
            </w:r>
          </w:p>
          <w:p w14:paraId="480EEBDF">
            <w:pPr>
              <w:widowControl/>
              <w:spacing w:after="0"/>
              <w:ind w:firstLineChars="0"/>
              <w:jc w:val="left"/>
              <w:rPr>
                <w:rFonts w:hint="eastAsia" w:ascii="宋体" w:hAnsi="宋体"/>
                <w:color w:val="auto"/>
                <w:kern w:val="0"/>
                <w:szCs w:val="21"/>
                <w:highlight w:val="none"/>
                <w:lang w:val="zh-CN"/>
              </w:rPr>
            </w:pPr>
            <w:r>
              <w:rPr>
                <w:rFonts w:hint="eastAsia" w:ascii="宋体" w:hAnsi="宋体" w:cs="宋体"/>
                <w:color w:val="auto"/>
                <w:szCs w:val="21"/>
                <w:highlight w:val="none"/>
                <w:u w:val="single"/>
              </w:rPr>
              <w:t>投标总价超过最高投标限价、投标报价中任一项综合单价超过招标工程量清单中相应的综合单价最高限价时，投标文件将被拒绝。</w:t>
            </w:r>
          </w:p>
        </w:tc>
      </w:tr>
      <w:tr w14:paraId="1BED019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atLeast"/>
        </w:trPr>
        <w:tc>
          <w:tcPr>
            <w:tcW w:w="702" w:type="dxa"/>
            <w:tcBorders>
              <w:top w:val="single" w:color="auto" w:sz="4" w:space="0"/>
              <w:left w:val="double" w:color="auto" w:sz="4" w:space="0"/>
              <w:bottom w:val="single" w:color="auto" w:sz="4" w:space="0"/>
              <w:right w:val="single" w:color="auto" w:sz="4" w:space="0"/>
            </w:tcBorders>
            <w:vAlign w:val="center"/>
          </w:tcPr>
          <w:p w14:paraId="0DD02D5A">
            <w:pPr>
              <w:rPr>
                <w:rFonts w:hint="eastAsia" w:ascii="宋体" w:hAnsi="宋体" w:eastAsia="宋体"/>
                <w:color w:val="auto"/>
                <w:szCs w:val="21"/>
                <w:highlight w:val="none"/>
                <w:lang w:eastAsia="zh-CN"/>
              </w:rPr>
            </w:pPr>
            <w:r>
              <w:rPr>
                <w:rFonts w:ascii="宋体" w:hAnsi="宋体"/>
                <w:color w:val="auto"/>
                <w:szCs w:val="21"/>
                <w:highlight w:val="none"/>
              </w:rPr>
              <w:t>2</w:t>
            </w:r>
            <w:r>
              <w:rPr>
                <w:rFonts w:hint="eastAsia" w:ascii="宋体" w:hAnsi="宋体"/>
                <w:color w:val="auto"/>
                <w:szCs w:val="21"/>
                <w:highlight w:val="none"/>
                <w:lang w:val="en-US" w:eastAsia="zh-CN"/>
              </w:rPr>
              <w:t>4</w:t>
            </w:r>
          </w:p>
        </w:tc>
        <w:tc>
          <w:tcPr>
            <w:tcW w:w="981" w:type="dxa"/>
            <w:tcBorders>
              <w:top w:val="single" w:color="auto" w:sz="4" w:space="0"/>
              <w:left w:val="single" w:color="auto" w:sz="4" w:space="0"/>
              <w:bottom w:val="single" w:color="auto" w:sz="4" w:space="0"/>
              <w:right w:val="single" w:color="auto" w:sz="4" w:space="0"/>
            </w:tcBorders>
            <w:vAlign w:val="center"/>
          </w:tcPr>
          <w:p w14:paraId="5B70F4BD">
            <w:pPr>
              <w:rPr>
                <w:rFonts w:ascii="宋体" w:hAnsi="宋体"/>
                <w:color w:val="auto"/>
                <w:szCs w:val="21"/>
                <w:highlight w:val="none"/>
              </w:rPr>
            </w:pPr>
          </w:p>
        </w:tc>
        <w:tc>
          <w:tcPr>
            <w:tcW w:w="1733" w:type="dxa"/>
            <w:tcBorders>
              <w:top w:val="single" w:color="auto" w:sz="4" w:space="0"/>
              <w:left w:val="single" w:color="auto" w:sz="4" w:space="0"/>
              <w:bottom w:val="single" w:color="auto" w:sz="4" w:space="0"/>
              <w:right w:val="single" w:color="auto" w:sz="4" w:space="0"/>
            </w:tcBorders>
            <w:vAlign w:val="center"/>
          </w:tcPr>
          <w:p w14:paraId="1D285D9D">
            <w:pPr>
              <w:rPr>
                <w:rFonts w:ascii="宋体" w:hAnsi="宋体"/>
                <w:color w:val="auto"/>
                <w:szCs w:val="21"/>
                <w:highlight w:val="none"/>
              </w:rPr>
            </w:pPr>
            <w:r>
              <w:rPr>
                <w:rFonts w:hint="eastAsia" w:ascii="宋体" w:hAnsi="宋体"/>
                <w:color w:val="auto"/>
                <w:szCs w:val="21"/>
                <w:highlight w:val="none"/>
              </w:rPr>
              <w:t>非竞争费用</w:t>
            </w:r>
          </w:p>
        </w:tc>
        <w:tc>
          <w:tcPr>
            <w:tcW w:w="5934" w:type="dxa"/>
            <w:tcBorders>
              <w:top w:val="single" w:color="auto" w:sz="4" w:space="0"/>
              <w:left w:val="single" w:color="auto" w:sz="4" w:space="0"/>
              <w:bottom w:val="single" w:color="auto" w:sz="4" w:space="0"/>
              <w:right w:val="double" w:color="auto" w:sz="4" w:space="0"/>
            </w:tcBorders>
            <w:vAlign w:val="center"/>
          </w:tcPr>
          <w:p w14:paraId="5F2B1368">
            <w:pPr>
              <w:rPr>
                <w:rFonts w:ascii="宋体" w:hAnsi="宋体"/>
                <w:color w:val="auto"/>
                <w:szCs w:val="21"/>
                <w:highlight w:val="none"/>
              </w:rPr>
            </w:pPr>
            <w:r>
              <w:rPr>
                <w:rFonts w:hint="eastAsia" w:ascii="宋体" w:hAnsi="宋体"/>
                <w:color w:val="auto"/>
                <w:szCs w:val="21"/>
                <w:highlight w:val="none"/>
              </w:rPr>
              <w:t>本项目绿色施工安全防护措施费为</w:t>
            </w:r>
            <w:r>
              <w:rPr>
                <w:rFonts w:hint="eastAsia" w:ascii="宋体" w:hAnsi="宋体" w:eastAsia="宋体" w:cs="宋体"/>
                <w:b w:val="0"/>
                <w:bCs w:val="0"/>
                <w:color w:val="auto"/>
                <w:sz w:val="21"/>
                <w:szCs w:val="21"/>
                <w:highlight w:val="none"/>
                <w:u w:val="single"/>
                <w:vertAlign w:val="baseline"/>
                <w:lang w:bidi="ar"/>
              </w:rPr>
              <w:t>4466930.58</w:t>
            </w:r>
            <w:r>
              <w:rPr>
                <w:rFonts w:hint="eastAsia" w:ascii="宋体" w:hAnsi="宋体"/>
                <w:color w:val="auto"/>
                <w:szCs w:val="21"/>
                <w:highlight w:val="none"/>
              </w:rPr>
              <w:t>元，暂列金额为</w:t>
            </w:r>
            <w:r>
              <w:rPr>
                <w:rFonts w:hint="eastAsia" w:ascii="宋体" w:hAnsi="宋体"/>
                <w:color w:val="auto"/>
                <w:szCs w:val="21"/>
                <w:highlight w:val="none"/>
                <w:u w:val="single"/>
                <w:lang w:val="en-US" w:eastAsia="zh-CN"/>
              </w:rPr>
              <w:t>0</w:t>
            </w:r>
            <w:r>
              <w:rPr>
                <w:rFonts w:hint="eastAsia" w:ascii="宋体" w:hAnsi="宋体"/>
                <w:color w:val="auto"/>
                <w:szCs w:val="21"/>
                <w:highlight w:val="none"/>
              </w:rPr>
              <w:t>元，暂估价为</w:t>
            </w:r>
            <w:r>
              <w:rPr>
                <w:rFonts w:hint="eastAsia" w:ascii="宋体" w:hAnsi="宋体"/>
                <w:color w:val="auto"/>
                <w:szCs w:val="21"/>
                <w:highlight w:val="none"/>
                <w:u w:val="single"/>
                <w:lang w:val="en-US" w:eastAsia="zh-CN"/>
              </w:rPr>
              <w:t>0</w:t>
            </w:r>
            <w:r>
              <w:rPr>
                <w:rFonts w:hint="eastAsia" w:ascii="宋体" w:hAnsi="宋体"/>
                <w:color w:val="auto"/>
                <w:szCs w:val="21"/>
                <w:highlight w:val="none"/>
              </w:rPr>
              <w:t>元。（未按招标文件规定的金额填写的，由评标委员会按照招标文件规定的金额进行修正）</w:t>
            </w:r>
          </w:p>
        </w:tc>
      </w:tr>
      <w:tr w14:paraId="5088474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689" w:hRule="atLeast"/>
        </w:trPr>
        <w:tc>
          <w:tcPr>
            <w:tcW w:w="702" w:type="dxa"/>
            <w:tcBorders>
              <w:top w:val="single" w:color="auto" w:sz="4" w:space="0"/>
              <w:left w:val="double" w:color="auto" w:sz="4" w:space="0"/>
              <w:bottom w:val="single" w:color="auto" w:sz="4" w:space="0"/>
              <w:right w:val="single" w:color="auto" w:sz="4" w:space="0"/>
            </w:tcBorders>
            <w:vAlign w:val="center"/>
          </w:tcPr>
          <w:p w14:paraId="5893EB73">
            <w:pPr>
              <w:rPr>
                <w:rFonts w:hint="eastAsia" w:ascii="宋体" w:hAnsi="宋体" w:eastAsia="宋体"/>
                <w:color w:val="auto"/>
                <w:szCs w:val="21"/>
                <w:highlight w:val="none"/>
                <w:lang w:eastAsia="zh-CN"/>
              </w:rPr>
            </w:pPr>
            <w:r>
              <w:rPr>
                <w:rFonts w:hint="eastAsia" w:ascii="宋体" w:hAnsi="宋体"/>
                <w:color w:val="auto"/>
                <w:szCs w:val="21"/>
                <w:highlight w:val="none"/>
              </w:rPr>
              <w:t>2</w:t>
            </w:r>
            <w:r>
              <w:rPr>
                <w:rFonts w:hint="eastAsia" w:ascii="宋体" w:hAnsi="宋体"/>
                <w:color w:val="auto"/>
                <w:szCs w:val="21"/>
                <w:highlight w:val="none"/>
                <w:lang w:val="en-US" w:eastAsia="zh-CN"/>
              </w:rPr>
              <w:t>5</w:t>
            </w:r>
          </w:p>
        </w:tc>
        <w:tc>
          <w:tcPr>
            <w:tcW w:w="981" w:type="dxa"/>
            <w:tcBorders>
              <w:top w:val="single" w:color="auto" w:sz="4" w:space="0"/>
              <w:left w:val="single" w:color="auto" w:sz="4" w:space="0"/>
              <w:bottom w:val="single" w:color="auto" w:sz="4" w:space="0"/>
              <w:right w:val="single" w:color="auto" w:sz="4" w:space="0"/>
            </w:tcBorders>
            <w:vAlign w:val="center"/>
          </w:tcPr>
          <w:p w14:paraId="76E2658C">
            <w:pPr>
              <w:rPr>
                <w:rFonts w:ascii="宋体" w:hAnsi="宋体"/>
                <w:color w:val="auto"/>
                <w:szCs w:val="21"/>
                <w:highlight w:val="none"/>
              </w:rPr>
            </w:pPr>
          </w:p>
        </w:tc>
        <w:tc>
          <w:tcPr>
            <w:tcW w:w="1733" w:type="dxa"/>
            <w:tcBorders>
              <w:top w:val="single" w:color="auto" w:sz="4" w:space="0"/>
              <w:left w:val="single" w:color="auto" w:sz="4" w:space="0"/>
              <w:bottom w:val="single" w:color="auto" w:sz="4" w:space="0"/>
              <w:right w:val="single" w:color="auto" w:sz="4" w:space="0"/>
            </w:tcBorders>
            <w:vAlign w:val="center"/>
          </w:tcPr>
          <w:p w14:paraId="279ACA4F">
            <w:pPr>
              <w:pStyle w:val="4"/>
              <w:ind w:firstLine="0"/>
              <w:rPr>
                <w:rFonts w:ascii="宋体" w:hAnsi="宋体"/>
                <w:color w:val="auto"/>
                <w:szCs w:val="21"/>
                <w:highlight w:val="none"/>
              </w:rPr>
            </w:pPr>
            <w:r>
              <w:rPr>
                <w:rFonts w:hint="eastAsia" w:ascii="宋体" w:hAnsi="宋体"/>
                <w:color w:val="auto"/>
                <w:szCs w:val="21"/>
                <w:highlight w:val="none"/>
              </w:rPr>
              <w:t>保修期</w:t>
            </w:r>
          </w:p>
        </w:tc>
        <w:tc>
          <w:tcPr>
            <w:tcW w:w="5934" w:type="dxa"/>
            <w:tcBorders>
              <w:top w:val="single" w:color="auto" w:sz="4" w:space="0"/>
              <w:left w:val="single" w:color="auto" w:sz="4" w:space="0"/>
              <w:bottom w:val="single" w:color="auto" w:sz="4" w:space="0"/>
              <w:right w:val="double" w:color="auto" w:sz="4" w:space="0"/>
            </w:tcBorders>
            <w:vAlign w:val="center"/>
          </w:tcPr>
          <w:p w14:paraId="21F953C1">
            <w:pPr>
              <w:rPr>
                <w:rFonts w:ascii="宋体" w:hAnsi="宋体"/>
                <w:color w:val="auto"/>
                <w:szCs w:val="21"/>
                <w:highlight w:val="none"/>
              </w:rPr>
            </w:pPr>
            <w:r>
              <w:rPr>
                <w:rFonts w:hint="eastAsia" w:ascii="宋体" w:hAnsi="宋体"/>
                <w:color w:val="auto"/>
                <w:szCs w:val="21"/>
                <w:highlight w:val="none"/>
              </w:rPr>
              <w:t>按照《建设工程质量管理条例》和《工程质量保修书》规定。</w:t>
            </w:r>
          </w:p>
        </w:tc>
      </w:tr>
      <w:tr w14:paraId="2738003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7A5B01A8">
            <w:pPr>
              <w:rPr>
                <w:rFonts w:hint="eastAsia" w:ascii="宋体" w:hAnsi="宋体" w:eastAsia="宋体"/>
                <w:color w:val="auto"/>
                <w:szCs w:val="21"/>
                <w:highlight w:val="none"/>
                <w:lang w:eastAsia="zh-CN"/>
              </w:rPr>
            </w:pPr>
            <w:r>
              <w:rPr>
                <w:rFonts w:ascii="宋体" w:hAnsi="宋体"/>
                <w:color w:val="auto"/>
                <w:szCs w:val="21"/>
                <w:highlight w:val="none"/>
              </w:rPr>
              <w:t>2</w:t>
            </w:r>
            <w:r>
              <w:rPr>
                <w:rFonts w:hint="eastAsia" w:ascii="宋体" w:hAnsi="宋体"/>
                <w:color w:val="auto"/>
                <w:szCs w:val="21"/>
                <w:highlight w:val="none"/>
                <w:lang w:val="en-US" w:eastAsia="zh-CN"/>
              </w:rPr>
              <w:t>6</w:t>
            </w:r>
          </w:p>
        </w:tc>
        <w:tc>
          <w:tcPr>
            <w:tcW w:w="981" w:type="dxa"/>
            <w:tcBorders>
              <w:top w:val="single" w:color="auto" w:sz="4" w:space="0"/>
              <w:left w:val="single" w:color="auto" w:sz="4" w:space="0"/>
              <w:bottom w:val="single" w:color="auto" w:sz="4" w:space="0"/>
              <w:right w:val="single" w:color="auto" w:sz="4" w:space="0"/>
            </w:tcBorders>
            <w:vAlign w:val="center"/>
          </w:tcPr>
          <w:p w14:paraId="5DB215FF">
            <w:pPr>
              <w:rPr>
                <w:rFonts w:ascii="宋体" w:hAnsi="宋体"/>
                <w:color w:val="auto"/>
                <w:szCs w:val="21"/>
                <w:highlight w:val="none"/>
              </w:rPr>
            </w:pPr>
          </w:p>
        </w:tc>
        <w:tc>
          <w:tcPr>
            <w:tcW w:w="1733" w:type="dxa"/>
            <w:tcBorders>
              <w:top w:val="single" w:color="auto" w:sz="4" w:space="0"/>
              <w:left w:val="single" w:color="auto" w:sz="4" w:space="0"/>
              <w:bottom w:val="single" w:color="auto" w:sz="4" w:space="0"/>
              <w:right w:val="single" w:color="auto" w:sz="4" w:space="0"/>
            </w:tcBorders>
            <w:vAlign w:val="center"/>
          </w:tcPr>
          <w:p w14:paraId="0B17931A">
            <w:pPr>
              <w:rPr>
                <w:rFonts w:ascii="宋体" w:hAnsi="宋体"/>
                <w:color w:val="auto"/>
                <w:szCs w:val="21"/>
                <w:highlight w:val="none"/>
              </w:rPr>
            </w:pPr>
            <w:r>
              <w:rPr>
                <w:rFonts w:hint="eastAsia" w:ascii="宋体" w:hAnsi="宋体"/>
                <w:color w:val="auto"/>
                <w:szCs w:val="21"/>
                <w:highlight w:val="none"/>
              </w:rPr>
              <w:t>计算评标参考价的等分点值</w:t>
            </w:r>
          </w:p>
        </w:tc>
        <w:tc>
          <w:tcPr>
            <w:tcW w:w="5934" w:type="dxa"/>
            <w:tcBorders>
              <w:top w:val="single" w:color="auto" w:sz="4" w:space="0"/>
              <w:left w:val="single" w:color="auto" w:sz="4" w:space="0"/>
              <w:bottom w:val="single" w:color="auto" w:sz="4" w:space="0"/>
              <w:right w:val="double" w:color="auto" w:sz="4" w:space="0"/>
            </w:tcBorders>
            <w:vAlign w:val="center"/>
          </w:tcPr>
          <w:p w14:paraId="087059F3">
            <w:pPr>
              <w:rPr>
                <w:rFonts w:ascii="宋体" w:hAnsi="宋体"/>
                <w:color w:val="auto"/>
                <w:szCs w:val="21"/>
                <w:highlight w:val="none"/>
              </w:rPr>
            </w:pPr>
            <w:r>
              <w:rPr>
                <w:rFonts w:hint="eastAsia" w:ascii="宋体" w:hAnsi="宋体"/>
                <w:color w:val="auto"/>
                <w:szCs w:val="21"/>
                <w:highlight w:val="none"/>
              </w:rPr>
              <w:t>计算评标参考价的等分点值</w:t>
            </w:r>
            <w:r>
              <w:rPr>
                <w:rFonts w:ascii="宋体" w:hAnsi="宋体"/>
                <w:color w:val="auto"/>
                <w:szCs w:val="21"/>
                <w:highlight w:val="none"/>
              </w:rPr>
              <w:t>X</w:t>
            </w:r>
            <w:r>
              <w:rPr>
                <w:rFonts w:hint="eastAsia" w:ascii="宋体" w:hAnsi="宋体"/>
                <w:color w:val="auto"/>
                <w:szCs w:val="21"/>
                <w:highlight w:val="none"/>
              </w:rPr>
              <w:t>在开标</w:t>
            </w:r>
            <w:r>
              <w:rPr>
                <w:rFonts w:hint="eastAsia" w:ascii="宋体" w:hAnsi="宋体"/>
                <w:color w:val="auto"/>
                <w:szCs w:val="21"/>
                <w:highlight w:val="none"/>
                <w:lang w:eastAsia="zh-CN"/>
              </w:rPr>
              <w:t>时</w:t>
            </w:r>
            <w:r>
              <w:rPr>
                <w:rFonts w:hint="eastAsia" w:ascii="宋体" w:hAnsi="宋体"/>
                <w:color w:val="auto"/>
                <w:szCs w:val="21"/>
                <w:highlight w:val="none"/>
              </w:rPr>
              <w:t>从[0,100]</w:t>
            </w:r>
            <w:r>
              <w:rPr>
                <w:rFonts w:hint="eastAsia" w:ascii="宋体" w:hAnsi="宋体"/>
                <w:color w:val="auto"/>
                <w:highlight w:val="none"/>
              </w:rPr>
              <w:t xml:space="preserve"> </w:t>
            </w:r>
            <w:r>
              <w:rPr>
                <w:rFonts w:hint="eastAsia" w:ascii="宋体" w:hAnsi="宋体"/>
                <w:color w:val="auto"/>
                <w:szCs w:val="21"/>
                <w:highlight w:val="none"/>
              </w:rPr>
              <w:t>的整数中随机抽取。</w:t>
            </w:r>
          </w:p>
        </w:tc>
      </w:tr>
      <w:tr w14:paraId="6318569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00F73E00">
            <w:pPr>
              <w:rPr>
                <w:rFonts w:hint="eastAsia" w:ascii="宋体" w:hAnsi="宋体" w:eastAsia="宋体"/>
                <w:color w:val="auto"/>
                <w:szCs w:val="21"/>
                <w:highlight w:val="none"/>
                <w:lang w:eastAsia="zh-CN"/>
              </w:rPr>
            </w:pPr>
            <w:r>
              <w:rPr>
                <w:rFonts w:hint="eastAsia" w:ascii="宋体" w:hAnsi="宋体"/>
                <w:color w:val="auto"/>
                <w:szCs w:val="21"/>
                <w:highlight w:val="none"/>
              </w:rPr>
              <w:t>2</w:t>
            </w:r>
            <w:r>
              <w:rPr>
                <w:rFonts w:hint="eastAsia" w:ascii="宋体" w:hAnsi="宋体"/>
                <w:color w:val="auto"/>
                <w:szCs w:val="21"/>
                <w:highlight w:val="none"/>
                <w:lang w:val="en-US" w:eastAsia="zh-CN"/>
              </w:rPr>
              <w:t>7</w:t>
            </w:r>
          </w:p>
        </w:tc>
        <w:tc>
          <w:tcPr>
            <w:tcW w:w="981" w:type="dxa"/>
            <w:tcBorders>
              <w:top w:val="single" w:color="auto" w:sz="4" w:space="0"/>
              <w:left w:val="single" w:color="auto" w:sz="4" w:space="0"/>
              <w:bottom w:val="single" w:color="auto" w:sz="4" w:space="0"/>
              <w:right w:val="single" w:color="auto" w:sz="4" w:space="0"/>
            </w:tcBorders>
            <w:vAlign w:val="center"/>
          </w:tcPr>
          <w:p w14:paraId="39BA603A">
            <w:pPr>
              <w:rPr>
                <w:rFonts w:ascii="宋体" w:hAnsi="宋体"/>
                <w:color w:val="auto"/>
                <w:szCs w:val="21"/>
                <w:highlight w:val="none"/>
              </w:rPr>
            </w:pPr>
          </w:p>
        </w:tc>
        <w:tc>
          <w:tcPr>
            <w:tcW w:w="1733" w:type="dxa"/>
            <w:tcBorders>
              <w:top w:val="single" w:color="auto" w:sz="4" w:space="0"/>
              <w:left w:val="single" w:color="auto" w:sz="4" w:space="0"/>
              <w:bottom w:val="single" w:color="auto" w:sz="4" w:space="0"/>
              <w:right w:val="single" w:color="auto" w:sz="4" w:space="0"/>
            </w:tcBorders>
            <w:vAlign w:val="center"/>
          </w:tcPr>
          <w:p w14:paraId="78B65DA5">
            <w:pPr>
              <w:rPr>
                <w:rFonts w:ascii="宋体" w:hAnsi="宋体"/>
                <w:color w:val="auto"/>
                <w:szCs w:val="21"/>
                <w:highlight w:val="none"/>
              </w:rPr>
            </w:pPr>
            <w:r>
              <w:rPr>
                <w:rFonts w:hint="eastAsia" w:ascii="宋体" w:hAnsi="宋体"/>
                <w:color w:val="auto"/>
                <w:szCs w:val="21"/>
                <w:highlight w:val="none"/>
              </w:rPr>
              <w:t>工程成本警</w:t>
            </w:r>
            <w:r>
              <w:rPr>
                <w:rFonts w:hint="eastAsia" w:ascii="宋体" w:hAnsi="宋体"/>
                <w:color w:val="auto"/>
                <w:szCs w:val="21"/>
                <w:highlight w:val="none"/>
                <w:lang w:val="en-US" w:eastAsia="zh-CN"/>
              </w:rPr>
              <w:t>示</w:t>
            </w:r>
            <w:r>
              <w:rPr>
                <w:rFonts w:hint="eastAsia" w:ascii="宋体" w:hAnsi="宋体"/>
                <w:color w:val="auto"/>
                <w:szCs w:val="21"/>
                <w:highlight w:val="none"/>
              </w:rPr>
              <w:t>价</w:t>
            </w:r>
          </w:p>
        </w:tc>
        <w:tc>
          <w:tcPr>
            <w:tcW w:w="5934" w:type="dxa"/>
            <w:tcBorders>
              <w:top w:val="single" w:color="auto" w:sz="4" w:space="0"/>
              <w:left w:val="single" w:color="auto" w:sz="4" w:space="0"/>
              <w:bottom w:val="single" w:color="auto" w:sz="4" w:space="0"/>
              <w:right w:val="double" w:color="auto" w:sz="4" w:space="0"/>
            </w:tcBorders>
            <w:vAlign w:val="center"/>
          </w:tcPr>
          <w:p w14:paraId="4CC41EB4">
            <w:pPr>
              <w:ind w:firstLine="420" w:firstLineChars="200"/>
              <w:rPr>
                <w:rFonts w:hint="eastAsia" w:ascii="宋体" w:hAnsi="宋体"/>
                <w:color w:val="auto"/>
                <w:szCs w:val="21"/>
                <w:highlight w:val="none"/>
              </w:rPr>
            </w:pPr>
            <w:r>
              <w:rPr>
                <w:rFonts w:hint="eastAsia" w:ascii="宋体" w:hAnsi="宋体" w:cs="宋体"/>
                <w:color w:val="auto"/>
                <w:szCs w:val="21"/>
                <w:highlight w:val="none"/>
              </w:rPr>
              <w:t>工程成本警戒价为¥</w:t>
            </w:r>
            <w:r>
              <w:rPr>
                <w:rFonts w:hint="eastAsia" w:ascii="宋体" w:hAnsi="宋体" w:cs="宋体"/>
                <w:color w:val="auto"/>
                <w:szCs w:val="21"/>
                <w:highlight w:val="none"/>
                <w:u w:val="single"/>
                <w:lang w:val="en-US" w:eastAsia="zh-CN"/>
              </w:rPr>
              <w:t>61887457.81</w:t>
            </w:r>
            <w:r>
              <w:rPr>
                <w:rFonts w:hint="eastAsia" w:ascii="宋体" w:hAnsi="宋体"/>
                <w:color w:val="auto"/>
                <w:sz w:val="21"/>
                <w:szCs w:val="21"/>
                <w:highlight w:val="none"/>
                <w:u w:val="single"/>
              </w:rPr>
              <w:t>元</w:t>
            </w:r>
            <w:r>
              <w:rPr>
                <w:rFonts w:hint="eastAsia" w:ascii="宋体" w:hAnsi="宋体" w:cs="宋体"/>
                <w:color w:val="auto"/>
                <w:szCs w:val="21"/>
                <w:highlight w:val="none"/>
              </w:rPr>
              <w:t>（最高投标限价的85%）</w:t>
            </w:r>
            <w:r>
              <w:rPr>
                <w:rFonts w:hint="eastAsia" w:ascii="宋体" w:hAnsi="宋体"/>
                <w:color w:val="auto"/>
                <w:szCs w:val="21"/>
                <w:highlight w:val="none"/>
              </w:rPr>
              <w:t>。对低于该警</w:t>
            </w:r>
            <w:r>
              <w:rPr>
                <w:rFonts w:hint="eastAsia" w:ascii="宋体" w:hAnsi="宋体"/>
                <w:color w:val="auto"/>
                <w:szCs w:val="21"/>
                <w:highlight w:val="none"/>
                <w:lang w:val="en-US" w:eastAsia="zh-CN"/>
              </w:rPr>
              <w:t>示</w:t>
            </w:r>
            <w:r>
              <w:rPr>
                <w:rFonts w:hint="eastAsia" w:ascii="宋体" w:hAnsi="宋体"/>
                <w:color w:val="auto"/>
                <w:szCs w:val="21"/>
                <w:highlight w:val="none"/>
              </w:rPr>
              <w:t>价的投标报价，投标人必须提供详细的施工组织设计、单价、措施性费用、单价分析表、主要材料价格表、投标人成本分析供评标委员会评审，由评标委员会判定其是否低于企业自身成本。在评标过程中，评标委员会发现投标人的报价明显低于其他投标报价或者低于成本警</w:t>
            </w:r>
            <w:r>
              <w:rPr>
                <w:rFonts w:hint="eastAsia" w:ascii="宋体" w:hAnsi="宋体"/>
                <w:color w:val="auto"/>
                <w:szCs w:val="21"/>
                <w:highlight w:val="none"/>
                <w:lang w:val="en-US" w:eastAsia="zh-CN"/>
              </w:rPr>
              <w:t>示</w:t>
            </w:r>
            <w:r>
              <w:rPr>
                <w:rFonts w:hint="eastAsia" w:ascii="宋体" w:hAnsi="宋体"/>
                <w:color w:val="auto"/>
                <w:szCs w:val="21"/>
                <w:highlight w:val="none"/>
              </w:rPr>
              <w:t>价，使得其投标报价可能低于其个别成本的，应当要求该投标人作出书面说明并提供相关证明材料。投标人不能合理说明或者不能提供相关证明材料的，由评标委员会认定该投标人以低于成本报价竞标，应当否决其投标。</w:t>
            </w:r>
          </w:p>
          <w:p w14:paraId="518CC557">
            <w:pPr>
              <w:rPr>
                <w:rFonts w:ascii="宋体" w:hAnsi="宋体"/>
                <w:color w:val="auto"/>
                <w:szCs w:val="21"/>
                <w:highlight w:val="none"/>
                <w:u w:val="single"/>
              </w:rPr>
            </w:pPr>
            <w:r>
              <w:rPr>
                <w:rFonts w:hint="eastAsia" w:ascii="宋体" w:hAnsi="宋体" w:eastAsia="宋体" w:cs="Times New Roman"/>
                <w:color w:val="auto"/>
                <w:szCs w:val="21"/>
                <w:highlight w:val="none"/>
              </w:rPr>
              <w:t>注：为充分体现招标人意愿及落实项目招标人负责制，警</w:t>
            </w:r>
            <w:r>
              <w:rPr>
                <w:rFonts w:hint="eastAsia" w:ascii="宋体" w:hAnsi="宋体" w:eastAsia="宋体" w:cs="Times New Roman"/>
                <w:color w:val="auto"/>
                <w:szCs w:val="21"/>
                <w:highlight w:val="none"/>
                <w:lang w:val="en-US" w:eastAsia="zh-CN"/>
              </w:rPr>
              <w:t>示</w:t>
            </w:r>
            <w:r>
              <w:rPr>
                <w:rFonts w:hint="eastAsia" w:ascii="宋体" w:hAnsi="宋体" w:eastAsia="宋体" w:cs="Times New Roman"/>
                <w:color w:val="auto"/>
                <w:szCs w:val="21"/>
                <w:highlight w:val="none"/>
              </w:rPr>
              <w:t>价由招标人</w:t>
            </w:r>
            <w:r>
              <w:rPr>
                <w:rFonts w:hint="eastAsia" w:ascii="宋体" w:hAnsi="宋体" w:eastAsia="宋体" w:cs="Times New Roman"/>
                <w:color w:val="auto"/>
                <w:szCs w:val="21"/>
                <w:highlight w:val="none"/>
                <w:lang w:eastAsia="zh-CN"/>
              </w:rPr>
              <w:t>确</w:t>
            </w:r>
            <w:r>
              <w:rPr>
                <w:rFonts w:hint="eastAsia" w:ascii="宋体" w:hAnsi="宋体" w:eastAsia="宋体" w:cs="Times New Roman"/>
                <w:color w:val="auto"/>
                <w:szCs w:val="21"/>
                <w:highlight w:val="none"/>
              </w:rPr>
              <w:t>定</w:t>
            </w:r>
            <w:r>
              <w:rPr>
                <w:rFonts w:hint="eastAsia" w:ascii="宋体" w:hAnsi="宋体" w:eastAsia="宋体" w:cs="Times New Roman"/>
                <w:color w:val="auto"/>
                <w:szCs w:val="21"/>
                <w:highlight w:val="none"/>
                <w:lang w:eastAsia="zh-CN"/>
              </w:rPr>
              <w:t>，并随招标文件一并公布</w:t>
            </w:r>
            <w:r>
              <w:rPr>
                <w:rFonts w:hint="eastAsia" w:ascii="宋体" w:hAnsi="宋体" w:eastAsia="宋体" w:cs="Times New Roman"/>
                <w:color w:val="auto"/>
                <w:szCs w:val="21"/>
                <w:highlight w:val="none"/>
              </w:rPr>
              <w:t>。对于合并招标项目，应按项目分别设置成本警示价。</w:t>
            </w:r>
          </w:p>
        </w:tc>
      </w:tr>
      <w:tr w14:paraId="07FC5BD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vMerge w:val="restart"/>
            <w:tcBorders>
              <w:top w:val="single" w:color="auto" w:sz="4" w:space="0"/>
              <w:left w:val="double" w:color="auto" w:sz="4" w:space="0"/>
              <w:right w:val="single" w:color="auto" w:sz="4" w:space="0"/>
            </w:tcBorders>
            <w:vAlign w:val="center"/>
          </w:tcPr>
          <w:p w14:paraId="366E48C0">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28</w:t>
            </w:r>
          </w:p>
        </w:tc>
        <w:tc>
          <w:tcPr>
            <w:tcW w:w="981" w:type="dxa"/>
            <w:tcBorders>
              <w:top w:val="single" w:color="auto" w:sz="4" w:space="0"/>
              <w:left w:val="single" w:color="auto" w:sz="4" w:space="0"/>
              <w:bottom w:val="single" w:color="auto" w:sz="4" w:space="0"/>
              <w:right w:val="single" w:color="auto" w:sz="4" w:space="0"/>
            </w:tcBorders>
            <w:vAlign w:val="center"/>
          </w:tcPr>
          <w:p w14:paraId="700350AB">
            <w:pPr>
              <w:rPr>
                <w:rFonts w:ascii="宋体" w:hAnsi="宋体"/>
                <w:color w:val="auto"/>
                <w:szCs w:val="21"/>
                <w:highlight w:val="none"/>
              </w:rPr>
            </w:pPr>
          </w:p>
        </w:tc>
        <w:tc>
          <w:tcPr>
            <w:tcW w:w="1733" w:type="dxa"/>
            <w:tcBorders>
              <w:top w:val="single" w:color="auto" w:sz="4" w:space="0"/>
              <w:left w:val="single" w:color="auto" w:sz="4" w:space="0"/>
              <w:bottom w:val="single" w:color="auto" w:sz="4" w:space="0"/>
              <w:right w:val="single" w:color="auto" w:sz="4" w:space="0"/>
            </w:tcBorders>
            <w:vAlign w:val="center"/>
          </w:tcPr>
          <w:p w14:paraId="23E660BA">
            <w:pPr>
              <w:rPr>
                <w:rFonts w:ascii="宋体" w:hAnsi="宋体"/>
                <w:color w:val="auto"/>
                <w:szCs w:val="21"/>
                <w:highlight w:val="none"/>
              </w:rPr>
            </w:pPr>
            <w:r>
              <w:rPr>
                <w:rFonts w:hint="eastAsia" w:ascii="宋体" w:hAnsi="宋体"/>
                <w:color w:val="auto"/>
                <w:szCs w:val="21"/>
                <w:highlight w:val="none"/>
              </w:rPr>
              <w:t>评标委员会人数</w:t>
            </w:r>
          </w:p>
        </w:tc>
        <w:tc>
          <w:tcPr>
            <w:tcW w:w="5934" w:type="dxa"/>
            <w:tcBorders>
              <w:top w:val="single" w:color="auto" w:sz="4" w:space="0"/>
              <w:left w:val="single" w:color="auto" w:sz="4" w:space="0"/>
              <w:bottom w:val="single" w:color="auto" w:sz="4" w:space="0"/>
              <w:right w:val="double" w:color="auto" w:sz="4" w:space="0"/>
            </w:tcBorders>
            <w:vAlign w:val="center"/>
          </w:tcPr>
          <w:p w14:paraId="40B72009">
            <w:pPr>
              <w:rPr>
                <w:rFonts w:ascii="宋体" w:hAnsi="宋体"/>
                <w:color w:val="auto"/>
                <w:szCs w:val="21"/>
                <w:highlight w:val="none"/>
              </w:rPr>
            </w:pPr>
            <w:r>
              <w:rPr>
                <w:rFonts w:hint="eastAsia" w:ascii="宋体" w:hAnsi="宋体"/>
                <w:color w:val="auto"/>
                <w:szCs w:val="21"/>
                <w:highlight w:val="none"/>
              </w:rPr>
              <w:t>评标委员会由招标人依法组建。</w:t>
            </w:r>
          </w:p>
        </w:tc>
      </w:tr>
      <w:tr w14:paraId="0321CF0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vMerge w:val="continue"/>
            <w:tcBorders>
              <w:left w:val="double" w:color="auto" w:sz="4" w:space="0"/>
              <w:bottom w:val="single" w:color="auto" w:sz="4" w:space="0"/>
              <w:right w:val="single" w:color="auto" w:sz="4" w:space="0"/>
            </w:tcBorders>
            <w:vAlign w:val="center"/>
          </w:tcPr>
          <w:p w14:paraId="4DD8B134">
            <w:pPr>
              <w:rPr>
                <w:rFonts w:hint="eastAsia" w:ascii="宋体" w:hAnsi="宋体"/>
                <w:color w:val="auto"/>
                <w:szCs w:val="21"/>
                <w:highlight w:val="none"/>
                <w:lang w:val="en-US" w:eastAsia="zh-CN"/>
              </w:rPr>
            </w:pPr>
          </w:p>
        </w:tc>
        <w:tc>
          <w:tcPr>
            <w:tcW w:w="981" w:type="dxa"/>
            <w:tcBorders>
              <w:top w:val="single" w:color="auto" w:sz="4" w:space="0"/>
              <w:left w:val="single" w:color="auto" w:sz="4" w:space="0"/>
              <w:bottom w:val="single" w:color="auto" w:sz="4" w:space="0"/>
              <w:right w:val="single" w:color="auto" w:sz="4" w:space="0"/>
            </w:tcBorders>
            <w:vAlign w:val="center"/>
          </w:tcPr>
          <w:p w14:paraId="01944CD8">
            <w:pPr>
              <w:rPr>
                <w:rFonts w:ascii="宋体" w:hAnsi="宋体"/>
                <w:color w:val="auto"/>
                <w:szCs w:val="21"/>
                <w:highlight w:val="none"/>
              </w:rPr>
            </w:pPr>
          </w:p>
        </w:tc>
        <w:tc>
          <w:tcPr>
            <w:tcW w:w="1733" w:type="dxa"/>
            <w:tcBorders>
              <w:top w:val="single" w:color="auto" w:sz="4" w:space="0"/>
              <w:left w:val="single" w:color="auto" w:sz="4" w:space="0"/>
              <w:bottom w:val="single" w:color="auto" w:sz="4" w:space="0"/>
              <w:right w:val="single" w:color="auto" w:sz="4" w:space="0"/>
            </w:tcBorders>
            <w:vAlign w:val="center"/>
          </w:tcPr>
          <w:p w14:paraId="4C020680">
            <w:pPr>
              <w:rPr>
                <w:rFonts w:hint="eastAsia" w:ascii="宋体" w:hAnsi="宋体"/>
                <w:color w:val="auto"/>
                <w:szCs w:val="21"/>
                <w:highlight w:val="none"/>
              </w:rPr>
            </w:pPr>
            <w:r>
              <w:rPr>
                <w:rFonts w:hint="eastAsia" w:ascii="宋体" w:hAnsi="宋体" w:eastAsia="宋体"/>
                <w:color w:val="auto"/>
                <w:szCs w:val="21"/>
                <w:highlight w:val="none"/>
                <w:u w:val="single"/>
              </w:rPr>
              <w:t>定标委员会</w:t>
            </w:r>
          </w:p>
        </w:tc>
        <w:tc>
          <w:tcPr>
            <w:tcW w:w="5934" w:type="dxa"/>
            <w:tcBorders>
              <w:top w:val="single" w:color="auto" w:sz="4" w:space="0"/>
              <w:left w:val="single" w:color="auto" w:sz="4" w:space="0"/>
              <w:bottom w:val="single" w:color="auto" w:sz="4" w:space="0"/>
              <w:right w:val="double" w:color="auto" w:sz="4" w:space="0"/>
            </w:tcBorders>
            <w:vAlign w:val="center"/>
          </w:tcPr>
          <w:p w14:paraId="1416BA75">
            <w:pPr>
              <w:rPr>
                <w:rFonts w:hint="eastAsia" w:ascii="宋体" w:hAnsi="宋体"/>
                <w:color w:val="auto"/>
                <w:szCs w:val="21"/>
                <w:highlight w:val="none"/>
              </w:rPr>
            </w:pPr>
            <w:r>
              <w:rPr>
                <w:rFonts w:hint="eastAsia" w:ascii="宋体" w:hAnsi="宋体" w:eastAsia="宋体"/>
                <w:color w:val="auto"/>
                <w:szCs w:val="21"/>
                <w:highlight w:val="none"/>
                <w:u w:val="single"/>
              </w:rPr>
              <w:t>定标委员会由招标人组建。</w:t>
            </w:r>
          </w:p>
        </w:tc>
      </w:tr>
      <w:tr w14:paraId="01C8478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6CF3413E">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29</w:t>
            </w:r>
          </w:p>
        </w:tc>
        <w:tc>
          <w:tcPr>
            <w:tcW w:w="981" w:type="dxa"/>
            <w:tcBorders>
              <w:top w:val="single" w:color="auto" w:sz="4" w:space="0"/>
              <w:left w:val="single" w:color="auto" w:sz="4" w:space="0"/>
              <w:bottom w:val="single" w:color="auto" w:sz="4" w:space="0"/>
              <w:right w:val="single" w:color="auto" w:sz="4" w:space="0"/>
            </w:tcBorders>
            <w:vAlign w:val="center"/>
          </w:tcPr>
          <w:p w14:paraId="3F5B68CC">
            <w:pPr>
              <w:rPr>
                <w:rFonts w:ascii="宋体" w:hAnsi="宋体"/>
                <w:color w:val="auto"/>
                <w:szCs w:val="21"/>
                <w:highlight w:val="none"/>
              </w:rPr>
            </w:pPr>
          </w:p>
        </w:tc>
        <w:tc>
          <w:tcPr>
            <w:tcW w:w="1733" w:type="dxa"/>
            <w:tcBorders>
              <w:top w:val="single" w:color="auto" w:sz="4" w:space="0"/>
              <w:left w:val="single" w:color="auto" w:sz="4" w:space="0"/>
              <w:bottom w:val="single" w:color="auto" w:sz="4" w:space="0"/>
              <w:right w:val="single" w:color="auto" w:sz="4" w:space="0"/>
            </w:tcBorders>
            <w:vAlign w:val="center"/>
          </w:tcPr>
          <w:p w14:paraId="45C82022">
            <w:pPr>
              <w:rPr>
                <w:rFonts w:hint="eastAsia" w:ascii="宋体" w:hAnsi="宋体"/>
                <w:color w:val="auto"/>
                <w:szCs w:val="21"/>
                <w:highlight w:val="none"/>
              </w:rPr>
            </w:pPr>
            <w:r>
              <w:rPr>
                <w:rFonts w:hint="eastAsia" w:ascii="宋体" w:hAnsi="宋体"/>
                <w:color w:val="auto"/>
                <w:szCs w:val="21"/>
                <w:highlight w:val="none"/>
              </w:rPr>
              <w:t>企业</w:t>
            </w:r>
            <w:r>
              <w:rPr>
                <w:rFonts w:hint="eastAsia" w:ascii="宋体" w:hAnsi="宋体"/>
                <w:color w:val="auto"/>
                <w:szCs w:val="21"/>
                <w:highlight w:val="none"/>
                <w:lang w:eastAsia="zh-CN"/>
              </w:rPr>
              <w:t>信用评价</w:t>
            </w:r>
            <w:r>
              <w:rPr>
                <w:rFonts w:hint="eastAsia" w:ascii="宋体" w:hAnsi="宋体"/>
                <w:color w:val="auto"/>
                <w:szCs w:val="21"/>
                <w:highlight w:val="none"/>
              </w:rPr>
              <w:t>分数</w:t>
            </w:r>
          </w:p>
        </w:tc>
        <w:tc>
          <w:tcPr>
            <w:tcW w:w="5934" w:type="dxa"/>
            <w:tcBorders>
              <w:top w:val="single" w:color="auto" w:sz="4" w:space="0"/>
              <w:left w:val="single" w:color="auto" w:sz="4" w:space="0"/>
              <w:bottom w:val="single" w:color="auto" w:sz="4" w:space="0"/>
              <w:right w:val="double" w:color="auto" w:sz="4" w:space="0"/>
            </w:tcBorders>
            <w:vAlign w:val="center"/>
          </w:tcPr>
          <w:p w14:paraId="7D6FACDA">
            <w:pPr>
              <w:pStyle w:val="9"/>
              <w:ind w:firstLine="0"/>
              <w:rPr>
                <w:rFonts w:hint="default" w:eastAsia="宋体"/>
                <w:color w:val="auto"/>
                <w:highlight w:val="none"/>
                <w:lang w:val="en-US" w:eastAsia="zh-CN"/>
              </w:rPr>
            </w:pPr>
            <w:r>
              <w:rPr>
                <w:rFonts w:hint="eastAsia" w:ascii="宋体" w:hAnsi="宋体"/>
                <w:color w:val="auto"/>
                <w:szCs w:val="21"/>
                <w:highlight w:val="none"/>
                <w:u w:val="single"/>
              </w:rPr>
              <w:t>本项目不设置企业综合诚信评价分数。</w:t>
            </w:r>
          </w:p>
        </w:tc>
      </w:tr>
      <w:tr w14:paraId="3496925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5381FC91">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30</w:t>
            </w:r>
          </w:p>
        </w:tc>
        <w:tc>
          <w:tcPr>
            <w:tcW w:w="981" w:type="dxa"/>
            <w:tcBorders>
              <w:top w:val="single" w:color="auto" w:sz="4" w:space="0"/>
              <w:left w:val="single" w:color="auto" w:sz="4" w:space="0"/>
              <w:bottom w:val="single" w:color="auto" w:sz="4" w:space="0"/>
              <w:right w:val="single" w:color="auto" w:sz="4" w:space="0"/>
            </w:tcBorders>
            <w:vAlign w:val="center"/>
          </w:tcPr>
          <w:p w14:paraId="504B7418">
            <w:pPr>
              <w:rPr>
                <w:rFonts w:ascii="宋体" w:hAnsi="宋体"/>
                <w:color w:val="auto"/>
                <w:szCs w:val="21"/>
                <w:highlight w:val="none"/>
              </w:rPr>
            </w:pPr>
            <w:r>
              <w:rPr>
                <w:rFonts w:ascii="宋体" w:hAnsi="宋体"/>
                <w:color w:val="auto"/>
                <w:szCs w:val="21"/>
                <w:highlight w:val="none"/>
              </w:rPr>
              <w:t>13.4</w:t>
            </w:r>
            <w:r>
              <w:rPr>
                <w:rFonts w:hint="eastAsia" w:ascii="宋体" w:hAnsi="宋体"/>
                <w:color w:val="auto"/>
                <w:szCs w:val="21"/>
                <w:highlight w:val="none"/>
              </w:rPr>
              <w:t>、</w:t>
            </w:r>
            <w:r>
              <w:rPr>
                <w:rFonts w:ascii="宋体" w:hAnsi="宋体"/>
                <w:color w:val="auto"/>
                <w:szCs w:val="21"/>
                <w:highlight w:val="none"/>
              </w:rPr>
              <w:t>13.5.2</w:t>
            </w:r>
          </w:p>
        </w:tc>
        <w:tc>
          <w:tcPr>
            <w:tcW w:w="1733" w:type="dxa"/>
            <w:tcBorders>
              <w:top w:val="single" w:color="auto" w:sz="4" w:space="0"/>
              <w:left w:val="single" w:color="auto" w:sz="4" w:space="0"/>
              <w:bottom w:val="single" w:color="auto" w:sz="4" w:space="0"/>
              <w:right w:val="single" w:color="auto" w:sz="4" w:space="0"/>
            </w:tcBorders>
            <w:vAlign w:val="center"/>
          </w:tcPr>
          <w:p w14:paraId="0CE0F8EF">
            <w:pPr>
              <w:rPr>
                <w:rFonts w:ascii="宋体" w:hAnsi="宋体"/>
                <w:color w:val="auto"/>
                <w:szCs w:val="21"/>
                <w:highlight w:val="none"/>
              </w:rPr>
            </w:pPr>
            <w:r>
              <w:rPr>
                <w:rFonts w:hint="eastAsia" w:ascii="宋体" w:hAnsi="宋体"/>
                <w:color w:val="auto"/>
                <w:szCs w:val="21"/>
                <w:highlight w:val="none"/>
              </w:rPr>
              <w:t>合同价款的调整办法</w:t>
            </w:r>
          </w:p>
        </w:tc>
        <w:tc>
          <w:tcPr>
            <w:tcW w:w="5934" w:type="dxa"/>
            <w:tcBorders>
              <w:top w:val="single" w:color="auto" w:sz="4" w:space="0"/>
              <w:left w:val="single" w:color="auto" w:sz="4" w:space="0"/>
              <w:bottom w:val="single" w:color="auto" w:sz="4" w:space="0"/>
              <w:right w:val="double" w:color="auto" w:sz="4" w:space="0"/>
            </w:tcBorders>
            <w:vAlign w:val="center"/>
          </w:tcPr>
          <w:p w14:paraId="385DFBB3">
            <w:pPr>
              <w:rPr>
                <w:rFonts w:ascii="宋体" w:hAnsi="宋体"/>
                <w:color w:val="auto"/>
                <w:szCs w:val="21"/>
                <w:highlight w:val="none"/>
                <w:u w:val="single"/>
              </w:rPr>
            </w:pPr>
            <w:r>
              <w:rPr>
                <w:rFonts w:hint="eastAsia" w:ascii="宋体" w:hAnsi="宋体"/>
                <w:color w:val="auto"/>
                <w:szCs w:val="21"/>
                <w:highlight w:val="none"/>
                <w:u w:val="single"/>
              </w:rPr>
              <w:t>详见招标文件及相关合同条款。</w:t>
            </w:r>
          </w:p>
        </w:tc>
      </w:tr>
      <w:tr w14:paraId="3E6D513D">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3BE0051C">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31</w:t>
            </w:r>
          </w:p>
        </w:tc>
        <w:tc>
          <w:tcPr>
            <w:tcW w:w="981" w:type="dxa"/>
            <w:tcBorders>
              <w:top w:val="single" w:color="auto" w:sz="4" w:space="0"/>
              <w:left w:val="single" w:color="auto" w:sz="4" w:space="0"/>
              <w:bottom w:val="single" w:color="auto" w:sz="4" w:space="0"/>
              <w:right w:val="single" w:color="auto" w:sz="4" w:space="0"/>
            </w:tcBorders>
            <w:vAlign w:val="center"/>
          </w:tcPr>
          <w:p w14:paraId="11529F42">
            <w:pPr>
              <w:rPr>
                <w:rFonts w:ascii="宋体" w:hAnsi="宋体"/>
                <w:color w:val="auto"/>
                <w:szCs w:val="21"/>
                <w:highlight w:val="none"/>
              </w:rPr>
            </w:pPr>
          </w:p>
        </w:tc>
        <w:tc>
          <w:tcPr>
            <w:tcW w:w="1733" w:type="dxa"/>
            <w:tcBorders>
              <w:top w:val="single" w:color="auto" w:sz="4" w:space="0"/>
              <w:left w:val="single" w:color="auto" w:sz="4" w:space="0"/>
              <w:bottom w:val="single" w:color="auto" w:sz="4" w:space="0"/>
              <w:right w:val="single" w:color="auto" w:sz="4" w:space="0"/>
            </w:tcBorders>
            <w:vAlign w:val="center"/>
          </w:tcPr>
          <w:p w14:paraId="1E2F56B3">
            <w:pPr>
              <w:rPr>
                <w:rFonts w:ascii="宋体" w:hAnsi="宋体"/>
                <w:color w:val="auto"/>
                <w:szCs w:val="21"/>
                <w:highlight w:val="none"/>
              </w:rPr>
            </w:pPr>
            <w:r>
              <w:rPr>
                <w:rFonts w:hint="eastAsia" w:ascii="宋体" w:hAnsi="宋体"/>
                <w:color w:val="auto"/>
                <w:kern w:val="0"/>
                <w:szCs w:val="21"/>
                <w:highlight w:val="none"/>
                <w:lang w:val="zh-CN"/>
              </w:rPr>
              <w:t>建设工程质量检测单位</w:t>
            </w:r>
          </w:p>
        </w:tc>
        <w:tc>
          <w:tcPr>
            <w:tcW w:w="5934" w:type="dxa"/>
            <w:tcBorders>
              <w:top w:val="single" w:color="auto" w:sz="4" w:space="0"/>
              <w:left w:val="single" w:color="auto" w:sz="4" w:space="0"/>
              <w:bottom w:val="single" w:color="auto" w:sz="4" w:space="0"/>
              <w:right w:val="double" w:color="auto" w:sz="4" w:space="0"/>
            </w:tcBorders>
            <w:vAlign w:val="center"/>
          </w:tcPr>
          <w:p w14:paraId="51ECD866">
            <w:pPr>
              <w:rPr>
                <w:rFonts w:ascii="宋体" w:hAnsi="宋体"/>
                <w:color w:val="auto"/>
                <w:kern w:val="0"/>
                <w:szCs w:val="21"/>
                <w:highlight w:val="none"/>
                <w:lang w:val="zh-CN"/>
              </w:rPr>
            </w:pPr>
            <w:r>
              <w:rPr>
                <w:rFonts w:hint="eastAsia" w:ascii="宋体" w:hAnsi="宋体"/>
                <w:color w:val="auto"/>
                <w:kern w:val="0"/>
                <w:szCs w:val="21"/>
                <w:highlight w:val="none"/>
                <w:lang w:val="zh-CN"/>
              </w:rPr>
              <w:t>建设单位和中标人均不得委托近二年（从招标公告发布年度起逆推2年的1月1日起至投标截止时间止）因伪造检测数据、出具虚假检测报告被各级建设行政主管部门或市场监督管理部门行政处罚或通报的检测单位负责本项目的检测工作。</w:t>
            </w:r>
          </w:p>
        </w:tc>
      </w:tr>
      <w:tr w14:paraId="25271F5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5834D6F1">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32</w:t>
            </w:r>
          </w:p>
        </w:tc>
        <w:tc>
          <w:tcPr>
            <w:tcW w:w="981" w:type="dxa"/>
            <w:tcBorders>
              <w:top w:val="single" w:color="auto" w:sz="4" w:space="0"/>
              <w:left w:val="single" w:color="auto" w:sz="4" w:space="0"/>
              <w:bottom w:val="single" w:color="auto" w:sz="4" w:space="0"/>
              <w:right w:val="single" w:color="auto" w:sz="4" w:space="0"/>
            </w:tcBorders>
            <w:vAlign w:val="center"/>
          </w:tcPr>
          <w:p w14:paraId="690668C5">
            <w:pPr>
              <w:jc w:val="center"/>
              <w:rPr>
                <w:rFonts w:ascii="宋体" w:hAnsi="宋体"/>
                <w:color w:val="auto"/>
                <w:highlight w:val="none"/>
              </w:rPr>
            </w:pPr>
          </w:p>
        </w:tc>
        <w:tc>
          <w:tcPr>
            <w:tcW w:w="1733" w:type="dxa"/>
            <w:tcBorders>
              <w:top w:val="single" w:color="auto" w:sz="4" w:space="0"/>
              <w:left w:val="single" w:color="auto" w:sz="4" w:space="0"/>
              <w:bottom w:val="single" w:color="auto" w:sz="4" w:space="0"/>
              <w:right w:val="single" w:color="auto" w:sz="4" w:space="0"/>
            </w:tcBorders>
            <w:vAlign w:val="center"/>
          </w:tcPr>
          <w:p w14:paraId="0158C4F8">
            <w:pPr>
              <w:jc w:val="center"/>
              <w:rPr>
                <w:rFonts w:ascii="宋体" w:hAnsi="宋体"/>
                <w:color w:val="auto"/>
                <w:highlight w:val="none"/>
              </w:rPr>
            </w:pPr>
            <w:r>
              <w:rPr>
                <w:rFonts w:hint="eastAsia" w:ascii="宋体" w:hAnsi="宋体"/>
                <w:color w:val="auto"/>
                <w:highlight w:val="none"/>
              </w:rPr>
              <w:t>电子招标投标解密失败及突发情况的补救</w:t>
            </w:r>
          </w:p>
        </w:tc>
        <w:tc>
          <w:tcPr>
            <w:tcW w:w="5934" w:type="dxa"/>
            <w:tcBorders>
              <w:top w:val="single" w:color="auto" w:sz="4" w:space="0"/>
              <w:left w:val="single" w:color="auto" w:sz="4" w:space="0"/>
              <w:bottom w:val="single" w:color="auto" w:sz="4" w:space="0"/>
              <w:right w:val="double" w:color="auto" w:sz="4" w:space="0"/>
            </w:tcBorders>
            <w:vAlign w:val="center"/>
          </w:tcPr>
          <w:p w14:paraId="4B40BE29">
            <w:pPr>
              <w:rPr>
                <w:rFonts w:ascii="宋体" w:hAnsi="宋体" w:cs="Courier New"/>
                <w:color w:val="auto"/>
                <w:szCs w:val="21"/>
                <w:highlight w:val="none"/>
              </w:rPr>
            </w:pPr>
            <w:r>
              <w:rPr>
                <w:rFonts w:hint="eastAsia" w:ascii="宋体" w:hAnsi="宋体" w:cs="Courier New"/>
                <w:color w:val="auto"/>
                <w:szCs w:val="21"/>
                <w:highlight w:val="none"/>
              </w:rPr>
              <w:t>1、按照交易平台关于全流程电子化项目的相关指南进行操作。详见：</w:t>
            </w:r>
            <w:r>
              <w:rPr>
                <w:rFonts w:hint="eastAsia" w:ascii="宋体" w:hAnsi="宋体" w:cs="Courier New"/>
                <w:color w:val="auto"/>
                <w:szCs w:val="21"/>
                <w:highlight w:val="none"/>
                <w:u w:val="single"/>
              </w:rPr>
              <w:t>广州交易集团有限公司（广州公共资源交易中心）</w:t>
            </w:r>
            <w:r>
              <w:rPr>
                <w:rFonts w:hint="eastAsia" w:ascii="宋体" w:hAnsi="宋体" w:cs="宋体"/>
                <w:color w:val="auto"/>
                <w:szCs w:val="21"/>
                <w:highlight w:val="none"/>
                <w:u w:val="single"/>
              </w:rPr>
              <w:t>网站</w:t>
            </w:r>
            <w:r>
              <w:rPr>
                <w:rFonts w:hint="eastAsia" w:ascii="宋体" w:hAnsi="宋体" w:cs="Courier New"/>
                <w:color w:val="auto"/>
                <w:szCs w:val="21"/>
                <w:highlight w:val="none"/>
              </w:rPr>
              <w:t xml:space="preserve">。  </w:t>
            </w:r>
          </w:p>
          <w:p w14:paraId="26DC1B91">
            <w:pPr>
              <w:rPr>
                <w:rFonts w:ascii="宋体" w:hAnsi="宋体" w:cs="Courier New"/>
                <w:color w:val="auto"/>
                <w:szCs w:val="21"/>
                <w:highlight w:val="none"/>
              </w:rPr>
            </w:pPr>
            <w:r>
              <w:rPr>
                <w:rFonts w:hint="eastAsia" w:ascii="宋体" w:hAnsi="宋体" w:cs="Courier New"/>
                <w:color w:val="auto"/>
                <w:szCs w:val="21"/>
                <w:highlight w:val="none"/>
              </w:rPr>
              <w:t>2、提交投标文件光盘备用</w:t>
            </w:r>
          </w:p>
          <w:p w14:paraId="18AFD72B">
            <w:pPr>
              <w:rPr>
                <w:rFonts w:ascii="宋体" w:hAnsi="宋体" w:cs="Courier New"/>
                <w:color w:val="auto"/>
                <w:szCs w:val="21"/>
                <w:highlight w:val="none"/>
              </w:rPr>
            </w:pPr>
            <w:r>
              <w:rPr>
                <w:rFonts w:hint="eastAsia" w:ascii="宋体" w:hAnsi="宋体" w:cs="Courier New"/>
                <w:color w:val="auto"/>
                <w:szCs w:val="21"/>
                <w:highlight w:val="none"/>
              </w:rPr>
              <w:t>投标人可制作非加密的电子投标文件（PDF格式）刻入光盘（1份），在投标须知前附表第18项规定的时间、地点提交备用。刻录好的投标文件光盘密封在密封袋中，并在封口处加盖投标人单位公章。密封袋上应写明项目名称和招标人名称。递交的光盘不得加密。光盘无法读取或导入的，则视为未提交备用投标文件光盘。如果投标人没有按规定通过交易平台网上递交电子投标文件的，不再读取提交的光盘。投标人也可不提交备用光盘。</w:t>
            </w:r>
          </w:p>
          <w:p w14:paraId="76FCE343">
            <w:pPr>
              <w:rPr>
                <w:rFonts w:ascii="宋体" w:hAnsi="宋体" w:cs="Courier New"/>
                <w:color w:val="auto"/>
                <w:szCs w:val="21"/>
                <w:highlight w:val="none"/>
              </w:rPr>
            </w:pPr>
            <w:r>
              <w:rPr>
                <w:rFonts w:hint="eastAsia" w:ascii="宋体" w:hAnsi="宋体" w:cs="Courier New"/>
                <w:color w:val="auto"/>
                <w:szCs w:val="21"/>
                <w:highlight w:val="none"/>
              </w:rPr>
              <w:t xml:space="preserve"> 3、补救方案</w:t>
            </w:r>
          </w:p>
          <w:p w14:paraId="2FB1D39D">
            <w:pPr>
              <w:rPr>
                <w:rFonts w:ascii="宋体" w:hAnsi="宋体" w:cs="Courier New"/>
                <w:color w:val="auto"/>
                <w:szCs w:val="21"/>
                <w:highlight w:val="none"/>
              </w:rPr>
            </w:pPr>
            <w:r>
              <w:rPr>
                <w:rFonts w:hint="eastAsia" w:ascii="宋体" w:hAnsi="宋体" w:cs="Courier New"/>
                <w:color w:val="auto"/>
                <w:szCs w:val="21"/>
                <w:highlight w:val="none"/>
              </w:rPr>
              <w:t>（1）投标文件解密失败的补救方案：</w:t>
            </w:r>
          </w:p>
          <w:p w14:paraId="55EF6BF4">
            <w:pPr>
              <w:rPr>
                <w:rFonts w:ascii="宋体" w:hAnsi="宋体" w:cs="Courier New"/>
                <w:color w:val="auto"/>
                <w:szCs w:val="21"/>
                <w:highlight w:val="none"/>
              </w:rPr>
            </w:pPr>
            <w:r>
              <w:rPr>
                <w:rFonts w:hint="eastAsia" w:ascii="宋体" w:hAnsi="宋体" w:cs="Courier New"/>
                <w:color w:val="auto"/>
                <w:szCs w:val="21"/>
                <w:highlight w:val="none"/>
              </w:rPr>
              <w:t>在规定时间内，因投标人之外原因(指网络瘫痪、服务器损坏、交易系统故障短期无法恢复)导致的电子投标文件解密失败，在开标现场读取光盘内容，继续开标程序。评标委员会对其投标文件的评审以光盘内容为准。因投标人之外原因解密失败且未递交电子光盘的，视为撤回投标文件。</w:t>
            </w:r>
          </w:p>
          <w:p w14:paraId="7EFE5E9D">
            <w:pPr>
              <w:rPr>
                <w:rFonts w:ascii="宋体" w:hAnsi="宋体" w:cs="Courier New"/>
                <w:color w:val="auto"/>
                <w:szCs w:val="21"/>
                <w:highlight w:val="none"/>
              </w:rPr>
            </w:pPr>
            <w:r>
              <w:rPr>
                <w:rFonts w:hint="eastAsia" w:ascii="宋体" w:hAnsi="宋体" w:cs="Courier New"/>
                <w:color w:val="auto"/>
                <w:szCs w:val="21"/>
                <w:highlight w:val="none"/>
              </w:rPr>
              <w:t>（2）评标时突发情况的补救方案</w:t>
            </w:r>
          </w:p>
          <w:p w14:paraId="382CB26F">
            <w:pPr>
              <w:rPr>
                <w:rFonts w:ascii="宋体" w:hAnsi="宋体" w:cs="Courier New"/>
                <w:color w:val="auto"/>
                <w:szCs w:val="21"/>
                <w:highlight w:val="none"/>
              </w:rPr>
            </w:pPr>
            <w:r>
              <w:rPr>
                <w:rFonts w:hint="eastAsia" w:ascii="宋体" w:hAnsi="宋体" w:cs="Courier New"/>
                <w:color w:val="auto"/>
                <w:szCs w:val="21"/>
                <w:highlight w:val="none"/>
              </w:rPr>
              <w:t>若遇不可抗力发生（指网络瘫痪、服务器损坏、交易系统故障短期无法恢复等因素），由评标委员会开启投标人递交的全部投标文件光盘，并按光盘内容进行评审。</w:t>
            </w:r>
          </w:p>
          <w:p w14:paraId="652CD136">
            <w:pPr>
              <w:rPr>
                <w:rFonts w:ascii="宋体" w:hAnsi="宋体" w:cs="Courier New"/>
                <w:color w:val="auto"/>
                <w:szCs w:val="21"/>
                <w:highlight w:val="none"/>
              </w:rPr>
            </w:pPr>
            <w:r>
              <w:rPr>
                <w:rFonts w:hint="eastAsia" w:ascii="宋体" w:hAnsi="宋体" w:cs="Courier New"/>
                <w:color w:val="auto"/>
                <w:szCs w:val="21"/>
                <w:highlight w:val="none"/>
              </w:rPr>
              <w:t>（3）除发生上述情况外，开标评标均以投标人通过交易平台网上递交的电子投标文件为准。</w:t>
            </w:r>
          </w:p>
        </w:tc>
      </w:tr>
      <w:tr w14:paraId="6D051626">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2DB96165">
            <w:pP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33</w:t>
            </w:r>
          </w:p>
        </w:tc>
        <w:tc>
          <w:tcPr>
            <w:tcW w:w="981" w:type="dxa"/>
            <w:tcBorders>
              <w:top w:val="single" w:color="auto" w:sz="4" w:space="0"/>
              <w:left w:val="single" w:color="auto" w:sz="4" w:space="0"/>
              <w:bottom w:val="single" w:color="auto" w:sz="4" w:space="0"/>
              <w:right w:val="single" w:color="auto" w:sz="4" w:space="0"/>
            </w:tcBorders>
            <w:vAlign w:val="center"/>
          </w:tcPr>
          <w:p w14:paraId="76D3957E">
            <w:pPr>
              <w:jc w:val="center"/>
              <w:rPr>
                <w:rFonts w:ascii="宋体" w:hAnsi="宋体"/>
                <w:color w:val="auto"/>
                <w:highlight w:val="none"/>
              </w:rPr>
            </w:pPr>
          </w:p>
        </w:tc>
        <w:tc>
          <w:tcPr>
            <w:tcW w:w="1733" w:type="dxa"/>
            <w:tcBorders>
              <w:top w:val="single" w:color="auto" w:sz="4" w:space="0"/>
              <w:left w:val="single" w:color="auto" w:sz="4" w:space="0"/>
              <w:bottom w:val="single" w:color="auto" w:sz="4" w:space="0"/>
              <w:right w:val="single" w:color="auto" w:sz="4" w:space="0"/>
            </w:tcBorders>
            <w:vAlign w:val="center"/>
          </w:tcPr>
          <w:p w14:paraId="343F2577">
            <w:pPr>
              <w:jc w:val="center"/>
              <w:rPr>
                <w:rFonts w:hint="eastAsia" w:ascii="宋体" w:hAnsi="宋体"/>
                <w:color w:val="auto"/>
                <w:highlight w:val="none"/>
              </w:rPr>
            </w:pPr>
            <w:r>
              <w:rPr>
                <w:rFonts w:hint="eastAsia" w:ascii="宋体" w:hAnsi="宋体" w:cs="Courier New"/>
                <w:color w:val="auto"/>
                <w:szCs w:val="21"/>
                <w:highlight w:val="none"/>
              </w:rPr>
              <w:t>招标人对中标人参与“百千万工程”的具体要求</w:t>
            </w:r>
          </w:p>
        </w:tc>
        <w:tc>
          <w:tcPr>
            <w:tcW w:w="5934" w:type="dxa"/>
            <w:tcBorders>
              <w:top w:val="single" w:color="auto" w:sz="4" w:space="0"/>
              <w:left w:val="single" w:color="auto" w:sz="4" w:space="0"/>
              <w:bottom w:val="single" w:color="auto" w:sz="4" w:space="0"/>
              <w:right w:val="double" w:color="auto" w:sz="4" w:space="0"/>
            </w:tcBorders>
            <w:vAlign w:val="center"/>
          </w:tcPr>
          <w:p w14:paraId="6BAC7287">
            <w:pPr>
              <w:rPr>
                <w:rFonts w:hint="eastAsia" w:ascii="宋体" w:hAnsi="宋体" w:cs="Courier New"/>
                <w:color w:val="auto"/>
                <w:szCs w:val="21"/>
                <w:highlight w:val="none"/>
              </w:rPr>
            </w:pPr>
            <w:r>
              <w:rPr>
                <w:rFonts w:hint="eastAsia" w:ascii="宋体" w:hAnsi="宋体" w:cs="Courier New"/>
                <w:color w:val="auto"/>
                <w:szCs w:val="21"/>
                <w:highlight w:val="none"/>
                <w:lang w:eastAsia="zh-CN"/>
              </w:rPr>
              <w:t>☑</w:t>
            </w:r>
            <w:r>
              <w:rPr>
                <w:rFonts w:hint="eastAsia" w:ascii="宋体" w:hAnsi="宋体" w:cs="Courier New"/>
                <w:color w:val="auto"/>
                <w:szCs w:val="21"/>
                <w:highlight w:val="none"/>
              </w:rPr>
              <w:t>具体要求在中标后按照投标承诺和招标人的要求执行。</w:t>
            </w:r>
            <w:r>
              <w:rPr>
                <w:rFonts w:hint="eastAsia"/>
                <w:highlight w:val="none"/>
                <w:u w:val="single"/>
                <w:lang w:eastAsia="zh-CN" w:bidi="ar"/>
              </w:rPr>
              <w:t>（投标承诺格式</w:t>
            </w:r>
            <w:r>
              <w:rPr>
                <w:rFonts w:hint="eastAsia"/>
                <w:highlight w:val="none"/>
                <w:u w:val="single"/>
                <w:lang w:val="en-US" w:eastAsia="zh-CN" w:bidi="ar"/>
              </w:rPr>
              <w:t>详见第四章投标文件格式</w:t>
            </w:r>
            <w:r>
              <w:rPr>
                <w:rFonts w:hint="eastAsia"/>
                <w:highlight w:val="none"/>
                <w:u w:val="single"/>
                <w:lang w:eastAsia="zh-CN" w:bidi="ar"/>
              </w:rPr>
              <w:t>）</w:t>
            </w:r>
          </w:p>
          <w:p w14:paraId="4720EE58">
            <w:pPr>
              <w:rPr>
                <w:rFonts w:hint="eastAsia" w:ascii="宋体" w:hAnsi="宋体" w:cs="Courier New"/>
                <w:color w:val="auto"/>
                <w:szCs w:val="21"/>
                <w:highlight w:val="none"/>
              </w:rPr>
            </w:pPr>
            <w:r>
              <w:rPr>
                <w:rFonts w:hint="eastAsia" w:ascii="宋体" w:hAnsi="宋体" w:cs="Courier New"/>
                <w:color w:val="auto"/>
                <w:szCs w:val="21"/>
                <w:highlight w:val="none"/>
              </w:rPr>
              <w:t>□具体要求：（由招标人填写）</w:t>
            </w:r>
          </w:p>
        </w:tc>
      </w:tr>
      <w:tr w14:paraId="63BCA3E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4CF46280">
            <w:pP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34</w:t>
            </w:r>
          </w:p>
        </w:tc>
        <w:tc>
          <w:tcPr>
            <w:tcW w:w="981" w:type="dxa"/>
            <w:tcBorders>
              <w:top w:val="single" w:color="auto" w:sz="4" w:space="0"/>
              <w:left w:val="single" w:color="auto" w:sz="4" w:space="0"/>
              <w:bottom w:val="single" w:color="auto" w:sz="4" w:space="0"/>
              <w:right w:val="single" w:color="auto" w:sz="4" w:space="0"/>
            </w:tcBorders>
            <w:vAlign w:val="center"/>
          </w:tcPr>
          <w:p w14:paraId="6C11A0C7">
            <w:pPr>
              <w:jc w:val="center"/>
              <w:rPr>
                <w:rFonts w:ascii="宋体" w:hAnsi="宋体"/>
                <w:color w:val="auto"/>
                <w:highlight w:val="none"/>
              </w:rPr>
            </w:pPr>
          </w:p>
        </w:tc>
        <w:tc>
          <w:tcPr>
            <w:tcW w:w="1733" w:type="dxa"/>
            <w:tcBorders>
              <w:top w:val="single" w:color="auto" w:sz="4" w:space="0"/>
              <w:left w:val="single" w:color="auto" w:sz="4" w:space="0"/>
              <w:bottom w:val="single" w:color="auto" w:sz="4" w:space="0"/>
              <w:right w:val="single" w:color="auto" w:sz="4" w:space="0"/>
            </w:tcBorders>
            <w:vAlign w:val="center"/>
          </w:tcPr>
          <w:p w14:paraId="5EA0DEA0">
            <w:pPr>
              <w:spacing w:line="288" w:lineRule="auto"/>
              <w:jc w:val="center"/>
              <w:rPr>
                <w:rFonts w:hint="eastAsia" w:ascii="宋体" w:hAnsi="宋体" w:cs="Courier New"/>
                <w:color w:val="auto"/>
                <w:szCs w:val="21"/>
                <w:highlight w:val="none"/>
              </w:rPr>
            </w:pPr>
            <w:r>
              <w:rPr>
                <w:rFonts w:hint="default" w:ascii="宋体" w:hAnsi="宋体" w:eastAsia="宋体" w:cs="宋体"/>
                <w:b/>
                <w:bCs/>
                <w:color w:val="auto"/>
                <w:sz w:val="21"/>
                <w:szCs w:val="21"/>
                <w:highlight w:val="none"/>
                <w:u w:val="single"/>
                <w:lang w:val="en-US"/>
              </w:rPr>
              <w:t>经济标评审优惠政策</w:t>
            </w:r>
          </w:p>
        </w:tc>
        <w:tc>
          <w:tcPr>
            <w:tcW w:w="5934" w:type="dxa"/>
            <w:tcBorders>
              <w:top w:val="single" w:color="auto" w:sz="4" w:space="0"/>
              <w:left w:val="single" w:color="auto" w:sz="4" w:space="0"/>
              <w:bottom w:val="single" w:color="auto" w:sz="4" w:space="0"/>
              <w:right w:val="double" w:color="auto" w:sz="4" w:space="0"/>
            </w:tcBorders>
            <w:vAlign w:val="center"/>
          </w:tcPr>
          <w:p w14:paraId="74B1D9C2">
            <w:pPr>
              <w:ind w:firstLine="0" w:firstLineChars="0"/>
              <w:rPr>
                <w:rFonts w:ascii="宋体" w:hAnsi="宋体" w:cs="宋体"/>
                <w:b/>
                <w:bCs/>
                <w:highlight w:val="none"/>
                <w:u w:val="single"/>
              </w:rPr>
            </w:pPr>
            <w:r>
              <w:rPr>
                <w:rFonts w:ascii="宋体" w:hAnsi="宋体" w:cs="宋体"/>
                <w:b/>
                <w:bCs/>
                <w:highlight w:val="none"/>
                <w:u w:val="single"/>
              </w:rPr>
              <w:t>经济标评审优惠政策（仅适用于招标人为国家机关、事业单位、团体组织，且使用财政性资金开展的依法必须招标项目）</w:t>
            </w:r>
          </w:p>
          <w:p w14:paraId="7FFD3C3E">
            <w:pPr>
              <w:rPr>
                <w:rFonts w:ascii="宋体" w:hAnsi="宋体" w:cs="宋体"/>
                <w:b/>
                <w:bCs/>
                <w:highlight w:val="none"/>
                <w:u w:val="single"/>
              </w:rPr>
            </w:pPr>
            <w:r>
              <w:rPr>
                <w:rFonts w:hint="eastAsia" w:ascii="宋体" w:hAnsi="宋体" w:cs="Courier New"/>
                <w:b/>
                <w:bCs/>
                <w:color w:val="auto"/>
                <w:szCs w:val="21"/>
                <w:highlight w:val="none"/>
                <w:lang w:eastAsia="zh-CN"/>
              </w:rPr>
              <w:t>☑</w:t>
            </w:r>
            <w:r>
              <w:rPr>
                <w:rFonts w:ascii="宋体" w:hAnsi="宋体" w:cs="宋体"/>
                <w:b/>
                <w:bCs/>
                <w:highlight w:val="none"/>
                <w:u w:val="single"/>
              </w:rPr>
              <w:t>本招标项目执行经济标评审优惠政策</w:t>
            </w:r>
          </w:p>
          <w:p w14:paraId="3B5F54CA">
            <w:pPr>
              <w:rPr>
                <w:rFonts w:ascii="宋体" w:hAnsi="宋体" w:cs="宋体"/>
                <w:b/>
                <w:bCs/>
                <w:highlight w:val="none"/>
                <w:u w:val="single"/>
              </w:rPr>
            </w:pPr>
            <w:r>
              <w:rPr>
                <w:rFonts w:ascii="宋体" w:hAnsi="宋体" w:cs="宋体"/>
                <w:b/>
                <w:bCs/>
                <w:highlight w:val="none"/>
                <w:u w:val="single"/>
              </w:rPr>
              <w:t>□本招标项目不执行经济标评审优惠政策</w:t>
            </w:r>
          </w:p>
          <w:p w14:paraId="12F66A92">
            <w:pPr>
              <w:rPr>
                <w:rFonts w:ascii="宋体" w:hAnsi="宋体" w:cs="宋体"/>
                <w:b/>
                <w:bCs/>
                <w:highlight w:val="none"/>
                <w:u w:val="single"/>
              </w:rPr>
            </w:pPr>
            <w:r>
              <w:rPr>
                <w:rFonts w:ascii="宋体" w:hAnsi="宋体" w:cs="宋体"/>
                <w:b/>
                <w:bCs/>
                <w:highlight w:val="none"/>
                <w:u w:val="single"/>
              </w:rPr>
              <w:t>注：</w:t>
            </w:r>
            <w:r>
              <w:rPr>
                <w:rFonts w:hint="eastAsia" w:ascii="宋体" w:hAnsi="宋体" w:cs="宋体"/>
                <w:b/>
                <w:bCs/>
                <w:highlight w:val="none"/>
                <w:u w:val="single"/>
              </w:rPr>
              <w:t>（</w:t>
            </w:r>
            <w:r>
              <w:rPr>
                <w:rFonts w:ascii="宋体" w:hAnsi="宋体" w:cs="宋体"/>
                <w:b/>
                <w:bCs/>
                <w:highlight w:val="none"/>
                <w:u w:val="single"/>
              </w:rPr>
              <w:t>1）符合经济标评审优惠政策条件的，应当执行该政策；不符合经济标评审优惠政策条件的，不得执行该政策。</w:t>
            </w:r>
          </w:p>
          <w:p w14:paraId="424753D5">
            <w:pPr>
              <w:ind w:firstLine="0" w:firstLineChars="0"/>
              <w:rPr>
                <w:rFonts w:ascii="宋体" w:hAnsi="宋体" w:cs="宋体"/>
                <w:b/>
                <w:bCs/>
                <w:highlight w:val="none"/>
                <w:u w:val="single"/>
              </w:rPr>
            </w:pPr>
            <w:r>
              <w:rPr>
                <w:rFonts w:hint="eastAsia" w:ascii="宋体" w:hAnsi="宋体" w:cs="宋体"/>
                <w:b/>
                <w:bCs/>
                <w:highlight w:val="none"/>
                <w:u w:val="single"/>
              </w:rPr>
              <w:t>（</w:t>
            </w:r>
            <w:r>
              <w:rPr>
                <w:rFonts w:ascii="宋体" w:hAnsi="宋体" w:cs="宋体"/>
                <w:b/>
                <w:bCs/>
                <w:highlight w:val="none"/>
                <w:u w:val="single"/>
              </w:rPr>
              <w:t>2）财政性资金是指纳入预算管理的资金，以财政性资金作为还款来源的借贷资金，视同财政性资金。</w:t>
            </w:r>
          </w:p>
          <w:p w14:paraId="45026DF4">
            <w:pPr>
              <w:ind w:firstLine="0" w:firstLineChars="0"/>
              <w:rPr>
                <w:rFonts w:ascii="宋体" w:hAnsi="宋体" w:cs="宋体"/>
                <w:b/>
                <w:bCs/>
                <w:highlight w:val="none"/>
                <w:u w:val="single"/>
              </w:rPr>
            </w:pPr>
            <w:r>
              <w:rPr>
                <w:rFonts w:hint="eastAsia" w:ascii="宋体" w:hAnsi="宋体" w:cs="宋体"/>
                <w:b/>
                <w:bCs/>
                <w:highlight w:val="none"/>
                <w:u w:val="single"/>
              </w:rPr>
              <w:t>（</w:t>
            </w:r>
            <w:r>
              <w:rPr>
                <w:rFonts w:ascii="宋体" w:hAnsi="宋体" w:cs="宋体"/>
                <w:b/>
                <w:bCs/>
                <w:highlight w:val="none"/>
                <w:u w:val="single"/>
              </w:rPr>
              <w:t>3）</w:t>
            </w:r>
            <w:r>
              <w:rPr>
                <w:rFonts w:hint="eastAsia" w:ascii="宋体" w:hAnsi="宋体" w:cs="Courier New"/>
                <w:b/>
                <w:bCs/>
                <w:color w:val="auto"/>
                <w:szCs w:val="21"/>
                <w:highlight w:val="none"/>
                <w:u w:val="single"/>
                <w:lang w:eastAsia="zh-CN"/>
              </w:rPr>
              <w:t>☑</w:t>
            </w:r>
            <w:r>
              <w:rPr>
                <w:rFonts w:ascii="宋体" w:hAnsi="宋体" w:cs="宋体"/>
                <w:b/>
                <w:bCs/>
                <w:highlight w:val="none"/>
                <w:u w:val="single"/>
              </w:rPr>
              <w:t>若本招标项目执行经济标评审优惠政策，当投标人为大中型企业与小微企业组成联合体，联合协议约定小微企业的合同份额占到合同总金额30%以上，应附《中小企业声明函》及《联合协议书》</w:t>
            </w:r>
            <w:r>
              <w:rPr>
                <w:rFonts w:hint="eastAsia" w:ascii="宋体" w:hAnsi="宋体" w:cs="宋体"/>
                <w:b/>
                <w:bCs/>
                <w:highlight w:val="none"/>
                <w:u w:val="single"/>
              </w:rPr>
              <w:t>（格式详见招标公告）</w:t>
            </w:r>
            <w:r>
              <w:rPr>
                <w:rFonts w:ascii="宋体" w:hAnsi="宋体" w:cs="宋体"/>
                <w:b/>
                <w:bCs/>
                <w:highlight w:val="none"/>
                <w:u w:val="single"/>
              </w:rPr>
              <w:t>对该内容进行明确。</w:t>
            </w:r>
          </w:p>
          <w:p w14:paraId="5484BD46">
            <w:pPr>
              <w:rPr>
                <w:rFonts w:ascii="宋体" w:hAnsi="宋体" w:cs="宋体"/>
                <w:b/>
                <w:bCs/>
                <w:highlight w:val="none"/>
              </w:rPr>
            </w:pPr>
            <w:r>
              <w:rPr>
                <w:rFonts w:hint="eastAsia" w:ascii="宋体" w:hAnsi="宋体" w:cs="Courier New"/>
                <w:b/>
                <w:bCs/>
                <w:color w:val="auto"/>
                <w:szCs w:val="21"/>
                <w:highlight w:val="none"/>
                <w:lang w:eastAsia="zh-CN"/>
              </w:rPr>
              <w:t>☑</w:t>
            </w:r>
            <w:r>
              <w:rPr>
                <w:rFonts w:hint="eastAsia" w:ascii="宋体" w:hAnsi="宋体" w:cs="宋体"/>
                <w:b/>
                <w:bCs/>
                <w:highlight w:val="none"/>
                <w:u w:val="single"/>
              </w:rPr>
              <w:t>若</w:t>
            </w:r>
            <w:r>
              <w:rPr>
                <w:rFonts w:ascii="宋体" w:hAnsi="宋体" w:cs="宋体"/>
                <w:b/>
                <w:bCs/>
                <w:highlight w:val="none"/>
                <w:u w:val="single"/>
              </w:rPr>
              <w:t>本招标项目执行经济标评审优惠政策，</w:t>
            </w:r>
            <w:r>
              <w:rPr>
                <w:rFonts w:hint="eastAsia" w:ascii="宋体" w:hAnsi="宋体" w:cs="宋体"/>
                <w:b/>
                <w:bCs/>
                <w:highlight w:val="none"/>
                <w:u w:val="single"/>
              </w:rPr>
              <w:t>当</w:t>
            </w:r>
            <w:r>
              <w:rPr>
                <w:rFonts w:ascii="宋体" w:hAnsi="宋体" w:cs="宋体"/>
                <w:b/>
                <w:bCs/>
                <w:highlight w:val="none"/>
                <w:u w:val="single"/>
              </w:rPr>
              <w:t>允许大中型企业向一家或者多家小微企业分包，且分包承诺小微企业的合同份额占到合同总金额30%以上的，应附《中小企业声明函》及《分包意向协议》（格式详见第四章投标文件格式）对该内容进行明确。</w:t>
            </w:r>
          </w:p>
          <w:p w14:paraId="11B4E49D">
            <w:pPr>
              <w:rPr>
                <w:rFonts w:ascii="宋体" w:hAnsi="宋体" w:cs="宋体"/>
                <w:b/>
                <w:bCs/>
                <w:highlight w:val="none"/>
                <w:u w:val="single"/>
              </w:rPr>
            </w:pPr>
            <w:r>
              <w:rPr>
                <w:rFonts w:ascii="宋体" w:hAnsi="宋体" w:cs="宋体"/>
                <w:b/>
                <w:bCs/>
                <w:highlight w:val="none"/>
                <w:u w:val="single"/>
              </w:rPr>
              <w:t>1、根据《广东省政府采购促进中小企业发展实施细则（试行）》（粤财采购〔2022〕10号）要求，对符合《政府采购促进中小企业发展管理办法》（财库〔2020〕46号）的投标人，给予相应的价格评审优惠。</w:t>
            </w:r>
          </w:p>
          <w:p w14:paraId="5BFF9F1A">
            <w:pPr>
              <w:rPr>
                <w:rFonts w:ascii="宋体" w:hAnsi="宋体" w:cs="宋体"/>
                <w:b/>
                <w:bCs/>
                <w:highlight w:val="none"/>
                <w:u w:val="single"/>
              </w:rPr>
            </w:pPr>
            <w:r>
              <w:rPr>
                <w:rFonts w:ascii="宋体" w:hAnsi="宋体" w:cs="宋体"/>
                <w:b/>
                <w:bCs/>
                <w:highlight w:val="none"/>
                <w:u w:val="single"/>
              </w:rPr>
              <w:t>2、本招标项目评标计算价格分</w:t>
            </w:r>
            <w:r>
              <w:rPr>
                <w:rFonts w:hint="eastAsia" w:ascii="宋体" w:hAnsi="宋体" w:cs="宋体"/>
                <w:b/>
                <w:bCs/>
                <w:highlight w:val="none"/>
                <w:u w:val="single"/>
              </w:rPr>
              <w:t>（经济分）</w:t>
            </w:r>
            <w:r>
              <w:rPr>
                <w:rFonts w:ascii="宋体" w:hAnsi="宋体" w:cs="宋体"/>
                <w:b/>
                <w:bCs/>
                <w:highlight w:val="none"/>
                <w:u w:val="single"/>
              </w:rPr>
              <w:t>时，对小微企业投标的，在采用原报价进行评分的基础上增加其价格得分的5%作为其价格分</w:t>
            </w:r>
            <w:r>
              <w:rPr>
                <w:rFonts w:hint="eastAsia" w:ascii="宋体" w:hAnsi="宋体" w:cs="宋体"/>
                <w:b/>
                <w:bCs/>
                <w:highlight w:val="none"/>
                <w:u w:val="single"/>
              </w:rPr>
              <w:t>（经济分）</w:t>
            </w:r>
            <w:r>
              <w:rPr>
                <w:rFonts w:ascii="宋体" w:hAnsi="宋体" w:cs="宋体"/>
                <w:b/>
                <w:bCs/>
                <w:highlight w:val="none"/>
                <w:u w:val="single"/>
              </w:rPr>
              <w:t>；对大中型企业与小微企业组成联合体或者允许大中型企业向一家或者多家小微企业分包（联合协议或者分包意向协议约定小微企业的合同份额占到合同总金额30%以上）的，在采用原报价进行评分的基础上增加其价格得分的2%作为其价格分</w:t>
            </w:r>
            <w:r>
              <w:rPr>
                <w:rFonts w:hint="eastAsia" w:ascii="宋体" w:hAnsi="宋体" w:cs="宋体"/>
                <w:b/>
                <w:bCs/>
                <w:highlight w:val="none"/>
                <w:u w:val="single"/>
              </w:rPr>
              <w:t>（经济分）</w:t>
            </w:r>
            <w:r>
              <w:rPr>
                <w:rFonts w:ascii="宋体" w:hAnsi="宋体" w:cs="宋体"/>
                <w:b/>
                <w:bCs/>
                <w:highlight w:val="none"/>
                <w:u w:val="single"/>
              </w:rPr>
              <w:t>。</w:t>
            </w:r>
            <w:r>
              <w:rPr>
                <w:rFonts w:hint="eastAsia" w:ascii="宋体" w:hAnsi="宋体" w:cs="宋体"/>
                <w:b/>
                <w:bCs/>
                <w:highlight w:val="none"/>
                <w:u w:val="single"/>
              </w:rPr>
              <w:t>若原报价已满分，仍可突破满分上限继续享受加分优惠，以实际计算结果作为最终价格分（经济分）。</w:t>
            </w:r>
          </w:p>
          <w:p w14:paraId="14B385B3">
            <w:pPr>
              <w:rPr>
                <w:rFonts w:ascii="宋体" w:hAnsi="宋体" w:cs="宋体"/>
                <w:b/>
                <w:bCs/>
                <w:highlight w:val="none"/>
                <w:u w:val="single"/>
              </w:rPr>
            </w:pPr>
            <w:r>
              <w:rPr>
                <w:rFonts w:ascii="宋体" w:hAnsi="宋体" w:cs="宋体"/>
                <w:b/>
                <w:bCs/>
                <w:highlight w:val="none"/>
                <w:u w:val="single"/>
              </w:rPr>
              <w:t>3、投标人应按《政府采购促进中小企业发展管理办法》（财库〔2020〕46号）规定出具《中小企业声明函》</w:t>
            </w:r>
            <w:r>
              <w:rPr>
                <w:rFonts w:hint="eastAsia" w:ascii="宋体" w:hAnsi="宋体" w:cs="宋体"/>
                <w:b/>
                <w:bCs/>
                <w:highlight w:val="none"/>
                <w:u w:val="single"/>
              </w:rPr>
              <w:t>、《分包意向协议》</w:t>
            </w:r>
            <w:r>
              <w:rPr>
                <w:rFonts w:ascii="宋体" w:hAnsi="宋体" w:cs="宋体"/>
                <w:b/>
                <w:bCs/>
                <w:highlight w:val="none"/>
                <w:u w:val="single"/>
              </w:rPr>
              <w:t>（格式详见第四章投标文件格式），否则不得享受相关价格评审优惠。投标人填写《中小企业声明函》</w:t>
            </w:r>
            <w:r>
              <w:rPr>
                <w:rFonts w:hint="eastAsia" w:ascii="宋体" w:hAnsi="宋体" w:cs="宋体"/>
                <w:b/>
                <w:bCs/>
                <w:highlight w:val="none"/>
                <w:u w:val="single"/>
              </w:rPr>
              <w:t>、《分包意向协议》</w:t>
            </w:r>
            <w:r>
              <w:rPr>
                <w:rFonts w:ascii="宋体" w:hAnsi="宋体" w:cs="宋体"/>
                <w:b/>
                <w:bCs/>
                <w:highlight w:val="none"/>
                <w:u w:val="single"/>
              </w:rPr>
              <w:t>时，对于已纳入统计部门统计范围的企业，所属行业、从业人员、营业收入、资产总额、规模类型应与统计部门报表一致。对于未纳入统计部门统计范围的企业，应对照《国民经济行业分类》确定所属行业，当企业从事两种以上经济活动时，则按照主要活动确定其所属行业；从业人数可以社会保险参保人数为准；营业收入、资产总额可以第三方出具的报告为准。</w:t>
            </w:r>
          </w:p>
          <w:p w14:paraId="345BD28A">
            <w:pPr>
              <w:ind w:firstLine="0" w:firstLineChars="0"/>
              <w:rPr>
                <w:rFonts w:hint="default" w:ascii="宋体" w:hAnsi="宋体" w:eastAsia="宋体" w:cs="宋体"/>
                <w:b/>
                <w:bCs/>
                <w:highlight w:val="none"/>
                <w:u w:val="single"/>
              </w:rPr>
            </w:pPr>
            <w:r>
              <w:rPr>
                <w:rFonts w:hint="default" w:ascii="宋体" w:hAnsi="宋体" w:eastAsia="宋体" w:cs="宋体"/>
                <w:b/>
                <w:bCs/>
                <w:highlight w:val="none"/>
                <w:u w:val="single"/>
              </w:rPr>
              <w:t>4、小微企业划分标准按照《工业和信息化部 国家统计局 国家发展和改革委员会 财政部关于印发中小企业划型标准规定的通知》（工信部联企业〔2011〕300号）执行。本招标项目属于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239AA290">
            <w:pPr>
              <w:rPr>
                <w:rFonts w:hint="default" w:ascii="宋体" w:hAnsi="宋体" w:eastAsia="宋体" w:cs="宋体"/>
                <w:b/>
                <w:bCs/>
                <w:highlight w:val="none"/>
                <w:u w:val="single"/>
              </w:rPr>
            </w:pPr>
            <w:r>
              <w:rPr>
                <w:rFonts w:hint="default" w:ascii="宋体" w:hAnsi="宋体" w:eastAsia="宋体" w:cs="宋体"/>
                <w:b/>
                <w:bCs/>
                <w:highlight w:val="none"/>
                <w:u w:val="single"/>
              </w:rPr>
              <w:t>注：（1）小微企业，是指在中华人民共和国境内依法设立，依据国务院批准的中小企业划分标准确定的小型企业和微型企业，但与大企业的负责人为同一人，或者与大企业存在直接控股、管理关系的除外。</w:t>
            </w:r>
          </w:p>
          <w:p w14:paraId="5C77E022">
            <w:pPr>
              <w:rPr>
                <w:rFonts w:hint="default" w:ascii="宋体" w:hAnsi="宋体" w:eastAsia="宋体" w:cs="宋体"/>
                <w:b/>
                <w:bCs/>
                <w:highlight w:val="none"/>
                <w:u w:val="single"/>
              </w:rPr>
            </w:pPr>
            <w:r>
              <w:rPr>
                <w:rFonts w:hint="default" w:ascii="宋体" w:hAnsi="宋体" w:eastAsia="宋体" w:cs="宋体"/>
                <w:b/>
                <w:bCs/>
                <w:highlight w:val="none"/>
                <w:u w:val="single"/>
              </w:rPr>
              <w:t>（2）接受分包合同的小微企业与分包企业之间存在直接控股、管理关系的，不享受价格评分优惠。</w:t>
            </w:r>
          </w:p>
          <w:p w14:paraId="56152650">
            <w:pPr>
              <w:rPr>
                <w:rFonts w:hint="default" w:ascii="宋体" w:hAnsi="宋体" w:eastAsia="宋体" w:cs="宋体"/>
                <w:b/>
                <w:bCs/>
                <w:highlight w:val="none"/>
                <w:u w:val="single"/>
              </w:rPr>
            </w:pPr>
            <w:r>
              <w:rPr>
                <w:rFonts w:hint="default" w:ascii="宋体" w:hAnsi="宋体" w:eastAsia="宋体" w:cs="宋体"/>
                <w:b/>
                <w:bCs/>
                <w:highlight w:val="none"/>
                <w:u w:val="single"/>
              </w:rPr>
              <w:t>（3）公示期间如有异议、投诉的，被异议、投诉单位需提供注册登记所在地的县级以上人民政府中小企业主管部门认定函。</w:t>
            </w:r>
          </w:p>
          <w:p w14:paraId="5B26E52C">
            <w:pPr>
              <w:rPr>
                <w:rFonts w:hint="default" w:ascii="宋体" w:hAnsi="宋体" w:eastAsia="宋体" w:cs="宋体"/>
                <w:b/>
                <w:bCs/>
                <w:highlight w:val="none"/>
                <w:u w:val="single"/>
              </w:rPr>
            </w:pPr>
            <w:r>
              <w:rPr>
                <w:rFonts w:hint="default" w:ascii="宋体" w:hAnsi="宋体" w:eastAsia="宋体" w:cs="宋体"/>
                <w:b/>
                <w:bCs/>
                <w:highlight w:val="none"/>
                <w:u w:val="single"/>
              </w:rPr>
              <w:t>（4）规定享受扶持政策获得承包合同的，小微企业不得将合同分包给大中型企业，中型企业不得将合同分包给大型企业。</w:t>
            </w:r>
          </w:p>
          <w:p w14:paraId="352D6060">
            <w:pPr>
              <w:autoSpaceDE/>
              <w:autoSpaceDN/>
              <w:adjustRightInd/>
              <w:spacing w:line="240" w:lineRule="auto"/>
              <w:ind w:firstLine="0" w:firstLineChars="0"/>
              <w:jc w:val="left"/>
              <w:rPr>
                <w:rFonts w:hint="eastAsia" w:ascii="宋体" w:hAnsi="宋体" w:cs="Courier New"/>
                <w:color w:val="auto"/>
                <w:szCs w:val="21"/>
                <w:highlight w:val="none"/>
              </w:rPr>
            </w:pPr>
            <w:r>
              <w:rPr>
                <w:rFonts w:hint="default" w:ascii="宋体" w:hAnsi="宋体" w:eastAsia="宋体" w:cs="宋体"/>
                <w:b/>
                <w:bCs/>
                <w:szCs w:val="22"/>
                <w:highlight w:val="none"/>
                <w:u w:val="single"/>
              </w:rPr>
              <w:t>（5）根据《财政部 司法部关于政府采购支持监狱企业发展有关问题的通知》（财库〔2014〕68号）规定，监狱企业视同小型、微型企业，需提供由省级以上监狱管理局、戒毒管理局（含新疆生产建设兵团）出具的属于监狱企业的证明文件，经评审满足要求后，可享受上述加分优惠，否则不得享受上述加分优惠。根据《财政部 民政部 中国残疾人联合会关于促进残疾人就业政府采购政策的通知》（财库〔2017〕141号）规定，残疾人福利性单位视同小型、微型企业，需提供《残疾人福利性单位声明函》（格式详见第四章投标文件格式），经评审满足要求后，可享受上述加分优惠，否则不得享受上述加分优惠。监狱企业、残疾人福利性单位属于小型、微型企业的，不重复享受政策。</w:t>
            </w:r>
          </w:p>
        </w:tc>
      </w:tr>
      <w:tr w14:paraId="786D571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6B703B42">
            <w:pP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35</w:t>
            </w:r>
          </w:p>
        </w:tc>
        <w:tc>
          <w:tcPr>
            <w:tcW w:w="981" w:type="dxa"/>
            <w:tcBorders>
              <w:top w:val="single" w:color="auto" w:sz="4" w:space="0"/>
              <w:left w:val="single" w:color="auto" w:sz="4" w:space="0"/>
              <w:bottom w:val="single" w:color="auto" w:sz="4" w:space="0"/>
              <w:right w:val="single" w:color="auto" w:sz="4" w:space="0"/>
            </w:tcBorders>
            <w:vAlign w:val="center"/>
          </w:tcPr>
          <w:p w14:paraId="403540E6">
            <w:pPr>
              <w:jc w:val="center"/>
              <w:rPr>
                <w:rFonts w:ascii="宋体" w:hAnsi="宋体"/>
                <w:color w:val="auto"/>
                <w:highlight w:val="none"/>
              </w:rPr>
            </w:pPr>
          </w:p>
        </w:tc>
        <w:tc>
          <w:tcPr>
            <w:tcW w:w="1733" w:type="dxa"/>
            <w:tcBorders>
              <w:top w:val="single" w:color="auto" w:sz="4" w:space="0"/>
              <w:left w:val="single" w:color="auto" w:sz="4" w:space="0"/>
              <w:bottom w:val="single" w:color="auto" w:sz="4" w:space="0"/>
              <w:right w:val="single" w:color="auto" w:sz="4" w:space="0"/>
            </w:tcBorders>
            <w:shd w:val="clear" w:color="auto" w:fill="auto"/>
            <w:vAlign w:val="center"/>
          </w:tcPr>
          <w:p w14:paraId="043FA467">
            <w:pPr>
              <w:rPr>
                <w:rFonts w:hint="default" w:ascii="宋体" w:hAnsi="宋体" w:eastAsia="宋体" w:cs="Times New Roman"/>
                <w:color w:val="auto"/>
                <w:kern w:val="2"/>
                <w:sz w:val="21"/>
                <w:szCs w:val="21"/>
                <w:highlight w:val="none"/>
                <w:u w:val="single"/>
                <w:lang w:val="en-US" w:eastAsia="zh-CN" w:bidi="ar-SA"/>
              </w:rPr>
            </w:pPr>
            <w:r>
              <w:rPr>
                <w:rFonts w:hint="eastAsia" w:ascii="宋体" w:hAnsi="宋体" w:cs="宋体"/>
                <w:color w:val="auto"/>
                <w:highlight w:val="none"/>
                <w:u w:val="single"/>
              </w:rPr>
              <w:t>投标人经济标评审和得分汇总</w:t>
            </w:r>
          </w:p>
        </w:tc>
        <w:tc>
          <w:tcPr>
            <w:tcW w:w="5934" w:type="dxa"/>
            <w:tcBorders>
              <w:top w:val="single" w:color="auto" w:sz="4" w:space="0"/>
              <w:left w:val="single" w:color="auto" w:sz="4" w:space="0"/>
              <w:bottom w:val="single" w:color="auto" w:sz="4" w:space="0"/>
              <w:right w:val="double" w:color="auto" w:sz="4" w:space="0"/>
            </w:tcBorders>
            <w:shd w:val="clear" w:color="auto" w:fill="auto"/>
            <w:vAlign w:val="center"/>
          </w:tcPr>
          <w:p w14:paraId="16C605E1">
            <w:pPr>
              <w:ind w:firstLine="211" w:firstLineChars="100"/>
              <w:rPr>
                <w:rFonts w:ascii="宋体" w:hAnsi="宋体"/>
                <w:b/>
                <w:color w:val="auto"/>
                <w:szCs w:val="21"/>
                <w:highlight w:val="none"/>
                <w:u w:val="single"/>
              </w:rPr>
            </w:pPr>
            <w:r>
              <w:rPr>
                <w:rFonts w:ascii="宋体" w:hAnsi="宋体"/>
                <w:b/>
                <w:color w:val="auto"/>
                <w:szCs w:val="21"/>
                <w:highlight w:val="none"/>
                <w:u w:val="single"/>
              </w:rPr>
              <w:t>1、确定经济标评审的评标参考价：</w:t>
            </w:r>
          </w:p>
          <w:p w14:paraId="03DC0EC4">
            <w:pPr>
              <w:ind w:firstLine="210" w:firstLineChars="100"/>
              <w:rPr>
                <w:rFonts w:ascii="宋体" w:hAnsi="宋体"/>
                <w:color w:val="auto"/>
                <w:szCs w:val="21"/>
                <w:highlight w:val="none"/>
                <w:u w:val="single"/>
              </w:rPr>
            </w:pPr>
            <w:r>
              <w:rPr>
                <w:rFonts w:ascii="宋体" w:hAnsi="宋体" w:eastAsia="宋体" w:cs="宋体"/>
                <w:color w:val="auto"/>
                <w:sz w:val="21"/>
                <w:szCs w:val="21"/>
                <w:highlight w:val="none"/>
                <w:u w:val="single"/>
              </w:rPr>
              <w:t>区间抽取法：</w:t>
            </w:r>
            <w:r>
              <w:rPr>
                <w:rFonts w:ascii="宋体" w:hAnsi="宋体" w:eastAsia="宋体" w:cs="宋体"/>
                <w:color w:val="auto"/>
                <w:sz w:val="21"/>
                <w:szCs w:val="21"/>
                <w:highlight w:val="none"/>
                <w:u w:val="single"/>
              </w:rPr>
              <w:br w:type="textWrapping"/>
            </w:r>
            <w:r>
              <w:rPr>
                <w:rFonts w:ascii="宋体" w:hAnsi="宋体" w:eastAsia="宋体" w:cs="宋体"/>
                <w:color w:val="auto"/>
                <w:sz w:val="21"/>
                <w:szCs w:val="21"/>
                <w:highlight w:val="none"/>
                <w:u w:val="single"/>
              </w:rPr>
              <w:t>设立技术标入围合格分数线（入围技术标合格分数线为70分（技术分满分为100分）），达到或超过及格线的投标人的报价方能参与评标参考价的计算。将达到或超过技术标及格分数线的投标报价由低至高进行排列，按以下公式计算评标参考价，计算公式如下：</w:t>
            </w:r>
            <w:r>
              <w:rPr>
                <w:rFonts w:ascii="宋体" w:hAnsi="宋体" w:eastAsia="宋体" w:cs="宋体"/>
                <w:color w:val="auto"/>
                <w:sz w:val="21"/>
                <w:szCs w:val="21"/>
                <w:highlight w:val="none"/>
                <w:u w:val="single"/>
              </w:rPr>
              <w:br w:type="textWrapping"/>
            </w:r>
            <w:r>
              <w:rPr>
                <w:rFonts w:ascii="宋体" w:hAnsi="宋体" w:eastAsia="宋体" w:cs="宋体"/>
                <w:color w:val="auto"/>
                <w:sz w:val="21"/>
                <w:szCs w:val="21"/>
                <w:highlight w:val="none"/>
                <w:u w:val="single"/>
              </w:rPr>
              <w:t>评标参考价=（Q高-Q低）/100*Ｘ+Q低</w:t>
            </w:r>
            <w:r>
              <w:rPr>
                <w:rFonts w:ascii="宋体" w:hAnsi="宋体" w:eastAsia="宋体" w:cs="宋体"/>
                <w:color w:val="auto"/>
                <w:sz w:val="21"/>
                <w:szCs w:val="21"/>
                <w:highlight w:val="none"/>
                <w:u w:val="single"/>
              </w:rPr>
              <w:br w:type="textWrapping"/>
            </w:r>
            <w:r>
              <w:rPr>
                <w:rFonts w:ascii="宋体" w:hAnsi="宋体" w:eastAsia="宋体" w:cs="宋体"/>
                <w:color w:val="auto"/>
                <w:sz w:val="21"/>
                <w:szCs w:val="21"/>
                <w:highlight w:val="none"/>
                <w:u w:val="single"/>
              </w:rPr>
              <w:t>Q低：为达到或超过技术标及格分数线的投标人最低报价与工程成本警示价两者中的较高值；</w:t>
            </w:r>
            <w:r>
              <w:rPr>
                <w:rFonts w:ascii="宋体" w:hAnsi="宋体" w:eastAsia="宋体" w:cs="宋体"/>
                <w:color w:val="auto"/>
                <w:sz w:val="21"/>
                <w:szCs w:val="21"/>
                <w:highlight w:val="none"/>
                <w:u w:val="single"/>
              </w:rPr>
              <w:br w:type="textWrapping"/>
            </w:r>
            <w:r>
              <w:rPr>
                <w:rFonts w:ascii="宋体" w:hAnsi="宋体" w:eastAsia="宋体" w:cs="宋体"/>
                <w:color w:val="auto"/>
                <w:sz w:val="21"/>
                <w:szCs w:val="21"/>
                <w:highlight w:val="none"/>
                <w:u w:val="single"/>
              </w:rPr>
              <w:t>Q高：为最高投标限价</w:t>
            </w:r>
            <w:r>
              <w:rPr>
                <w:rFonts w:ascii="宋体" w:hAnsi="宋体" w:eastAsia="宋体" w:cs="宋体"/>
                <w:color w:val="auto"/>
                <w:sz w:val="21"/>
                <w:szCs w:val="21"/>
                <w:highlight w:val="none"/>
                <w:u w:val="single"/>
              </w:rPr>
              <w:br w:type="textWrapping"/>
            </w:r>
            <w:r>
              <w:rPr>
                <w:rFonts w:ascii="宋体" w:hAnsi="宋体" w:eastAsia="宋体" w:cs="宋体"/>
                <w:color w:val="auto"/>
                <w:sz w:val="21"/>
                <w:szCs w:val="21"/>
                <w:highlight w:val="none"/>
                <w:u w:val="single"/>
              </w:rPr>
              <w:t>X:为等分点值，在开标前从[0,100]整数中随机抽取</w:t>
            </w:r>
            <w:r>
              <w:rPr>
                <w:rFonts w:ascii="宋体" w:hAnsi="宋体" w:eastAsia="宋体" w:cs="宋体"/>
                <w:color w:val="auto"/>
                <w:sz w:val="21"/>
                <w:szCs w:val="21"/>
                <w:highlight w:val="none"/>
                <w:u w:val="single"/>
              </w:rPr>
              <w:br w:type="textWrapping"/>
            </w:r>
            <w:r>
              <w:rPr>
                <w:rFonts w:hint="eastAsia" w:ascii="宋体" w:hAnsi="宋体" w:cs="宋体"/>
                <w:color w:val="auto"/>
                <w:sz w:val="21"/>
                <w:szCs w:val="21"/>
                <w:highlight w:val="none"/>
                <w:u w:val="single"/>
                <w:lang w:val="en-US" w:eastAsia="zh-CN"/>
              </w:rPr>
              <w:t xml:space="preserve">  </w:t>
            </w:r>
            <w:r>
              <w:rPr>
                <w:rFonts w:ascii="宋体" w:hAnsi="宋体" w:eastAsia="宋体" w:cs="宋体"/>
                <w:color w:val="auto"/>
                <w:sz w:val="21"/>
                <w:szCs w:val="21"/>
                <w:highlight w:val="none"/>
                <w:u w:val="single"/>
              </w:rPr>
              <w:t>2、确定投标人的经济标得分：当投标报价等于评标参考价时得100分，投标报价每高于评标参考价1%，扣</w:t>
            </w:r>
            <w:r>
              <w:rPr>
                <w:rFonts w:hint="eastAsia" w:ascii="宋体" w:hAnsi="宋体" w:cs="宋体"/>
                <w:color w:val="auto"/>
                <w:sz w:val="21"/>
                <w:szCs w:val="21"/>
                <w:highlight w:val="none"/>
                <w:u w:val="single"/>
                <w:lang w:val="en-US" w:eastAsia="zh-CN"/>
              </w:rPr>
              <w:t>1.5</w:t>
            </w:r>
            <w:r>
              <w:rPr>
                <w:rFonts w:ascii="宋体" w:hAnsi="宋体" w:eastAsia="宋体" w:cs="宋体"/>
                <w:color w:val="auto"/>
                <w:sz w:val="21"/>
                <w:szCs w:val="21"/>
                <w:highlight w:val="none"/>
                <w:u w:val="single"/>
              </w:rPr>
              <w:t>分，每低于评标参考价1%，扣</w:t>
            </w:r>
            <w:r>
              <w:rPr>
                <w:rFonts w:hint="eastAsia" w:ascii="宋体" w:hAnsi="宋体" w:cs="宋体"/>
                <w:color w:val="auto"/>
                <w:sz w:val="21"/>
                <w:szCs w:val="21"/>
                <w:highlight w:val="none"/>
                <w:u w:val="single"/>
                <w:lang w:val="en-US" w:eastAsia="zh-CN"/>
              </w:rPr>
              <w:t>1</w:t>
            </w:r>
            <w:r>
              <w:rPr>
                <w:rFonts w:ascii="宋体" w:hAnsi="宋体" w:eastAsia="宋体" w:cs="宋体"/>
                <w:color w:val="auto"/>
                <w:sz w:val="21"/>
                <w:szCs w:val="21"/>
                <w:highlight w:val="none"/>
                <w:u w:val="single"/>
              </w:rPr>
              <w:t>分，扣至0分为止</w:t>
            </w:r>
            <w:r>
              <w:rPr>
                <w:rFonts w:hint="eastAsia" w:ascii="宋体" w:hAnsi="宋体" w:cs="宋体"/>
                <w:color w:val="auto"/>
                <w:sz w:val="21"/>
                <w:szCs w:val="21"/>
                <w:highlight w:val="none"/>
                <w:u w:val="single"/>
                <w:lang w:eastAsia="zh-CN"/>
              </w:rPr>
              <w:t>。</w:t>
            </w:r>
            <w:r>
              <w:rPr>
                <w:rFonts w:hint="eastAsia" w:ascii="宋体" w:hAnsi="宋体" w:eastAsia="宋体" w:cs="宋体"/>
                <w:color w:val="auto"/>
                <w:kern w:val="0"/>
                <w:sz w:val="21"/>
                <w:szCs w:val="21"/>
                <w:highlight w:val="none"/>
                <w:u w:val="single"/>
                <w:lang w:eastAsia="zh-CN"/>
              </w:rPr>
              <w:t>根据第一章投标须知前附表第3</w:t>
            </w:r>
            <w:r>
              <w:rPr>
                <w:rFonts w:hint="eastAsia" w:ascii="宋体" w:hAnsi="宋体" w:cs="宋体"/>
                <w:color w:val="auto"/>
                <w:kern w:val="0"/>
                <w:sz w:val="21"/>
                <w:szCs w:val="21"/>
                <w:highlight w:val="none"/>
                <w:u w:val="single"/>
                <w:lang w:val="en-US" w:eastAsia="zh-CN"/>
              </w:rPr>
              <w:t>4</w:t>
            </w:r>
            <w:r>
              <w:rPr>
                <w:rFonts w:hint="eastAsia" w:ascii="宋体" w:hAnsi="宋体" w:eastAsia="宋体" w:cs="宋体"/>
                <w:color w:val="auto"/>
                <w:kern w:val="0"/>
                <w:sz w:val="21"/>
                <w:szCs w:val="21"/>
                <w:highlight w:val="none"/>
                <w:u w:val="single"/>
                <w:lang w:eastAsia="zh-CN"/>
              </w:rPr>
              <w:t>项规定实施经济标评审优惠政策（如有）。</w:t>
            </w:r>
            <w:r>
              <w:rPr>
                <w:rFonts w:ascii="宋体" w:hAnsi="宋体"/>
                <w:color w:val="auto"/>
                <w:sz w:val="21"/>
                <w:szCs w:val="21"/>
                <w:highlight w:val="none"/>
                <w:u w:val="single"/>
              </w:rPr>
              <w:t>得出经济分，精确到小数点后两位。</w:t>
            </w:r>
            <w:r>
              <w:rPr>
                <w:rFonts w:ascii="宋体" w:hAnsi="宋体" w:eastAsia="宋体" w:cs="宋体"/>
                <w:color w:val="auto"/>
                <w:sz w:val="21"/>
                <w:szCs w:val="21"/>
                <w:highlight w:val="none"/>
                <w:u w:val="single"/>
              </w:rPr>
              <w:br w:type="textWrapping"/>
            </w:r>
            <w:r>
              <w:rPr>
                <w:rFonts w:hint="eastAsia" w:ascii="宋体" w:hAnsi="宋体" w:cs="宋体"/>
                <w:color w:val="auto"/>
                <w:sz w:val="21"/>
                <w:szCs w:val="21"/>
                <w:highlight w:val="none"/>
                <w:u w:val="single"/>
                <w:lang w:val="en-US" w:eastAsia="zh-CN"/>
              </w:rPr>
              <w:t xml:space="preserve"> </w:t>
            </w:r>
            <w:r>
              <w:rPr>
                <w:rFonts w:ascii="宋体" w:hAnsi="宋体"/>
                <w:b/>
                <w:color w:val="auto"/>
                <w:szCs w:val="21"/>
                <w:highlight w:val="none"/>
                <w:u w:val="single"/>
              </w:rPr>
              <w:t>3、</w:t>
            </w:r>
            <w:r>
              <w:rPr>
                <w:rFonts w:hint="eastAsia" w:ascii="宋体" w:hAnsi="宋体"/>
                <w:color w:val="auto"/>
                <w:szCs w:val="21"/>
                <w:highlight w:val="none"/>
                <w:u w:val="single"/>
              </w:rPr>
              <w:t>计算通过技术标有效性审查的投标人总得分。投标人总得分=技术得分×技术得分权重20%＋经济得分×经济得分权重80%。技术、经济得分权重按投标须知前附表的规定执行。总得分四舍五入保留两位小数。</w:t>
            </w:r>
          </w:p>
          <w:p w14:paraId="7566B9AD">
            <w:pPr>
              <w:ind w:firstLine="210" w:firstLineChars="100"/>
              <w:rPr>
                <w:rFonts w:hint="default" w:ascii="宋体" w:hAnsi="宋体" w:eastAsia="宋体" w:cs="Times New Roman"/>
                <w:color w:val="auto"/>
                <w:kern w:val="2"/>
                <w:sz w:val="21"/>
                <w:szCs w:val="21"/>
                <w:highlight w:val="none"/>
                <w:u w:val="single"/>
                <w:lang w:val="en-US" w:eastAsia="zh-CN" w:bidi="ar-SA"/>
              </w:rPr>
            </w:pPr>
            <w:r>
              <w:rPr>
                <w:rFonts w:hint="eastAsia" w:ascii="宋体" w:hAnsi="宋体" w:eastAsia="宋体"/>
                <w:color w:val="auto"/>
                <w:szCs w:val="21"/>
                <w:highlight w:val="none"/>
                <w:u w:val="single"/>
              </w:rPr>
              <w:t>最终得分按照总分从高到低排列先后次序，</w:t>
            </w:r>
            <w:r>
              <w:rPr>
                <w:rFonts w:hint="eastAsia" w:ascii="宋体" w:hAnsi="宋体" w:eastAsia="宋体" w:cs="宋体"/>
                <w:color w:val="auto"/>
                <w:szCs w:val="21"/>
                <w:highlight w:val="none"/>
                <w:u w:val="single"/>
              </w:rPr>
              <w:t>推荐排序位于前10名次不排序的入围定标阶段的候选人进入定标阶段（若前10名次的候选人中存在综合得分相同的，则综合得分相同的所有前10名次的候选人均进入定标阶段，若前10名次的家数大于等于3家且小于等于10家的，则取全部候选人进入定标阶段）。</w:t>
            </w:r>
          </w:p>
        </w:tc>
      </w:tr>
      <w:tr w14:paraId="52D4C748">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single" w:color="auto" w:sz="4" w:space="0"/>
              <w:right w:val="single" w:color="auto" w:sz="4" w:space="0"/>
            </w:tcBorders>
            <w:vAlign w:val="center"/>
          </w:tcPr>
          <w:p w14:paraId="6BFFAD4B">
            <w:pP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36</w:t>
            </w:r>
          </w:p>
        </w:tc>
        <w:tc>
          <w:tcPr>
            <w:tcW w:w="981" w:type="dxa"/>
            <w:tcBorders>
              <w:top w:val="single" w:color="auto" w:sz="4" w:space="0"/>
              <w:left w:val="single" w:color="auto" w:sz="4" w:space="0"/>
              <w:bottom w:val="single" w:color="auto" w:sz="4" w:space="0"/>
              <w:right w:val="single" w:color="auto" w:sz="4" w:space="0"/>
            </w:tcBorders>
            <w:vAlign w:val="center"/>
          </w:tcPr>
          <w:p w14:paraId="6685A86D">
            <w:pPr>
              <w:jc w:val="center"/>
              <w:rPr>
                <w:rFonts w:ascii="宋体" w:hAnsi="宋体"/>
                <w:color w:val="auto"/>
                <w:highlight w:val="none"/>
              </w:rPr>
            </w:pPr>
          </w:p>
        </w:tc>
        <w:tc>
          <w:tcPr>
            <w:tcW w:w="1733" w:type="dxa"/>
            <w:tcBorders>
              <w:top w:val="single" w:color="auto" w:sz="4" w:space="0"/>
              <w:left w:val="single" w:color="auto" w:sz="4" w:space="0"/>
              <w:bottom w:val="single" w:color="auto" w:sz="4" w:space="0"/>
              <w:right w:val="single" w:color="auto" w:sz="4" w:space="0"/>
            </w:tcBorders>
            <w:vAlign w:val="center"/>
          </w:tcPr>
          <w:p w14:paraId="7AD1A5F3">
            <w:pPr>
              <w:rPr>
                <w:rFonts w:hint="eastAsia" w:ascii="宋体" w:hAnsi="宋体" w:cs="Courier New"/>
                <w:color w:val="auto"/>
                <w:szCs w:val="21"/>
                <w:highlight w:val="none"/>
                <w:u w:val="single"/>
              </w:rPr>
            </w:pPr>
            <w:r>
              <w:rPr>
                <w:rFonts w:hint="eastAsia" w:ascii="宋体" w:hAnsi="宋体" w:cs="宋体"/>
                <w:color w:val="auto"/>
                <w:szCs w:val="21"/>
                <w:highlight w:val="none"/>
                <w:u w:val="single"/>
              </w:rPr>
              <w:t>工程项目银行专户</w:t>
            </w:r>
          </w:p>
        </w:tc>
        <w:tc>
          <w:tcPr>
            <w:tcW w:w="5934" w:type="dxa"/>
            <w:tcBorders>
              <w:top w:val="single" w:color="auto" w:sz="4" w:space="0"/>
              <w:left w:val="single" w:color="auto" w:sz="4" w:space="0"/>
              <w:bottom w:val="single" w:color="auto" w:sz="4" w:space="0"/>
              <w:right w:val="double" w:color="auto" w:sz="4" w:space="0"/>
            </w:tcBorders>
            <w:vAlign w:val="center"/>
          </w:tcPr>
          <w:p w14:paraId="287776F7">
            <w:pPr>
              <w:autoSpaceDE w:val="0"/>
              <w:autoSpaceDN w:val="0"/>
              <w:adjustRightInd w:val="0"/>
              <w:jc w:val="left"/>
              <w:rPr>
                <w:rFonts w:hint="eastAsia" w:ascii="宋体" w:hAnsi="宋体" w:cs="Courier New"/>
                <w:color w:val="auto"/>
                <w:szCs w:val="21"/>
                <w:highlight w:val="none"/>
                <w:u w:val="single"/>
              </w:rPr>
            </w:pPr>
            <w:r>
              <w:rPr>
                <w:rFonts w:hint="eastAsia" w:ascii="宋体" w:hAnsi="宋体" w:cs="宋体"/>
                <w:color w:val="auto"/>
                <w:szCs w:val="21"/>
                <w:highlight w:val="none"/>
                <w:u w:val="single"/>
                <w:lang w:val="zh-CN"/>
              </w:rPr>
              <w:t>根据《番禺区基建办工程项目银行专户管理办法》（番基建办规章【2019】10号）规定，中标人在施工合同签订前需在相关规定内银行机构设立本工程的银行专户，未经招标人同意，中标人在投标过程中使用的银行名称及帐号至完成竣工结算不得变更，若中标人违反上述约定的，招标人有权停止工程款项的拔付及至解除合同，由此造成的一切责任由中标人承担</w:t>
            </w:r>
            <w:r>
              <w:rPr>
                <w:rFonts w:hint="eastAsia" w:ascii="宋体" w:hAnsi="宋体" w:cs="宋体"/>
                <w:color w:val="auto"/>
                <w:szCs w:val="21"/>
                <w:highlight w:val="none"/>
                <w:u w:val="single"/>
              </w:rPr>
              <w:t>。</w:t>
            </w:r>
          </w:p>
        </w:tc>
      </w:tr>
      <w:tr w14:paraId="491A9E2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702" w:type="dxa"/>
            <w:tcBorders>
              <w:top w:val="single" w:color="auto" w:sz="4" w:space="0"/>
              <w:left w:val="double" w:color="auto" w:sz="4" w:space="0"/>
              <w:bottom w:val="double" w:color="auto" w:sz="4" w:space="0"/>
              <w:right w:val="single" w:color="auto" w:sz="4" w:space="0"/>
            </w:tcBorders>
            <w:vAlign w:val="center"/>
          </w:tcPr>
          <w:p w14:paraId="6AA72176">
            <w:pP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37</w:t>
            </w:r>
          </w:p>
        </w:tc>
        <w:tc>
          <w:tcPr>
            <w:tcW w:w="981" w:type="dxa"/>
            <w:tcBorders>
              <w:top w:val="single" w:color="auto" w:sz="4" w:space="0"/>
              <w:left w:val="single" w:color="auto" w:sz="4" w:space="0"/>
              <w:bottom w:val="double" w:color="auto" w:sz="4" w:space="0"/>
              <w:right w:val="single" w:color="auto" w:sz="4" w:space="0"/>
            </w:tcBorders>
            <w:vAlign w:val="center"/>
          </w:tcPr>
          <w:p w14:paraId="0F52E16B">
            <w:pPr>
              <w:jc w:val="center"/>
              <w:rPr>
                <w:rFonts w:ascii="宋体" w:hAnsi="宋体"/>
                <w:color w:val="auto"/>
                <w:highlight w:val="none"/>
              </w:rPr>
            </w:pPr>
          </w:p>
        </w:tc>
        <w:tc>
          <w:tcPr>
            <w:tcW w:w="1733" w:type="dxa"/>
            <w:tcBorders>
              <w:top w:val="single" w:color="auto" w:sz="4" w:space="0"/>
              <w:left w:val="single" w:color="auto" w:sz="4" w:space="0"/>
              <w:bottom w:val="double" w:color="auto" w:sz="4" w:space="0"/>
              <w:right w:val="single" w:color="auto" w:sz="4" w:space="0"/>
            </w:tcBorders>
            <w:vAlign w:val="center"/>
          </w:tcPr>
          <w:p w14:paraId="63DB9DFE">
            <w:pPr>
              <w:rPr>
                <w:rFonts w:hint="eastAsia" w:ascii="宋体" w:hAnsi="宋体" w:cs="Courier New"/>
                <w:color w:val="auto"/>
                <w:szCs w:val="21"/>
                <w:highlight w:val="none"/>
                <w:u w:val="single"/>
              </w:rPr>
            </w:pPr>
            <w:r>
              <w:rPr>
                <w:rFonts w:hint="eastAsia" w:ascii="宋体" w:hAnsi="宋体" w:cs="宋体"/>
                <w:color w:val="auto"/>
                <w:szCs w:val="21"/>
                <w:highlight w:val="none"/>
                <w:u w:val="single"/>
              </w:rPr>
              <w:t>工人工资支付专用帐户</w:t>
            </w:r>
          </w:p>
        </w:tc>
        <w:tc>
          <w:tcPr>
            <w:tcW w:w="5934" w:type="dxa"/>
            <w:tcBorders>
              <w:top w:val="single" w:color="auto" w:sz="4" w:space="0"/>
              <w:left w:val="single" w:color="auto" w:sz="4" w:space="0"/>
              <w:bottom w:val="double" w:color="auto" w:sz="4" w:space="0"/>
              <w:right w:val="double" w:color="auto" w:sz="4" w:space="0"/>
            </w:tcBorders>
            <w:vAlign w:val="center"/>
          </w:tcPr>
          <w:p w14:paraId="08D1D7FB">
            <w:pPr>
              <w:rPr>
                <w:rFonts w:hint="eastAsia" w:ascii="宋体" w:hAnsi="宋体" w:cs="Courier New"/>
                <w:color w:val="auto"/>
                <w:szCs w:val="21"/>
                <w:highlight w:val="none"/>
                <w:u w:val="single"/>
              </w:rPr>
            </w:pPr>
            <w:r>
              <w:rPr>
                <w:rFonts w:hint="eastAsia" w:ascii="宋体" w:hAnsi="宋体" w:cs="宋体"/>
                <w:color w:val="auto"/>
                <w:szCs w:val="21"/>
                <w:highlight w:val="none"/>
                <w:u w:val="single"/>
              </w:rPr>
              <w:t>中标人须以工程项目为单位，在商业银行设立建设领域工人工资支付专用帐户用于支付工人工资。具体执行及管理办法参照</w:t>
            </w:r>
            <w:r>
              <w:rPr>
                <w:rFonts w:hint="eastAsia" w:ascii="宋体" w:hAnsi="宋体" w:cs="宋体"/>
                <w:color w:val="auto"/>
                <w:highlight w:val="none"/>
                <w:u w:val="single"/>
              </w:rPr>
              <w:t>《广州市住房和城乡建设局、广州市人力资源和社会保障局、广州市交通运输局等关于印发广州市建设领域工人工资支付分账管理实施细则的通知》（穗建规字〔2020〕37号）</w:t>
            </w:r>
            <w:r>
              <w:rPr>
                <w:rFonts w:hint="eastAsia" w:ascii="宋体" w:hAnsi="宋体" w:cs="宋体"/>
                <w:bCs/>
                <w:color w:val="auto"/>
                <w:kern w:val="0"/>
                <w:szCs w:val="21"/>
                <w:highlight w:val="none"/>
                <w:u w:val="single"/>
              </w:rPr>
              <w:t>执行。</w:t>
            </w:r>
          </w:p>
        </w:tc>
      </w:tr>
    </w:tbl>
    <w:p w14:paraId="64BEEC73">
      <w:pPr>
        <w:rPr>
          <w:rFonts w:hint="eastAsia"/>
          <w:b/>
          <w:color w:val="auto"/>
          <w:sz w:val="28"/>
          <w:szCs w:val="28"/>
          <w:highlight w:val="none"/>
        </w:rPr>
      </w:pPr>
      <w:r>
        <w:rPr>
          <w:rFonts w:hint="eastAsia"/>
          <w:b/>
          <w:color w:val="auto"/>
          <w:sz w:val="28"/>
          <w:szCs w:val="28"/>
          <w:highlight w:val="none"/>
        </w:rPr>
        <w:br w:type="page"/>
      </w:r>
    </w:p>
    <w:p w14:paraId="1F11A7DF">
      <w:pPr>
        <w:rPr>
          <w:rFonts w:hint="eastAsia"/>
          <w:b/>
          <w:color w:val="auto"/>
          <w:sz w:val="28"/>
          <w:szCs w:val="28"/>
          <w:highlight w:val="none"/>
        </w:rPr>
      </w:pPr>
      <w:r>
        <w:rPr>
          <w:rFonts w:hint="eastAsia"/>
          <w:b/>
          <w:color w:val="auto"/>
          <w:sz w:val="28"/>
          <w:szCs w:val="28"/>
          <w:highlight w:val="none"/>
        </w:rPr>
        <w:t>工程施工地点位置（标识）示意图：</w:t>
      </w:r>
    </w:p>
    <w:p w14:paraId="356C531E">
      <w:pPr>
        <w:pStyle w:val="6"/>
        <w:ind w:left="0"/>
        <w:jc w:val="center"/>
        <w:rPr>
          <w:color w:val="auto"/>
          <w:highlight w:val="none"/>
        </w:rPr>
      </w:pPr>
      <w:bookmarkStart w:id="12" w:name="_Toc12605"/>
      <w:bookmarkStart w:id="13" w:name="_Toc5747"/>
      <w:r>
        <w:rPr>
          <w:highlight w:val="none"/>
        </w:rPr>
        <w:drawing>
          <wp:inline distT="0" distB="0" distL="114300" distR="114300">
            <wp:extent cx="5755005" cy="4003675"/>
            <wp:effectExtent l="0" t="0" r="17145" b="158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5755005" cy="4003675"/>
                    </a:xfrm>
                    <a:prstGeom prst="rect">
                      <a:avLst/>
                    </a:prstGeom>
                    <a:noFill/>
                    <a:ln>
                      <a:noFill/>
                    </a:ln>
                  </pic:spPr>
                </pic:pic>
              </a:graphicData>
            </a:graphic>
          </wp:inline>
        </w:drawing>
      </w:r>
      <w:r>
        <w:rPr>
          <w:color w:val="auto"/>
          <w:highlight w:val="none"/>
        </w:rPr>
        <w:br w:type="page"/>
      </w:r>
      <w:bookmarkStart w:id="14" w:name="_Toc25354"/>
      <w:bookmarkStart w:id="15" w:name="_Toc28760"/>
      <w:bookmarkStart w:id="16" w:name="_Toc2272547"/>
      <w:bookmarkStart w:id="17" w:name="_Toc21525491"/>
      <w:r>
        <w:rPr>
          <w:rStyle w:val="62"/>
          <w:rFonts w:hint="eastAsia"/>
          <w:b/>
          <w:color w:val="auto"/>
          <w:highlight w:val="none"/>
        </w:rPr>
        <w:t>二、投标须知修改表</w:t>
      </w:r>
      <w:bookmarkEnd w:id="12"/>
      <w:bookmarkEnd w:id="13"/>
      <w:bookmarkEnd w:id="14"/>
      <w:bookmarkEnd w:id="15"/>
      <w:bookmarkEnd w:id="16"/>
      <w:bookmarkEnd w:id="17"/>
    </w:p>
    <w:p w14:paraId="6E5616EA">
      <w:pPr>
        <w:pStyle w:val="4"/>
        <w:spacing w:after="80" w:line="360" w:lineRule="auto"/>
        <w:rPr>
          <w:b/>
          <w:color w:val="auto"/>
          <w:szCs w:val="21"/>
          <w:highlight w:val="none"/>
        </w:rPr>
      </w:pPr>
      <w:r>
        <w:rPr>
          <w:rFonts w:hint="eastAsia"/>
          <w:b/>
          <w:color w:val="auto"/>
          <w:szCs w:val="21"/>
          <w:highlight w:val="none"/>
        </w:rPr>
        <w:t>声明：本投标须知使用招标文件范本的投标须知通用条款，与该通用条款不同之处，均在本表中列明，并以现文为准，原文不再有效。</w:t>
      </w:r>
      <w:r>
        <w:rPr>
          <w:rFonts w:hint="eastAsia" w:ascii="宋体" w:hAnsi="宋体"/>
          <w:b w:val="0"/>
          <w:bCs/>
          <w:color w:val="auto"/>
          <w:sz w:val="21"/>
          <w:szCs w:val="21"/>
          <w:highlight w:val="none"/>
          <w:lang w:eastAsia="zh-CN"/>
        </w:rPr>
        <w:t>（注：招标人按《投标须知修改表》修改的内容对应修改通用条款，属于删除的采用“</w:t>
      </w:r>
      <w:r>
        <w:rPr>
          <w:rFonts w:hint="eastAsia" w:ascii="宋体" w:hAnsi="宋体"/>
          <w:b w:val="0"/>
          <w:bCs/>
          <w:strike/>
          <w:dstrike w:val="0"/>
          <w:color w:val="auto"/>
          <w:sz w:val="21"/>
          <w:szCs w:val="21"/>
          <w:highlight w:val="none"/>
          <w:lang w:val="en-US" w:eastAsia="zh-CN"/>
        </w:rPr>
        <w:t xml:space="preserve">   </w:t>
      </w:r>
      <w:r>
        <w:rPr>
          <w:rFonts w:hint="eastAsia" w:ascii="宋体" w:hAnsi="宋体"/>
          <w:b w:val="0"/>
          <w:bCs/>
          <w:strike w:val="0"/>
          <w:dstrike w:val="0"/>
          <w:color w:val="auto"/>
          <w:sz w:val="21"/>
          <w:szCs w:val="21"/>
          <w:highlight w:val="none"/>
          <w:lang w:val="en-US" w:eastAsia="zh-CN"/>
        </w:rPr>
        <w:t>”表示，</w:t>
      </w:r>
      <w:r>
        <w:rPr>
          <w:rFonts w:hint="eastAsia" w:ascii="宋体" w:hAnsi="宋体"/>
          <w:b w:val="0"/>
          <w:bCs/>
          <w:color w:val="auto"/>
          <w:sz w:val="21"/>
          <w:szCs w:val="21"/>
          <w:highlight w:val="none"/>
          <w:lang w:eastAsia="zh-CN"/>
        </w:rPr>
        <w:t>如“</w:t>
      </w:r>
      <w:r>
        <w:rPr>
          <w:rFonts w:hint="eastAsia" w:ascii="宋体" w:hAnsi="宋体"/>
          <w:b w:val="0"/>
          <w:bCs/>
          <w:strike/>
          <w:dstrike w:val="0"/>
          <w:color w:val="auto"/>
          <w:sz w:val="21"/>
          <w:szCs w:val="21"/>
          <w:highlight w:val="none"/>
          <w:u w:val="none"/>
          <w:lang w:eastAsia="zh-CN"/>
        </w:rPr>
        <w:t>删除</w:t>
      </w:r>
      <w:r>
        <w:rPr>
          <w:rFonts w:hint="eastAsia" w:ascii="宋体" w:hAnsi="宋体"/>
          <w:b w:val="0"/>
          <w:bCs/>
          <w:color w:val="auto"/>
          <w:sz w:val="21"/>
          <w:szCs w:val="21"/>
          <w:highlight w:val="none"/>
          <w:lang w:eastAsia="zh-CN"/>
        </w:rPr>
        <w:t>”；属于新增、修改的内容，用</w:t>
      </w:r>
      <w:r>
        <w:rPr>
          <w:rFonts w:hint="eastAsia" w:ascii="宋体" w:hAnsi="宋体"/>
          <w:b/>
          <w:bCs w:val="0"/>
          <w:color w:val="auto"/>
          <w:sz w:val="21"/>
          <w:szCs w:val="21"/>
          <w:highlight w:val="none"/>
          <w:lang w:eastAsia="zh-CN"/>
        </w:rPr>
        <w:t>黑色加粗</w:t>
      </w:r>
      <w:r>
        <w:rPr>
          <w:rFonts w:hint="eastAsia" w:ascii="宋体" w:hAnsi="宋体"/>
          <w:b w:val="0"/>
          <w:bCs/>
          <w:color w:val="auto"/>
          <w:sz w:val="21"/>
          <w:szCs w:val="21"/>
          <w:highlight w:val="none"/>
          <w:lang w:eastAsia="zh-CN"/>
        </w:rPr>
        <w:t>字体显示</w:t>
      </w:r>
      <w:r>
        <w:rPr>
          <w:rFonts w:hint="eastAsia" w:ascii="宋体" w:hAnsi="宋体"/>
          <w:b w:val="0"/>
          <w:bCs/>
          <w:color w:val="auto"/>
          <w:sz w:val="21"/>
          <w:szCs w:val="21"/>
          <w:highlight w:val="none"/>
          <w:lang w:val="en-US" w:eastAsia="zh-CN"/>
        </w:rPr>
        <w:t>,并加注下划线，如“</w:t>
      </w:r>
      <w:r>
        <w:rPr>
          <w:rFonts w:hint="eastAsia" w:ascii="宋体" w:hAnsi="宋体"/>
          <w:b/>
          <w:bCs w:val="0"/>
          <w:color w:val="auto"/>
          <w:sz w:val="21"/>
          <w:szCs w:val="21"/>
          <w:highlight w:val="none"/>
          <w:u w:val="single"/>
          <w:lang w:val="en-US" w:eastAsia="zh-CN"/>
        </w:rPr>
        <w:t>新增修改</w:t>
      </w:r>
      <w:r>
        <w:rPr>
          <w:rFonts w:hint="eastAsia" w:ascii="宋体" w:hAnsi="宋体"/>
          <w:b w:val="0"/>
          <w:bCs/>
          <w:color w:val="auto"/>
          <w:sz w:val="21"/>
          <w:szCs w:val="21"/>
          <w:highlight w:val="none"/>
          <w:lang w:val="en-US" w:eastAsia="zh-CN"/>
        </w:rPr>
        <w:t>”</w:t>
      </w:r>
      <w:r>
        <w:rPr>
          <w:rFonts w:hint="eastAsia" w:ascii="宋体" w:hAnsi="宋体"/>
          <w:b w:val="0"/>
          <w:bCs/>
          <w:color w:val="auto"/>
          <w:sz w:val="21"/>
          <w:szCs w:val="21"/>
          <w:highlight w:val="none"/>
          <w:lang w:eastAsia="zh-CN"/>
        </w:rPr>
        <w:t>。</w:t>
      </w:r>
      <w:r>
        <w:rPr>
          <w:rFonts w:hint="eastAsia" w:ascii="宋体" w:hAnsi="宋体"/>
          <w:b w:val="0"/>
          <w:bCs/>
          <w:color w:val="auto"/>
          <w:sz w:val="24"/>
          <w:szCs w:val="24"/>
          <w:highlight w:val="none"/>
          <w:lang w:eastAsia="zh-CN"/>
        </w:rPr>
        <w:t>）</w:t>
      </w:r>
    </w:p>
    <w:p w14:paraId="1EC50EC3">
      <w:pPr>
        <w:spacing w:line="480" w:lineRule="auto"/>
        <w:ind w:firstLine="472" w:firstLineChars="224"/>
        <w:rPr>
          <w:b/>
          <w:color w:val="auto"/>
          <w:szCs w:val="21"/>
          <w:highlight w:val="none"/>
        </w:rPr>
      </w:pPr>
      <w:r>
        <w:rPr>
          <w:rFonts w:hint="eastAsia"/>
          <w:b/>
          <w:color w:val="auto"/>
          <w:szCs w:val="21"/>
          <w:highlight w:val="none"/>
        </w:rPr>
        <w:t>条款号：</w:t>
      </w:r>
      <w:r>
        <w:rPr>
          <w:rFonts w:hint="eastAsia" w:ascii="宋体" w:hAnsi="宋体"/>
          <w:b/>
          <w:bCs w:val="0"/>
          <w:color w:val="auto"/>
          <w:sz w:val="21"/>
          <w:szCs w:val="21"/>
          <w:highlight w:val="none"/>
        </w:rPr>
        <w:t>5.1</w:t>
      </w:r>
      <w:r>
        <w:rPr>
          <w:rFonts w:hint="eastAsia" w:ascii="宋体" w:hAnsi="宋体"/>
          <w:bCs/>
          <w:color w:val="auto"/>
          <w:sz w:val="21"/>
          <w:szCs w:val="21"/>
          <w:highlight w:val="none"/>
        </w:rPr>
        <w:t xml:space="preserve">  </w:t>
      </w:r>
      <w:r>
        <w:rPr>
          <w:rFonts w:hint="eastAsia" w:ascii="宋体" w:hAnsi="宋体"/>
          <w:bCs/>
          <w:color w:val="auto"/>
          <w:sz w:val="24"/>
          <w:highlight w:val="none"/>
        </w:rPr>
        <w:t xml:space="preserve"> </w:t>
      </w:r>
      <w:r>
        <w:rPr>
          <w:rFonts w:ascii="宋体" w:hAnsi="宋体"/>
          <w:bCs/>
          <w:color w:val="auto"/>
          <w:sz w:val="24"/>
          <w:highlight w:val="none"/>
        </w:rPr>
        <w:t xml:space="preserve">    </w:t>
      </w:r>
      <w:r>
        <w:rPr>
          <w:b/>
          <w:color w:val="auto"/>
          <w:szCs w:val="21"/>
          <w:highlight w:val="none"/>
        </w:rPr>
        <w:t xml:space="preserve">      </w:t>
      </w:r>
      <w:r>
        <w:rPr>
          <w:rFonts w:hint="eastAsia"/>
          <w:b/>
          <w:color w:val="auto"/>
          <w:szCs w:val="21"/>
          <w:highlight w:val="none"/>
        </w:rPr>
        <w:t>修改类型：修改</w:t>
      </w:r>
    </w:p>
    <w:p w14:paraId="783F1DE9">
      <w:pPr>
        <w:pBdr>
          <w:bottom w:val="single" w:color="auto" w:sz="6" w:space="1"/>
        </w:pBdr>
        <w:spacing w:line="440" w:lineRule="exact"/>
        <w:ind w:firstLine="472" w:firstLineChars="224"/>
        <w:rPr>
          <w:rFonts w:hint="eastAsia" w:ascii="宋体" w:hAnsi="宋体"/>
          <w:bCs/>
          <w:color w:val="auto"/>
          <w:szCs w:val="21"/>
          <w:highlight w:val="none"/>
        </w:rPr>
      </w:pPr>
      <w:r>
        <w:rPr>
          <w:rFonts w:hint="eastAsia"/>
          <w:b/>
          <w:color w:val="auto"/>
          <w:szCs w:val="21"/>
          <w:highlight w:val="none"/>
        </w:rPr>
        <w:t>原文：</w:t>
      </w:r>
      <w:r>
        <w:rPr>
          <w:rFonts w:hint="eastAsia" w:ascii="宋体" w:hAnsi="宋体"/>
          <w:bCs/>
          <w:color w:val="auto"/>
          <w:sz w:val="21"/>
          <w:szCs w:val="21"/>
          <w:highlight w:val="none"/>
        </w:rPr>
        <w:t>5.1 投标人应按本投标须知前附表第1</w:t>
      </w:r>
      <w:r>
        <w:rPr>
          <w:rFonts w:hint="eastAsia" w:ascii="宋体" w:hAnsi="宋体"/>
          <w:bCs/>
          <w:color w:val="auto"/>
          <w:sz w:val="21"/>
          <w:szCs w:val="21"/>
          <w:highlight w:val="none"/>
          <w:lang w:val="en-US" w:eastAsia="zh-CN"/>
        </w:rPr>
        <w:t>2</w:t>
      </w:r>
      <w:r>
        <w:rPr>
          <w:rFonts w:hint="eastAsia" w:ascii="宋体" w:hAnsi="宋体"/>
          <w:bCs/>
          <w:color w:val="auto"/>
          <w:sz w:val="21"/>
          <w:szCs w:val="21"/>
          <w:highlight w:val="none"/>
        </w:rPr>
        <w:t>项所述时间和要求</w:t>
      </w:r>
      <w:r>
        <w:rPr>
          <w:rFonts w:hint="eastAsia" w:ascii="宋体" w:hAnsi="宋体"/>
          <w:bCs/>
          <w:color w:val="auto"/>
          <w:sz w:val="21"/>
          <w:szCs w:val="21"/>
          <w:highlight w:val="none"/>
          <w:lang w:eastAsia="zh-CN"/>
        </w:rPr>
        <w:t>自行</w:t>
      </w:r>
      <w:r>
        <w:rPr>
          <w:rFonts w:hint="eastAsia" w:ascii="宋体" w:hAnsi="宋体"/>
          <w:bCs/>
          <w:color w:val="auto"/>
          <w:sz w:val="21"/>
          <w:szCs w:val="21"/>
          <w:highlight w:val="none"/>
        </w:rPr>
        <w:t>对工程现场及周围环境进行踏勘，投标人应充分重视和仔细地进行这种考察，以便投标人获取那些须投标人自己负责的有关编制投标文件和签署合同所涉及现场所有的资料。一旦中标，这种考察即被认为其结果已在中标文件中得到充分反映。</w:t>
      </w:r>
    </w:p>
    <w:p w14:paraId="3941D404">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现文：</w:t>
      </w:r>
      <w:r>
        <w:rPr>
          <w:rFonts w:ascii="宋体" w:hAnsi="宋体"/>
          <w:bCs/>
          <w:color w:val="auto"/>
          <w:sz w:val="21"/>
          <w:szCs w:val="21"/>
          <w:highlight w:val="none"/>
        </w:rPr>
        <w:t xml:space="preserve">5.1 </w:t>
      </w:r>
      <w:r>
        <w:rPr>
          <w:rFonts w:hint="eastAsia" w:ascii="宋体" w:hAnsi="宋体"/>
          <w:bCs/>
          <w:color w:val="auto"/>
          <w:sz w:val="21"/>
          <w:szCs w:val="21"/>
          <w:highlight w:val="none"/>
        </w:rPr>
        <w:t>投标人应按本投标须知前附表第</w:t>
      </w:r>
      <w:r>
        <w:rPr>
          <w:rFonts w:ascii="宋体" w:hAnsi="宋体"/>
          <w:bCs/>
          <w:color w:val="auto"/>
          <w:sz w:val="21"/>
          <w:szCs w:val="21"/>
          <w:highlight w:val="none"/>
        </w:rPr>
        <w:t>1</w:t>
      </w:r>
      <w:r>
        <w:rPr>
          <w:rFonts w:hint="eastAsia" w:ascii="宋体" w:hAnsi="宋体"/>
          <w:bCs/>
          <w:color w:val="auto"/>
          <w:sz w:val="21"/>
          <w:szCs w:val="21"/>
          <w:highlight w:val="none"/>
          <w:lang w:val="en-US" w:eastAsia="zh-CN"/>
        </w:rPr>
        <w:t>2</w:t>
      </w:r>
      <w:r>
        <w:rPr>
          <w:rFonts w:hint="eastAsia" w:ascii="宋体" w:hAnsi="宋体"/>
          <w:bCs/>
          <w:color w:val="auto"/>
          <w:sz w:val="21"/>
          <w:szCs w:val="21"/>
          <w:highlight w:val="none"/>
        </w:rPr>
        <w:t>项所述时间和要求</w:t>
      </w:r>
      <w:r>
        <w:rPr>
          <w:rFonts w:hint="eastAsia" w:ascii="宋体" w:hAnsi="宋体"/>
          <w:bCs/>
          <w:color w:val="auto"/>
          <w:sz w:val="21"/>
          <w:szCs w:val="21"/>
          <w:highlight w:val="none"/>
          <w:lang w:eastAsia="zh-CN"/>
        </w:rPr>
        <w:t>自行</w:t>
      </w:r>
      <w:r>
        <w:rPr>
          <w:rFonts w:hint="eastAsia" w:ascii="宋体" w:hAnsi="宋体"/>
          <w:bCs/>
          <w:color w:val="auto"/>
          <w:sz w:val="21"/>
          <w:szCs w:val="21"/>
          <w:highlight w:val="none"/>
        </w:rPr>
        <w:t>对工程现场及周围环境进行踏勘，</w:t>
      </w:r>
      <w:r>
        <w:rPr>
          <w:rFonts w:hint="eastAsia" w:ascii="宋体" w:hAnsi="宋体"/>
          <w:color w:val="auto"/>
          <w:sz w:val="21"/>
          <w:szCs w:val="21"/>
          <w:highlight w:val="none"/>
        </w:rPr>
        <w:t>投标人应充分重视和仔细地进行这种考察，</w:t>
      </w:r>
      <w:r>
        <w:rPr>
          <w:rFonts w:hint="eastAsia" w:ascii="宋体" w:hAnsi="宋体"/>
          <w:bCs/>
          <w:color w:val="auto"/>
          <w:sz w:val="21"/>
          <w:szCs w:val="21"/>
          <w:highlight w:val="none"/>
        </w:rPr>
        <w:t>以便投标人获取</w:t>
      </w:r>
      <w:r>
        <w:rPr>
          <w:rFonts w:hint="eastAsia" w:ascii="宋体" w:hAnsi="宋体"/>
          <w:color w:val="auto"/>
          <w:sz w:val="21"/>
          <w:szCs w:val="21"/>
          <w:highlight w:val="none"/>
        </w:rPr>
        <w:t>那些须投标人自己负责的</w:t>
      </w:r>
      <w:r>
        <w:rPr>
          <w:rFonts w:hint="eastAsia" w:ascii="宋体" w:hAnsi="宋体"/>
          <w:bCs/>
          <w:color w:val="auto"/>
          <w:sz w:val="21"/>
          <w:szCs w:val="21"/>
          <w:highlight w:val="none"/>
        </w:rPr>
        <w:t>有关编制投标文件和签署合同所涉及现场所有的资料。</w:t>
      </w:r>
      <w:r>
        <w:rPr>
          <w:rFonts w:hint="eastAsia" w:ascii="宋体" w:hAnsi="宋体"/>
          <w:b/>
          <w:bCs w:val="0"/>
          <w:color w:val="auto"/>
          <w:sz w:val="21"/>
          <w:szCs w:val="21"/>
          <w:highlight w:val="none"/>
          <w:u w:val="single"/>
        </w:rPr>
        <w:t>投标人不进行踏勘的，视为已熟知现场条件，自行承担相关风险。投标人需根据现场踏勘情况以及图纸及工程量清单，如有疑问的应在招标答疑时提出，招标答疑后经招标单位修正确认的工程量清单作为综合单价包干的结算依据，投标单位必须按此清单统一报价。</w:t>
      </w:r>
      <w:r>
        <w:rPr>
          <w:rFonts w:hint="eastAsia" w:ascii="宋体" w:hAnsi="宋体"/>
          <w:bCs/>
          <w:color w:val="auto"/>
          <w:sz w:val="21"/>
          <w:szCs w:val="21"/>
          <w:highlight w:val="none"/>
        </w:rPr>
        <w:t>一旦中标，这种考察即被认为其结果已在中标文件中得到充分反映。</w:t>
      </w:r>
    </w:p>
    <w:p w14:paraId="647B5BEF">
      <w:pPr>
        <w:spacing w:line="480" w:lineRule="auto"/>
        <w:ind w:firstLine="472" w:firstLineChars="224"/>
        <w:rPr>
          <w:rFonts w:hint="eastAsia" w:ascii="宋体" w:hAnsi="宋体" w:cs="宋体"/>
          <w:b/>
          <w:szCs w:val="21"/>
          <w:highlight w:val="none"/>
        </w:rPr>
      </w:pPr>
      <w:r>
        <w:rPr>
          <w:rFonts w:hint="eastAsia" w:ascii="宋体" w:hAnsi="宋体" w:cs="宋体"/>
          <w:b/>
          <w:szCs w:val="21"/>
          <w:highlight w:val="none"/>
        </w:rPr>
        <w:t>条款号：7.1             修改类型：修改</w:t>
      </w:r>
    </w:p>
    <w:p w14:paraId="4AD8FF14">
      <w:pPr>
        <w:pBdr>
          <w:top w:val="none" w:color="auto" w:sz="0" w:space="0"/>
          <w:left w:val="none" w:color="auto" w:sz="0" w:space="0"/>
          <w:bottom w:val="none" w:color="auto" w:sz="0" w:space="1"/>
          <w:right w:val="none" w:color="auto" w:sz="0" w:space="0"/>
          <w:between w:val="none" w:color="auto" w:sz="0" w:space="0"/>
        </w:pBdr>
        <w:spacing w:line="360" w:lineRule="auto"/>
        <w:ind w:firstLine="472" w:firstLineChars="224"/>
        <w:rPr>
          <w:rFonts w:hint="eastAsia" w:ascii="宋体" w:hAnsi="宋体" w:cs="宋体"/>
          <w:bCs/>
          <w:szCs w:val="21"/>
          <w:highlight w:val="none"/>
        </w:rPr>
      </w:pPr>
      <w:r>
        <w:rPr>
          <w:rFonts w:hint="eastAsia" w:ascii="宋体" w:hAnsi="宋体" w:cs="宋体"/>
          <w:b/>
          <w:szCs w:val="21"/>
          <w:highlight w:val="none"/>
        </w:rPr>
        <w:t>原文：</w:t>
      </w:r>
      <w:r>
        <w:rPr>
          <w:rFonts w:hint="eastAsia" w:ascii="宋体" w:hAnsi="宋体" w:cs="宋体"/>
          <w:bCs/>
          <w:szCs w:val="21"/>
          <w:highlight w:val="none"/>
          <w:u w:val="single"/>
        </w:rPr>
        <w:t>7.1本招标文件包括下列文件，以及所有按本须知第8条发出的招标答疑会会议纪要和按本须知第9条发出的澄清或修改：</w:t>
      </w:r>
    </w:p>
    <w:p w14:paraId="57F09908">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（1）</w:t>
      </w:r>
      <w:r>
        <w:rPr>
          <w:rFonts w:hint="eastAsia" w:ascii="宋体" w:hAnsi="宋体" w:cs="宋体"/>
          <w:bCs/>
          <w:szCs w:val="21"/>
          <w:highlight w:val="none"/>
          <w:u w:val="single"/>
        </w:rPr>
        <w:t>招标公告</w:t>
      </w:r>
    </w:p>
    <w:p w14:paraId="1609959D">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（2）</w:t>
      </w:r>
      <w:r>
        <w:rPr>
          <w:rFonts w:hint="eastAsia" w:ascii="宋体" w:hAnsi="宋体" w:cs="宋体"/>
          <w:bCs/>
          <w:szCs w:val="21"/>
          <w:highlight w:val="none"/>
          <w:u w:val="single"/>
        </w:rPr>
        <w:t>投标须知</w:t>
      </w:r>
    </w:p>
    <w:p w14:paraId="5CA6DE70">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（3）</w:t>
      </w:r>
      <w:r>
        <w:rPr>
          <w:rFonts w:hint="eastAsia" w:ascii="宋体" w:hAnsi="宋体" w:cs="宋体"/>
          <w:bCs/>
          <w:szCs w:val="21"/>
          <w:highlight w:val="none"/>
          <w:u w:val="single"/>
        </w:rPr>
        <w:t>开标、评标及定标办法</w:t>
      </w:r>
    </w:p>
    <w:p w14:paraId="067FBB73">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（4）</w:t>
      </w:r>
      <w:r>
        <w:rPr>
          <w:rFonts w:hint="eastAsia" w:ascii="宋体" w:hAnsi="宋体" w:cs="宋体"/>
          <w:bCs/>
          <w:szCs w:val="21"/>
          <w:highlight w:val="none"/>
          <w:u w:val="single"/>
        </w:rPr>
        <w:t>合同条款</w:t>
      </w:r>
    </w:p>
    <w:p w14:paraId="276F3380">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（5）</w:t>
      </w:r>
      <w:r>
        <w:rPr>
          <w:rFonts w:hint="eastAsia" w:ascii="宋体" w:hAnsi="宋体" w:cs="宋体"/>
          <w:bCs/>
          <w:szCs w:val="21"/>
          <w:highlight w:val="none"/>
          <w:u w:val="single"/>
        </w:rPr>
        <w:t>投标文件格式</w:t>
      </w:r>
    </w:p>
    <w:p w14:paraId="513F30A1">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（6）</w:t>
      </w:r>
      <w:r>
        <w:rPr>
          <w:rFonts w:hint="eastAsia" w:ascii="宋体" w:hAnsi="宋体" w:cs="宋体"/>
          <w:bCs/>
          <w:szCs w:val="21"/>
          <w:highlight w:val="none"/>
          <w:u w:val="single"/>
        </w:rPr>
        <w:t>技术条件（工程建设标准）</w:t>
      </w:r>
    </w:p>
    <w:p w14:paraId="17398B35">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（7）</w:t>
      </w:r>
      <w:r>
        <w:rPr>
          <w:rFonts w:hint="eastAsia" w:ascii="宋体" w:hAnsi="宋体" w:cs="宋体"/>
          <w:bCs/>
          <w:szCs w:val="21"/>
          <w:highlight w:val="none"/>
          <w:u w:val="single"/>
        </w:rPr>
        <w:t>图纸及勘察资料</w:t>
      </w:r>
    </w:p>
    <w:p w14:paraId="740571D6">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（8）</w:t>
      </w:r>
      <w:r>
        <w:rPr>
          <w:rFonts w:hint="eastAsia" w:ascii="宋体" w:hAnsi="宋体" w:cs="宋体"/>
          <w:bCs/>
          <w:szCs w:val="21"/>
          <w:highlight w:val="none"/>
          <w:u w:val="single"/>
        </w:rPr>
        <w:t>招标工程量清单</w:t>
      </w:r>
    </w:p>
    <w:p w14:paraId="7BC7A7CD">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（9）</w:t>
      </w:r>
      <w:r>
        <w:rPr>
          <w:rFonts w:hint="eastAsia" w:ascii="宋体" w:hAnsi="宋体" w:cs="宋体"/>
          <w:bCs/>
          <w:szCs w:val="21"/>
          <w:highlight w:val="none"/>
          <w:u w:val="single"/>
        </w:rPr>
        <w:t>最高投标限价</w:t>
      </w:r>
    </w:p>
    <w:p w14:paraId="63251D4A">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注：招标人应在技术条件（工程建设标准）中明确如下内容：</w:t>
      </w:r>
    </w:p>
    <w:p w14:paraId="4B1B72E1">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1.施工现场建筑垃圾源头减量的具体要求和建筑垃圾综合利用产品的使用要求。</w:t>
      </w:r>
    </w:p>
    <w:p w14:paraId="362F1009">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2.占道施工相关告知、围蔽、修复等要求。</w:t>
      </w:r>
    </w:p>
    <w:p w14:paraId="4EC8FD42">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3.对照《广州市智能建造技术清单（1.0版）》对招标项目智能建造提出要求。</w:t>
      </w:r>
    </w:p>
    <w:p w14:paraId="0D6669FD">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4.招标人对中标人参与“百千万工程”的具体要求。</w:t>
      </w:r>
    </w:p>
    <w:p w14:paraId="49A73549">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5.在建筑废弃物运输上落实《关于加快推动氢能产业高质量发展的若干措施》的要求。</w:t>
      </w:r>
    </w:p>
    <w:p w14:paraId="0CA68624">
      <w:pPr>
        <w:pBdr>
          <w:bottom w:val="single" w:color="auto" w:sz="6" w:space="1"/>
        </w:pBdr>
        <w:spacing w:line="360" w:lineRule="auto"/>
        <w:ind w:firstLine="472" w:firstLineChars="224"/>
        <w:rPr>
          <w:rFonts w:hint="eastAsia" w:ascii="宋体" w:hAnsi="宋体" w:cs="宋体"/>
          <w:bCs/>
          <w:szCs w:val="21"/>
          <w:highlight w:val="none"/>
        </w:rPr>
      </w:pPr>
      <w:r>
        <w:rPr>
          <w:rFonts w:hint="eastAsia" w:ascii="宋体" w:hAnsi="宋体" w:cs="宋体"/>
          <w:b/>
          <w:szCs w:val="21"/>
          <w:highlight w:val="none"/>
        </w:rPr>
        <w:t>现文：</w:t>
      </w:r>
      <w:r>
        <w:rPr>
          <w:rFonts w:hint="eastAsia" w:ascii="宋体" w:hAnsi="宋体" w:cs="宋体"/>
          <w:bCs/>
          <w:szCs w:val="21"/>
          <w:highlight w:val="none"/>
          <w:u w:val="single"/>
        </w:rPr>
        <w:t>7.1本招标文件包括下列文件，以及所有按本须知第8条发出的招标答疑会会议纪要和按本须知第9条发出的澄清或修改：</w:t>
      </w:r>
    </w:p>
    <w:p w14:paraId="2F143AF8">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 xml:space="preserve">（1） </w:t>
      </w:r>
      <w:r>
        <w:rPr>
          <w:rFonts w:hint="eastAsia" w:ascii="宋体" w:hAnsi="宋体" w:cs="宋体"/>
          <w:bCs/>
          <w:szCs w:val="21"/>
          <w:highlight w:val="none"/>
          <w:u w:val="single"/>
        </w:rPr>
        <w:t>招标公告</w:t>
      </w:r>
      <w:r>
        <w:rPr>
          <w:rFonts w:hint="eastAsia" w:ascii="宋体" w:hAnsi="宋体" w:cs="宋体"/>
          <w:b/>
          <w:bCs w:val="0"/>
          <w:szCs w:val="21"/>
          <w:highlight w:val="none"/>
          <w:u w:val="single"/>
        </w:rPr>
        <w:t>（另册）</w:t>
      </w:r>
    </w:p>
    <w:p w14:paraId="4F2D73EE">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 xml:space="preserve">（2） </w:t>
      </w:r>
      <w:r>
        <w:rPr>
          <w:rFonts w:hint="eastAsia" w:ascii="宋体" w:hAnsi="宋体" w:cs="宋体"/>
          <w:bCs/>
          <w:szCs w:val="21"/>
          <w:highlight w:val="none"/>
          <w:u w:val="single"/>
        </w:rPr>
        <w:t>投标须知</w:t>
      </w:r>
    </w:p>
    <w:p w14:paraId="2C247199">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 xml:space="preserve">（3） </w:t>
      </w:r>
      <w:r>
        <w:rPr>
          <w:rFonts w:hint="eastAsia" w:ascii="宋体" w:hAnsi="宋体" w:cs="宋体"/>
          <w:bCs/>
          <w:szCs w:val="21"/>
          <w:highlight w:val="none"/>
          <w:u w:val="single"/>
        </w:rPr>
        <w:t>开标、评标及定标办法</w:t>
      </w:r>
    </w:p>
    <w:p w14:paraId="6C0C844D">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 xml:space="preserve">（4） </w:t>
      </w:r>
      <w:r>
        <w:rPr>
          <w:rFonts w:hint="eastAsia" w:ascii="宋体" w:hAnsi="宋体" w:cs="宋体"/>
          <w:bCs/>
          <w:szCs w:val="21"/>
          <w:highlight w:val="none"/>
          <w:u w:val="single"/>
        </w:rPr>
        <w:t>合同条款</w:t>
      </w:r>
      <w:r>
        <w:rPr>
          <w:rFonts w:hint="eastAsia" w:ascii="宋体" w:hAnsi="宋体" w:cs="宋体"/>
          <w:b/>
          <w:bCs w:val="0"/>
          <w:szCs w:val="21"/>
          <w:highlight w:val="none"/>
          <w:u w:val="single"/>
        </w:rPr>
        <w:t>（另册）</w:t>
      </w:r>
    </w:p>
    <w:p w14:paraId="746754BB">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 xml:space="preserve">（5） </w:t>
      </w:r>
      <w:r>
        <w:rPr>
          <w:rFonts w:hint="eastAsia" w:ascii="宋体" w:hAnsi="宋体" w:cs="宋体"/>
          <w:bCs/>
          <w:szCs w:val="21"/>
          <w:highlight w:val="none"/>
          <w:u w:val="single"/>
        </w:rPr>
        <w:t>投标文件格式</w:t>
      </w:r>
    </w:p>
    <w:p w14:paraId="47E112D4">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 xml:space="preserve">（6） </w:t>
      </w:r>
      <w:r>
        <w:rPr>
          <w:rFonts w:hint="eastAsia" w:ascii="宋体" w:hAnsi="宋体" w:cs="宋体"/>
          <w:bCs/>
          <w:szCs w:val="21"/>
          <w:highlight w:val="none"/>
          <w:u w:val="single"/>
        </w:rPr>
        <w:t>技术条件（工程建设标准）</w:t>
      </w:r>
    </w:p>
    <w:p w14:paraId="56C06CD0">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 xml:space="preserve">（7） </w:t>
      </w:r>
      <w:r>
        <w:rPr>
          <w:rFonts w:hint="eastAsia" w:ascii="宋体" w:hAnsi="宋体" w:cs="宋体"/>
          <w:bCs/>
          <w:szCs w:val="21"/>
          <w:highlight w:val="none"/>
          <w:u w:val="single"/>
        </w:rPr>
        <w:t>图纸及勘察资料</w:t>
      </w:r>
      <w:r>
        <w:rPr>
          <w:rFonts w:hint="eastAsia" w:ascii="宋体" w:hAnsi="宋体" w:eastAsia="宋体" w:cs="宋体"/>
          <w:b/>
          <w:bCs w:val="0"/>
          <w:szCs w:val="21"/>
          <w:highlight w:val="none"/>
          <w:u w:val="single"/>
        </w:rPr>
        <w:t>（另册）</w:t>
      </w:r>
    </w:p>
    <w:p w14:paraId="70A5B8E2">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 xml:space="preserve">（8） </w:t>
      </w:r>
      <w:r>
        <w:rPr>
          <w:rFonts w:hint="eastAsia" w:ascii="宋体" w:hAnsi="宋体" w:cs="宋体"/>
          <w:bCs/>
          <w:szCs w:val="21"/>
          <w:highlight w:val="none"/>
          <w:u w:val="single"/>
        </w:rPr>
        <w:t>招标工程量清单</w:t>
      </w:r>
      <w:r>
        <w:rPr>
          <w:rFonts w:hint="eastAsia" w:ascii="宋体" w:hAnsi="宋体" w:eastAsia="宋体" w:cs="宋体"/>
          <w:b/>
          <w:bCs w:val="0"/>
          <w:szCs w:val="21"/>
          <w:highlight w:val="none"/>
          <w:u w:val="single"/>
        </w:rPr>
        <w:t>（另册）</w:t>
      </w:r>
    </w:p>
    <w:p w14:paraId="11C26C3D">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（9）</w:t>
      </w:r>
      <w:r>
        <w:rPr>
          <w:rFonts w:hint="eastAsia" w:ascii="宋体" w:hAnsi="宋体" w:cs="宋体"/>
          <w:bCs/>
          <w:szCs w:val="21"/>
          <w:highlight w:val="none"/>
          <w:u w:val="single"/>
        </w:rPr>
        <w:t xml:space="preserve"> 最高投标限价</w:t>
      </w:r>
      <w:r>
        <w:rPr>
          <w:rFonts w:hint="eastAsia" w:ascii="宋体" w:hAnsi="宋体" w:eastAsia="宋体" w:cs="宋体"/>
          <w:b/>
          <w:bCs w:val="0"/>
          <w:szCs w:val="21"/>
          <w:highlight w:val="none"/>
          <w:u w:val="single"/>
        </w:rPr>
        <w:t>（另册）</w:t>
      </w:r>
    </w:p>
    <w:p w14:paraId="1F2AE275">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注：招标人应在技术条件（工程建设标准）中明确如下内容：</w:t>
      </w:r>
    </w:p>
    <w:p w14:paraId="2CCD709C">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1.施工现场建筑垃圾源头减量的具体要求和建筑垃圾综合利用产品的使用要求。</w:t>
      </w:r>
    </w:p>
    <w:p w14:paraId="5321C801">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2.占道施工相关告知、围蔽、修复等要求。</w:t>
      </w:r>
    </w:p>
    <w:p w14:paraId="294F283F">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3.对照《广州市智能建造技术清单（1.0版）》对招标项目智能建造提出要求。</w:t>
      </w:r>
    </w:p>
    <w:p w14:paraId="313ABAE5">
      <w:pPr>
        <w:pBdr>
          <w:bottom w:val="single" w:color="auto" w:sz="6" w:space="1"/>
        </w:pBdr>
        <w:spacing w:line="360" w:lineRule="auto"/>
        <w:ind w:firstLine="470" w:firstLineChars="224"/>
        <w:rPr>
          <w:rFonts w:hint="eastAsia" w:ascii="宋体" w:hAnsi="宋体" w:cs="宋体"/>
          <w:bCs/>
          <w:szCs w:val="21"/>
          <w:highlight w:val="none"/>
        </w:rPr>
      </w:pPr>
      <w:r>
        <w:rPr>
          <w:rFonts w:hint="eastAsia" w:ascii="宋体" w:hAnsi="宋体" w:cs="宋体"/>
          <w:bCs/>
          <w:szCs w:val="21"/>
          <w:highlight w:val="none"/>
        </w:rPr>
        <w:t>4.招标人对中标人参与“百千万工程”的具体要求。</w:t>
      </w:r>
    </w:p>
    <w:p w14:paraId="26F1B30C">
      <w:pPr>
        <w:pBdr>
          <w:bottom w:val="single" w:color="auto" w:sz="6" w:space="1"/>
        </w:pBdr>
        <w:spacing w:line="360" w:lineRule="auto"/>
        <w:ind w:firstLine="470" w:firstLineChars="224"/>
        <w:rPr>
          <w:rFonts w:hint="eastAsia" w:ascii="宋体" w:hAnsi="宋体" w:cs="宋体"/>
          <w:b/>
          <w:color w:val="auto"/>
          <w:szCs w:val="21"/>
          <w:highlight w:val="none"/>
        </w:rPr>
      </w:pPr>
      <w:r>
        <w:rPr>
          <w:rFonts w:hint="eastAsia" w:ascii="宋体" w:hAnsi="宋体" w:cs="宋体"/>
          <w:bCs/>
          <w:szCs w:val="21"/>
          <w:highlight w:val="none"/>
        </w:rPr>
        <w:t>5.在建筑废弃物运输上落实《关于加快推动氢能产业高质量发展的若干措施》的要求。</w:t>
      </w:r>
    </w:p>
    <w:p w14:paraId="4BBDC3F5">
      <w:pPr>
        <w:spacing w:line="480" w:lineRule="auto"/>
        <w:ind w:firstLine="472" w:firstLineChars="224"/>
        <w:rPr>
          <w:b/>
          <w:color w:val="auto"/>
          <w:szCs w:val="21"/>
          <w:highlight w:val="none"/>
        </w:rPr>
      </w:pPr>
      <w:r>
        <w:rPr>
          <w:rFonts w:hint="eastAsia"/>
          <w:b/>
          <w:color w:val="auto"/>
          <w:szCs w:val="21"/>
          <w:highlight w:val="none"/>
        </w:rPr>
        <w:t>条款号：</w:t>
      </w:r>
      <w:r>
        <w:rPr>
          <w:rFonts w:hint="eastAsia" w:ascii="宋体" w:hAnsi="宋体" w:eastAsia="宋体" w:cs="宋体"/>
          <w:b/>
          <w:color w:val="auto"/>
          <w:szCs w:val="21"/>
          <w:highlight w:val="none"/>
          <w:lang w:val="en-US" w:eastAsia="zh-CN"/>
        </w:rPr>
        <w:t>8</w:t>
      </w:r>
      <w:r>
        <w:rPr>
          <w:rFonts w:hint="eastAsia" w:ascii="宋体" w:hAnsi="宋体" w:eastAsia="宋体" w:cs="宋体"/>
          <w:b/>
          <w:color w:val="auto"/>
          <w:szCs w:val="21"/>
          <w:highlight w:val="none"/>
        </w:rPr>
        <w:t>.1</w:t>
      </w:r>
      <w:r>
        <w:rPr>
          <w:rFonts w:hint="eastAsia" w:ascii="宋体" w:hAnsi="宋体" w:eastAsia="宋体" w:cs="宋体"/>
          <w:b/>
          <w:color w:val="auto"/>
          <w:szCs w:val="21"/>
          <w:highlight w:val="none"/>
          <w:lang w:val="en-US" w:eastAsia="zh-CN"/>
        </w:rPr>
        <w:t>-8.2</w:t>
      </w:r>
      <w:r>
        <w:rPr>
          <w:rFonts w:hint="eastAsia" w:ascii="宋体" w:hAnsi="宋体" w:eastAsia="宋体" w:cs="宋体"/>
          <w:b/>
          <w:color w:val="auto"/>
          <w:szCs w:val="21"/>
          <w:highlight w:val="none"/>
        </w:rPr>
        <w:t xml:space="preserve"> </w:t>
      </w:r>
      <w:r>
        <w:rPr>
          <w:b/>
          <w:color w:val="auto"/>
          <w:szCs w:val="21"/>
          <w:highlight w:val="none"/>
        </w:rPr>
        <w:t xml:space="preserve">           </w:t>
      </w:r>
      <w:r>
        <w:rPr>
          <w:rFonts w:hint="eastAsia"/>
          <w:b/>
          <w:color w:val="auto"/>
          <w:szCs w:val="21"/>
          <w:highlight w:val="none"/>
        </w:rPr>
        <w:t>修改类型：修改</w:t>
      </w:r>
    </w:p>
    <w:p w14:paraId="12640D69">
      <w:pPr>
        <w:pStyle w:val="4"/>
        <w:spacing w:after="0" w:line="360" w:lineRule="auto"/>
        <w:ind w:firstLine="422" w:firstLineChars="200"/>
        <w:rPr>
          <w:rFonts w:ascii="宋体"/>
          <w:color w:val="auto"/>
          <w:sz w:val="21"/>
          <w:szCs w:val="21"/>
          <w:highlight w:val="none"/>
        </w:rPr>
      </w:pPr>
      <w:r>
        <w:rPr>
          <w:rFonts w:hint="eastAsia"/>
          <w:b/>
          <w:color w:val="auto"/>
          <w:szCs w:val="21"/>
          <w:highlight w:val="none"/>
        </w:rPr>
        <w:t>原文：</w:t>
      </w:r>
      <w:r>
        <w:rPr>
          <w:rFonts w:ascii="宋体" w:hAnsi="宋体"/>
          <w:color w:val="auto"/>
          <w:sz w:val="21"/>
          <w:szCs w:val="21"/>
          <w:highlight w:val="none"/>
        </w:rPr>
        <w:t xml:space="preserve">8.1 </w:t>
      </w:r>
      <w:r>
        <w:rPr>
          <w:rFonts w:hint="eastAsia" w:ascii="宋体" w:hAnsi="宋体"/>
          <w:color w:val="auto"/>
          <w:sz w:val="21"/>
          <w:szCs w:val="21"/>
          <w:highlight w:val="none"/>
        </w:rPr>
        <w:t>投标人若对招标文件（包括招标图纸）中有疑问，可以书面形式</w:t>
      </w:r>
      <w:r>
        <w:rPr>
          <w:rFonts w:hint="eastAsia"/>
          <w:color w:val="auto"/>
          <w:sz w:val="21"/>
          <w:szCs w:val="21"/>
          <w:highlight w:val="none"/>
        </w:rPr>
        <w:t>通过</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color w:val="auto"/>
          <w:sz w:val="21"/>
          <w:szCs w:val="21"/>
          <w:highlight w:val="none"/>
        </w:rPr>
        <w:t>提交</w:t>
      </w:r>
      <w:r>
        <w:rPr>
          <w:rFonts w:hint="eastAsia" w:ascii="宋体" w:hAnsi="宋体"/>
          <w:color w:val="auto"/>
          <w:sz w:val="21"/>
          <w:szCs w:val="21"/>
          <w:highlight w:val="none"/>
        </w:rPr>
        <w:t>给招标人或招标代理人，提交形式见本须知前附表第</w:t>
      </w:r>
      <w:r>
        <w:rPr>
          <w:rFonts w:hint="eastAsia" w:ascii="宋体" w:hAnsi="宋体"/>
          <w:color w:val="auto"/>
          <w:sz w:val="21"/>
          <w:szCs w:val="21"/>
          <w:highlight w:val="none"/>
          <w:lang w:val="en-US" w:eastAsia="zh-CN"/>
        </w:rPr>
        <w:t>13</w:t>
      </w:r>
      <w:r>
        <w:rPr>
          <w:rFonts w:hint="eastAsia" w:ascii="宋体" w:hAnsi="宋体"/>
          <w:color w:val="auto"/>
          <w:sz w:val="21"/>
          <w:szCs w:val="21"/>
          <w:highlight w:val="none"/>
        </w:rPr>
        <w:t>项。</w:t>
      </w:r>
    </w:p>
    <w:p w14:paraId="24058B65">
      <w:pPr>
        <w:pBdr>
          <w:bottom w:val="single" w:color="auto" w:sz="6" w:space="1"/>
        </w:pBdr>
        <w:spacing w:line="480" w:lineRule="auto"/>
        <w:ind w:firstLine="470" w:firstLineChars="224"/>
        <w:rPr>
          <w:rFonts w:hint="eastAsia"/>
          <w:b/>
          <w:color w:val="auto"/>
          <w:szCs w:val="21"/>
          <w:highlight w:val="none"/>
        </w:rPr>
      </w:pPr>
      <w:r>
        <w:rPr>
          <w:rFonts w:ascii="宋体" w:hAnsi="宋体"/>
          <w:color w:val="auto"/>
          <w:sz w:val="21"/>
          <w:szCs w:val="21"/>
          <w:highlight w:val="none"/>
        </w:rPr>
        <w:t>8.2</w:t>
      </w:r>
      <w:r>
        <w:rPr>
          <w:rFonts w:hint="eastAsia" w:ascii="宋体"/>
          <w:color w:val="auto"/>
          <w:sz w:val="21"/>
          <w:szCs w:val="21"/>
          <w:highlight w:val="none"/>
        </w:rPr>
        <w:t>招标答疑会会议纪要将在提交投标文件截止时间15日前在</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color w:val="auto"/>
          <w:sz w:val="21"/>
          <w:szCs w:val="21"/>
          <w:highlight w:val="none"/>
        </w:rPr>
        <w:t xml:space="preserve"> “项目答疑纪要”专区公开发布。答疑纪要一经在</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color w:val="auto"/>
          <w:sz w:val="21"/>
          <w:szCs w:val="21"/>
          <w:highlight w:val="none"/>
        </w:rPr>
        <w:t>发布，视作已发放给所有投标人。</w:t>
      </w:r>
    </w:p>
    <w:p w14:paraId="3277349B">
      <w:pPr>
        <w:pStyle w:val="4"/>
        <w:spacing w:after="0" w:line="360" w:lineRule="auto"/>
        <w:ind w:firstLine="422" w:firstLineChars="200"/>
        <w:rPr>
          <w:rFonts w:ascii="宋体" w:hAnsi="宋体"/>
          <w:color w:val="auto"/>
          <w:sz w:val="21"/>
          <w:szCs w:val="21"/>
          <w:highlight w:val="none"/>
        </w:rPr>
      </w:pPr>
      <w:r>
        <w:rPr>
          <w:rFonts w:hint="eastAsia"/>
          <w:b/>
          <w:color w:val="auto"/>
          <w:szCs w:val="21"/>
          <w:highlight w:val="none"/>
        </w:rPr>
        <w:t>现文：</w:t>
      </w:r>
      <w:r>
        <w:rPr>
          <w:rFonts w:ascii="宋体" w:hAnsi="宋体"/>
          <w:color w:val="auto"/>
          <w:sz w:val="21"/>
          <w:szCs w:val="21"/>
          <w:highlight w:val="none"/>
        </w:rPr>
        <w:t xml:space="preserve">8.1 </w:t>
      </w:r>
      <w:r>
        <w:rPr>
          <w:rFonts w:hint="eastAsia" w:ascii="宋体" w:hAnsi="宋体"/>
          <w:color w:val="auto"/>
          <w:sz w:val="21"/>
          <w:szCs w:val="21"/>
          <w:highlight w:val="none"/>
        </w:rPr>
        <w:t>投标人若对招标文件（包括招标图纸）中有疑问，可以书面形式通过</w:t>
      </w:r>
      <w:r>
        <w:rPr>
          <w:rFonts w:hint="eastAsia" w:ascii="宋体" w:hAnsi="宋体"/>
          <w:b/>
          <w:bCs/>
          <w:color w:val="auto"/>
          <w:sz w:val="21"/>
          <w:szCs w:val="21"/>
          <w:highlight w:val="none"/>
          <w:u w:val="single"/>
        </w:rPr>
        <w:t>广州交易集团有限公司（广州公共资源交易中心）</w:t>
      </w:r>
      <w:r>
        <w:rPr>
          <w:rFonts w:hint="eastAsia" w:ascii="宋体" w:hAnsi="宋体"/>
          <w:color w:val="auto"/>
          <w:sz w:val="21"/>
          <w:szCs w:val="21"/>
          <w:highlight w:val="none"/>
        </w:rPr>
        <w:t>交易平台提交给招标人或招标代理人，提交形式见本须知前附表第1</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项。</w:t>
      </w:r>
    </w:p>
    <w:p w14:paraId="2238A378">
      <w:pPr>
        <w:pStyle w:val="4"/>
        <w:pBdr>
          <w:bottom w:val="single" w:color="auto" w:sz="4" w:space="0"/>
        </w:pBdr>
        <w:spacing w:after="0" w:line="360" w:lineRule="auto"/>
        <w:ind w:firstLine="422" w:firstLineChars="200"/>
        <w:rPr>
          <w:rFonts w:ascii="宋体"/>
          <w:b/>
          <w:bCs/>
          <w:color w:val="auto"/>
          <w:sz w:val="21"/>
          <w:szCs w:val="21"/>
          <w:highlight w:val="none"/>
          <w:u w:val="single"/>
        </w:rPr>
      </w:pPr>
      <w:r>
        <w:rPr>
          <w:rFonts w:hint="eastAsia" w:ascii="宋体" w:hAnsi="宋体"/>
          <w:b/>
          <w:bCs/>
          <w:color w:val="auto"/>
          <w:sz w:val="21"/>
          <w:szCs w:val="21"/>
          <w:highlight w:val="none"/>
          <w:u w:val="single"/>
        </w:rPr>
        <w:t>网上答疑的操作指南为：登陆广州交易集团有限公司（广州公共资源交易中心）新建设工程交易平台中“我是投标人”→“我的投标”→“招标答疑提问”通过项目编号或名称找到所需的项目→在上述的答疑时间内点击“提问” →无记名或匿名提出问题以及查看所有的问题（提交问题时需插入投标人CA证书）。</w:t>
      </w:r>
    </w:p>
    <w:p w14:paraId="1D4013FF">
      <w:pPr>
        <w:pStyle w:val="4"/>
        <w:pBdr>
          <w:bottom w:val="single" w:color="auto" w:sz="4" w:space="0"/>
        </w:pBdr>
        <w:spacing w:after="0" w:line="360" w:lineRule="auto"/>
        <w:ind w:firstLine="420" w:firstLineChars="200"/>
        <w:rPr>
          <w:color w:val="auto"/>
          <w:szCs w:val="21"/>
          <w:highlight w:val="none"/>
        </w:rPr>
      </w:pPr>
      <w:r>
        <w:rPr>
          <w:rFonts w:ascii="宋体" w:hAnsi="宋体"/>
          <w:color w:val="auto"/>
          <w:sz w:val="21"/>
          <w:szCs w:val="21"/>
          <w:highlight w:val="none"/>
        </w:rPr>
        <w:t>8.2</w:t>
      </w:r>
      <w:r>
        <w:rPr>
          <w:rFonts w:hint="eastAsia" w:ascii="宋体"/>
          <w:color w:val="auto"/>
          <w:sz w:val="21"/>
          <w:szCs w:val="21"/>
          <w:highlight w:val="none"/>
        </w:rPr>
        <w:t xml:space="preserve"> 招标答疑会会议纪要将在提交投标文件截止时间15日前在</w:t>
      </w:r>
      <w:r>
        <w:rPr>
          <w:rFonts w:hint="eastAsia" w:ascii="宋体" w:hAnsi="宋体"/>
          <w:b/>
          <w:bCs/>
          <w:color w:val="auto"/>
          <w:sz w:val="21"/>
          <w:szCs w:val="21"/>
          <w:highlight w:val="none"/>
          <w:u w:val="single"/>
        </w:rPr>
        <w:t>广州交易集团有限公司（广州公共资源交易中心）</w:t>
      </w:r>
      <w:r>
        <w:rPr>
          <w:rFonts w:hint="eastAsia" w:ascii="宋体"/>
          <w:color w:val="auto"/>
          <w:sz w:val="21"/>
          <w:szCs w:val="21"/>
          <w:highlight w:val="none"/>
        </w:rPr>
        <w:t>交易平台</w:t>
      </w:r>
      <w:r>
        <w:rPr>
          <w:rFonts w:hint="eastAsia" w:ascii="宋体"/>
          <w:b/>
          <w:bCs/>
          <w:color w:val="auto"/>
          <w:sz w:val="21"/>
          <w:szCs w:val="21"/>
          <w:highlight w:val="none"/>
          <w:u w:val="single"/>
        </w:rPr>
        <w:t>“建设工程”→“项目查询（日程安排、答疑纪要）”</w:t>
      </w:r>
      <w:r>
        <w:rPr>
          <w:rFonts w:hint="eastAsia" w:ascii="宋体"/>
          <w:color w:val="auto"/>
          <w:sz w:val="21"/>
          <w:szCs w:val="21"/>
          <w:highlight w:val="none"/>
        </w:rPr>
        <w:t>专区公开发布。答疑纪要一经在</w:t>
      </w:r>
      <w:r>
        <w:rPr>
          <w:rFonts w:hint="eastAsia" w:ascii="宋体" w:hAnsi="宋体"/>
          <w:b/>
          <w:bCs/>
          <w:color w:val="auto"/>
          <w:sz w:val="21"/>
          <w:szCs w:val="21"/>
          <w:highlight w:val="none"/>
          <w:u w:val="single"/>
        </w:rPr>
        <w:t>广州交易集团有限公司（广州公共资源交易中心）</w:t>
      </w:r>
      <w:r>
        <w:rPr>
          <w:rFonts w:hint="eastAsia" w:ascii="宋体"/>
          <w:color w:val="auto"/>
          <w:sz w:val="21"/>
          <w:szCs w:val="21"/>
          <w:highlight w:val="none"/>
        </w:rPr>
        <w:t>交易平台发布，视作已发放给所有投标人。</w:t>
      </w:r>
    </w:p>
    <w:p w14:paraId="569DB78C">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条款号：9.2</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40C7C500">
      <w:pPr>
        <w:spacing w:line="360" w:lineRule="auto"/>
        <w:ind w:firstLine="472" w:firstLineChars="224"/>
        <w:rPr>
          <w:b/>
          <w:color w:val="auto"/>
          <w:szCs w:val="21"/>
          <w:highlight w:val="none"/>
        </w:rPr>
      </w:pPr>
      <w:r>
        <w:rPr>
          <w:rFonts w:hint="eastAsia"/>
          <w:b/>
          <w:color w:val="auto"/>
          <w:szCs w:val="21"/>
          <w:highlight w:val="none"/>
        </w:rPr>
        <w:t>原文：</w:t>
      </w:r>
      <w:r>
        <w:rPr>
          <w:rFonts w:ascii="宋体" w:hAnsi="宋体"/>
          <w:color w:val="auto"/>
          <w:sz w:val="21"/>
          <w:szCs w:val="21"/>
          <w:highlight w:val="none"/>
        </w:rPr>
        <w:t>9.2</w:t>
      </w:r>
      <w:r>
        <w:rPr>
          <w:rFonts w:hint="eastAsia" w:ascii="宋体"/>
          <w:color w:val="auto"/>
          <w:sz w:val="21"/>
          <w:szCs w:val="21"/>
          <w:highlight w:val="none"/>
        </w:rPr>
        <w:t>招标文件的澄清或修改将在</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color w:val="auto"/>
          <w:sz w:val="21"/>
          <w:szCs w:val="21"/>
          <w:highlight w:val="none"/>
        </w:rPr>
        <w:t>“项目答疑纪要”专区公开发布。答疑纪要一经在</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color w:val="auto"/>
          <w:sz w:val="21"/>
          <w:szCs w:val="21"/>
          <w:highlight w:val="none"/>
        </w:rPr>
        <w:t>发布，视作已发放给所有投标人，以</w:t>
      </w:r>
      <w:r>
        <w:rPr>
          <w:color w:val="auto"/>
          <w:sz w:val="21"/>
          <w:szCs w:val="21"/>
          <w:highlight w:val="none"/>
          <w:u w:val="single"/>
        </w:rPr>
        <w:t xml:space="preserve">        </w:t>
      </w:r>
      <w:r>
        <w:rPr>
          <w:rFonts w:hint="eastAsia" w:ascii="宋体" w:hAnsi="宋体"/>
          <w:color w:val="auto"/>
          <w:sz w:val="21"/>
          <w:szCs w:val="21"/>
          <w:highlight w:val="none"/>
        </w:rPr>
        <w:t>交易平台</w:t>
      </w:r>
      <w:r>
        <w:rPr>
          <w:rFonts w:hint="eastAsia" w:ascii="宋体"/>
          <w:color w:val="auto"/>
          <w:sz w:val="21"/>
          <w:szCs w:val="21"/>
          <w:highlight w:val="none"/>
        </w:rPr>
        <w:t>上网发布时间作为送达时间。</w:t>
      </w:r>
    </w:p>
    <w:p w14:paraId="4372FF8D">
      <w:pPr>
        <w:pBdr>
          <w:bottom w:val="single" w:color="auto" w:sz="6" w:space="1"/>
        </w:pBdr>
        <w:spacing w:line="360" w:lineRule="auto"/>
        <w:ind w:firstLine="527" w:firstLineChars="250"/>
        <w:rPr>
          <w:rFonts w:hint="eastAsia" w:ascii="宋体"/>
          <w:color w:val="auto"/>
          <w:sz w:val="21"/>
          <w:szCs w:val="21"/>
          <w:highlight w:val="none"/>
        </w:rPr>
      </w:pPr>
      <w:r>
        <w:rPr>
          <w:rFonts w:hint="eastAsia"/>
          <w:b/>
          <w:color w:val="auto"/>
          <w:szCs w:val="21"/>
          <w:highlight w:val="none"/>
        </w:rPr>
        <w:t>现文：</w:t>
      </w:r>
      <w:r>
        <w:rPr>
          <w:rFonts w:hint="eastAsia" w:ascii="宋体"/>
          <w:color w:val="auto"/>
          <w:sz w:val="21"/>
          <w:szCs w:val="21"/>
          <w:highlight w:val="none"/>
        </w:rPr>
        <w:t>招标文件的澄清或修改将在</w:t>
      </w:r>
      <w:r>
        <w:rPr>
          <w:rFonts w:hint="eastAsia" w:ascii="宋体" w:hAnsi="宋体"/>
          <w:b/>
          <w:bCs/>
          <w:color w:val="auto"/>
          <w:sz w:val="21"/>
          <w:szCs w:val="21"/>
          <w:highlight w:val="none"/>
          <w:u w:val="single"/>
        </w:rPr>
        <w:t>广州交易集团有限公司（广州公共资源交易中心）</w:t>
      </w:r>
      <w:r>
        <w:rPr>
          <w:rFonts w:hint="eastAsia" w:ascii="宋体" w:hAnsi="宋体"/>
          <w:color w:val="auto"/>
          <w:sz w:val="21"/>
          <w:szCs w:val="21"/>
          <w:highlight w:val="none"/>
        </w:rPr>
        <w:t>交易平台</w:t>
      </w:r>
      <w:r>
        <w:rPr>
          <w:rFonts w:hint="eastAsia" w:ascii="宋体" w:hAnsi="宋体"/>
          <w:color w:val="auto"/>
          <w:sz w:val="21"/>
          <w:szCs w:val="21"/>
          <w:highlight w:val="none"/>
          <w:u w:val="single"/>
        </w:rPr>
        <w:t>“建设工程”→“项目查询（日程安排、答疑纪要）”</w:t>
      </w:r>
      <w:r>
        <w:rPr>
          <w:rFonts w:hint="eastAsia" w:ascii="宋体"/>
          <w:color w:val="auto"/>
          <w:sz w:val="21"/>
          <w:szCs w:val="21"/>
          <w:highlight w:val="none"/>
        </w:rPr>
        <w:t>专区公开发布。答疑纪要一经在</w:t>
      </w:r>
      <w:r>
        <w:rPr>
          <w:rFonts w:hint="eastAsia" w:ascii="宋体" w:hAnsi="宋体"/>
          <w:b/>
          <w:bCs/>
          <w:color w:val="auto"/>
          <w:sz w:val="21"/>
          <w:szCs w:val="21"/>
          <w:highlight w:val="none"/>
          <w:u w:val="single"/>
        </w:rPr>
        <w:t>广州交易集团有限公司（广州公共资源交易中心）</w:t>
      </w:r>
      <w:r>
        <w:rPr>
          <w:rFonts w:hint="eastAsia" w:ascii="宋体" w:hAnsi="宋体"/>
          <w:color w:val="auto"/>
          <w:sz w:val="21"/>
          <w:szCs w:val="21"/>
          <w:highlight w:val="none"/>
        </w:rPr>
        <w:t>交易平台</w:t>
      </w:r>
      <w:r>
        <w:rPr>
          <w:rFonts w:hint="eastAsia" w:ascii="宋体"/>
          <w:color w:val="auto"/>
          <w:sz w:val="21"/>
          <w:szCs w:val="21"/>
          <w:highlight w:val="none"/>
        </w:rPr>
        <w:t>发布，视作已发放给所有投标人，以</w:t>
      </w:r>
      <w:r>
        <w:rPr>
          <w:rFonts w:hint="eastAsia" w:ascii="宋体" w:hAnsi="宋体"/>
          <w:b/>
          <w:bCs/>
          <w:color w:val="auto"/>
          <w:sz w:val="21"/>
          <w:szCs w:val="21"/>
          <w:highlight w:val="none"/>
          <w:u w:val="single"/>
        </w:rPr>
        <w:t>广州交易集团有限公司（广州公共资源交易中心）</w:t>
      </w:r>
      <w:r>
        <w:rPr>
          <w:rFonts w:hint="eastAsia" w:ascii="宋体" w:hAnsi="宋体"/>
          <w:color w:val="auto"/>
          <w:sz w:val="21"/>
          <w:szCs w:val="21"/>
          <w:highlight w:val="none"/>
        </w:rPr>
        <w:t>交易平台</w:t>
      </w:r>
      <w:r>
        <w:rPr>
          <w:rFonts w:hint="eastAsia" w:ascii="宋体"/>
          <w:color w:val="auto"/>
          <w:sz w:val="21"/>
          <w:szCs w:val="21"/>
          <w:highlight w:val="none"/>
        </w:rPr>
        <w:t>上网发布时间作为送达时间。</w:t>
      </w:r>
    </w:p>
    <w:p w14:paraId="37C764AF">
      <w:pPr>
        <w:pStyle w:val="21"/>
        <w:ind w:firstLineChars="250"/>
        <w:rPr>
          <w:rFonts w:ascii="宋体" w:hAnsi="宋体"/>
          <w:b/>
          <w:color w:val="auto"/>
          <w:szCs w:val="21"/>
          <w:highlight w:val="none"/>
        </w:rPr>
      </w:pPr>
      <w:r>
        <w:rPr>
          <w:rFonts w:hint="eastAsia" w:ascii="宋体" w:hAnsi="宋体"/>
          <w:b/>
          <w:color w:val="auto"/>
          <w:szCs w:val="21"/>
          <w:highlight w:val="none"/>
        </w:rPr>
        <w:t>条款号：9.4</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7E7A91B6">
      <w:pPr>
        <w:pBdr>
          <w:bottom w:val="single" w:color="auto" w:sz="6" w:space="1"/>
        </w:pBdr>
        <w:spacing w:line="360" w:lineRule="auto"/>
        <w:ind w:firstLine="527" w:firstLineChars="250"/>
        <w:rPr>
          <w:rFonts w:hint="eastAsia" w:ascii="宋体" w:eastAsia="宋体"/>
          <w:color w:val="auto"/>
          <w:szCs w:val="21"/>
          <w:highlight w:val="none"/>
          <w:lang w:eastAsia="zh-CN"/>
        </w:rPr>
      </w:pPr>
      <w:r>
        <w:rPr>
          <w:rFonts w:hint="eastAsia" w:ascii="宋体"/>
          <w:b/>
          <w:bCs/>
          <w:color w:val="auto"/>
          <w:szCs w:val="21"/>
          <w:highlight w:val="none"/>
          <w:lang w:eastAsia="zh-CN"/>
        </w:rPr>
        <w:t>原文：</w:t>
      </w:r>
      <w:r>
        <w:rPr>
          <w:rFonts w:hint="eastAsia" w:ascii="宋体" w:hAnsi="宋体" w:eastAsia="宋体"/>
          <w:color w:val="auto"/>
          <w:sz w:val="21"/>
          <w:szCs w:val="21"/>
          <w:highlight w:val="none"/>
        </w:rPr>
        <w:t>9.4招标文件的澄清或修改均以</w:t>
      </w:r>
      <w:r>
        <w:rPr>
          <w:rFonts w:hint="eastAsia" w:ascii="宋体" w:hAnsi="宋体" w:eastAsia="宋体"/>
          <w:color w:val="auto"/>
          <w:sz w:val="21"/>
          <w:szCs w:val="21"/>
          <w:highlight w:val="none"/>
          <w:u w:val="single"/>
          <w:lang w:val="en-US" w:eastAsia="zh-CN"/>
        </w:rPr>
        <w:t xml:space="preserve">          </w:t>
      </w:r>
      <w:r>
        <w:rPr>
          <w:rFonts w:hint="eastAsia" w:ascii="宋体" w:hAnsi="宋体" w:eastAsia="宋体"/>
          <w:color w:val="auto"/>
          <w:sz w:val="21"/>
          <w:szCs w:val="21"/>
          <w:highlight w:val="none"/>
          <w:u w:val="single"/>
          <w:lang w:eastAsia="zh-CN"/>
        </w:rPr>
        <w:t>网站</w:t>
      </w:r>
      <w:r>
        <w:rPr>
          <w:rFonts w:hint="eastAsia" w:ascii="宋体" w:hAnsi="宋体" w:eastAsia="宋体"/>
          <w:color w:val="auto"/>
          <w:sz w:val="21"/>
          <w:szCs w:val="21"/>
          <w:highlight w:val="none"/>
        </w:rPr>
        <w:t>发布的内容为准。当招标文件的澄清、修改、补充等在同一内容的表述不一致时，以最后</w:t>
      </w:r>
      <w:r>
        <w:rPr>
          <w:rFonts w:hint="eastAsia" w:ascii="宋体" w:hAnsi="宋体"/>
          <w:color w:val="auto"/>
          <w:sz w:val="21"/>
          <w:szCs w:val="21"/>
          <w:highlight w:val="none"/>
        </w:rPr>
        <w:t>发出的书面形式的文件为准。</w:t>
      </w:r>
    </w:p>
    <w:p w14:paraId="17446D47">
      <w:pPr>
        <w:pBdr>
          <w:bottom w:val="single" w:color="auto" w:sz="6" w:space="1"/>
        </w:pBdr>
        <w:spacing w:line="360" w:lineRule="auto"/>
        <w:ind w:firstLine="527" w:firstLineChars="250"/>
        <w:rPr>
          <w:rFonts w:hint="eastAsia" w:ascii="宋体"/>
          <w:color w:val="auto"/>
          <w:szCs w:val="21"/>
          <w:highlight w:val="none"/>
        </w:rPr>
      </w:pPr>
      <w:r>
        <w:rPr>
          <w:rFonts w:hint="eastAsia"/>
          <w:b/>
          <w:color w:val="auto"/>
          <w:szCs w:val="21"/>
          <w:highlight w:val="none"/>
        </w:rPr>
        <w:t>现文：</w:t>
      </w:r>
      <w:r>
        <w:rPr>
          <w:rFonts w:ascii="宋体" w:hAnsi="宋体"/>
          <w:color w:val="auto"/>
          <w:sz w:val="21"/>
          <w:szCs w:val="21"/>
          <w:highlight w:val="none"/>
        </w:rPr>
        <w:t>9.4</w:t>
      </w:r>
      <w:r>
        <w:rPr>
          <w:rFonts w:hint="eastAsia" w:ascii="宋体" w:hAnsi="宋体"/>
          <w:color w:val="auto"/>
          <w:sz w:val="21"/>
          <w:szCs w:val="21"/>
          <w:highlight w:val="none"/>
        </w:rPr>
        <w:t>招标文件的澄清或修改均以在</w:t>
      </w:r>
      <w:r>
        <w:rPr>
          <w:rFonts w:hint="eastAsia" w:ascii="宋体" w:hAnsi="宋体"/>
          <w:b/>
          <w:bCs/>
          <w:color w:val="auto"/>
          <w:sz w:val="21"/>
          <w:szCs w:val="21"/>
          <w:highlight w:val="none"/>
          <w:u w:val="single"/>
        </w:rPr>
        <w:t>广州交易集团有限公司（广州公共资源交易中心）交易平台“建设工程”→“项目查询（日程安排、答疑纪要）”专区公开</w:t>
      </w:r>
      <w:r>
        <w:rPr>
          <w:rFonts w:hint="eastAsia" w:ascii="宋体" w:hAnsi="宋体"/>
          <w:b w:val="0"/>
          <w:bCs w:val="0"/>
          <w:color w:val="auto"/>
          <w:sz w:val="21"/>
          <w:szCs w:val="21"/>
          <w:highlight w:val="none"/>
          <w:u w:val="none"/>
        </w:rPr>
        <w:t>发布</w:t>
      </w:r>
      <w:r>
        <w:rPr>
          <w:rFonts w:hint="eastAsia" w:ascii="宋体" w:hAnsi="宋体"/>
          <w:color w:val="auto"/>
          <w:sz w:val="21"/>
          <w:szCs w:val="21"/>
          <w:highlight w:val="none"/>
        </w:rPr>
        <w:t>的内容为准。当招标文件的澄清、修改、补充等在同一内容的表述不一致时，以最后发出的文件为准。</w:t>
      </w:r>
    </w:p>
    <w:p w14:paraId="581B8AF0">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条款号：11</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54A61AAB">
      <w:pPr>
        <w:spacing w:line="360" w:lineRule="auto"/>
        <w:ind w:firstLine="527" w:firstLineChars="250"/>
        <w:rPr>
          <w:rFonts w:ascii="宋体" w:hAnsi="宋体"/>
          <w:color w:val="auto"/>
          <w:szCs w:val="21"/>
          <w:highlight w:val="none"/>
        </w:rPr>
      </w:pPr>
      <w:r>
        <w:rPr>
          <w:rFonts w:hint="eastAsia" w:ascii="宋体" w:hAnsi="宋体"/>
          <w:b/>
          <w:color w:val="auto"/>
          <w:szCs w:val="21"/>
          <w:highlight w:val="none"/>
        </w:rPr>
        <w:t>原文：11．投标文件的组成</w:t>
      </w:r>
    </w:p>
    <w:p w14:paraId="03599329">
      <w:pPr>
        <w:pStyle w:val="4"/>
        <w:spacing w:after="0" w:line="360" w:lineRule="auto"/>
        <w:ind w:firstLine="420" w:firstLineChars="200"/>
        <w:rPr>
          <w:rFonts w:hint="default" w:ascii="宋体" w:hAnsi="宋体" w:eastAsia="宋体"/>
          <w:color w:val="auto"/>
          <w:sz w:val="21"/>
          <w:szCs w:val="21"/>
          <w:highlight w:val="none"/>
          <w:u w:val="single"/>
          <w:lang w:val="en-US" w:eastAsia="zh-CN"/>
        </w:rPr>
      </w:pPr>
      <w:r>
        <w:rPr>
          <w:rFonts w:hint="eastAsia" w:ascii="宋体" w:hAnsi="宋体"/>
          <w:color w:val="auto"/>
          <w:sz w:val="21"/>
          <w:szCs w:val="21"/>
          <w:highlight w:val="none"/>
          <w:u w:val="single"/>
          <w:lang w:eastAsia="zh-CN"/>
        </w:rPr>
        <w:t>（</w:t>
      </w:r>
      <w:r>
        <w:rPr>
          <w:rFonts w:hint="eastAsia" w:ascii="宋体" w:hAnsi="宋体"/>
          <w:color w:val="auto"/>
          <w:sz w:val="21"/>
          <w:szCs w:val="21"/>
          <w:highlight w:val="none"/>
          <w:u w:val="single"/>
          <w:lang w:val="en-US" w:eastAsia="zh-CN"/>
        </w:rPr>
        <w:t>由招标人根据招标项目实际情况自行确定）</w:t>
      </w:r>
    </w:p>
    <w:p w14:paraId="19AA99E0">
      <w:pPr>
        <w:pStyle w:val="4"/>
        <w:spacing w:after="0" w:line="360" w:lineRule="auto"/>
        <w:ind w:firstLine="420" w:firstLineChars="200"/>
        <w:rPr>
          <w:rFonts w:ascii="宋体"/>
          <w:b/>
          <w:color w:val="auto"/>
          <w:sz w:val="21"/>
          <w:szCs w:val="21"/>
          <w:highlight w:val="none"/>
          <w:u w:val="single"/>
        </w:rPr>
      </w:pPr>
      <w:r>
        <w:rPr>
          <w:rFonts w:ascii="宋体" w:hAnsi="宋体"/>
          <w:color w:val="auto"/>
          <w:sz w:val="21"/>
          <w:szCs w:val="21"/>
          <w:highlight w:val="none"/>
          <w:u w:val="single"/>
        </w:rPr>
        <w:t xml:space="preserve">11.1 </w:t>
      </w:r>
      <w:r>
        <w:rPr>
          <w:rFonts w:hint="eastAsia" w:ascii="宋体" w:hAnsi="宋体"/>
          <w:color w:val="auto"/>
          <w:sz w:val="21"/>
          <w:szCs w:val="21"/>
          <w:highlight w:val="none"/>
          <w:u w:val="single"/>
        </w:rPr>
        <w:t>投标文件由技术</w:t>
      </w:r>
      <w:r>
        <w:rPr>
          <w:rFonts w:hint="eastAsia" w:ascii="宋体" w:hAnsi="宋体"/>
          <w:color w:val="auto"/>
          <w:sz w:val="21"/>
          <w:szCs w:val="21"/>
          <w:highlight w:val="none"/>
          <w:u w:val="single"/>
          <w:lang w:eastAsia="zh-CN"/>
        </w:rPr>
        <w:t>部分（含资格审查文件）</w:t>
      </w:r>
      <w:r>
        <w:rPr>
          <w:rFonts w:hint="eastAsia" w:ascii="宋体" w:hAnsi="宋体"/>
          <w:color w:val="auto"/>
          <w:sz w:val="21"/>
          <w:szCs w:val="21"/>
          <w:highlight w:val="none"/>
          <w:u w:val="single"/>
        </w:rPr>
        <w:t>和经济</w:t>
      </w:r>
      <w:r>
        <w:rPr>
          <w:rFonts w:hint="eastAsia" w:ascii="宋体" w:hAnsi="宋体"/>
          <w:color w:val="auto"/>
          <w:sz w:val="21"/>
          <w:szCs w:val="21"/>
          <w:highlight w:val="none"/>
          <w:u w:val="single"/>
          <w:lang w:eastAsia="zh-CN"/>
        </w:rPr>
        <w:t>部分二</w:t>
      </w:r>
      <w:r>
        <w:rPr>
          <w:rFonts w:hint="eastAsia" w:ascii="宋体" w:hAnsi="宋体"/>
          <w:color w:val="auto"/>
          <w:sz w:val="21"/>
          <w:szCs w:val="21"/>
          <w:highlight w:val="none"/>
          <w:u w:val="single"/>
        </w:rPr>
        <w:t>部分</w:t>
      </w:r>
      <w:r>
        <w:rPr>
          <w:rFonts w:hint="eastAsia" w:ascii="宋体" w:hAnsi="宋体"/>
          <w:color w:val="auto"/>
          <w:sz w:val="21"/>
          <w:szCs w:val="21"/>
          <w:highlight w:val="none"/>
          <w:u w:val="single"/>
          <w:lang w:eastAsia="zh-CN"/>
        </w:rPr>
        <w:t>投标文件</w:t>
      </w:r>
      <w:r>
        <w:rPr>
          <w:rFonts w:hint="eastAsia" w:ascii="宋体" w:hAnsi="宋体"/>
          <w:color w:val="auto"/>
          <w:sz w:val="21"/>
          <w:szCs w:val="21"/>
          <w:highlight w:val="none"/>
          <w:u w:val="single"/>
        </w:rPr>
        <w:t>组成</w:t>
      </w:r>
      <w:r>
        <w:rPr>
          <w:rFonts w:hint="eastAsia" w:ascii="宋体" w:hAnsi="宋体"/>
          <w:b/>
          <w:color w:val="auto"/>
          <w:sz w:val="21"/>
          <w:szCs w:val="21"/>
          <w:highlight w:val="none"/>
          <w:u w:val="single"/>
        </w:rPr>
        <w:t>。</w:t>
      </w:r>
    </w:p>
    <w:p w14:paraId="26BF2341">
      <w:pPr>
        <w:spacing w:line="360" w:lineRule="auto"/>
        <w:ind w:firstLine="420" w:firstLineChars="200"/>
        <w:rPr>
          <w:rFonts w:ascii="宋体" w:hAnsi="宋体"/>
          <w:bCs/>
          <w:color w:val="auto"/>
          <w:sz w:val="21"/>
          <w:szCs w:val="21"/>
          <w:highlight w:val="none"/>
          <w:u w:val="single"/>
        </w:rPr>
      </w:pPr>
      <w:r>
        <w:rPr>
          <w:rFonts w:ascii="宋体" w:hAnsi="宋体"/>
          <w:bCs/>
          <w:color w:val="auto"/>
          <w:sz w:val="21"/>
          <w:szCs w:val="21"/>
          <w:highlight w:val="none"/>
          <w:u w:val="single"/>
        </w:rPr>
        <w:t>11.2</w:t>
      </w:r>
      <w:r>
        <w:rPr>
          <w:rFonts w:hint="eastAsia" w:ascii="宋体" w:hAnsi="宋体"/>
          <w:bCs/>
          <w:color w:val="auto"/>
          <w:sz w:val="21"/>
          <w:szCs w:val="21"/>
          <w:highlight w:val="none"/>
          <w:u w:val="single"/>
        </w:rPr>
        <w:t>投标文件</w:t>
      </w:r>
      <w:r>
        <w:rPr>
          <w:rFonts w:hint="eastAsia" w:ascii="宋体" w:hAnsi="宋体"/>
          <w:bCs/>
          <w:color w:val="auto"/>
          <w:sz w:val="21"/>
          <w:szCs w:val="21"/>
          <w:highlight w:val="none"/>
          <w:u w:val="single"/>
          <w:lang w:eastAsia="zh-CN"/>
        </w:rPr>
        <w:t>技术标</w:t>
      </w:r>
      <w:r>
        <w:rPr>
          <w:rFonts w:hint="eastAsia" w:ascii="宋体" w:hAnsi="宋体"/>
          <w:bCs/>
          <w:color w:val="auto"/>
          <w:sz w:val="21"/>
          <w:szCs w:val="21"/>
          <w:highlight w:val="none"/>
          <w:u w:val="single"/>
        </w:rPr>
        <w:t>部分主要包括下列内容</w:t>
      </w:r>
      <w:r>
        <w:rPr>
          <w:rFonts w:ascii="宋体" w:hAnsi="宋体"/>
          <w:bCs/>
          <w:color w:val="auto"/>
          <w:sz w:val="21"/>
          <w:szCs w:val="21"/>
          <w:highlight w:val="none"/>
          <w:u w:val="single"/>
        </w:rPr>
        <w:t>:</w:t>
      </w:r>
    </w:p>
    <w:p w14:paraId="42E08FF2">
      <w:pPr>
        <w:pStyle w:val="21"/>
        <w:spacing w:line="360" w:lineRule="auto"/>
        <w:ind w:firstLine="480"/>
        <w:rPr>
          <w:rFonts w:hint="default" w:hAnsi="宋体"/>
          <w:bCs/>
          <w:color w:val="auto"/>
          <w:sz w:val="21"/>
          <w:szCs w:val="21"/>
          <w:highlight w:val="none"/>
          <w:u w:val="single"/>
          <w:lang w:val="en-US" w:eastAsia="zh-CN"/>
        </w:rPr>
      </w:pPr>
      <w:r>
        <w:rPr>
          <w:rFonts w:hint="eastAsia" w:hAnsi="宋体"/>
          <w:bCs/>
          <w:color w:val="auto"/>
          <w:sz w:val="21"/>
          <w:szCs w:val="21"/>
          <w:highlight w:val="none"/>
          <w:u w:val="single"/>
          <w:lang w:val="en-US" w:eastAsia="zh-CN"/>
        </w:rPr>
        <w:t>11.2.1资格审查文件</w:t>
      </w:r>
    </w:p>
    <w:p w14:paraId="1C0A233A">
      <w:pPr>
        <w:numPr>
          <w:ilvl w:val="0"/>
          <w:numId w:val="4"/>
        </w:numPr>
        <w:spacing w:line="360" w:lineRule="auto"/>
        <w:ind w:firstLine="420" w:firstLineChars="200"/>
        <w:rPr>
          <w:rFonts w:ascii="宋体"/>
          <w:bCs/>
          <w:color w:val="auto"/>
          <w:sz w:val="21"/>
          <w:szCs w:val="21"/>
          <w:highlight w:val="none"/>
          <w:u w:val="single"/>
        </w:rPr>
      </w:pPr>
      <w:r>
        <w:rPr>
          <w:rFonts w:hint="eastAsia" w:ascii="宋体"/>
          <w:bCs/>
          <w:color w:val="auto"/>
          <w:sz w:val="21"/>
          <w:szCs w:val="21"/>
          <w:highlight w:val="none"/>
          <w:u w:val="single"/>
        </w:rPr>
        <w:t>投标人声明</w:t>
      </w:r>
      <w:r>
        <w:rPr>
          <w:rFonts w:hint="eastAsia" w:ascii="宋体"/>
          <w:bCs/>
          <w:color w:val="auto"/>
          <w:sz w:val="21"/>
          <w:szCs w:val="21"/>
          <w:highlight w:val="none"/>
          <w:u w:val="single"/>
          <w:lang w:val="en-US" w:eastAsia="zh-CN"/>
        </w:rPr>
        <w:t>；</w:t>
      </w:r>
    </w:p>
    <w:p w14:paraId="77CB7F2D">
      <w:pPr>
        <w:spacing w:line="360" w:lineRule="auto"/>
        <w:ind w:firstLine="420" w:firstLineChars="200"/>
        <w:rPr>
          <w:rFonts w:ascii="宋体"/>
          <w:bCs/>
          <w:color w:val="auto"/>
          <w:sz w:val="21"/>
          <w:szCs w:val="21"/>
          <w:highlight w:val="none"/>
          <w:u w:val="single"/>
        </w:rPr>
      </w:pPr>
      <w:r>
        <w:rPr>
          <w:rFonts w:hint="eastAsia" w:ascii="宋体"/>
          <w:bCs/>
          <w:color w:val="auto"/>
          <w:sz w:val="21"/>
          <w:szCs w:val="21"/>
          <w:highlight w:val="none"/>
          <w:u w:val="single"/>
        </w:rPr>
        <w:t>（2）法定代表人证明书、法定代表人签字或盖章的本投标文件授权委托证明书</w:t>
      </w:r>
      <w:r>
        <w:rPr>
          <w:rFonts w:hint="eastAsia" w:ascii="宋体"/>
          <w:bCs/>
          <w:color w:val="auto"/>
          <w:sz w:val="21"/>
          <w:szCs w:val="21"/>
          <w:highlight w:val="none"/>
          <w:u w:val="single"/>
          <w:lang w:eastAsia="zh-CN"/>
        </w:rPr>
        <w:t>；</w:t>
      </w:r>
    </w:p>
    <w:p w14:paraId="7E1BDF70">
      <w:pPr>
        <w:spacing w:line="360" w:lineRule="auto"/>
        <w:ind w:firstLine="420" w:firstLineChars="200"/>
        <w:rPr>
          <w:rFonts w:hint="eastAsia" w:ascii="宋体" w:eastAsia="宋体"/>
          <w:bCs/>
          <w:color w:val="auto"/>
          <w:sz w:val="21"/>
          <w:szCs w:val="21"/>
          <w:highlight w:val="none"/>
          <w:u w:val="single"/>
          <w:lang w:eastAsia="zh-CN"/>
        </w:rPr>
      </w:pPr>
      <w:r>
        <w:rPr>
          <w:rFonts w:hint="eastAsia" w:ascii="宋体"/>
          <w:bCs/>
          <w:color w:val="auto"/>
          <w:sz w:val="21"/>
          <w:szCs w:val="21"/>
          <w:highlight w:val="none"/>
          <w:u w:val="single"/>
        </w:rPr>
        <w:t>（3）企业营业执照</w:t>
      </w:r>
      <w:r>
        <w:rPr>
          <w:rFonts w:hint="eastAsia" w:ascii="宋体"/>
          <w:bCs/>
          <w:color w:val="auto"/>
          <w:sz w:val="21"/>
          <w:szCs w:val="21"/>
          <w:highlight w:val="none"/>
          <w:u w:val="single"/>
          <w:lang w:eastAsia="zh-CN"/>
        </w:rPr>
        <w:t>；</w:t>
      </w:r>
    </w:p>
    <w:p w14:paraId="48ADF70C">
      <w:pPr>
        <w:spacing w:line="360" w:lineRule="auto"/>
        <w:ind w:firstLine="420" w:firstLineChars="200"/>
        <w:rPr>
          <w:rFonts w:hint="eastAsia" w:ascii="宋体" w:eastAsia="宋体"/>
          <w:bCs/>
          <w:color w:val="auto"/>
          <w:sz w:val="21"/>
          <w:szCs w:val="21"/>
          <w:highlight w:val="none"/>
          <w:u w:val="single"/>
          <w:lang w:eastAsia="zh-CN"/>
        </w:rPr>
      </w:pPr>
      <w:r>
        <w:rPr>
          <w:rFonts w:hint="eastAsia" w:ascii="宋体"/>
          <w:bCs/>
          <w:color w:val="auto"/>
          <w:sz w:val="21"/>
          <w:szCs w:val="21"/>
          <w:highlight w:val="none"/>
          <w:u w:val="single"/>
        </w:rPr>
        <w:t>（4）企业资质证书</w:t>
      </w:r>
      <w:r>
        <w:rPr>
          <w:rFonts w:hint="eastAsia" w:ascii="宋体"/>
          <w:bCs/>
          <w:color w:val="auto"/>
          <w:sz w:val="21"/>
          <w:szCs w:val="21"/>
          <w:highlight w:val="none"/>
          <w:u w:val="single"/>
          <w:lang w:eastAsia="zh-CN"/>
        </w:rPr>
        <w:t>；</w:t>
      </w:r>
    </w:p>
    <w:p w14:paraId="0155FCDD">
      <w:pPr>
        <w:spacing w:line="360" w:lineRule="auto"/>
        <w:ind w:firstLine="420" w:firstLineChars="200"/>
        <w:rPr>
          <w:rFonts w:hint="eastAsia" w:ascii="宋体" w:eastAsia="宋体"/>
          <w:bCs/>
          <w:color w:val="auto"/>
          <w:sz w:val="21"/>
          <w:szCs w:val="21"/>
          <w:highlight w:val="none"/>
          <w:u w:val="single"/>
          <w:lang w:eastAsia="zh-CN"/>
        </w:rPr>
      </w:pPr>
      <w:r>
        <w:rPr>
          <w:rFonts w:hint="eastAsia" w:ascii="宋体"/>
          <w:bCs/>
          <w:color w:val="auto"/>
          <w:sz w:val="21"/>
          <w:szCs w:val="21"/>
          <w:highlight w:val="none"/>
          <w:u w:val="single"/>
        </w:rPr>
        <w:t>（5）建筑施工企业安全生产许可证</w:t>
      </w:r>
      <w:r>
        <w:rPr>
          <w:rFonts w:hint="eastAsia" w:ascii="宋体"/>
          <w:bCs/>
          <w:color w:val="auto"/>
          <w:sz w:val="21"/>
          <w:szCs w:val="21"/>
          <w:highlight w:val="none"/>
          <w:u w:val="single"/>
          <w:lang w:eastAsia="zh-CN"/>
        </w:rPr>
        <w:t>；</w:t>
      </w:r>
    </w:p>
    <w:p w14:paraId="2153852C">
      <w:pPr>
        <w:spacing w:line="360" w:lineRule="auto"/>
        <w:ind w:firstLine="420" w:firstLineChars="200"/>
        <w:rPr>
          <w:rFonts w:hint="eastAsia" w:ascii="宋体" w:hAnsi="宋体" w:eastAsia="宋体"/>
          <w:bCs/>
          <w:color w:val="auto"/>
          <w:sz w:val="21"/>
          <w:szCs w:val="21"/>
          <w:highlight w:val="none"/>
          <w:u w:val="single"/>
          <w:lang w:eastAsia="zh-CN"/>
        </w:rPr>
      </w:pPr>
      <w:r>
        <w:rPr>
          <w:rFonts w:hint="eastAsia" w:ascii="宋体"/>
          <w:bCs/>
          <w:color w:val="auto"/>
          <w:sz w:val="21"/>
          <w:szCs w:val="21"/>
          <w:highlight w:val="none"/>
          <w:u w:val="single"/>
        </w:rPr>
        <w:t>（6）</w:t>
      </w:r>
      <w:r>
        <w:rPr>
          <w:rFonts w:hint="eastAsia" w:ascii="宋体" w:hAnsi="宋体"/>
          <w:bCs/>
          <w:color w:val="auto"/>
          <w:sz w:val="21"/>
          <w:szCs w:val="21"/>
          <w:highlight w:val="none"/>
          <w:u w:val="single"/>
        </w:rPr>
        <w:t>项目负责人（按网上投标登记时选择拟投标的项目负责人</w:t>
      </w:r>
      <w:r>
        <w:rPr>
          <w:rFonts w:hint="eastAsia" w:ascii="宋体" w:hAnsi="宋体"/>
          <w:bCs/>
          <w:color w:val="auto"/>
          <w:sz w:val="21"/>
          <w:szCs w:val="21"/>
          <w:highlight w:val="none"/>
          <w:u w:val="single"/>
          <w:lang w:eastAsia="zh-CN"/>
        </w:rPr>
        <w:t>。</w:t>
      </w:r>
      <w:r>
        <w:rPr>
          <w:rFonts w:ascii="宋体" w:hAnsi="宋体"/>
          <w:color w:val="auto"/>
          <w:sz w:val="21"/>
          <w:szCs w:val="21"/>
          <w:highlight w:val="none"/>
          <w:u w:val="single"/>
        </w:rPr>
        <w:t>投标人须在</w:t>
      </w:r>
      <w:r>
        <w:rPr>
          <w:rFonts w:hint="eastAsia" w:ascii="宋体" w:hAnsi="宋体"/>
          <w:color w:val="auto"/>
          <w:sz w:val="21"/>
          <w:szCs w:val="21"/>
          <w:highlight w:val="none"/>
          <w:u w:val="single"/>
        </w:rPr>
        <w:t>广州市交通建设项目企业信息库建立企业信用信息档案，拟担任本工程项目负责人须是本企业信息档案中的在册人员</w:t>
      </w:r>
      <w:r>
        <w:rPr>
          <w:rFonts w:hint="eastAsia" w:ascii="宋体" w:hAnsi="宋体"/>
          <w:bCs/>
          <w:color w:val="auto"/>
          <w:sz w:val="21"/>
          <w:szCs w:val="21"/>
          <w:highlight w:val="none"/>
          <w:u w:val="single"/>
        </w:rPr>
        <w:t>）</w:t>
      </w:r>
      <w:r>
        <w:rPr>
          <w:rFonts w:hint="eastAsia" w:ascii="宋体" w:hAnsi="宋体"/>
          <w:bCs/>
          <w:color w:val="auto"/>
          <w:sz w:val="21"/>
          <w:szCs w:val="21"/>
          <w:highlight w:val="none"/>
          <w:u w:val="single"/>
          <w:lang w:eastAsia="zh-CN"/>
        </w:rPr>
        <w:t>；</w:t>
      </w:r>
    </w:p>
    <w:p w14:paraId="715B27AF">
      <w:pPr>
        <w:spacing w:line="360" w:lineRule="auto"/>
        <w:ind w:firstLine="420" w:firstLineChars="200"/>
        <w:rPr>
          <w:rFonts w:hint="eastAsia" w:ascii="宋体" w:hAnsi="宋体" w:eastAsia="宋体"/>
          <w:bCs/>
          <w:color w:val="auto"/>
          <w:sz w:val="21"/>
          <w:szCs w:val="21"/>
          <w:highlight w:val="none"/>
          <w:u w:val="single"/>
          <w:lang w:eastAsia="zh-CN"/>
        </w:rPr>
      </w:pPr>
      <w:r>
        <w:rPr>
          <w:rFonts w:hint="eastAsia" w:ascii="宋体" w:hAnsi="宋体"/>
          <w:bCs/>
          <w:color w:val="auto"/>
          <w:sz w:val="21"/>
          <w:szCs w:val="21"/>
          <w:highlight w:val="none"/>
          <w:u w:val="single"/>
        </w:rPr>
        <w:t>（7）专职安全员（按网上投标登记时选择拟投标的专职安全员</w:t>
      </w:r>
      <w:r>
        <w:rPr>
          <w:rFonts w:hint="eastAsia" w:ascii="宋体" w:hAnsi="宋体"/>
          <w:bCs/>
          <w:color w:val="auto"/>
          <w:sz w:val="21"/>
          <w:szCs w:val="21"/>
          <w:highlight w:val="none"/>
          <w:u w:val="single"/>
          <w:lang w:eastAsia="zh-CN"/>
        </w:rPr>
        <w:t>，</w:t>
      </w:r>
      <w:r>
        <w:rPr>
          <w:rFonts w:ascii="宋体" w:hAnsi="宋体"/>
          <w:color w:val="auto"/>
          <w:sz w:val="21"/>
          <w:szCs w:val="21"/>
          <w:highlight w:val="none"/>
          <w:u w:val="single"/>
        </w:rPr>
        <w:t>投标人须在</w:t>
      </w:r>
      <w:r>
        <w:rPr>
          <w:rFonts w:hint="eastAsia" w:ascii="宋体" w:hAnsi="宋体"/>
          <w:color w:val="auto"/>
          <w:sz w:val="21"/>
          <w:szCs w:val="21"/>
          <w:highlight w:val="none"/>
          <w:u w:val="single"/>
        </w:rPr>
        <w:t>广州市交通建设项目企业信息库建立企业信用信息档案，拟担任本工程专职安全员须是本企业信息档案中的在册人员</w:t>
      </w:r>
      <w:r>
        <w:rPr>
          <w:rFonts w:hint="eastAsia" w:ascii="宋体" w:hAnsi="宋体"/>
          <w:bCs/>
          <w:color w:val="auto"/>
          <w:sz w:val="21"/>
          <w:szCs w:val="21"/>
          <w:highlight w:val="none"/>
          <w:u w:val="single"/>
        </w:rPr>
        <w:t>）</w:t>
      </w:r>
      <w:r>
        <w:rPr>
          <w:rFonts w:hint="eastAsia" w:ascii="宋体" w:hAnsi="宋体"/>
          <w:bCs/>
          <w:color w:val="auto"/>
          <w:sz w:val="21"/>
          <w:szCs w:val="21"/>
          <w:highlight w:val="none"/>
          <w:u w:val="single"/>
          <w:lang w:eastAsia="zh-CN"/>
        </w:rPr>
        <w:t>；</w:t>
      </w:r>
    </w:p>
    <w:p w14:paraId="099328F4">
      <w:pPr>
        <w:spacing w:line="360" w:lineRule="auto"/>
        <w:ind w:firstLine="420" w:firstLineChars="200"/>
        <w:rPr>
          <w:rFonts w:ascii="宋体"/>
          <w:bCs/>
          <w:color w:val="auto"/>
          <w:sz w:val="21"/>
          <w:szCs w:val="21"/>
          <w:highlight w:val="none"/>
          <w:u w:val="single"/>
        </w:rPr>
      </w:pPr>
      <w:r>
        <w:rPr>
          <w:rFonts w:hint="eastAsia" w:ascii="宋体"/>
          <w:bCs/>
          <w:color w:val="auto"/>
          <w:sz w:val="21"/>
          <w:szCs w:val="21"/>
          <w:highlight w:val="none"/>
          <w:u w:val="single"/>
        </w:rPr>
        <w:t>（8）拟委派项目负责人的建造师注册证书（取自</w:t>
      </w:r>
      <w:r>
        <w:rPr>
          <w:rFonts w:hint="eastAsia" w:ascii="宋体" w:hAnsi="宋体"/>
          <w:color w:val="auto"/>
          <w:sz w:val="21"/>
          <w:szCs w:val="21"/>
          <w:highlight w:val="none"/>
          <w:u w:val="single"/>
        </w:rPr>
        <w:t>广州市交通建设项目企业信息库</w:t>
      </w:r>
      <w:r>
        <w:rPr>
          <w:rFonts w:hint="eastAsia" w:ascii="宋体"/>
          <w:bCs/>
          <w:color w:val="auto"/>
          <w:sz w:val="21"/>
          <w:szCs w:val="21"/>
          <w:highlight w:val="none"/>
          <w:u w:val="single"/>
        </w:rPr>
        <w:t xml:space="preserve">内上传件） </w:t>
      </w:r>
      <w:r>
        <w:rPr>
          <w:rFonts w:hint="eastAsia" w:ascii="宋体"/>
          <w:bCs/>
          <w:color w:val="auto"/>
          <w:sz w:val="21"/>
          <w:szCs w:val="21"/>
          <w:highlight w:val="none"/>
          <w:u w:val="single"/>
          <w:lang w:eastAsia="zh-CN"/>
        </w:rPr>
        <w:t>；</w:t>
      </w:r>
      <w:r>
        <w:rPr>
          <w:rFonts w:hint="eastAsia" w:ascii="宋体"/>
          <w:bCs/>
          <w:color w:val="auto"/>
          <w:sz w:val="21"/>
          <w:szCs w:val="21"/>
          <w:highlight w:val="none"/>
          <w:u w:val="single"/>
        </w:rPr>
        <w:t xml:space="preserve"> </w:t>
      </w:r>
    </w:p>
    <w:p w14:paraId="441191E2">
      <w:pPr>
        <w:spacing w:line="360" w:lineRule="auto"/>
        <w:ind w:firstLine="420" w:firstLineChars="200"/>
        <w:rPr>
          <w:rFonts w:hint="eastAsia" w:ascii="宋体" w:eastAsia="宋体"/>
          <w:bCs/>
          <w:color w:val="auto"/>
          <w:sz w:val="21"/>
          <w:szCs w:val="21"/>
          <w:highlight w:val="none"/>
          <w:u w:val="single"/>
          <w:lang w:eastAsia="zh-CN"/>
        </w:rPr>
      </w:pPr>
      <w:r>
        <w:rPr>
          <w:rFonts w:hint="eastAsia" w:ascii="宋体"/>
          <w:bCs/>
          <w:color w:val="auto"/>
          <w:sz w:val="21"/>
          <w:szCs w:val="21"/>
          <w:highlight w:val="none"/>
          <w:u w:val="single"/>
        </w:rPr>
        <w:t>（</w:t>
      </w:r>
      <w:r>
        <w:rPr>
          <w:rFonts w:hint="eastAsia" w:ascii="宋体"/>
          <w:bCs/>
          <w:color w:val="auto"/>
          <w:sz w:val="21"/>
          <w:szCs w:val="21"/>
          <w:highlight w:val="none"/>
          <w:u w:val="single"/>
          <w:lang w:val="en-US" w:eastAsia="zh-CN"/>
        </w:rPr>
        <w:t>9</w:t>
      </w:r>
      <w:r>
        <w:rPr>
          <w:rFonts w:hint="eastAsia" w:ascii="宋体"/>
          <w:bCs/>
          <w:color w:val="auto"/>
          <w:sz w:val="21"/>
          <w:szCs w:val="21"/>
          <w:highlight w:val="none"/>
          <w:u w:val="single"/>
        </w:rPr>
        <w:t>）项目负责人安全生产考核合格证明或在有效期内的安全考核合格证书（B类）或建筑施工企业项目负责人安全生产考核合格证书</w:t>
      </w:r>
      <w:r>
        <w:rPr>
          <w:rFonts w:hint="eastAsia" w:ascii="宋体"/>
          <w:bCs/>
          <w:color w:val="auto"/>
          <w:sz w:val="21"/>
          <w:szCs w:val="21"/>
          <w:highlight w:val="none"/>
          <w:u w:val="single"/>
          <w:lang w:eastAsia="zh-CN"/>
        </w:rPr>
        <w:t>；</w:t>
      </w:r>
    </w:p>
    <w:p w14:paraId="6B4E34EE">
      <w:pPr>
        <w:spacing w:line="360" w:lineRule="auto"/>
        <w:ind w:firstLine="420" w:firstLineChars="200"/>
        <w:rPr>
          <w:rFonts w:hint="eastAsia" w:ascii="宋体" w:eastAsia="宋体"/>
          <w:bCs/>
          <w:color w:val="auto"/>
          <w:sz w:val="21"/>
          <w:szCs w:val="21"/>
          <w:highlight w:val="none"/>
          <w:u w:val="single"/>
          <w:lang w:eastAsia="zh-CN"/>
        </w:rPr>
      </w:pPr>
      <w:r>
        <w:rPr>
          <w:rFonts w:hint="eastAsia" w:ascii="宋体"/>
          <w:bCs/>
          <w:color w:val="auto"/>
          <w:sz w:val="21"/>
          <w:szCs w:val="21"/>
          <w:highlight w:val="none"/>
          <w:u w:val="single"/>
        </w:rPr>
        <w:t>（</w:t>
      </w:r>
      <w:r>
        <w:rPr>
          <w:rFonts w:hint="eastAsia" w:ascii="宋体"/>
          <w:bCs/>
          <w:color w:val="auto"/>
          <w:sz w:val="21"/>
          <w:szCs w:val="21"/>
          <w:highlight w:val="none"/>
          <w:u w:val="single"/>
          <w:lang w:val="en-US" w:eastAsia="zh-CN"/>
        </w:rPr>
        <w:t>10</w:t>
      </w:r>
      <w:r>
        <w:rPr>
          <w:rFonts w:hint="eastAsia" w:ascii="宋体"/>
          <w:bCs/>
          <w:color w:val="auto"/>
          <w:sz w:val="21"/>
          <w:szCs w:val="21"/>
          <w:highlight w:val="none"/>
          <w:u w:val="single"/>
        </w:rPr>
        <w:t>）专职安全员须具有在有效期内的安全考核合格证书（C类）或建筑施工企业专职安全生产管理人员安全生产考核合格证</w:t>
      </w:r>
      <w:r>
        <w:rPr>
          <w:rFonts w:hint="eastAsia" w:ascii="宋体" w:eastAsia="宋体" w:cs="Times New Roman"/>
          <w:bCs/>
          <w:color w:val="auto"/>
          <w:sz w:val="21"/>
          <w:szCs w:val="21"/>
          <w:highlight w:val="none"/>
          <w:u w:val="single"/>
        </w:rPr>
        <w:t>书（C3）</w:t>
      </w:r>
      <w:r>
        <w:rPr>
          <w:rFonts w:hint="eastAsia" w:ascii="宋体" w:cs="Times New Roman"/>
          <w:bCs/>
          <w:color w:val="auto"/>
          <w:sz w:val="21"/>
          <w:szCs w:val="21"/>
          <w:highlight w:val="none"/>
          <w:u w:val="single"/>
          <w:lang w:eastAsia="zh-CN"/>
        </w:rPr>
        <w:t>；</w:t>
      </w:r>
    </w:p>
    <w:p w14:paraId="0E27FDA3">
      <w:pPr>
        <w:spacing w:line="360" w:lineRule="auto"/>
        <w:ind w:firstLine="420" w:firstLineChars="200"/>
        <w:rPr>
          <w:rFonts w:ascii="宋体"/>
          <w:bCs/>
          <w:color w:val="auto"/>
          <w:sz w:val="21"/>
          <w:szCs w:val="21"/>
          <w:highlight w:val="none"/>
          <w:u w:val="single"/>
        </w:rPr>
      </w:pPr>
      <w:r>
        <w:rPr>
          <w:rFonts w:hint="eastAsia" w:ascii="宋体"/>
          <w:bCs/>
          <w:color w:val="auto"/>
          <w:sz w:val="21"/>
          <w:szCs w:val="21"/>
          <w:highlight w:val="none"/>
          <w:u w:val="single"/>
        </w:rPr>
        <w:t>（</w:t>
      </w:r>
      <w:r>
        <w:rPr>
          <w:rFonts w:hint="eastAsia" w:ascii="宋体"/>
          <w:bCs/>
          <w:color w:val="auto"/>
          <w:sz w:val="21"/>
          <w:szCs w:val="21"/>
          <w:highlight w:val="none"/>
          <w:u w:val="single"/>
          <w:lang w:val="en-US" w:eastAsia="zh-CN"/>
        </w:rPr>
        <w:t>11</w:t>
      </w:r>
      <w:r>
        <w:rPr>
          <w:rFonts w:hint="eastAsia" w:ascii="宋体"/>
          <w:bCs/>
          <w:color w:val="auto"/>
          <w:sz w:val="21"/>
          <w:szCs w:val="21"/>
          <w:highlight w:val="none"/>
          <w:u w:val="single"/>
        </w:rPr>
        <w:t>）</w:t>
      </w:r>
      <w:r>
        <w:rPr>
          <w:rFonts w:hint="eastAsia" w:ascii="宋体" w:hAnsi="宋体"/>
          <w:bCs/>
          <w:color w:val="auto"/>
          <w:sz w:val="21"/>
          <w:szCs w:val="21"/>
          <w:highlight w:val="none"/>
          <w:u w:val="single"/>
        </w:rPr>
        <w:t>用于资格审查的业绩（设置业绩要求时选择此项，</w:t>
      </w:r>
      <w:r>
        <w:rPr>
          <w:rFonts w:hint="eastAsia" w:ascii="宋体" w:hAnsi="宋体"/>
          <w:color w:val="auto"/>
          <w:sz w:val="21"/>
          <w:szCs w:val="21"/>
          <w:highlight w:val="none"/>
          <w:u w:val="single"/>
        </w:rPr>
        <w:t>具体格式由招标人自定</w:t>
      </w:r>
      <w:r>
        <w:rPr>
          <w:rFonts w:hint="eastAsia" w:ascii="宋体" w:hAnsi="宋体"/>
          <w:bCs/>
          <w:color w:val="auto"/>
          <w:sz w:val="21"/>
          <w:szCs w:val="21"/>
          <w:highlight w:val="none"/>
          <w:u w:val="single"/>
        </w:rPr>
        <w:t>）</w:t>
      </w:r>
    </w:p>
    <w:p w14:paraId="16F3684F">
      <w:pPr>
        <w:spacing w:line="360" w:lineRule="auto"/>
        <w:ind w:firstLine="420" w:firstLineChars="200"/>
        <w:rPr>
          <w:rFonts w:hint="eastAsia" w:ascii="宋体" w:hAnsi="宋体" w:eastAsia="宋体"/>
          <w:bCs/>
          <w:color w:val="auto"/>
          <w:sz w:val="21"/>
          <w:szCs w:val="21"/>
          <w:highlight w:val="none"/>
          <w:u w:val="single"/>
          <w:lang w:eastAsia="zh-CN"/>
        </w:rPr>
      </w:pPr>
      <w:r>
        <w:rPr>
          <w:rFonts w:hint="eastAsia" w:ascii="宋体" w:hAnsi="宋体"/>
          <w:bCs/>
          <w:color w:val="auto"/>
          <w:sz w:val="21"/>
          <w:szCs w:val="21"/>
          <w:highlight w:val="none"/>
          <w:u w:val="single"/>
        </w:rPr>
        <w:t>（</w:t>
      </w:r>
      <w:r>
        <w:rPr>
          <w:rFonts w:hint="eastAsia" w:ascii="宋体" w:hAnsi="宋体"/>
          <w:bCs/>
          <w:color w:val="auto"/>
          <w:sz w:val="21"/>
          <w:szCs w:val="21"/>
          <w:highlight w:val="none"/>
          <w:u w:val="single"/>
          <w:lang w:val="en-US" w:eastAsia="zh-CN"/>
        </w:rPr>
        <w:t>12</w:t>
      </w:r>
      <w:r>
        <w:rPr>
          <w:rFonts w:hint="eastAsia" w:ascii="宋体" w:hAnsi="宋体"/>
          <w:bCs/>
          <w:color w:val="auto"/>
          <w:sz w:val="21"/>
          <w:szCs w:val="21"/>
          <w:highlight w:val="none"/>
          <w:u w:val="single"/>
        </w:rPr>
        <w:t>）列明主办单位的联合体工作协议（采用联合体投标时需递交，</w:t>
      </w:r>
      <w:r>
        <w:rPr>
          <w:rFonts w:hint="eastAsia" w:ascii="宋体" w:hAnsi="宋体"/>
          <w:color w:val="auto"/>
          <w:sz w:val="21"/>
          <w:szCs w:val="21"/>
          <w:highlight w:val="none"/>
          <w:u w:val="single"/>
        </w:rPr>
        <w:t>联合体工作协议应明确约定各方拟承担的工作和责任</w:t>
      </w:r>
      <w:r>
        <w:rPr>
          <w:rFonts w:hint="eastAsia" w:ascii="宋体" w:hAnsi="宋体"/>
          <w:bCs/>
          <w:color w:val="auto"/>
          <w:sz w:val="21"/>
          <w:szCs w:val="21"/>
          <w:highlight w:val="none"/>
          <w:u w:val="single"/>
        </w:rPr>
        <w:t>）</w:t>
      </w:r>
      <w:r>
        <w:rPr>
          <w:rFonts w:hint="eastAsia" w:ascii="宋体" w:hAnsi="宋体"/>
          <w:bCs/>
          <w:color w:val="auto"/>
          <w:sz w:val="21"/>
          <w:szCs w:val="21"/>
          <w:highlight w:val="none"/>
          <w:u w:val="single"/>
          <w:lang w:eastAsia="zh-CN"/>
        </w:rPr>
        <w:t>；</w:t>
      </w:r>
    </w:p>
    <w:p w14:paraId="053181F0">
      <w:pPr>
        <w:spacing w:line="360" w:lineRule="auto"/>
        <w:ind w:firstLine="420" w:firstLineChars="200"/>
        <w:rPr>
          <w:rFonts w:hint="eastAsia" w:ascii="宋体" w:hAnsi="宋体" w:eastAsia="宋体"/>
          <w:bCs/>
          <w:color w:val="auto"/>
          <w:sz w:val="21"/>
          <w:szCs w:val="21"/>
          <w:highlight w:val="none"/>
          <w:u w:val="single"/>
          <w:lang w:eastAsia="zh-CN"/>
        </w:rPr>
      </w:pPr>
      <w:r>
        <w:rPr>
          <w:rFonts w:hint="eastAsia" w:ascii="宋体" w:hAnsi="宋体"/>
          <w:bCs/>
          <w:color w:val="auto"/>
          <w:sz w:val="21"/>
          <w:szCs w:val="21"/>
          <w:highlight w:val="none"/>
          <w:u w:val="single"/>
          <w:lang w:eastAsia="zh-CN"/>
        </w:rPr>
        <w:t>（</w:t>
      </w:r>
      <w:r>
        <w:rPr>
          <w:rFonts w:hint="eastAsia" w:ascii="宋体" w:hAnsi="宋体"/>
          <w:bCs/>
          <w:color w:val="auto"/>
          <w:sz w:val="21"/>
          <w:szCs w:val="21"/>
          <w:highlight w:val="none"/>
          <w:u w:val="single"/>
          <w:lang w:val="en-US" w:eastAsia="zh-CN"/>
        </w:rPr>
        <w:t>13）投标人认为应提交的其他资料</w:t>
      </w:r>
      <w:r>
        <w:rPr>
          <w:rFonts w:hint="eastAsia" w:ascii="宋体" w:hAnsi="宋体"/>
          <w:bCs/>
          <w:color w:val="auto"/>
          <w:sz w:val="21"/>
          <w:szCs w:val="21"/>
          <w:highlight w:val="none"/>
          <w:u w:val="single"/>
        </w:rPr>
        <w:t xml:space="preserve"> </w:t>
      </w:r>
      <w:r>
        <w:rPr>
          <w:rFonts w:hint="eastAsia" w:ascii="宋体" w:hAnsi="宋体"/>
          <w:bCs/>
          <w:color w:val="auto"/>
          <w:sz w:val="21"/>
          <w:szCs w:val="21"/>
          <w:highlight w:val="none"/>
          <w:u w:val="single"/>
          <w:lang w:eastAsia="zh-CN"/>
        </w:rPr>
        <w:t>。</w:t>
      </w:r>
    </w:p>
    <w:p w14:paraId="55E8B1FB">
      <w:pPr>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11.</w:t>
      </w:r>
      <w:r>
        <w:rPr>
          <w:rFonts w:hint="eastAsia" w:ascii="宋体" w:hAnsi="宋体"/>
          <w:color w:val="auto"/>
          <w:sz w:val="21"/>
          <w:szCs w:val="21"/>
          <w:highlight w:val="none"/>
          <w:u w:val="single"/>
          <w:lang w:val="en-US" w:eastAsia="zh-CN"/>
        </w:rPr>
        <w:t>2.2</w:t>
      </w:r>
      <w:r>
        <w:rPr>
          <w:rFonts w:hint="eastAsia" w:ascii="宋体" w:hAnsi="宋体"/>
          <w:color w:val="auto"/>
          <w:sz w:val="21"/>
          <w:szCs w:val="21"/>
          <w:highlight w:val="none"/>
          <w:u w:val="single"/>
        </w:rPr>
        <w:t>技术投标文件主要包括下列内容：</w:t>
      </w:r>
    </w:p>
    <w:p w14:paraId="750CC054">
      <w:pPr>
        <w:numPr>
          <w:ilvl w:val="0"/>
          <w:numId w:val="5"/>
        </w:numPr>
        <w:spacing w:line="360" w:lineRule="auto"/>
        <w:ind w:firstLine="420" w:firstLineChars="200"/>
        <w:rPr>
          <w:rFonts w:hint="eastAsia" w:ascii="宋体" w:hAnsi="宋体"/>
          <w:color w:val="auto"/>
          <w:sz w:val="21"/>
          <w:szCs w:val="21"/>
          <w:highlight w:val="none"/>
          <w:u w:val="single"/>
        </w:rPr>
      </w:pPr>
      <w:r>
        <w:rPr>
          <w:rFonts w:hint="eastAsia" w:ascii="宋体"/>
          <w:bCs/>
          <w:color w:val="auto"/>
          <w:sz w:val="21"/>
          <w:szCs w:val="21"/>
          <w:highlight w:val="none"/>
          <w:u w:val="single"/>
          <w:lang w:eastAsia="zh-CN"/>
        </w:rPr>
        <w:t>《广州建设工程施工招标投标书》；</w:t>
      </w:r>
    </w:p>
    <w:p w14:paraId="4F6D1693">
      <w:pPr>
        <w:numPr>
          <w:ilvl w:val="0"/>
          <w:numId w:val="5"/>
        </w:numPr>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项目管理机构配备：</w:t>
      </w:r>
    </w:p>
    <w:p w14:paraId="213AA1DC">
      <w:pPr>
        <w:spacing w:line="360" w:lineRule="auto"/>
        <w:ind w:firstLine="420" w:firstLineChars="200"/>
        <w:rPr>
          <w:rFonts w:hint="eastAsia" w:ascii="宋体" w:hAnsi="宋体"/>
          <w:color w:val="auto"/>
          <w:sz w:val="21"/>
          <w:szCs w:val="21"/>
          <w:highlight w:val="none"/>
          <w:u w:val="single"/>
        </w:rPr>
      </w:pPr>
      <w:r>
        <w:rPr>
          <w:rFonts w:hint="eastAsia" w:ascii="宋体" w:hAnsi="宋体" w:eastAsia="宋体"/>
          <w:color w:val="auto"/>
          <w:sz w:val="21"/>
          <w:szCs w:val="21"/>
          <w:highlight w:val="none"/>
          <w:u w:val="single"/>
        </w:rPr>
        <w:t>①</w:t>
      </w:r>
      <w:r>
        <w:rPr>
          <w:rFonts w:hint="eastAsia" w:ascii="宋体" w:hAnsi="宋体"/>
          <w:color w:val="auto"/>
          <w:sz w:val="21"/>
          <w:szCs w:val="21"/>
          <w:highlight w:val="none"/>
          <w:u w:val="single"/>
        </w:rPr>
        <w:t>投标人应列出该项目工程的施工组织机构构成和画出机构框架图及其负责人；</w:t>
      </w:r>
    </w:p>
    <w:p w14:paraId="25D7EEE6">
      <w:pPr>
        <w:spacing w:line="360" w:lineRule="auto"/>
        <w:ind w:firstLine="420" w:firstLineChars="200"/>
        <w:rPr>
          <w:rFonts w:hint="eastAsia" w:ascii="宋体" w:hAnsi="宋体"/>
          <w:color w:val="auto"/>
          <w:sz w:val="21"/>
          <w:szCs w:val="21"/>
          <w:highlight w:val="none"/>
          <w:u w:val="single"/>
        </w:rPr>
      </w:pPr>
      <w:r>
        <w:rPr>
          <w:rFonts w:hint="eastAsia" w:ascii="宋体" w:hAnsi="宋体" w:eastAsia="宋体"/>
          <w:color w:val="auto"/>
          <w:sz w:val="21"/>
          <w:szCs w:val="21"/>
          <w:highlight w:val="none"/>
          <w:u w:val="single"/>
        </w:rPr>
        <w:t>②</w:t>
      </w:r>
      <w:r>
        <w:rPr>
          <w:rFonts w:hint="eastAsia" w:ascii="宋体" w:hAnsi="宋体"/>
          <w:color w:val="auto"/>
          <w:sz w:val="21"/>
          <w:szCs w:val="21"/>
          <w:highlight w:val="none"/>
          <w:u w:val="single"/>
        </w:rPr>
        <w:t>投标人应详细列出该施工组织机构中主要成员的名单、简历资料、职务职称和在本项目中拟担任的职务等资料，并附上有关证明材料扫描件；</w:t>
      </w:r>
    </w:p>
    <w:p w14:paraId="77844B26">
      <w:pPr>
        <w:spacing w:line="360" w:lineRule="auto"/>
        <w:ind w:firstLine="420" w:firstLineChars="200"/>
        <w:rPr>
          <w:rFonts w:hint="eastAsia" w:ascii="宋体" w:hAnsi="宋体"/>
          <w:color w:val="auto"/>
          <w:sz w:val="21"/>
          <w:szCs w:val="21"/>
          <w:highlight w:val="none"/>
          <w:u w:val="single"/>
        </w:rPr>
      </w:pPr>
      <w:r>
        <w:rPr>
          <w:rFonts w:hint="eastAsia" w:ascii="宋体" w:hAnsi="宋体" w:eastAsia="宋体"/>
          <w:color w:val="auto"/>
          <w:sz w:val="21"/>
          <w:szCs w:val="21"/>
          <w:highlight w:val="none"/>
          <w:u w:val="single"/>
        </w:rPr>
        <w:t>③</w:t>
      </w:r>
      <w:r>
        <w:rPr>
          <w:rFonts w:hint="eastAsia" w:ascii="宋体" w:hAnsi="宋体"/>
          <w:color w:val="auto"/>
          <w:sz w:val="21"/>
          <w:szCs w:val="21"/>
          <w:highlight w:val="none"/>
          <w:u w:val="single"/>
        </w:rPr>
        <w:t>其他辅助说明资料。</w:t>
      </w:r>
    </w:p>
    <w:p w14:paraId="62C85FD9">
      <w:pPr>
        <w:spacing w:line="360" w:lineRule="auto"/>
        <w:ind w:firstLine="420" w:firstLineChars="200"/>
        <w:rPr>
          <w:rFonts w:hint="eastAsia" w:ascii="宋体" w:hAnsi="宋体" w:eastAsia="宋体"/>
          <w:color w:val="auto"/>
          <w:sz w:val="21"/>
          <w:szCs w:val="21"/>
          <w:highlight w:val="none"/>
          <w:u w:val="single"/>
          <w:lang w:eastAsia="zh-CN"/>
        </w:rPr>
      </w:pPr>
      <w:r>
        <w:rPr>
          <w:rFonts w:hint="eastAsia"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3</w:t>
      </w:r>
      <w:r>
        <w:rPr>
          <w:rFonts w:hint="eastAsia" w:ascii="宋体" w:hAnsi="宋体"/>
          <w:color w:val="auto"/>
          <w:sz w:val="21"/>
          <w:szCs w:val="21"/>
          <w:highlight w:val="none"/>
          <w:u w:val="single"/>
        </w:rPr>
        <w:t>）施工组织设计或施工方案</w:t>
      </w:r>
      <w:r>
        <w:rPr>
          <w:rFonts w:hint="eastAsia" w:ascii="宋体" w:hAnsi="宋体"/>
          <w:color w:val="auto"/>
          <w:sz w:val="21"/>
          <w:szCs w:val="21"/>
          <w:highlight w:val="none"/>
          <w:u w:val="single"/>
          <w:lang w:eastAsia="zh-CN"/>
        </w:rPr>
        <w:t>；</w:t>
      </w:r>
    </w:p>
    <w:p w14:paraId="015E8493">
      <w:pPr>
        <w:pStyle w:val="9"/>
        <w:rPr>
          <w:rFonts w:hint="eastAsia" w:ascii="宋体" w:hAnsi="宋体" w:eastAsia="宋体" w:cs="Times New Roman"/>
          <w:color w:val="auto"/>
          <w:sz w:val="21"/>
          <w:szCs w:val="21"/>
          <w:highlight w:val="none"/>
          <w:u w:val="single"/>
          <w:lang w:val="en-US" w:eastAsia="zh-CN"/>
        </w:rPr>
      </w:pPr>
      <w:r>
        <w:rPr>
          <w:rFonts w:hint="eastAsia" w:ascii="楷体" w:hAnsi="楷体" w:eastAsia="楷体" w:cs="楷体"/>
          <w:color w:val="auto"/>
          <w:sz w:val="21"/>
          <w:szCs w:val="21"/>
          <w:highlight w:val="none"/>
          <w:u w:val="single"/>
          <w:lang w:val="en-US" w:eastAsia="zh-CN"/>
        </w:rPr>
        <w:t>注：建议招标人在招标文件中提出</w:t>
      </w:r>
      <w:r>
        <w:rPr>
          <w:rFonts w:hint="eastAsia" w:ascii="楷体" w:hAnsi="楷体" w:eastAsia="楷体" w:cs="楷体"/>
          <w:bCs w:val="0"/>
          <w:color w:val="auto"/>
          <w:kern w:val="2"/>
          <w:sz w:val="21"/>
          <w:szCs w:val="21"/>
          <w:highlight w:val="none"/>
          <w:u w:val="single"/>
        </w:rPr>
        <w:t>篇幅上限</w:t>
      </w:r>
      <w:r>
        <w:rPr>
          <w:rFonts w:hint="eastAsia" w:ascii="楷体" w:hAnsi="楷体" w:eastAsia="楷体" w:cs="楷体"/>
          <w:bCs w:val="0"/>
          <w:color w:val="auto"/>
          <w:kern w:val="2"/>
          <w:sz w:val="21"/>
          <w:szCs w:val="21"/>
          <w:highlight w:val="none"/>
          <w:u w:val="single"/>
          <w:lang w:eastAsia="zh-CN"/>
        </w:rPr>
        <w:t>，国家及地方现有工法规范已有的内容</w:t>
      </w:r>
      <w:r>
        <w:rPr>
          <w:rFonts w:hint="eastAsia" w:ascii="楷体" w:hAnsi="楷体" w:eastAsia="楷体" w:cs="楷体"/>
          <w:bCs w:val="0"/>
          <w:color w:val="auto"/>
          <w:kern w:val="2"/>
          <w:sz w:val="21"/>
          <w:szCs w:val="21"/>
          <w:highlight w:val="none"/>
          <w:u w:val="single"/>
          <w:lang w:val="en-US" w:eastAsia="zh-CN"/>
        </w:rPr>
        <w:t>无需重复提交</w:t>
      </w:r>
      <w:r>
        <w:rPr>
          <w:rFonts w:hint="eastAsia" w:ascii="楷体" w:hAnsi="楷体" w:eastAsia="楷体" w:cs="楷体"/>
          <w:bCs w:val="0"/>
          <w:color w:val="auto"/>
          <w:kern w:val="2"/>
          <w:sz w:val="21"/>
          <w:szCs w:val="21"/>
          <w:highlight w:val="none"/>
          <w:u w:val="single"/>
        </w:rPr>
        <w:t>。</w:t>
      </w:r>
    </w:p>
    <w:p w14:paraId="543B7F8B">
      <w:pPr>
        <w:spacing w:line="360" w:lineRule="auto"/>
        <w:ind w:firstLine="420" w:firstLineChars="200"/>
        <w:rPr>
          <w:rFonts w:hint="eastAsia" w:ascii="宋体" w:hAnsi="宋体" w:eastAsia="宋体"/>
          <w:color w:val="auto"/>
          <w:sz w:val="21"/>
          <w:szCs w:val="21"/>
          <w:highlight w:val="none"/>
          <w:u w:val="single"/>
          <w:lang w:eastAsia="zh-CN"/>
        </w:rPr>
      </w:pPr>
      <w:r>
        <w:rPr>
          <w:rFonts w:hint="eastAsia" w:ascii="宋体" w:hAnsi="宋体"/>
          <w:color w:val="auto"/>
          <w:sz w:val="21"/>
          <w:szCs w:val="21"/>
          <w:highlight w:val="none"/>
          <w:u w:val="single"/>
          <w:lang w:eastAsia="zh-CN"/>
        </w:rPr>
        <w:t>（</w:t>
      </w:r>
      <w:r>
        <w:rPr>
          <w:rFonts w:hint="eastAsia" w:ascii="宋体" w:hAnsi="宋体"/>
          <w:color w:val="auto"/>
          <w:sz w:val="21"/>
          <w:szCs w:val="21"/>
          <w:highlight w:val="none"/>
          <w:u w:val="single"/>
          <w:lang w:val="en-US" w:eastAsia="zh-CN"/>
        </w:rPr>
        <w:t>4）（选择性条款）</w:t>
      </w:r>
      <w:r>
        <w:rPr>
          <w:rFonts w:hint="eastAsia" w:ascii="宋体" w:hAnsi="宋体"/>
          <w:color w:val="auto"/>
          <w:sz w:val="21"/>
          <w:szCs w:val="21"/>
          <w:highlight w:val="none"/>
          <w:u w:val="single"/>
        </w:rPr>
        <w:t>有余泥渣土产生的项目</w:t>
      </w:r>
      <w:r>
        <w:rPr>
          <w:rFonts w:hint="eastAsia" w:ascii="宋体" w:hAnsi="宋体"/>
          <w:color w:val="auto"/>
          <w:sz w:val="21"/>
          <w:szCs w:val="21"/>
          <w:highlight w:val="none"/>
          <w:u w:val="single"/>
          <w:lang w:eastAsia="zh-CN"/>
        </w:rPr>
        <w:t>可要求提供</w:t>
      </w:r>
      <w:r>
        <w:rPr>
          <w:rFonts w:hint="eastAsia" w:ascii="宋体" w:hAnsi="宋体"/>
          <w:color w:val="auto"/>
          <w:sz w:val="21"/>
          <w:szCs w:val="21"/>
          <w:highlight w:val="none"/>
          <w:u w:val="single"/>
        </w:rPr>
        <w:t>余泥渣土运输与排放方案</w:t>
      </w:r>
      <w:r>
        <w:rPr>
          <w:rFonts w:hint="eastAsia" w:ascii="宋体" w:hAnsi="宋体"/>
          <w:color w:val="auto"/>
          <w:sz w:val="21"/>
          <w:szCs w:val="21"/>
          <w:highlight w:val="none"/>
          <w:u w:val="single"/>
          <w:lang w:eastAsia="zh-CN"/>
        </w:rPr>
        <w:t>；</w:t>
      </w:r>
    </w:p>
    <w:p w14:paraId="637E4037">
      <w:pPr>
        <w:spacing w:line="360" w:lineRule="auto"/>
        <w:ind w:firstLine="420" w:firstLineChars="200"/>
        <w:rPr>
          <w:rFonts w:hint="eastAsia" w:ascii="宋体" w:hAnsi="宋体" w:eastAsia="宋体"/>
          <w:color w:val="auto"/>
          <w:sz w:val="21"/>
          <w:szCs w:val="21"/>
          <w:highlight w:val="none"/>
          <w:u w:val="single"/>
          <w:lang w:eastAsia="zh-CN"/>
        </w:rPr>
      </w:pPr>
      <w:r>
        <w:rPr>
          <w:rFonts w:hint="eastAsia"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5</w:t>
      </w:r>
      <w:r>
        <w:rPr>
          <w:rFonts w:hint="eastAsia" w:ascii="宋体" w:hAnsi="宋体"/>
          <w:color w:val="auto"/>
          <w:sz w:val="21"/>
          <w:szCs w:val="21"/>
          <w:highlight w:val="none"/>
          <w:u w:val="single"/>
        </w:rPr>
        <w:t>）</w:t>
      </w:r>
      <w:r>
        <w:rPr>
          <w:rFonts w:hint="eastAsia" w:ascii="宋体" w:hAnsi="宋体"/>
          <w:color w:val="auto"/>
          <w:sz w:val="21"/>
          <w:szCs w:val="21"/>
          <w:highlight w:val="none"/>
          <w:u w:val="single"/>
          <w:lang w:eastAsia="zh-CN"/>
        </w:rPr>
        <w:t>（选择性条款）</w:t>
      </w:r>
      <w:r>
        <w:rPr>
          <w:rFonts w:hint="eastAsia" w:ascii="宋体" w:hAnsi="宋体"/>
          <w:color w:val="auto"/>
          <w:sz w:val="21"/>
          <w:szCs w:val="21"/>
          <w:highlight w:val="none"/>
          <w:u w:val="single"/>
        </w:rPr>
        <w:t>投标人可使用适合本工程的机械设备</w:t>
      </w:r>
      <w:r>
        <w:rPr>
          <w:rFonts w:hint="eastAsia" w:ascii="宋体" w:hAnsi="宋体"/>
          <w:color w:val="auto"/>
          <w:sz w:val="21"/>
          <w:szCs w:val="21"/>
          <w:highlight w:val="none"/>
          <w:u w:val="single"/>
          <w:lang w:eastAsia="zh-CN"/>
        </w:rPr>
        <w:t>；</w:t>
      </w:r>
    </w:p>
    <w:p w14:paraId="3CB7D970">
      <w:pPr>
        <w:spacing w:line="360" w:lineRule="auto"/>
        <w:ind w:firstLine="420" w:firstLineChars="200"/>
        <w:rPr>
          <w:rFonts w:hint="eastAsia" w:ascii="宋体" w:hAnsi="宋体" w:eastAsia="宋体"/>
          <w:color w:val="auto"/>
          <w:sz w:val="21"/>
          <w:szCs w:val="21"/>
          <w:highlight w:val="none"/>
          <w:u w:val="single"/>
          <w:lang w:eastAsia="zh-CN"/>
        </w:rPr>
      </w:pPr>
      <w:r>
        <w:rPr>
          <w:rFonts w:hint="eastAsia"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6</w:t>
      </w:r>
      <w:r>
        <w:rPr>
          <w:rFonts w:hint="eastAsia" w:ascii="宋体" w:hAnsi="宋体"/>
          <w:color w:val="auto"/>
          <w:sz w:val="21"/>
          <w:szCs w:val="21"/>
          <w:highlight w:val="none"/>
          <w:u w:val="single"/>
        </w:rPr>
        <w:t>）</w:t>
      </w:r>
      <w:r>
        <w:rPr>
          <w:rFonts w:hint="eastAsia" w:ascii="宋体" w:hAnsi="宋体"/>
          <w:color w:val="auto"/>
          <w:sz w:val="21"/>
          <w:szCs w:val="21"/>
          <w:highlight w:val="none"/>
          <w:u w:val="single"/>
          <w:lang w:eastAsia="zh-CN"/>
        </w:rPr>
        <w:t>（选择性条款）</w:t>
      </w:r>
      <w:r>
        <w:rPr>
          <w:rFonts w:hint="eastAsia" w:ascii="宋体" w:hAnsi="宋体"/>
          <w:color w:val="auto"/>
          <w:sz w:val="21"/>
          <w:szCs w:val="21"/>
          <w:highlight w:val="none"/>
          <w:u w:val="single"/>
        </w:rPr>
        <w:t>类似工程业绩材料</w:t>
      </w:r>
      <w:r>
        <w:rPr>
          <w:rFonts w:hint="eastAsia" w:ascii="宋体" w:hAnsi="宋体"/>
          <w:color w:val="auto"/>
          <w:sz w:val="21"/>
          <w:szCs w:val="21"/>
          <w:highlight w:val="none"/>
          <w:u w:val="single"/>
          <w:lang w:eastAsia="zh-CN"/>
        </w:rPr>
        <w:t>；</w:t>
      </w:r>
    </w:p>
    <w:p w14:paraId="42324A39">
      <w:pPr>
        <w:spacing w:line="360" w:lineRule="auto"/>
        <w:ind w:firstLine="420" w:firstLineChars="200"/>
        <w:rPr>
          <w:rFonts w:hint="eastAsia" w:ascii="宋体" w:hAnsi="宋体" w:eastAsia="宋体"/>
          <w:color w:val="auto"/>
          <w:sz w:val="21"/>
          <w:szCs w:val="21"/>
          <w:highlight w:val="none"/>
          <w:u w:val="single"/>
          <w:lang w:eastAsia="zh-CN"/>
        </w:rPr>
      </w:pPr>
      <w:r>
        <w:rPr>
          <w:rFonts w:hint="eastAsia"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7</w:t>
      </w:r>
      <w:r>
        <w:rPr>
          <w:rFonts w:hint="eastAsia" w:ascii="宋体" w:hAnsi="宋体"/>
          <w:color w:val="auto"/>
          <w:sz w:val="21"/>
          <w:szCs w:val="21"/>
          <w:highlight w:val="none"/>
          <w:u w:val="single"/>
        </w:rPr>
        <w:t>）按本招标文件规定提交的其它所有技术资料</w:t>
      </w:r>
      <w:r>
        <w:rPr>
          <w:rFonts w:hint="eastAsia" w:ascii="宋体" w:hAnsi="宋体"/>
          <w:color w:val="auto"/>
          <w:sz w:val="21"/>
          <w:szCs w:val="21"/>
          <w:highlight w:val="none"/>
          <w:u w:val="single"/>
          <w:lang w:eastAsia="zh-CN"/>
        </w:rPr>
        <w:t>；</w:t>
      </w:r>
    </w:p>
    <w:p w14:paraId="650EC7EB">
      <w:pPr>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8</w:t>
      </w:r>
      <w:r>
        <w:rPr>
          <w:rFonts w:hint="eastAsia" w:ascii="宋体" w:hAnsi="宋体"/>
          <w:color w:val="auto"/>
          <w:sz w:val="21"/>
          <w:szCs w:val="21"/>
          <w:highlight w:val="none"/>
          <w:u w:val="single"/>
        </w:rPr>
        <w:t>）按照招标文件要求填写的《参与编制技术标投标文件人员名单》。</w:t>
      </w:r>
    </w:p>
    <w:p w14:paraId="56ABA4DB">
      <w:pPr>
        <w:spacing w:line="360" w:lineRule="auto"/>
        <w:ind w:firstLine="420" w:firstLineChars="200"/>
        <w:rPr>
          <w:rFonts w:ascii="宋体"/>
          <w:bCs/>
          <w:color w:val="auto"/>
          <w:sz w:val="21"/>
          <w:szCs w:val="21"/>
          <w:highlight w:val="none"/>
          <w:u w:val="single"/>
        </w:rPr>
      </w:pPr>
      <w:r>
        <w:rPr>
          <w:rFonts w:ascii="宋体" w:hAnsi="宋体"/>
          <w:bCs/>
          <w:color w:val="auto"/>
          <w:sz w:val="21"/>
          <w:szCs w:val="21"/>
          <w:highlight w:val="none"/>
          <w:u w:val="single"/>
        </w:rPr>
        <w:t xml:space="preserve">11.3 </w:t>
      </w:r>
      <w:r>
        <w:rPr>
          <w:rFonts w:hint="eastAsia" w:ascii="宋体" w:hAnsi="宋体"/>
          <w:bCs/>
          <w:color w:val="auto"/>
          <w:sz w:val="21"/>
          <w:szCs w:val="21"/>
          <w:highlight w:val="none"/>
          <w:u w:val="single"/>
        </w:rPr>
        <w:t>经济部分投标文件主要包括下列内容：</w:t>
      </w:r>
    </w:p>
    <w:p w14:paraId="22071D02">
      <w:pPr>
        <w:spacing w:line="360" w:lineRule="auto"/>
        <w:ind w:firstLine="420" w:firstLineChars="200"/>
        <w:rPr>
          <w:rFonts w:ascii="宋体"/>
          <w:color w:val="auto"/>
          <w:sz w:val="21"/>
          <w:szCs w:val="21"/>
          <w:highlight w:val="none"/>
          <w:u w:val="single"/>
        </w:rPr>
      </w:pPr>
      <w:r>
        <w:rPr>
          <w:rFonts w:ascii="宋体" w:hAnsi="宋体"/>
          <w:color w:val="auto"/>
          <w:sz w:val="21"/>
          <w:szCs w:val="21"/>
          <w:highlight w:val="none"/>
          <w:u w:val="single"/>
        </w:rPr>
        <w:t xml:space="preserve">11.3.1 </w:t>
      </w:r>
      <w:r>
        <w:rPr>
          <w:rFonts w:hint="eastAsia" w:ascii="宋体" w:hAnsi="宋体"/>
          <w:color w:val="auto"/>
          <w:sz w:val="21"/>
          <w:szCs w:val="21"/>
          <w:highlight w:val="none"/>
          <w:u w:val="single"/>
        </w:rPr>
        <w:t>经济投标文件</w:t>
      </w:r>
    </w:p>
    <w:p w14:paraId="2D9220DE">
      <w:pPr>
        <w:spacing w:line="360" w:lineRule="auto"/>
        <w:ind w:firstLine="420" w:firstLineChars="200"/>
        <w:rPr>
          <w:rFonts w:ascii="宋体"/>
          <w:color w:val="auto"/>
          <w:sz w:val="21"/>
          <w:szCs w:val="21"/>
          <w:highlight w:val="none"/>
          <w:u w:val="single"/>
        </w:rPr>
      </w:pPr>
      <w:r>
        <w:rPr>
          <w:rFonts w:ascii="宋体" w:hAnsi="宋体"/>
          <w:color w:val="auto"/>
          <w:sz w:val="21"/>
          <w:szCs w:val="21"/>
          <w:highlight w:val="none"/>
          <w:u w:val="single"/>
        </w:rPr>
        <w:t>11.3.2</w:t>
      </w:r>
      <w:r>
        <w:rPr>
          <w:rFonts w:hint="eastAsia" w:ascii="宋体" w:hAnsi="宋体"/>
          <w:color w:val="auto"/>
          <w:sz w:val="21"/>
          <w:szCs w:val="21"/>
          <w:highlight w:val="none"/>
          <w:u w:val="single"/>
        </w:rPr>
        <w:t>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其中包括如下：</w:t>
      </w:r>
      <w:r>
        <w:rPr>
          <w:rFonts w:ascii="宋体"/>
          <w:color w:val="auto"/>
          <w:sz w:val="21"/>
          <w:szCs w:val="21"/>
          <w:highlight w:val="none"/>
          <w:u w:val="single"/>
        </w:rPr>
        <w:t xml:space="preserve"> </w:t>
      </w:r>
    </w:p>
    <w:p w14:paraId="02CCD45F">
      <w:pPr>
        <w:spacing w:line="360" w:lineRule="auto"/>
        <w:ind w:firstLine="495" w:firstLineChars="236"/>
        <w:rPr>
          <w:rFonts w:ascii="宋体"/>
          <w:color w:val="auto"/>
          <w:sz w:val="21"/>
          <w:szCs w:val="21"/>
          <w:highlight w:val="none"/>
          <w:u w:val="single"/>
        </w:rPr>
      </w:pPr>
      <w:r>
        <w:rPr>
          <w:rFonts w:hint="eastAsia" w:ascii="宋体" w:hAnsi="宋体"/>
          <w:color w:val="auto"/>
          <w:sz w:val="21"/>
          <w:szCs w:val="21"/>
          <w:highlight w:val="none"/>
          <w:u w:val="single"/>
        </w:rPr>
        <w:t>（</w:t>
      </w:r>
      <w:r>
        <w:rPr>
          <w:rFonts w:ascii="宋体" w:hAnsi="宋体"/>
          <w:color w:val="auto"/>
          <w:sz w:val="21"/>
          <w:szCs w:val="21"/>
          <w:highlight w:val="none"/>
          <w:u w:val="single"/>
        </w:rPr>
        <w:t>1</w:t>
      </w:r>
      <w:r>
        <w:rPr>
          <w:rFonts w:hint="eastAsia" w:ascii="宋体" w:hAnsi="宋体"/>
          <w:color w:val="auto"/>
          <w:sz w:val="21"/>
          <w:szCs w:val="21"/>
          <w:highlight w:val="none"/>
          <w:u w:val="single"/>
        </w:rPr>
        <w:t>）投标总价封面、扉页；</w:t>
      </w:r>
    </w:p>
    <w:p w14:paraId="77D251D8">
      <w:pPr>
        <w:spacing w:line="360" w:lineRule="auto"/>
        <w:ind w:firstLine="495" w:firstLineChars="236"/>
        <w:rPr>
          <w:rFonts w:hint="default" w:ascii="宋体" w:hAnsi="宋体" w:eastAsia="宋体"/>
          <w:color w:val="auto"/>
          <w:sz w:val="21"/>
          <w:szCs w:val="21"/>
          <w:highlight w:val="none"/>
          <w:u w:val="single"/>
          <w:lang w:val="en-US" w:eastAsia="zh-CN"/>
        </w:rPr>
      </w:pPr>
      <w:r>
        <w:rPr>
          <w:rFonts w:hint="eastAsia" w:ascii="宋体" w:hAnsi="宋体"/>
          <w:color w:val="auto"/>
          <w:sz w:val="21"/>
          <w:szCs w:val="21"/>
          <w:highlight w:val="none"/>
          <w:u w:val="single"/>
        </w:rPr>
        <w:t>（</w:t>
      </w:r>
      <w:r>
        <w:rPr>
          <w:rFonts w:ascii="宋体" w:hAnsi="宋体"/>
          <w:color w:val="auto"/>
          <w:sz w:val="21"/>
          <w:szCs w:val="21"/>
          <w:highlight w:val="none"/>
          <w:u w:val="single"/>
        </w:rPr>
        <w:t>2</w:t>
      </w:r>
      <w:r>
        <w:rPr>
          <w:rFonts w:hint="eastAsia" w:ascii="宋体" w:hAnsi="宋体"/>
          <w:color w:val="auto"/>
          <w:sz w:val="21"/>
          <w:szCs w:val="21"/>
          <w:highlight w:val="none"/>
          <w:u w:val="single"/>
        </w:rPr>
        <w:t>）总说明</w:t>
      </w:r>
      <w:r>
        <w:rPr>
          <w:rFonts w:hint="eastAsia" w:ascii="宋体" w:hAnsi="宋体"/>
          <w:color w:val="auto"/>
          <w:sz w:val="21"/>
          <w:szCs w:val="21"/>
          <w:highlight w:val="none"/>
          <w:u w:val="single"/>
          <w:lang w:eastAsia="zh-CN"/>
        </w:rPr>
        <w:t>；</w:t>
      </w:r>
    </w:p>
    <w:p w14:paraId="2EF3C2C4">
      <w:pPr>
        <w:spacing w:line="360" w:lineRule="auto"/>
        <w:ind w:firstLine="495" w:firstLineChars="236"/>
        <w:rPr>
          <w:rFonts w:ascii="宋体"/>
          <w:color w:val="auto"/>
          <w:sz w:val="21"/>
          <w:szCs w:val="21"/>
          <w:highlight w:val="none"/>
          <w:u w:val="single"/>
        </w:rPr>
      </w:pPr>
      <w:r>
        <w:rPr>
          <w:rFonts w:hint="eastAsia" w:ascii="宋体" w:hAnsi="宋体"/>
          <w:color w:val="auto"/>
          <w:sz w:val="21"/>
          <w:szCs w:val="21"/>
          <w:highlight w:val="none"/>
          <w:u w:val="single"/>
        </w:rPr>
        <w:t>（3）工程项目投标报价汇总表；</w:t>
      </w:r>
    </w:p>
    <w:p w14:paraId="0E8A6D58">
      <w:pPr>
        <w:spacing w:line="360" w:lineRule="auto"/>
        <w:ind w:firstLine="495" w:firstLineChars="236"/>
        <w:rPr>
          <w:rFonts w:ascii="宋体" w:hAnsi="宋体"/>
          <w:color w:val="auto"/>
          <w:sz w:val="21"/>
          <w:szCs w:val="21"/>
          <w:highlight w:val="none"/>
          <w:u w:val="single"/>
        </w:rPr>
      </w:pPr>
      <w:r>
        <w:rPr>
          <w:rFonts w:hint="eastAsia" w:ascii="宋体" w:hAnsi="宋体"/>
          <w:color w:val="auto"/>
          <w:sz w:val="21"/>
          <w:szCs w:val="21"/>
          <w:highlight w:val="none"/>
          <w:u w:val="single"/>
        </w:rPr>
        <w:t>（4）单项工程投标报价汇总表；</w:t>
      </w:r>
    </w:p>
    <w:p w14:paraId="32DE9D9E">
      <w:pPr>
        <w:spacing w:line="360" w:lineRule="auto"/>
        <w:ind w:firstLine="495" w:firstLineChars="236"/>
        <w:rPr>
          <w:rFonts w:ascii="宋体"/>
          <w:color w:val="auto"/>
          <w:sz w:val="21"/>
          <w:szCs w:val="21"/>
          <w:highlight w:val="none"/>
          <w:u w:val="single"/>
        </w:rPr>
      </w:pPr>
      <w:r>
        <w:rPr>
          <w:rFonts w:hint="eastAsia" w:ascii="宋体" w:hAnsi="宋体"/>
          <w:color w:val="auto"/>
          <w:sz w:val="21"/>
          <w:szCs w:val="21"/>
          <w:highlight w:val="none"/>
          <w:u w:val="single"/>
        </w:rPr>
        <w:t>（5）单位工程投标报价汇总表；</w:t>
      </w:r>
    </w:p>
    <w:p w14:paraId="2193000C">
      <w:pPr>
        <w:spacing w:line="360" w:lineRule="auto"/>
        <w:ind w:firstLine="495" w:firstLineChars="236"/>
        <w:rPr>
          <w:rFonts w:ascii="宋体"/>
          <w:color w:val="auto"/>
          <w:sz w:val="21"/>
          <w:szCs w:val="21"/>
          <w:highlight w:val="none"/>
          <w:u w:val="single"/>
        </w:rPr>
      </w:pPr>
      <w:r>
        <w:rPr>
          <w:rFonts w:hint="eastAsia" w:ascii="宋体" w:hAnsi="宋体"/>
          <w:color w:val="auto"/>
          <w:sz w:val="21"/>
          <w:szCs w:val="21"/>
          <w:highlight w:val="none"/>
          <w:u w:val="single"/>
        </w:rPr>
        <w:t>（6）分部分项工程清单与计价表；</w:t>
      </w:r>
    </w:p>
    <w:p w14:paraId="13D46FD9">
      <w:pPr>
        <w:spacing w:line="360" w:lineRule="auto"/>
        <w:ind w:firstLine="495" w:firstLineChars="236"/>
        <w:rPr>
          <w:rFonts w:ascii="宋体"/>
          <w:color w:val="auto"/>
          <w:sz w:val="21"/>
          <w:szCs w:val="21"/>
          <w:highlight w:val="none"/>
          <w:u w:val="single"/>
        </w:rPr>
      </w:pPr>
      <w:r>
        <w:rPr>
          <w:rFonts w:hint="eastAsia" w:ascii="宋体" w:hAnsi="宋体"/>
          <w:color w:val="auto"/>
          <w:sz w:val="21"/>
          <w:szCs w:val="21"/>
          <w:highlight w:val="none"/>
          <w:u w:val="single"/>
        </w:rPr>
        <w:t>（7）单价措施项目清单与计价表；</w:t>
      </w:r>
    </w:p>
    <w:p w14:paraId="251A7AB1">
      <w:pPr>
        <w:spacing w:line="360" w:lineRule="auto"/>
        <w:ind w:firstLine="495" w:firstLineChars="236"/>
        <w:rPr>
          <w:rFonts w:ascii="宋体"/>
          <w:color w:val="auto"/>
          <w:sz w:val="21"/>
          <w:szCs w:val="21"/>
          <w:highlight w:val="none"/>
          <w:u w:val="single"/>
        </w:rPr>
      </w:pPr>
      <w:r>
        <w:rPr>
          <w:rFonts w:hint="eastAsia" w:ascii="宋体" w:hAnsi="宋体"/>
          <w:color w:val="auto"/>
          <w:sz w:val="21"/>
          <w:szCs w:val="21"/>
          <w:highlight w:val="none"/>
          <w:u w:val="single"/>
        </w:rPr>
        <w:t>（8）总价措施项目清单与计价表；</w:t>
      </w:r>
    </w:p>
    <w:p w14:paraId="646AE8BA">
      <w:pPr>
        <w:spacing w:line="360" w:lineRule="auto"/>
        <w:ind w:firstLine="495" w:firstLineChars="236"/>
        <w:rPr>
          <w:rFonts w:ascii="宋体"/>
          <w:color w:val="auto"/>
          <w:sz w:val="21"/>
          <w:szCs w:val="21"/>
          <w:highlight w:val="none"/>
          <w:u w:val="single"/>
        </w:rPr>
      </w:pPr>
      <w:r>
        <w:rPr>
          <w:rFonts w:hint="eastAsia" w:ascii="宋体" w:hAnsi="宋体"/>
          <w:color w:val="auto"/>
          <w:sz w:val="21"/>
          <w:szCs w:val="21"/>
          <w:highlight w:val="none"/>
          <w:u w:val="single"/>
        </w:rPr>
        <w:t>（9）综合单价分析表；</w:t>
      </w:r>
    </w:p>
    <w:p w14:paraId="29FFF0E6">
      <w:pPr>
        <w:spacing w:line="360" w:lineRule="auto"/>
        <w:ind w:firstLine="420" w:firstLineChars="200"/>
        <w:rPr>
          <w:rFonts w:ascii="宋体"/>
          <w:color w:val="auto"/>
          <w:sz w:val="21"/>
          <w:szCs w:val="21"/>
          <w:highlight w:val="none"/>
          <w:u w:val="single"/>
        </w:rPr>
      </w:pPr>
      <w:r>
        <w:rPr>
          <w:rFonts w:hint="eastAsia" w:ascii="宋体" w:hAnsi="宋体"/>
          <w:color w:val="auto"/>
          <w:sz w:val="21"/>
          <w:szCs w:val="21"/>
          <w:highlight w:val="none"/>
          <w:u w:val="single"/>
        </w:rPr>
        <w:t>（10）其他项目清单与计价汇总表；</w:t>
      </w:r>
    </w:p>
    <w:p w14:paraId="02151CD1">
      <w:pPr>
        <w:spacing w:line="360" w:lineRule="auto"/>
        <w:ind w:firstLine="420" w:firstLineChars="200"/>
        <w:rPr>
          <w:rFonts w:ascii="宋体"/>
          <w:color w:val="auto"/>
          <w:sz w:val="21"/>
          <w:szCs w:val="21"/>
          <w:highlight w:val="none"/>
          <w:u w:val="single"/>
        </w:rPr>
      </w:pPr>
      <w:r>
        <w:rPr>
          <w:rFonts w:hint="eastAsia" w:ascii="宋体" w:hAnsi="宋体"/>
          <w:color w:val="auto"/>
          <w:sz w:val="21"/>
          <w:szCs w:val="21"/>
          <w:highlight w:val="none"/>
          <w:u w:val="single"/>
        </w:rPr>
        <w:t>（11）暂列金额明细表；</w:t>
      </w:r>
    </w:p>
    <w:p w14:paraId="5DC3A044">
      <w:pPr>
        <w:spacing w:line="360" w:lineRule="auto"/>
        <w:ind w:firstLine="420" w:firstLineChars="200"/>
        <w:rPr>
          <w:rFonts w:ascii="宋体"/>
          <w:color w:val="auto"/>
          <w:sz w:val="21"/>
          <w:szCs w:val="21"/>
          <w:highlight w:val="none"/>
          <w:u w:val="single"/>
        </w:rPr>
      </w:pPr>
      <w:r>
        <w:rPr>
          <w:rFonts w:hint="eastAsia" w:ascii="宋体" w:hAnsi="宋体"/>
          <w:color w:val="auto"/>
          <w:sz w:val="21"/>
          <w:szCs w:val="21"/>
          <w:highlight w:val="none"/>
          <w:u w:val="single"/>
        </w:rPr>
        <w:t>（12）材料（工程设备）暂估价明细表；</w:t>
      </w:r>
    </w:p>
    <w:p w14:paraId="76F5AF59">
      <w:pPr>
        <w:spacing w:line="360" w:lineRule="auto"/>
        <w:ind w:firstLine="420" w:firstLineChars="200"/>
        <w:rPr>
          <w:rFonts w:ascii="宋体"/>
          <w:color w:val="auto"/>
          <w:sz w:val="21"/>
          <w:szCs w:val="21"/>
          <w:highlight w:val="none"/>
          <w:u w:val="single"/>
        </w:rPr>
      </w:pPr>
      <w:r>
        <w:rPr>
          <w:rFonts w:hint="eastAsia" w:ascii="宋体" w:hAnsi="宋体"/>
          <w:color w:val="auto"/>
          <w:sz w:val="21"/>
          <w:szCs w:val="21"/>
          <w:highlight w:val="none"/>
          <w:u w:val="single"/>
        </w:rPr>
        <w:t>（13）专业工程暂估价明细表；</w:t>
      </w:r>
    </w:p>
    <w:p w14:paraId="624CD38F">
      <w:pPr>
        <w:spacing w:line="360" w:lineRule="auto"/>
        <w:ind w:firstLine="420" w:firstLineChars="200"/>
        <w:rPr>
          <w:rFonts w:ascii="宋体"/>
          <w:color w:val="auto"/>
          <w:sz w:val="21"/>
          <w:szCs w:val="21"/>
          <w:highlight w:val="none"/>
          <w:u w:val="single"/>
        </w:rPr>
      </w:pPr>
      <w:r>
        <w:rPr>
          <w:rFonts w:hint="eastAsia" w:ascii="宋体" w:hAnsi="宋体"/>
          <w:color w:val="auto"/>
          <w:sz w:val="21"/>
          <w:szCs w:val="21"/>
          <w:highlight w:val="none"/>
          <w:u w:val="single"/>
        </w:rPr>
        <w:t>（14）计日工表；</w:t>
      </w:r>
    </w:p>
    <w:p w14:paraId="1EE29C73">
      <w:pPr>
        <w:spacing w:line="360" w:lineRule="auto"/>
        <w:ind w:firstLine="420" w:firstLineChars="200"/>
        <w:rPr>
          <w:rFonts w:ascii="宋体"/>
          <w:color w:val="auto"/>
          <w:sz w:val="21"/>
          <w:szCs w:val="21"/>
          <w:highlight w:val="none"/>
          <w:u w:val="single"/>
        </w:rPr>
      </w:pPr>
      <w:r>
        <w:rPr>
          <w:rFonts w:hint="eastAsia" w:ascii="宋体" w:hAnsi="宋体"/>
          <w:color w:val="auto"/>
          <w:sz w:val="21"/>
          <w:szCs w:val="21"/>
          <w:highlight w:val="none"/>
          <w:u w:val="single"/>
        </w:rPr>
        <w:t>（15）总承包服务计价表；</w:t>
      </w:r>
    </w:p>
    <w:p w14:paraId="721615FC">
      <w:pPr>
        <w:spacing w:line="360" w:lineRule="auto"/>
        <w:ind w:firstLine="420" w:firstLineChars="200"/>
        <w:rPr>
          <w:rFonts w:ascii="宋体"/>
          <w:color w:val="auto"/>
          <w:sz w:val="21"/>
          <w:szCs w:val="21"/>
          <w:highlight w:val="none"/>
          <w:u w:val="single"/>
        </w:rPr>
      </w:pPr>
      <w:r>
        <w:rPr>
          <w:rFonts w:hint="eastAsia" w:ascii="宋体" w:hAnsi="宋体"/>
          <w:color w:val="auto"/>
          <w:sz w:val="21"/>
          <w:szCs w:val="21"/>
          <w:highlight w:val="none"/>
          <w:u w:val="single"/>
        </w:rPr>
        <w:t>（16）规费和税金项目计价表；</w:t>
      </w:r>
    </w:p>
    <w:p w14:paraId="2C4994D7">
      <w:pPr>
        <w:spacing w:line="360" w:lineRule="auto"/>
        <w:ind w:firstLine="420" w:firstLineChars="200"/>
        <w:rPr>
          <w:rFonts w:ascii="宋体"/>
          <w:color w:val="auto"/>
          <w:sz w:val="21"/>
          <w:szCs w:val="21"/>
          <w:highlight w:val="none"/>
          <w:u w:val="single"/>
        </w:rPr>
      </w:pPr>
      <w:r>
        <w:rPr>
          <w:rFonts w:hint="eastAsia" w:ascii="宋体" w:hAnsi="宋体"/>
          <w:color w:val="auto"/>
          <w:sz w:val="21"/>
          <w:szCs w:val="21"/>
          <w:highlight w:val="none"/>
          <w:u w:val="single"/>
        </w:rPr>
        <w:t>（17）人工、主要材料和设备一览表</w:t>
      </w:r>
    </w:p>
    <w:p w14:paraId="7C881231">
      <w:pPr>
        <w:pBdr>
          <w:top w:val="none" w:color="auto" w:sz="0" w:space="0"/>
          <w:left w:val="none" w:color="auto" w:sz="0" w:space="0"/>
          <w:bottom w:val="none" w:color="auto" w:sz="0" w:space="0"/>
          <w:right w:val="none" w:color="auto" w:sz="0" w:space="0"/>
          <w:between w:val="none" w:color="auto" w:sz="0" w:space="0"/>
        </w:pBdr>
        <w:tabs>
          <w:tab w:val="left" w:pos="1125"/>
        </w:tabs>
        <w:spacing w:line="360" w:lineRule="auto"/>
        <w:ind w:firstLine="420" w:firstLineChars="200"/>
        <w:rPr>
          <w:rFonts w:ascii="宋体" w:hAnsi="宋体"/>
          <w:color w:val="auto"/>
          <w:sz w:val="21"/>
          <w:szCs w:val="21"/>
          <w:highlight w:val="none"/>
          <w:u w:val="single"/>
        </w:rPr>
      </w:pPr>
      <w:r>
        <w:rPr>
          <w:rFonts w:ascii="宋体" w:hAnsi="宋体"/>
          <w:color w:val="auto"/>
          <w:sz w:val="21"/>
          <w:szCs w:val="21"/>
          <w:highlight w:val="none"/>
          <w:u w:val="single"/>
        </w:rPr>
        <w:t>11.3.</w:t>
      </w:r>
      <w:r>
        <w:rPr>
          <w:rFonts w:hint="eastAsia" w:ascii="宋体" w:hAnsi="宋体"/>
          <w:color w:val="auto"/>
          <w:sz w:val="21"/>
          <w:szCs w:val="21"/>
          <w:highlight w:val="none"/>
          <w:u w:val="single"/>
        </w:rPr>
        <w:t>3按照</w:t>
      </w:r>
      <w:r>
        <w:rPr>
          <w:rFonts w:hint="eastAsia" w:ascii="宋体" w:hAnsi="宋体"/>
          <w:bCs/>
          <w:color w:val="auto"/>
          <w:sz w:val="21"/>
          <w:szCs w:val="21"/>
          <w:highlight w:val="none"/>
          <w:u w:val="single"/>
        </w:rPr>
        <w:t>招标文件要求</w:t>
      </w:r>
      <w:r>
        <w:rPr>
          <w:rFonts w:hint="eastAsia" w:ascii="宋体" w:hAnsi="宋体"/>
          <w:color w:val="auto"/>
          <w:sz w:val="21"/>
          <w:szCs w:val="21"/>
          <w:highlight w:val="none"/>
          <w:u w:val="single"/>
        </w:rPr>
        <w:t>填写的《参与编制经济标投标文件人员名单》。</w:t>
      </w:r>
    </w:p>
    <w:p w14:paraId="77704B3A">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宋体"/>
          <w:color w:val="auto"/>
          <w:szCs w:val="21"/>
          <w:highlight w:val="none"/>
        </w:rPr>
      </w:pPr>
      <w:r>
        <w:rPr>
          <w:rFonts w:hint="eastAsia" w:ascii="宋体" w:hAnsi="宋体"/>
          <w:color w:val="auto"/>
          <w:sz w:val="21"/>
          <w:szCs w:val="21"/>
          <w:highlight w:val="none"/>
          <w:u w:val="single"/>
        </w:rPr>
        <w:t>11.3.4若投标人的投标报价低于工程成本警</w:t>
      </w:r>
      <w:r>
        <w:rPr>
          <w:rFonts w:hint="eastAsia" w:ascii="宋体" w:hAnsi="宋体"/>
          <w:color w:val="auto"/>
          <w:sz w:val="21"/>
          <w:szCs w:val="21"/>
          <w:highlight w:val="none"/>
          <w:u w:val="single"/>
          <w:lang w:eastAsia="zh-CN"/>
        </w:rPr>
        <w:t>示</w:t>
      </w:r>
      <w:r>
        <w:rPr>
          <w:rFonts w:hint="eastAsia" w:ascii="宋体" w:hAnsi="宋体"/>
          <w:color w:val="auto"/>
          <w:sz w:val="21"/>
          <w:szCs w:val="21"/>
          <w:highlight w:val="none"/>
          <w:u w:val="single"/>
        </w:rPr>
        <w:t>价的，投标人还须提供详细的施工组织设计、单价、措施性费用、单价分析表、主要材料价格表、投标人成本分析供评标委员会评审。</w:t>
      </w:r>
    </w:p>
    <w:p w14:paraId="0AAD9E53">
      <w:pPr>
        <w:pStyle w:val="5"/>
        <w:spacing w:line="360" w:lineRule="auto"/>
        <w:ind w:firstLine="422" w:firstLineChars="200"/>
        <w:rPr>
          <w:rFonts w:ascii="宋体" w:hAnsi="宋体"/>
          <w:color w:val="auto"/>
          <w:sz w:val="21"/>
          <w:szCs w:val="21"/>
          <w:highlight w:val="none"/>
        </w:rPr>
      </w:pPr>
      <w:r>
        <w:rPr>
          <w:rFonts w:hint="eastAsia" w:ascii="宋体"/>
          <w:b/>
          <w:bCs/>
          <w:color w:val="auto"/>
          <w:szCs w:val="21"/>
          <w:highlight w:val="none"/>
          <w:lang w:eastAsia="zh-CN"/>
        </w:rPr>
        <w:t>现文：</w:t>
      </w:r>
      <w:r>
        <w:rPr>
          <w:rFonts w:hint="eastAsia" w:ascii="宋体" w:hAnsi="宋体"/>
          <w:color w:val="auto"/>
          <w:sz w:val="21"/>
          <w:szCs w:val="21"/>
          <w:highlight w:val="none"/>
          <w:u w:val="single"/>
        </w:rPr>
        <w:t>11.1</w:t>
      </w:r>
      <w:r>
        <w:rPr>
          <w:rFonts w:hint="eastAsia" w:ascii="宋体" w:hAnsi="宋体"/>
          <w:b/>
          <w:bCs/>
          <w:color w:val="auto"/>
          <w:sz w:val="21"/>
          <w:szCs w:val="21"/>
          <w:highlight w:val="none"/>
          <w:u w:val="single"/>
        </w:rPr>
        <w:t>投标文件由评标部分及定标部分两部分组成。其中投标文件（评标部分）由技术标（含资格审查文件）和经济标组成。投标文件（定标部分）由入围候选人施工履约能力与水平评价、服务保障措施、企业施工能力组成。</w:t>
      </w:r>
    </w:p>
    <w:p w14:paraId="7A926672">
      <w:pPr>
        <w:pStyle w:val="5"/>
        <w:spacing w:line="360" w:lineRule="auto"/>
        <w:ind w:firstLine="420" w:firstLineChars="200"/>
        <w:rPr>
          <w:rFonts w:ascii="宋体" w:hAnsi="宋体"/>
          <w:color w:val="auto"/>
          <w:sz w:val="21"/>
          <w:szCs w:val="21"/>
          <w:highlight w:val="none"/>
          <w:u w:val="single"/>
        </w:rPr>
      </w:pPr>
      <w:r>
        <w:rPr>
          <w:rFonts w:hint="eastAsia" w:ascii="宋体" w:hAnsi="宋体"/>
          <w:color w:val="auto"/>
          <w:sz w:val="21"/>
          <w:szCs w:val="21"/>
          <w:highlight w:val="none"/>
          <w:u w:val="single"/>
        </w:rPr>
        <w:t>11.2投标文件技术标部分主要包括下列内容:</w:t>
      </w:r>
    </w:p>
    <w:p w14:paraId="36A072EE">
      <w:pPr>
        <w:pStyle w:val="5"/>
        <w:spacing w:line="360" w:lineRule="auto"/>
        <w:ind w:firstLine="420" w:firstLineChars="200"/>
        <w:rPr>
          <w:rFonts w:ascii="宋体" w:hAnsi="宋体"/>
          <w:color w:val="auto"/>
          <w:sz w:val="21"/>
          <w:szCs w:val="21"/>
          <w:highlight w:val="none"/>
          <w:u w:val="single"/>
        </w:rPr>
      </w:pPr>
      <w:r>
        <w:rPr>
          <w:rFonts w:hint="eastAsia" w:ascii="宋体" w:hAnsi="宋体"/>
          <w:color w:val="auto"/>
          <w:sz w:val="21"/>
          <w:szCs w:val="21"/>
          <w:highlight w:val="none"/>
          <w:u w:val="single"/>
        </w:rPr>
        <w:t>11.2.1 技术投标文件(按招标文件的要求填写)；</w:t>
      </w:r>
    </w:p>
    <w:p w14:paraId="50AC1861">
      <w:pPr>
        <w:pStyle w:val="5"/>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11.2.2 资格审查文件：</w:t>
      </w:r>
    </w:p>
    <w:p w14:paraId="7B194B23">
      <w:pPr>
        <w:pStyle w:val="5"/>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（1）投标人声明</w:t>
      </w:r>
      <w:r>
        <w:rPr>
          <w:rFonts w:hint="eastAsia" w:ascii="宋体" w:hAnsi="宋体"/>
          <w:b/>
          <w:bCs/>
          <w:color w:val="auto"/>
          <w:sz w:val="21"/>
          <w:szCs w:val="21"/>
          <w:highlight w:val="none"/>
          <w:u w:val="single"/>
        </w:rPr>
        <w:t>（已按照招标公告附件的内容签署盖章的）</w:t>
      </w:r>
      <w:r>
        <w:rPr>
          <w:rFonts w:hint="eastAsia" w:ascii="宋体" w:hAnsi="宋体"/>
          <w:color w:val="auto"/>
          <w:sz w:val="21"/>
          <w:szCs w:val="21"/>
          <w:highlight w:val="none"/>
          <w:u w:val="single"/>
        </w:rPr>
        <w:t xml:space="preserve">； </w:t>
      </w:r>
    </w:p>
    <w:p w14:paraId="127A95CC">
      <w:pPr>
        <w:pStyle w:val="5"/>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（2）法定代表人证明书、法定代表人签字或盖章的本投标文件授权委托证明书</w:t>
      </w:r>
      <w:r>
        <w:rPr>
          <w:rFonts w:hint="eastAsia" w:ascii="宋体" w:hAnsi="宋体"/>
          <w:b/>
          <w:bCs/>
          <w:szCs w:val="21"/>
          <w:highlight w:val="none"/>
          <w:u w:val="single"/>
        </w:rPr>
        <w:t>（联合体投标的，由联合体主办方出具）</w:t>
      </w:r>
      <w:r>
        <w:rPr>
          <w:rFonts w:hint="eastAsia" w:ascii="宋体" w:hAnsi="宋体"/>
          <w:color w:val="auto"/>
          <w:sz w:val="21"/>
          <w:szCs w:val="21"/>
          <w:highlight w:val="none"/>
          <w:u w:val="single"/>
        </w:rPr>
        <w:t>；</w:t>
      </w:r>
    </w:p>
    <w:p w14:paraId="60C69EDB">
      <w:pPr>
        <w:pStyle w:val="5"/>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（3）企业营业执照</w:t>
      </w:r>
      <w:r>
        <w:rPr>
          <w:rFonts w:hint="eastAsia" w:ascii="宋体" w:hAnsi="宋体"/>
          <w:b/>
          <w:bCs/>
          <w:color w:val="auto"/>
          <w:sz w:val="21"/>
          <w:szCs w:val="21"/>
          <w:highlight w:val="none"/>
          <w:u w:val="single"/>
        </w:rPr>
        <w:t>扫描件或电子证照</w:t>
      </w:r>
      <w:r>
        <w:rPr>
          <w:rFonts w:hint="eastAsia"/>
          <w:b/>
          <w:bCs/>
          <w:szCs w:val="21"/>
          <w:highlight w:val="none"/>
          <w:u w:val="single"/>
        </w:rPr>
        <w:t>（联合体投标的，联合体各方均需具有）</w:t>
      </w:r>
      <w:r>
        <w:rPr>
          <w:rFonts w:hint="eastAsia" w:ascii="宋体" w:hAnsi="宋体"/>
          <w:color w:val="auto"/>
          <w:sz w:val="21"/>
          <w:szCs w:val="21"/>
          <w:highlight w:val="none"/>
          <w:u w:val="single"/>
        </w:rPr>
        <w:t>；</w:t>
      </w:r>
    </w:p>
    <w:p w14:paraId="378073E9">
      <w:pPr>
        <w:pStyle w:val="5"/>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（4）企业资质证书</w:t>
      </w:r>
      <w:r>
        <w:rPr>
          <w:rFonts w:hint="eastAsia" w:ascii="宋体" w:hAnsi="宋体"/>
          <w:b/>
          <w:bCs/>
          <w:color w:val="auto"/>
          <w:sz w:val="21"/>
          <w:szCs w:val="21"/>
          <w:highlight w:val="none"/>
          <w:u w:val="single"/>
        </w:rPr>
        <w:t>扫描件或电子证照</w:t>
      </w:r>
      <w:r>
        <w:rPr>
          <w:rFonts w:hint="eastAsia" w:ascii="宋体" w:hAnsi="宋体"/>
          <w:b/>
          <w:bCs/>
          <w:szCs w:val="21"/>
          <w:highlight w:val="none"/>
          <w:u w:val="single"/>
        </w:rPr>
        <w:t>（</w:t>
      </w:r>
      <w:r>
        <w:rPr>
          <w:rFonts w:hint="eastAsia"/>
          <w:b/>
          <w:bCs/>
          <w:szCs w:val="21"/>
          <w:highlight w:val="none"/>
          <w:u w:val="single"/>
        </w:rPr>
        <w:t>联合体投标的，</w:t>
      </w:r>
      <w:r>
        <w:rPr>
          <w:rFonts w:hint="eastAsia" w:ascii="宋体" w:hAnsi="宋体"/>
          <w:b/>
          <w:bCs/>
          <w:szCs w:val="21"/>
          <w:highlight w:val="none"/>
          <w:u w:val="single"/>
        </w:rPr>
        <w:t>联合体各方均需提供；投标人的资质不在有效期内，资质延续手续已通过政府有关部门核准的，投标人需提供经核准延续的相关证明材料，资质延续手续未通过政府有关部门核准的，提供延续申请的相关证明材料(如“三库一平台”提交申请截图、申请回执等可以证明已经办理核准延续手续的相关证明文件)，未能按要求提供相关资料的，视为资质已失效。）</w:t>
      </w:r>
      <w:r>
        <w:rPr>
          <w:rFonts w:hint="eastAsia" w:ascii="宋体" w:hAnsi="宋体"/>
          <w:color w:val="auto"/>
          <w:sz w:val="21"/>
          <w:szCs w:val="21"/>
          <w:highlight w:val="none"/>
          <w:u w:val="single"/>
        </w:rPr>
        <w:t>；</w:t>
      </w:r>
    </w:p>
    <w:p w14:paraId="7BD0E100">
      <w:pPr>
        <w:pStyle w:val="5"/>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（5）建筑施工企业安全生产许可证</w:t>
      </w:r>
      <w:r>
        <w:rPr>
          <w:rFonts w:hint="eastAsia" w:ascii="宋体" w:hAnsi="宋体"/>
          <w:b/>
          <w:bCs/>
          <w:color w:val="auto"/>
          <w:sz w:val="21"/>
          <w:szCs w:val="21"/>
          <w:highlight w:val="none"/>
          <w:u w:val="single"/>
        </w:rPr>
        <w:t>扫描件或电子证照</w:t>
      </w:r>
      <w:r>
        <w:rPr>
          <w:rFonts w:hint="eastAsia" w:ascii="宋体" w:hAnsi="宋体"/>
          <w:color w:val="auto"/>
          <w:sz w:val="21"/>
          <w:szCs w:val="21"/>
          <w:highlight w:val="none"/>
          <w:u w:val="single"/>
        </w:rPr>
        <w:t>；</w:t>
      </w:r>
    </w:p>
    <w:p w14:paraId="5988754E">
      <w:pPr>
        <w:pStyle w:val="5"/>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（6）项目负责人（按网上投标登记时选择</w:t>
      </w:r>
      <w:r>
        <w:rPr>
          <w:rFonts w:hint="eastAsia" w:ascii="宋体" w:hAnsi="宋体"/>
          <w:b/>
          <w:bCs/>
          <w:color w:val="auto"/>
          <w:sz w:val="21"/>
          <w:szCs w:val="21"/>
          <w:highlight w:val="none"/>
          <w:u w:val="single"/>
        </w:rPr>
        <w:t>拟投入本项目的</w:t>
      </w:r>
      <w:r>
        <w:rPr>
          <w:rFonts w:hint="eastAsia" w:ascii="宋体" w:hAnsi="宋体"/>
          <w:color w:val="auto"/>
          <w:sz w:val="21"/>
          <w:szCs w:val="21"/>
          <w:highlight w:val="none"/>
          <w:u w:val="single"/>
        </w:rPr>
        <w:t>项目负责人）；</w:t>
      </w:r>
    </w:p>
    <w:p w14:paraId="3B91BDE0">
      <w:pPr>
        <w:pStyle w:val="5"/>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（7）专职安全员（按网上投标登记时选择</w:t>
      </w:r>
      <w:r>
        <w:rPr>
          <w:rFonts w:hint="eastAsia" w:ascii="宋体" w:hAnsi="宋体"/>
          <w:b/>
          <w:bCs/>
          <w:color w:val="auto"/>
          <w:sz w:val="21"/>
          <w:szCs w:val="21"/>
          <w:highlight w:val="none"/>
          <w:u w:val="single"/>
        </w:rPr>
        <w:t>拟投入本项目的</w:t>
      </w:r>
      <w:r>
        <w:rPr>
          <w:rFonts w:hint="eastAsia" w:ascii="宋体" w:hAnsi="宋体"/>
          <w:color w:val="auto"/>
          <w:sz w:val="21"/>
          <w:szCs w:val="21"/>
          <w:highlight w:val="none"/>
          <w:u w:val="single"/>
        </w:rPr>
        <w:t>专职安全员）；</w:t>
      </w:r>
    </w:p>
    <w:p w14:paraId="5E4A99AA">
      <w:pPr>
        <w:pStyle w:val="5"/>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（8）拟委派项目负责人的有效期内的建造师注册证书</w:t>
      </w:r>
      <w:r>
        <w:rPr>
          <w:rFonts w:hint="eastAsia" w:ascii="宋体" w:hAnsi="宋体"/>
          <w:b/>
          <w:bCs/>
          <w:color w:val="auto"/>
          <w:sz w:val="21"/>
          <w:szCs w:val="21"/>
          <w:highlight w:val="none"/>
          <w:u w:val="single"/>
        </w:rPr>
        <w:t>扫描件或电子证书</w:t>
      </w:r>
      <w:r>
        <w:rPr>
          <w:rFonts w:hint="eastAsia" w:ascii="宋体" w:hAnsi="宋体"/>
          <w:color w:val="auto"/>
          <w:sz w:val="21"/>
          <w:szCs w:val="21"/>
          <w:highlight w:val="none"/>
          <w:u w:val="single"/>
        </w:rPr>
        <w:t xml:space="preserve">； </w:t>
      </w:r>
    </w:p>
    <w:p w14:paraId="7652D6F9">
      <w:pPr>
        <w:pStyle w:val="5"/>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9</w:t>
      </w:r>
      <w:r>
        <w:rPr>
          <w:rFonts w:hint="eastAsia" w:ascii="宋体" w:hAnsi="宋体"/>
          <w:color w:val="auto"/>
          <w:sz w:val="21"/>
          <w:szCs w:val="21"/>
          <w:highlight w:val="none"/>
          <w:u w:val="single"/>
        </w:rPr>
        <w:t>）项目负责人须持有有效期内的安全考核合格证书（B类）或建筑施工企业项目负责人安全生产考核合格证书</w:t>
      </w:r>
      <w:r>
        <w:rPr>
          <w:rFonts w:hint="eastAsia" w:ascii="宋体" w:hAnsi="宋体"/>
          <w:b/>
          <w:bCs/>
          <w:color w:val="auto"/>
          <w:sz w:val="21"/>
          <w:szCs w:val="21"/>
          <w:highlight w:val="none"/>
          <w:u w:val="single"/>
        </w:rPr>
        <w:t>扫描件或电子证书</w:t>
      </w:r>
      <w:r>
        <w:rPr>
          <w:rFonts w:hint="eastAsia" w:ascii="宋体" w:hAnsi="宋体"/>
          <w:color w:val="auto"/>
          <w:sz w:val="21"/>
          <w:szCs w:val="21"/>
          <w:highlight w:val="none"/>
          <w:u w:val="single"/>
        </w:rPr>
        <w:t xml:space="preserve">； </w:t>
      </w:r>
    </w:p>
    <w:p w14:paraId="6E073F56">
      <w:pPr>
        <w:pStyle w:val="5"/>
        <w:spacing w:line="360" w:lineRule="auto"/>
        <w:ind w:firstLine="420" w:firstLineChars="200"/>
        <w:rPr>
          <w:rFonts w:hint="eastAsia" w:ascii="宋体" w:hAnsi="宋体"/>
          <w:color w:val="auto"/>
          <w:sz w:val="21"/>
          <w:szCs w:val="21"/>
          <w:highlight w:val="none"/>
          <w:u w:val="single"/>
        </w:rPr>
      </w:pPr>
      <w:r>
        <w:rPr>
          <w:rFonts w:hint="eastAsia" w:ascii="宋体" w:hAnsi="宋体"/>
          <w:color w:val="auto"/>
          <w:sz w:val="21"/>
          <w:szCs w:val="21"/>
          <w:highlight w:val="none"/>
          <w:u w:val="single"/>
        </w:rPr>
        <w:t>（1</w:t>
      </w:r>
      <w:r>
        <w:rPr>
          <w:rFonts w:hint="eastAsia" w:ascii="宋体" w:hAnsi="宋体"/>
          <w:color w:val="auto"/>
          <w:sz w:val="21"/>
          <w:szCs w:val="21"/>
          <w:highlight w:val="none"/>
          <w:u w:val="single"/>
          <w:lang w:val="en-US" w:eastAsia="zh-CN"/>
        </w:rPr>
        <w:t>0</w:t>
      </w:r>
      <w:r>
        <w:rPr>
          <w:rFonts w:hint="eastAsia" w:ascii="宋体" w:hAnsi="宋体"/>
          <w:color w:val="auto"/>
          <w:sz w:val="21"/>
          <w:szCs w:val="21"/>
          <w:highlight w:val="none"/>
          <w:u w:val="single"/>
        </w:rPr>
        <w:t>）专职安全员须具有安全生产考核合格证（C类）或建筑施工企业专职安全生产管理人员安全生产考核合格证（C3</w:t>
      </w:r>
      <w:r>
        <w:rPr>
          <w:rFonts w:hint="eastAsia" w:ascii="宋体" w:hAnsi="宋体"/>
          <w:b/>
          <w:bCs/>
          <w:color w:val="auto"/>
          <w:sz w:val="21"/>
          <w:szCs w:val="21"/>
          <w:highlight w:val="none"/>
          <w:u w:val="single"/>
        </w:rPr>
        <w:t>类</w:t>
      </w:r>
      <w:r>
        <w:rPr>
          <w:rFonts w:hint="eastAsia" w:ascii="宋体" w:hAnsi="宋体"/>
          <w:color w:val="auto"/>
          <w:sz w:val="21"/>
          <w:szCs w:val="21"/>
          <w:highlight w:val="none"/>
          <w:u w:val="single"/>
        </w:rPr>
        <w:t>）</w:t>
      </w:r>
      <w:r>
        <w:rPr>
          <w:rFonts w:hint="eastAsia" w:ascii="宋体" w:hAnsi="宋体"/>
          <w:b/>
          <w:bCs/>
          <w:color w:val="auto"/>
          <w:sz w:val="21"/>
          <w:szCs w:val="21"/>
          <w:highlight w:val="none"/>
          <w:u w:val="single"/>
        </w:rPr>
        <w:t>扫描件或电子证书</w:t>
      </w:r>
      <w:r>
        <w:rPr>
          <w:rFonts w:hint="eastAsia" w:ascii="宋体" w:hAnsi="宋体"/>
          <w:color w:val="auto"/>
          <w:sz w:val="21"/>
          <w:szCs w:val="21"/>
          <w:highlight w:val="none"/>
          <w:u w:val="single"/>
        </w:rPr>
        <w:t xml:space="preserve">； </w:t>
      </w:r>
    </w:p>
    <w:p w14:paraId="2BF0ADB6">
      <w:pPr>
        <w:pStyle w:val="5"/>
        <w:spacing w:line="360" w:lineRule="auto"/>
        <w:ind w:firstLine="420" w:firstLineChars="200"/>
        <w:rPr>
          <w:rFonts w:hint="eastAsia" w:ascii="宋体" w:hAnsi="宋体"/>
          <w:b/>
          <w:bCs/>
          <w:szCs w:val="21"/>
          <w:highlight w:val="none"/>
          <w:u w:val="single"/>
        </w:rPr>
      </w:pPr>
      <w:r>
        <w:rPr>
          <w:rFonts w:hint="eastAsia" w:ascii="宋体" w:hAnsi="宋体"/>
          <w:color w:val="auto"/>
          <w:sz w:val="21"/>
          <w:szCs w:val="21"/>
          <w:highlight w:val="none"/>
          <w:u w:val="single"/>
        </w:rPr>
        <w:t>（</w:t>
      </w:r>
      <w:r>
        <w:rPr>
          <w:rFonts w:hint="eastAsia" w:ascii="宋体" w:hAnsi="宋体"/>
          <w:color w:val="auto"/>
          <w:sz w:val="21"/>
          <w:szCs w:val="21"/>
          <w:highlight w:val="none"/>
          <w:u w:val="single"/>
          <w:lang w:val="en-US" w:eastAsia="zh-CN"/>
        </w:rPr>
        <w:t>11</w:t>
      </w:r>
      <w:r>
        <w:rPr>
          <w:rFonts w:hint="eastAsia" w:ascii="宋体" w:hAnsi="宋体"/>
          <w:color w:val="auto"/>
          <w:sz w:val="21"/>
          <w:szCs w:val="21"/>
          <w:highlight w:val="none"/>
          <w:u w:val="single"/>
        </w:rPr>
        <w:t>）</w:t>
      </w:r>
      <w:r>
        <w:rPr>
          <w:rFonts w:hint="eastAsia" w:ascii="宋体" w:hAnsi="宋体"/>
          <w:b/>
          <w:bCs/>
          <w:color w:val="auto"/>
          <w:sz w:val="21"/>
          <w:szCs w:val="21"/>
          <w:highlight w:val="none"/>
          <w:u w:val="single"/>
        </w:rPr>
        <w:t>资格审查前，</w:t>
      </w:r>
      <w:r>
        <w:rPr>
          <w:rFonts w:hint="eastAsia" w:ascii="宋体" w:hAnsi="宋体" w:cs="Times New Roman"/>
          <w:b/>
          <w:bCs/>
          <w:sz w:val="21"/>
          <w:szCs w:val="21"/>
          <w:highlight w:val="none"/>
          <w:u w:val="single"/>
        </w:rPr>
        <w:t>投标人须在</w:t>
      </w:r>
      <w:r>
        <w:rPr>
          <w:rFonts w:hint="eastAsia" w:ascii="宋体" w:hAnsi="宋体" w:cs="Times New Roman"/>
          <w:b/>
          <w:bCs/>
          <w:color w:val="auto"/>
          <w:sz w:val="21"/>
          <w:szCs w:val="21"/>
          <w:highlight w:val="none"/>
          <w:u w:val="single"/>
          <w:lang w:eastAsia="zh-CN"/>
        </w:rPr>
        <w:t>广州交易集团有限公司（广州公共资源交易中心）</w:t>
      </w:r>
      <w:r>
        <w:rPr>
          <w:rFonts w:hint="eastAsia" w:ascii="宋体" w:hAnsi="宋体" w:cs="Times New Roman"/>
          <w:b/>
          <w:bCs/>
          <w:sz w:val="21"/>
          <w:szCs w:val="21"/>
          <w:highlight w:val="none"/>
          <w:u w:val="single"/>
        </w:rPr>
        <w:t>办理信息登记等相关投标登记手续及拟担任本工程项目负责人、专职安全员须是本企业的在册人员且与</w:t>
      </w:r>
      <w:r>
        <w:rPr>
          <w:rFonts w:hint="eastAsia" w:ascii="宋体" w:hAnsi="宋体" w:cs="Times New Roman"/>
          <w:b/>
          <w:bCs/>
          <w:color w:val="auto"/>
          <w:sz w:val="21"/>
          <w:szCs w:val="21"/>
          <w:highlight w:val="none"/>
          <w:u w:val="single"/>
          <w:lang w:eastAsia="zh-CN"/>
        </w:rPr>
        <w:t>广州交易集团有限公司（广州公共资源交易中心）</w:t>
      </w:r>
      <w:r>
        <w:rPr>
          <w:rFonts w:hint="eastAsia" w:ascii="宋体" w:hAnsi="宋体" w:cs="Times New Roman"/>
          <w:b/>
          <w:bCs/>
          <w:sz w:val="21"/>
          <w:szCs w:val="21"/>
          <w:highlight w:val="none"/>
          <w:u w:val="single"/>
        </w:rPr>
        <w:t>办理信息登记一致。投标人须在资格审查前及时维护、更新本企业信息，及时上传相关证件，确保拟委派的所有人员、业绩等相关信息、证件等能有效且被使用，因投标人未及时维护、更新在广州交易集团有限公司(广州公共资源交易中心)内的信息，造成其资格审查不合格或不通过的，后果由投标人自行承担</w:t>
      </w:r>
      <w:r>
        <w:rPr>
          <w:rFonts w:hint="eastAsia" w:ascii="宋体" w:hAnsi="宋体"/>
          <w:b/>
          <w:bCs/>
          <w:szCs w:val="21"/>
          <w:highlight w:val="none"/>
          <w:u w:val="single"/>
        </w:rPr>
        <w:t>。</w:t>
      </w:r>
    </w:p>
    <w:p w14:paraId="52BD8223">
      <w:pPr>
        <w:pStyle w:val="5"/>
        <w:spacing w:after="0" w:line="360" w:lineRule="auto"/>
        <w:ind w:firstLine="420" w:firstLineChars="200"/>
        <w:rPr>
          <w:rFonts w:hint="eastAsia" w:ascii="宋体" w:hAnsi="宋体"/>
          <w:b w:val="0"/>
          <w:bCs w:val="0"/>
          <w:szCs w:val="21"/>
          <w:highlight w:val="none"/>
          <w:u w:val="single"/>
        </w:rPr>
      </w:pPr>
      <w:r>
        <w:rPr>
          <w:rFonts w:hint="eastAsia" w:ascii="宋体" w:hAnsi="宋体"/>
          <w:b w:val="0"/>
          <w:bCs w:val="0"/>
          <w:szCs w:val="21"/>
          <w:highlight w:val="none"/>
          <w:u w:val="single"/>
        </w:rPr>
        <w:t>（1</w:t>
      </w:r>
      <w:r>
        <w:rPr>
          <w:rFonts w:hint="eastAsia" w:ascii="宋体" w:hAnsi="宋体"/>
          <w:b w:val="0"/>
          <w:bCs w:val="0"/>
          <w:szCs w:val="21"/>
          <w:highlight w:val="none"/>
          <w:u w:val="single"/>
          <w:lang w:eastAsia="zh-CN"/>
        </w:rPr>
        <w:t>2</w:t>
      </w:r>
      <w:r>
        <w:rPr>
          <w:rFonts w:hint="eastAsia" w:ascii="宋体" w:hAnsi="宋体"/>
          <w:b w:val="0"/>
          <w:bCs w:val="0"/>
          <w:szCs w:val="21"/>
          <w:highlight w:val="none"/>
          <w:u w:val="single"/>
        </w:rPr>
        <w:t>）列明主办单位的联合体工作协议（采用联合体投标时需递交，投标人拟任本工程项目负责人应为联合体主办方信用档案中的在册人员，联合体工作协议应明确约定各方拟承担的工作和责任）；</w:t>
      </w:r>
    </w:p>
    <w:p w14:paraId="031F6290">
      <w:pPr>
        <w:pStyle w:val="5"/>
        <w:spacing w:after="0" w:line="360" w:lineRule="auto"/>
        <w:ind w:firstLine="420" w:firstLineChars="200"/>
        <w:rPr>
          <w:rFonts w:ascii="宋体" w:hAnsi="宋体"/>
          <w:b w:val="0"/>
          <w:bCs w:val="0"/>
          <w:szCs w:val="21"/>
          <w:highlight w:val="none"/>
          <w:u w:val="single"/>
        </w:rPr>
      </w:pPr>
      <w:r>
        <w:rPr>
          <w:rFonts w:hint="eastAsia" w:ascii="宋体" w:hAnsi="宋体"/>
          <w:b w:val="0"/>
          <w:bCs w:val="0"/>
          <w:szCs w:val="21"/>
          <w:highlight w:val="none"/>
          <w:u w:val="single"/>
        </w:rPr>
        <w:t>（13）投标人认为应提交的其他资料 。</w:t>
      </w:r>
    </w:p>
    <w:p w14:paraId="5F60DD81">
      <w:pPr>
        <w:pStyle w:val="5"/>
        <w:spacing w:line="360" w:lineRule="auto"/>
        <w:ind w:firstLine="422" w:firstLineChars="200"/>
        <w:rPr>
          <w:rFonts w:hint="eastAsia" w:ascii="宋体" w:hAnsi="宋体"/>
          <w:b/>
          <w:bCs/>
          <w:color w:val="auto"/>
          <w:sz w:val="21"/>
          <w:szCs w:val="21"/>
          <w:highlight w:val="none"/>
          <w:u w:val="single"/>
        </w:rPr>
      </w:pPr>
      <w:r>
        <w:rPr>
          <w:rFonts w:hint="eastAsia" w:ascii="宋体" w:hAnsi="宋体"/>
          <w:b/>
          <w:bCs/>
          <w:color w:val="auto"/>
          <w:sz w:val="21"/>
          <w:szCs w:val="21"/>
          <w:highlight w:val="none"/>
          <w:u w:val="single"/>
        </w:rPr>
        <w:t>注：</w:t>
      </w:r>
      <w:r>
        <w:rPr>
          <w:rFonts w:hint="eastAsia" w:ascii="宋体" w:hAnsi="宋体"/>
          <w:b/>
          <w:bCs/>
          <w:color w:val="auto"/>
          <w:sz w:val="21"/>
          <w:szCs w:val="21"/>
          <w:highlight w:val="none"/>
          <w:u w:val="single"/>
          <w:lang w:val="en-US" w:eastAsia="zh-CN"/>
        </w:rPr>
        <w:t>1.</w:t>
      </w:r>
      <w:r>
        <w:rPr>
          <w:rFonts w:hint="eastAsia" w:ascii="宋体" w:hAnsi="宋体"/>
          <w:b/>
          <w:bCs/>
          <w:color w:val="auto"/>
          <w:sz w:val="21"/>
          <w:szCs w:val="21"/>
          <w:highlight w:val="none"/>
          <w:u w:val="single"/>
        </w:rPr>
        <w:t>上述没有要求提交的资料，不作为资格审查不合格的依据。</w:t>
      </w:r>
    </w:p>
    <w:p w14:paraId="48AD1BBF">
      <w:pPr>
        <w:pStyle w:val="5"/>
        <w:spacing w:line="360" w:lineRule="auto"/>
        <w:ind w:firstLine="422" w:firstLineChars="200"/>
        <w:rPr>
          <w:rFonts w:hint="eastAsia" w:ascii="宋体" w:hAnsi="宋体"/>
          <w:b/>
          <w:bCs/>
          <w:color w:val="auto"/>
          <w:sz w:val="21"/>
          <w:szCs w:val="21"/>
          <w:highlight w:val="none"/>
          <w:u w:val="single"/>
        </w:rPr>
      </w:pPr>
      <w:r>
        <w:rPr>
          <w:rFonts w:hint="eastAsia" w:ascii="宋体" w:hAnsi="宋体"/>
          <w:b/>
          <w:bCs/>
          <w:color w:val="auto"/>
          <w:sz w:val="21"/>
          <w:szCs w:val="21"/>
          <w:highlight w:val="none"/>
          <w:u w:val="single"/>
          <w:lang w:val="en-US" w:eastAsia="zh-CN"/>
        </w:rPr>
        <w:t>2</w:t>
      </w:r>
      <w:r>
        <w:rPr>
          <w:rFonts w:hint="eastAsia" w:ascii="宋体" w:hAnsi="宋体"/>
          <w:b/>
          <w:bCs/>
          <w:color w:val="auto"/>
          <w:sz w:val="21"/>
          <w:szCs w:val="21"/>
          <w:highlight w:val="none"/>
          <w:u w:val="single"/>
        </w:rPr>
        <w:t>.相关电子证书按规定需打印后手写本人签名的，应按照规定手写本人签名后再扫描提交。</w:t>
      </w:r>
    </w:p>
    <w:p w14:paraId="74EC5B4A">
      <w:pPr>
        <w:pStyle w:val="5"/>
        <w:spacing w:line="360" w:lineRule="auto"/>
        <w:ind w:firstLine="422" w:firstLineChars="200"/>
        <w:rPr>
          <w:rFonts w:hint="eastAsia" w:ascii="宋体" w:hAnsi="宋体"/>
          <w:b/>
          <w:bCs/>
          <w:color w:val="auto"/>
          <w:sz w:val="21"/>
          <w:szCs w:val="21"/>
          <w:highlight w:val="none"/>
          <w:u w:val="single"/>
        </w:rPr>
      </w:pPr>
      <w:r>
        <w:rPr>
          <w:rFonts w:hint="eastAsia" w:ascii="宋体" w:hAnsi="宋体"/>
          <w:b/>
          <w:bCs/>
          <w:color w:val="auto"/>
          <w:sz w:val="21"/>
          <w:szCs w:val="21"/>
          <w:highlight w:val="none"/>
          <w:u w:val="single"/>
          <w:lang w:val="en-US" w:eastAsia="zh-CN"/>
        </w:rPr>
        <w:t>3</w:t>
      </w:r>
      <w:r>
        <w:rPr>
          <w:rFonts w:hint="eastAsia" w:ascii="宋体" w:hAnsi="宋体"/>
          <w:b/>
          <w:bCs/>
          <w:color w:val="auto"/>
          <w:sz w:val="21"/>
          <w:szCs w:val="21"/>
          <w:highlight w:val="none"/>
          <w:u w:val="single"/>
        </w:rPr>
        <w:t>.投标人在投标登记时选择了拟投入本项目的项目负责人、专职安全员，即已满足“资格审查前，投标人须在</w:t>
      </w:r>
      <w:r>
        <w:rPr>
          <w:rFonts w:hint="eastAsia" w:ascii="宋体" w:hAnsi="宋体" w:cs="Times New Roman"/>
          <w:b/>
          <w:bCs/>
          <w:sz w:val="21"/>
          <w:szCs w:val="21"/>
          <w:highlight w:val="none"/>
          <w:u w:val="single"/>
        </w:rPr>
        <w:t>广州交易集团有限公司(广州公共资源交易中心)</w:t>
      </w:r>
      <w:r>
        <w:rPr>
          <w:rFonts w:hint="eastAsia" w:ascii="宋体" w:hAnsi="宋体"/>
          <w:b/>
          <w:bCs/>
          <w:color w:val="auto"/>
          <w:sz w:val="21"/>
          <w:szCs w:val="21"/>
          <w:highlight w:val="none"/>
          <w:u w:val="single"/>
        </w:rPr>
        <w:t>办理信息登记等相关投标登记手续，拟担任本工程项目负责人、专职安全员须是本企业信用档案中的在册人员”的要求，投标人无需提供证明材料。</w:t>
      </w:r>
    </w:p>
    <w:p w14:paraId="755DD62D">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11.2.3项目管理机构配备。</w:t>
      </w:r>
    </w:p>
    <w:p w14:paraId="1C003FE9">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（1）本工程的施工组织机构图；</w:t>
      </w:r>
    </w:p>
    <w:p w14:paraId="7159B50D">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（2）施工组织机构主要成员的名单及有关证明材料扫描件；</w:t>
      </w:r>
    </w:p>
    <w:p w14:paraId="622D1A85">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11.2.4企业资信相关证明文件；</w:t>
      </w:r>
    </w:p>
    <w:p w14:paraId="5E82D499">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11.2.5《投标函》（格式见第四章）；</w:t>
      </w:r>
    </w:p>
    <w:p w14:paraId="695A1FB2">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11.2.6《响应招标文件所附施工组织设计要点的承诺书》（格式见第四章）；</w:t>
      </w:r>
    </w:p>
    <w:p w14:paraId="4325DA87">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11.2.7《技术承诺函》</w:t>
      </w:r>
      <w:r>
        <w:rPr>
          <w:rFonts w:hint="eastAsia" w:ascii="宋体" w:hAnsi="宋体"/>
          <w:b/>
          <w:bCs/>
          <w:szCs w:val="21"/>
          <w:highlight w:val="none"/>
          <w:u w:val="single"/>
          <w:lang w:eastAsia="zh-CN"/>
        </w:rPr>
        <w:t>、《投标人廉洁承诺书》</w:t>
      </w:r>
      <w:r>
        <w:rPr>
          <w:rFonts w:hint="eastAsia" w:ascii="宋体" w:hAnsi="宋体"/>
          <w:b/>
          <w:bCs/>
          <w:color w:val="auto"/>
          <w:sz w:val="21"/>
          <w:szCs w:val="21"/>
          <w:highlight w:val="none"/>
          <w:u w:val="single"/>
        </w:rPr>
        <w:t>（格式见第四章）；</w:t>
      </w:r>
    </w:p>
    <w:p w14:paraId="07C53978">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11.2.8《施工项目管理团队人员信息表》（格式见第四章）；</w:t>
      </w:r>
    </w:p>
    <w:p w14:paraId="799235E8">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11.2.9《承诺书》和《对投标文件编制的承诺》</w:t>
      </w:r>
      <w:r>
        <w:rPr>
          <w:rFonts w:hint="eastAsia" w:ascii="宋体" w:hAnsi="宋体"/>
          <w:b/>
          <w:bCs/>
          <w:szCs w:val="21"/>
          <w:highlight w:val="none"/>
          <w:u w:val="single"/>
          <w:lang w:eastAsia="zh-CN"/>
        </w:rPr>
        <w:t>和《关于参与广州市番禺区“百千万工程”的承诺书》</w:t>
      </w:r>
      <w:r>
        <w:rPr>
          <w:rFonts w:hint="eastAsia" w:ascii="宋体" w:hAnsi="宋体"/>
          <w:b/>
          <w:bCs/>
          <w:color w:val="auto"/>
          <w:sz w:val="21"/>
          <w:szCs w:val="21"/>
          <w:highlight w:val="none"/>
          <w:u w:val="single"/>
        </w:rPr>
        <w:t>（格式见第四章）；</w:t>
      </w:r>
    </w:p>
    <w:p w14:paraId="2DA72A01">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11.2.10 《投标人基本资料》（格式见第四章，不作为废标条款）；</w:t>
      </w:r>
    </w:p>
    <w:p w14:paraId="0B756E9F">
      <w:pPr>
        <w:pStyle w:val="5"/>
        <w:spacing w:line="360" w:lineRule="auto"/>
        <w:ind w:firstLine="422" w:firstLineChars="200"/>
        <w:rPr>
          <w:rFonts w:hint="eastAsia" w:ascii="宋体" w:hAnsi="宋体" w:eastAsia="宋体"/>
          <w:b/>
          <w:bCs/>
          <w:color w:val="auto"/>
          <w:sz w:val="21"/>
          <w:szCs w:val="21"/>
          <w:highlight w:val="none"/>
          <w:u w:val="single"/>
          <w:lang w:eastAsia="zh-CN"/>
        </w:rPr>
      </w:pPr>
      <w:r>
        <w:rPr>
          <w:rFonts w:hint="eastAsia" w:ascii="宋体" w:hAnsi="宋体"/>
          <w:b/>
          <w:bCs/>
          <w:color w:val="auto"/>
          <w:sz w:val="21"/>
          <w:szCs w:val="21"/>
          <w:highlight w:val="none"/>
          <w:u w:val="single"/>
        </w:rPr>
        <w:t>11.2.11 按照招标文件要求填写的《参与编制技术标投标文件人员名单》</w:t>
      </w:r>
      <w:r>
        <w:rPr>
          <w:rFonts w:hint="eastAsia" w:ascii="宋体" w:hAnsi="宋体"/>
          <w:b/>
          <w:bCs/>
          <w:color w:val="auto"/>
          <w:sz w:val="21"/>
          <w:szCs w:val="21"/>
          <w:highlight w:val="none"/>
          <w:u w:val="single"/>
          <w:lang w:eastAsia="zh-CN"/>
        </w:rPr>
        <w:t>；</w:t>
      </w:r>
    </w:p>
    <w:p w14:paraId="76A4A169">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11.2.12 《危险性较大的分部分项工程清单及超过一定规模的危险性较大的分部分项工程清单》（格式见第四章）；</w:t>
      </w:r>
    </w:p>
    <w:p w14:paraId="59CED20A">
      <w:pPr>
        <w:pStyle w:val="5"/>
        <w:spacing w:line="360" w:lineRule="auto"/>
        <w:ind w:firstLine="422" w:firstLineChars="200"/>
        <w:rPr>
          <w:rFonts w:hint="eastAsia" w:ascii="宋体" w:hAnsi="宋体" w:eastAsia="宋体"/>
          <w:b/>
          <w:bCs/>
          <w:color w:val="auto"/>
          <w:sz w:val="21"/>
          <w:szCs w:val="21"/>
          <w:highlight w:val="none"/>
          <w:u w:val="single"/>
          <w:lang w:eastAsia="zh-CN"/>
        </w:rPr>
      </w:pPr>
      <w:r>
        <w:rPr>
          <w:rFonts w:hint="eastAsia" w:ascii="宋体" w:hAnsi="宋体"/>
          <w:b/>
          <w:bCs/>
          <w:color w:val="auto"/>
          <w:sz w:val="21"/>
          <w:szCs w:val="21"/>
          <w:highlight w:val="none"/>
          <w:u w:val="single"/>
        </w:rPr>
        <w:t>11.2.13《关于投标保证金的承诺》（格式见第四章）</w:t>
      </w:r>
      <w:r>
        <w:rPr>
          <w:rFonts w:hint="eastAsia" w:ascii="宋体" w:hAnsi="宋体"/>
          <w:b/>
          <w:bCs/>
          <w:color w:val="auto"/>
          <w:sz w:val="21"/>
          <w:szCs w:val="21"/>
          <w:highlight w:val="none"/>
          <w:u w:val="single"/>
          <w:lang w:eastAsia="zh-CN"/>
        </w:rPr>
        <w:t>；</w:t>
      </w:r>
    </w:p>
    <w:p w14:paraId="3FE77BE5">
      <w:pPr>
        <w:pStyle w:val="5"/>
        <w:spacing w:line="360" w:lineRule="auto"/>
        <w:ind w:firstLine="422" w:firstLineChars="200"/>
        <w:rPr>
          <w:rFonts w:hint="eastAsia" w:ascii="宋体" w:hAnsi="宋体"/>
          <w:b/>
          <w:bCs/>
          <w:color w:val="auto"/>
          <w:sz w:val="21"/>
          <w:szCs w:val="21"/>
          <w:highlight w:val="none"/>
          <w:u w:val="single"/>
        </w:rPr>
      </w:pPr>
      <w:r>
        <w:rPr>
          <w:rFonts w:hint="eastAsia" w:ascii="宋体" w:hAnsi="宋体" w:cs="宋体"/>
          <w:b/>
          <w:bCs/>
          <w:color w:val="auto"/>
          <w:sz w:val="21"/>
          <w:szCs w:val="21"/>
          <w:highlight w:val="none"/>
          <w:u w:val="single"/>
          <w:lang w:val="en-US" w:eastAsia="zh-CN"/>
        </w:rPr>
        <w:t>11.2.14</w:t>
      </w:r>
      <w:r>
        <w:rPr>
          <w:rFonts w:ascii="宋体" w:hAnsi="宋体" w:eastAsia="宋体" w:cs="宋体"/>
          <w:b/>
          <w:bCs/>
          <w:color w:val="auto"/>
          <w:sz w:val="21"/>
          <w:szCs w:val="21"/>
          <w:highlight w:val="none"/>
          <w:u w:val="single"/>
        </w:rPr>
        <w:t>《中小企业声明函》（如有）、</w:t>
      </w:r>
      <w:r>
        <w:rPr>
          <w:rFonts w:hint="default" w:ascii="宋体" w:hAnsi="宋体" w:eastAsia="宋体" w:cs="宋体"/>
          <w:b/>
          <w:bCs/>
          <w:color w:val="auto"/>
          <w:kern w:val="2"/>
          <w:sz w:val="21"/>
          <w:szCs w:val="21"/>
          <w:highlight w:val="none"/>
          <w:u w:val="single"/>
          <w:lang w:val="en-US" w:eastAsia="zh-CN"/>
        </w:rPr>
        <w:t>分包意向协议</w:t>
      </w:r>
      <w:r>
        <w:rPr>
          <w:rFonts w:hint="default" w:ascii="宋体" w:hAnsi="宋体" w:eastAsia="宋体" w:cs="宋体"/>
          <w:b/>
          <w:bCs/>
          <w:color w:val="auto"/>
          <w:sz w:val="21"/>
          <w:szCs w:val="21"/>
          <w:highlight w:val="none"/>
          <w:u w:val="single"/>
          <w:lang w:eastAsia="zh-CN"/>
        </w:rPr>
        <w:t>（</w:t>
      </w:r>
      <w:r>
        <w:rPr>
          <w:rFonts w:hint="default" w:ascii="宋体" w:hAnsi="宋体" w:eastAsia="宋体" w:cs="宋体"/>
          <w:b/>
          <w:bCs/>
          <w:color w:val="auto"/>
          <w:sz w:val="21"/>
          <w:szCs w:val="21"/>
          <w:highlight w:val="none"/>
          <w:u w:val="single"/>
          <w:lang w:val="en-US" w:eastAsia="zh-CN"/>
        </w:rPr>
        <w:t>如有</w:t>
      </w:r>
      <w:r>
        <w:rPr>
          <w:rFonts w:hint="default" w:ascii="宋体" w:hAnsi="宋体" w:eastAsia="宋体" w:cs="宋体"/>
          <w:b/>
          <w:bCs/>
          <w:color w:val="auto"/>
          <w:sz w:val="21"/>
          <w:szCs w:val="21"/>
          <w:highlight w:val="none"/>
          <w:u w:val="single"/>
          <w:lang w:eastAsia="zh-CN"/>
        </w:rPr>
        <w:t>）</w:t>
      </w:r>
      <w:r>
        <w:rPr>
          <w:rFonts w:hint="eastAsia" w:ascii="宋体" w:hAnsi="宋体" w:cs="宋体"/>
          <w:b/>
          <w:bCs/>
          <w:color w:val="auto"/>
          <w:sz w:val="21"/>
          <w:szCs w:val="21"/>
          <w:highlight w:val="none"/>
          <w:u w:val="single"/>
          <w:lang w:eastAsia="zh-CN"/>
        </w:rPr>
        <w:t>、</w:t>
      </w:r>
      <w:r>
        <w:rPr>
          <w:rFonts w:ascii="宋体" w:hAnsi="宋体" w:eastAsia="宋体" w:cs="宋体"/>
          <w:b/>
          <w:bCs/>
          <w:color w:val="auto"/>
          <w:sz w:val="21"/>
          <w:szCs w:val="21"/>
          <w:highlight w:val="none"/>
          <w:u w:val="single"/>
        </w:rPr>
        <w:t>监狱企业证明文件（如有）、《残疾人福利性单位声明函》（如有）（格式见第四章）；</w:t>
      </w:r>
    </w:p>
    <w:p w14:paraId="01A5BC11">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11.2.1</w:t>
      </w:r>
      <w:r>
        <w:rPr>
          <w:rFonts w:hint="eastAsia" w:ascii="宋体" w:hAnsi="宋体"/>
          <w:b/>
          <w:bCs/>
          <w:color w:val="auto"/>
          <w:sz w:val="21"/>
          <w:szCs w:val="21"/>
          <w:highlight w:val="none"/>
          <w:u w:val="single"/>
          <w:lang w:val="en-US" w:eastAsia="zh-CN"/>
        </w:rPr>
        <w:t>5</w:t>
      </w:r>
      <w:r>
        <w:rPr>
          <w:rFonts w:hint="eastAsia" w:ascii="宋体" w:hAnsi="宋体"/>
          <w:b/>
          <w:bCs/>
          <w:color w:val="auto"/>
          <w:sz w:val="21"/>
          <w:szCs w:val="21"/>
          <w:highlight w:val="none"/>
          <w:u w:val="single"/>
        </w:rPr>
        <w:t>其他投标人认为应该提供的资料。</w:t>
      </w:r>
    </w:p>
    <w:p w14:paraId="5EA53C2A">
      <w:pPr>
        <w:pStyle w:val="5"/>
        <w:spacing w:line="360" w:lineRule="auto"/>
        <w:ind w:firstLine="420" w:firstLineChars="200"/>
        <w:rPr>
          <w:rFonts w:ascii="宋体" w:hAnsi="宋体"/>
          <w:color w:val="auto"/>
          <w:sz w:val="21"/>
          <w:szCs w:val="21"/>
          <w:highlight w:val="none"/>
          <w:u w:val="single"/>
        </w:rPr>
      </w:pPr>
      <w:r>
        <w:rPr>
          <w:rFonts w:hint="eastAsia" w:ascii="宋体" w:hAnsi="宋体"/>
          <w:color w:val="auto"/>
          <w:sz w:val="21"/>
          <w:szCs w:val="21"/>
          <w:highlight w:val="none"/>
          <w:u w:val="single"/>
        </w:rPr>
        <w:t>11.3 经济部分投标文件主要包括下列内容：</w:t>
      </w:r>
    </w:p>
    <w:p w14:paraId="11CD683A">
      <w:pPr>
        <w:pStyle w:val="5"/>
        <w:spacing w:line="360" w:lineRule="auto"/>
        <w:ind w:firstLine="420" w:firstLineChars="200"/>
        <w:rPr>
          <w:rFonts w:ascii="宋体" w:hAnsi="宋体"/>
          <w:color w:val="auto"/>
          <w:sz w:val="21"/>
          <w:szCs w:val="21"/>
          <w:highlight w:val="none"/>
          <w:u w:val="single"/>
        </w:rPr>
      </w:pPr>
      <w:r>
        <w:rPr>
          <w:rFonts w:hint="eastAsia" w:ascii="宋体" w:hAnsi="宋体"/>
          <w:color w:val="auto"/>
          <w:sz w:val="21"/>
          <w:szCs w:val="21"/>
          <w:highlight w:val="none"/>
          <w:u w:val="single"/>
        </w:rPr>
        <w:t>11.3.1 经济投标文件</w:t>
      </w:r>
      <w:r>
        <w:rPr>
          <w:rFonts w:hint="eastAsia" w:ascii="宋体" w:hAnsi="宋体"/>
          <w:b/>
          <w:bCs/>
          <w:color w:val="auto"/>
          <w:sz w:val="21"/>
          <w:szCs w:val="21"/>
          <w:highlight w:val="none"/>
          <w:u w:val="single"/>
        </w:rPr>
        <w:t>(按招标文件的要求填写)</w:t>
      </w:r>
      <w:r>
        <w:rPr>
          <w:rFonts w:hint="eastAsia" w:ascii="宋体" w:hAnsi="宋体"/>
          <w:color w:val="auto"/>
          <w:sz w:val="21"/>
          <w:szCs w:val="21"/>
          <w:highlight w:val="none"/>
          <w:u w:val="single"/>
        </w:rPr>
        <w:t>。</w:t>
      </w:r>
    </w:p>
    <w:p w14:paraId="43D2D9CF">
      <w:pPr>
        <w:pStyle w:val="5"/>
        <w:spacing w:line="360" w:lineRule="auto"/>
        <w:ind w:firstLine="420" w:firstLineChars="200"/>
        <w:rPr>
          <w:rFonts w:ascii="宋体" w:hAnsi="宋体"/>
          <w:color w:val="auto"/>
          <w:sz w:val="21"/>
          <w:szCs w:val="21"/>
          <w:highlight w:val="none"/>
          <w:u w:val="single"/>
        </w:rPr>
      </w:pPr>
      <w:r>
        <w:rPr>
          <w:rFonts w:hint="eastAsia" w:ascii="宋体" w:hAnsi="宋体"/>
          <w:color w:val="auto"/>
          <w:sz w:val="21"/>
          <w:szCs w:val="21"/>
          <w:highlight w:val="none"/>
          <w:u w:val="single"/>
        </w:rPr>
        <w:t>11.3.2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ascii="宋体" w:hAnsi="宋体"/>
          <w:b w:val="0"/>
          <w:bCs w:val="0"/>
          <w:color w:val="auto"/>
          <w:sz w:val="21"/>
          <w:szCs w:val="21"/>
          <w:highlight w:val="none"/>
          <w:u w:val="single"/>
        </w:rPr>
        <w:t>（投标报价的工程量清单的组成、格式等按</w:t>
      </w:r>
      <w:r>
        <w:rPr>
          <w:rFonts w:hint="eastAsia" w:ascii="宋体" w:hAnsi="宋体"/>
          <w:b w:val="0"/>
          <w:bCs w:val="0"/>
          <w:color w:val="auto"/>
          <w:sz w:val="21"/>
          <w:szCs w:val="21"/>
          <w:highlight w:val="none"/>
          <w:u w:val="single"/>
          <w:lang w:val="en-US" w:eastAsia="zh-CN"/>
        </w:rPr>
        <w:t>广</w:t>
      </w:r>
      <w:r>
        <w:rPr>
          <w:rFonts w:hint="eastAsia" w:ascii="宋体" w:hAnsi="宋体"/>
          <w:b w:val="0"/>
          <w:bCs w:val="0"/>
          <w:color w:val="auto"/>
          <w:szCs w:val="21"/>
          <w:highlight w:val="none"/>
          <w:u w:val="single"/>
        </w:rPr>
        <w:t>州交易集团有限公司（广州公共资源交易中心）</w:t>
      </w:r>
      <w:r>
        <w:rPr>
          <w:rFonts w:hint="eastAsia" w:ascii="宋体" w:hAnsi="宋体"/>
          <w:b w:val="0"/>
          <w:bCs w:val="0"/>
          <w:color w:val="auto"/>
          <w:sz w:val="21"/>
          <w:szCs w:val="21"/>
          <w:highlight w:val="none"/>
          <w:u w:val="single"/>
        </w:rPr>
        <w:t>的投标文件管理软件自动生成）</w:t>
      </w:r>
      <w:r>
        <w:rPr>
          <w:rFonts w:hint="eastAsia" w:ascii="宋体" w:hAnsi="宋体"/>
          <w:color w:val="auto"/>
          <w:sz w:val="21"/>
          <w:szCs w:val="21"/>
          <w:highlight w:val="none"/>
          <w:u w:val="single"/>
        </w:rPr>
        <w:t>。</w:t>
      </w:r>
    </w:p>
    <w:p w14:paraId="34E3C2BB">
      <w:pPr>
        <w:pStyle w:val="5"/>
        <w:spacing w:line="360" w:lineRule="auto"/>
        <w:ind w:firstLine="420" w:firstLineChars="200"/>
        <w:rPr>
          <w:rFonts w:ascii="宋体" w:hAnsi="宋体"/>
          <w:color w:val="auto"/>
          <w:sz w:val="21"/>
          <w:szCs w:val="21"/>
          <w:highlight w:val="none"/>
          <w:u w:val="single"/>
        </w:rPr>
      </w:pPr>
      <w:r>
        <w:rPr>
          <w:rFonts w:hint="eastAsia" w:ascii="宋体" w:hAnsi="宋体"/>
          <w:color w:val="auto"/>
          <w:sz w:val="21"/>
          <w:szCs w:val="21"/>
          <w:highlight w:val="none"/>
          <w:u w:val="single"/>
        </w:rPr>
        <w:t>11.3.3按照招标文件要求填写的《参与编制经济标投标文件人员名单》。</w:t>
      </w:r>
    </w:p>
    <w:p w14:paraId="23E402DF">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11.3.4 《对投标文件编制的承诺》</w:t>
      </w:r>
      <w:r>
        <w:rPr>
          <w:rFonts w:hint="eastAsia" w:ascii="宋体" w:hAnsi="宋体" w:cs="Times New Roman"/>
          <w:b/>
          <w:bCs/>
          <w:color w:val="auto"/>
          <w:sz w:val="21"/>
          <w:szCs w:val="21"/>
          <w:highlight w:val="none"/>
          <w:u w:val="single"/>
          <w:lang w:eastAsia="zh-CN"/>
        </w:rPr>
        <w:t>、</w:t>
      </w:r>
      <w:r>
        <w:rPr>
          <w:rFonts w:hint="eastAsia" w:ascii="宋体" w:hAnsi="宋体" w:eastAsia="宋体" w:cs="Times New Roman"/>
          <w:b/>
          <w:bCs/>
          <w:color w:val="auto"/>
          <w:sz w:val="21"/>
          <w:szCs w:val="21"/>
          <w:highlight w:val="none"/>
          <w:u w:val="single"/>
        </w:rPr>
        <w:t>《中小企业声明函》（如有）、</w:t>
      </w:r>
      <w:r>
        <w:rPr>
          <w:rFonts w:hint="default" w:ascii="宋体" w:hAnsi="宋体" w:eastAsia="宋体" w:cs="宋体"/>
          <w:b/>
          <w:bCs/>
          <w:color w:val="auto"/>
          <w:kern w:val="2"/>
          <w:sz w:val="21"/>
          <w:szCs w:val="21"/>
          <w:highlight w:val="none"/>
          <w:u w:val="single"/>
          <w:lang w:val="en-US" w:eastAsia="zh-CN"/>
        </w:rPr>
        <w:t>分包意向协议</w:t>
      </w:r>
      <w:r>
        <w:rPr>
          <w:rFonts w:hint="default" w:ascii="宋体" w:hAnsi="宋体" w:eastAsia="宋体" w:cs="宋体"/>
          <w:b/>
          <w:bCs/>
          <w:color w:val="auto"/>
          <w:sz w:val="21"/>
          <w:szCs w:val="21"/>
          <w:highlight w:val="none"/>
          <w:u w:val="single"/>
          <w:lang w:eastAsia="zh-CN"/>
        </w:rPr>
        <w:t>（</w:t>
      </w:r>
      <w:r>
        <w:rPr>
          <w:rFonts w:hint="default" w:ascii="宋体" w:hAnsi="宋体" w:eastAsia="宋体" w:cs="宋体"/>
          <w:b/>
          <w:bCs/>
          <w:color w:val="auto"/>
          <w:sz w:val="21"/>
          <w:szCs w:val="21"/>
          <w:highlight w:val="none"/>
          <w:u w:val="single"/>
          <w:lang w:val="en-US" w:eastAsia="zh-CN"/>
        </w:rPr>
        <w:t>如有</w:t>
      </w:r>
      <w:r>
        <w:rPr>
          <w:rFonts w:hint="default" w:ascii="宋体" w:hAnsi="宋体" w:eastAsia="宋体" w:cs="宋体"/>
          <w:b/>
          <w:bCs/>
          <w:color w:val="auto"/>
          <w:sz w:val="21"/>
          <w:szCs w:val="21"/>
          <w:highlight w:val="none"/>
          <w:u w:val="single"/>
          <w:lang w:eastAsia="zh-CN"/>
        </w:rPr>
        <w:t>）</w:t>
      </w:r>
      <w:r>
        <w:rPr>
          <w:rFonts w:hint="eastAsia" w:ascii="宋体" w:hAnsi="宋体" w:cs="宋体"/>
          <w:b/>
          <w:bCs/>
          <w:color w:val="auto"/>
          <w:sz w:val="21"/>
          <w:szCs w:val="21"/>
          <w:highlight w:val="none"/>
          <w:u w:val="single"/>
          <w:lang w:eastAsia="zh-CN"/>
        </w:rPr>
        <w:t>、</w:t>
      </w:r>
      <w:r>
        <w:rPr>
          <w:rFonts w:hint="eastAsia" w:ascii="宋体" w:hAnsi="宋体" w:eastAsia="宋体" w:cs="Times New Roman"/>
          <w:b/>
          <w:bCs/>
          <w:color w:val="auto"/>
          <w:sz w:val="21"/>
          <w:szCs w:val="21"/>
          <w:highlight w:val="none"/>
          <w:u w:val="single"/>
        </w:rPr>
        <w:t>监狱企业证明文件（如有）、《残疾人福利性单位声明函》（如有）</w:t>
      </w:r>
      <w:r>
        <w:rPr>
          <w:rFonts w:hint="eastAsia" w:ascii="宋体" w:hAnsi="宋体" w:cs="Times New Roman"/>
          <w:b/>
          <w:bCs/>
          <w:color w:val="auto"/>
          <w:sz w:val="21"/>
          <w:szCs w:val="21"/>
          <w:highlight w:val="none"/>
          <w:u w:val="single"/>
        </w:rPr>
        <w:t>。</w:t>
      </w:r>
    </w:p>
    <w:p w14:paraId="4D2DF759">
      <w:pPr>
        <w:pStyle w:val="5"/>
        <w:spacing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11.3.5 若投标人的投标报价低于工程成本警戒价的，投标人还须提供详细的施工组织设计、单价、措施性费用、单价分析表、主要材料价格表、投标人成本分析供评标委员会评审。</w:t>
      </w:r>
    </w:p>
    <w:p w14:paraId="05A7526C">
      <w:pPr>
        <w:pBdr>
          <w:bottom w:val="single" w:color="auto" w:sz="6" w:space="1"/>
        </w:pBdr>
        <w:spacing w:line="360" w:lineRule="auto"/>
        <w:ind w:firstLine="527" w:firstLineChars="250"/>
        <w:rPr>
          <w:rFonts w:hint="eastAsia" w:ascii="宋体" w:hAnsi="宋体"/>
          <w:b/>
          <w:bCs/>
          <w:color w:val="auto"/>
          <w:sz w:val="21"/>
          <w:szCs w:val="21"/>
          <w:highlight w:val="none"/>
          <w:u w:val="single"/>
        </w:rPr>
      </w:pPr>
      <w:r>
        <w:rPr>
          <w:rFonts w:hint="eastAsia" w:ascii="宋体" w:hAnsi="宋体"/>
          <w:b/>
          <w:bCs/>
          <w:color w:val="auto"/>
          <w:sz w:val="21"/>
          <w:szCs w:val="21"/>
          <w:highlight w:val="none"/>
          <w:u w:val="single"/>
        </w:rPr>
        <w:t>11.3.6投标人应认真核对图纸并复核清单的工程量及项目，如发现工程量清单与图纸内容不符，应在招标疑问收集期间提出质疑，并向招标人提出修正意见。承包人在招标疑问收集期间未对工程量清单提出质疑，即视为承包人对本项目清单中各单一子项工程量及清单中单一子项工程金额10万元以下（不含10万元）漏项的认可，若发生清单中单一子项工程金额达10万元及以上的漏项时，承包人须委托区财政局委托评审的社会中介机构或该工程原招标代理（或预算编制）单位复核并出具工程漏项清单报告以书面形式单列提出，在工程结算时由财政评审单位审核通过后，发包人与承包人按照评审结果各承担50%的比例予以调整。对于上述漏项，承包人需在第一次图纸会审会议（合同签订后15天内召开）中提出，逾期提出，发包人将不予受理。</w:t>
      </w:r>
    </w:p>
    <w:p w14:paraId="0B4F1008">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条款号：12.2</w:t>
      </w:r>
      <w:r>
        <w:rPr>
          <w:rFonts w:hint="eastAsia" w:ascii="宋体" w:hAnsi="宋体"/>
          <w:b/>
          <w:color w:val="auto"/>
          <w:szCs w:val="21"/>
          <w:highlight w:val="none"/>
          <w:lang w:val="en-US" w:eastAsia="zh-CN"/>
        </w:rPr>
        <w:t>-12.3</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4E44BDAE">
      <w:pPr>
        <w:pStyle w:val="4"/>
        <w:spacing w:after="0" w:line="360" w:lineRule="auto"/>
        <w:ind w:firstLine="422" w:firstLineChars="200"/>
        <w:rPr>
          <w:rFonts w:ascii="宋体" w:hAnsi="宋体"/>
          <w:color w:val="auto"/>
          <w:sz w:val="21"/>
          <w:szCs w:val="21"/>
          <w:highlight w:val="none"/>
        </w:rPr>
      </w:pPr>
      <w:r>
        <w:rPr>
          <w:rFonts w:hint="eastAsia" w:ascii="宋体" w:hAnsi="宋体"/>
          <w:b/>
          <w:color w:val="auto"/>
          <w:szCs w:val="21"/>
          <w:highlight w:val="none"/>
        </w:rPr>
        <w:t>原文：</w:t>
      </w:r>
      <w:r>
        <w:rPr>
          <w:rFonts w:hint="eastAsia" w:ascii="宋体" w:hAnsi="宋体"/>
          <w:color w:val="auto"/>
          <w:sz w:val="21"/>
          <w:szCs w:val="21"/>
          <w:highlight w:val="none"/>
        </w:rPr>
        <w:t>12.2 投标文件全部采用电子文档，投标文件所附证书证件均为原件扫描件，并采用单位数字证书，按招标文件要求在相应位置加盖电子印章。投标文件中需个人签字或盖章的，应加盖个人电子印章或在线下完成后扫描上传。按照交易平台关于</w:t>
      </w:r>
      <w:r>
        <w:rPr>
          <w:rFonts w:hint="eastAsia"/>
          <w:color w:val="auto"/>
          <w:sz w:val="21"/>
          <w:szCs w:val="21"/>
          <w:highlight w:val="none"/>
        </w:rPr>
        <w:t>全流程电子化项目的相关指南进行操作。详见：</w:t>
      </w:r>
      <w:r>
        <w:rPr>
          <w:color w:val="auto"/>
          <w:sz w:val="21"/>
          <w:szCs w:val="21"/>
          <w:highlight w:val="none"/>
          <w:u w:val="single"/>
        </w:rPr>
        <w:t xml:space="preserve">      </w:t>
      </w:r>
      <w:r>
        <w:rPr>
          <w:rFonts w:hint="eastAsia"/>
          <w:color w:val="auto"/>
          <w:sz w:val="21"/>
          <w:szCs w:val="21"/>
          <w:highlight w:val="none"/>
          <w:u w:val="single"/>
        </w:rPr>
        <w:t xml:space="preserve">    </w:t>
      </w:r>
      <w:r>
        <w:rPr>
          <w:color w:val="auto"/>
          <w:sz w:val="21"/>
          <w:szCs w:val="21"/>
          <w:highlight w:val="none"/>
          <w:u w:val="single"/>
        </w:rPr>
        <w:t xml:space="preserve">  </w:t>
      </w:r>
      <w:r>
        <w:rPr>
          <w:rFonts w:hint="eastAsia"/>
          <w:color w:val="auto"/>
          <w:sz w:val="21"/>
          <w:szCs w:val="21"/>
          <w:highlight w:val="none"/>
        </w:rPr>
        <w:t xml:space="preserve"> 。</w:t>
      </w:r>
    </w:p>
    <w:p w14:paraId="7174D0FC">
      <w:pPr>
        <w:pStyle w:val="9"/>
        <w:rPr>
          <w:rFonts w:hint="eastAsia" w:ascii="宋体" w:hAnsi="宋体"/>
          <w:color w:val="auto"/>
          <w:sz w:val="21"/>
          <w:szCs w:val="21"/>
          <w:highlight w:val="none"/>
        </w:rPr>
      </w:pPr>
      <w:r>
        <w:rPr>
          <w:rFonts w:hint="eastAsia" w:ascii="宋体" w:hAnsi="宋体"/>
          <w:color w:val="auto"/>
          <w:sz w:val="21"/>
          <w:szCs w:val="21"/>
          <w:highlight w:val="none"/>
        </w:rPr>
        <w:t xml:space="preserve">12.3 </w:t>
      </w:r>
      <w:r>
        <w:rPr>
          <w:rFonts w:hint="eastAsia" w:ascii="宋体" w:hAnsi="宋体"/>
          <w:bCs/>
          <w:color w:val="auto"/>
          <w:sz w:val="21"/>
          <w:szCs w:val="21"/>
          <w:highlight w:val="none"/>
        </w:rPr>
        <w:t>投标文件应按</w:t>
      </w:r>
      <w:r>
        <w:rPr>
          <w:rFonts w:hint="eastAsia" w:ascii="宋体" w:hAnsi="宋体"/>
          <w:color w:val="auto"/>
          <w:sz w:val="21"/>
          <w:szCs w:val="21"/>
          <w:highlight w:val="none"/>
        </w:rPr>
        <w:t>照交易平台关于全流程电子化项目的相关指南进行编制，详见：</w:t>
      </w:r>
      <w:r>
        <w:rPr>
          <w:color w:val="auto"/>
          <w:sz w:val="21"/>
          <w:szCs w:val="21"/>
          <w:highlight w:val="none"/>
          <w:u w:val="single"/>
        </w:rPr>
        <w:t xml:space="preserve">       </w:t>
      </w:r>
      <w:r>
        <w:rPr>
          <w:rFonts w:hint="eastAsia"/>
          <w:color w:val="auto"/>
          <w:sz w:val="21"/>
          <w:szCs w:val="21"/>
          <w:highlight w:val="none"/>
          <w:u w:val="single"/>
        </w:rPr>
        <w:t xml:space="preserve">     </w:t>
      </w:r>
      <w:r>
        <w:rPr>
          <w:rFonts w:hint="eastAsia" w:ascii="宋体" w:hAnsi="宋体"/>
          <w:color w:val="auto"/>
          <w:sz w:val="21"/>
          <w:szCs w:val="21"/>
          <w:highlight w:val="none"/>
        </w:rPr>
        <w:t>。</w:t>
      </w:r>
    </w:p>
    <w:p w14:paraId="0CFA0CE2">
      <w:pPr>
        <w:pStyle w:val="4"/>
        <w:spacing w:after="0" w:line="360" w:lineRule="auto"/>
        <w:ind w:firstLine="422" w:firstLineChars="200"/>
        <w:rPr>
          <w:rFonts w:hint="eastAsia" w:ascii="宋体" w:hAnsi="宋体"/>
          <w:color w:val="auto"/>
          <w:sz w:val="21"/>
          <w:szCs w:val="21"/>
          <w:highlight w:val="none"/>
          <w:u w:val="single"/>
        </w:rPr>
      </w:pPr>
      <w:r>
        <w:rPr>
          <w:rFonts w:hint="eastAsia" w:ascii="宋体" w:hAnsi="宋体" w:cs="Times New Roman"/>
          <w:b/>
          <w:bCs/>
          <w:color w:val="auto"/>
          <w:sz w:val="21"/>
          <w:szCs w:val="21"/>
          <w:highlight w:val="none"/>
          <w:lang w:eastAsia="zh-CN"/>
        </w:rPr>
        <w:t>现文：</w:t>
      </w:r>
      <w:r>
        <w:rPr>
          <w:rFonts w:hint="eastAsia" w:ascii="宋体" w:hAnsi="宋体"/>
          <w:color w:val="auto"/>
          <w:sz w:val="21"/>
          <w:szCs w:val="21"/>
          <w:highlight w:val="none"/>
        </w:rPr>
        <w:t>12.2 投标文件全部采用电子文档，投标文件所附证书证件均为原件扫描件，并采用单位数字证书</w:t>
      </w:r>
      <w:r>
        <w:rPr>
          <w:rFonts w:hint="eastAsia" w:ascii="宋体" w:hAnsi="宋体" w:cs="宋体"/>
          <w:b/>
          <w:bCs/>
          <w:szCs w:val="21"/>
          <w:highlight w:val="none"/>
          <w:u w:val="single"/>
        </w:rPr>
        <w:t>（联合体投标的，由联合体主办方采用其单位数字证书）</w:t>
      </w:r>
      <w:r>
        <w:rPr>
          <w:rFonts w:hint="eastAsia" w:ascii="宋体" w:hAnsi="宋体"/>
          <w:color w:val="auto"/>
          <w:sz w:val="21"/>
          <w:szCs w:val="21"/>
          <w:highlight w:val="none"/>
        </w:rPr>
        <w:t>，按招标文件要求在相应位置加盖电子印章。投标文件中需个人签字或盖章的，</w:t>
      </w:r>
      <w:r>
        <w:rPr>
          <w:rFonts w:hint="eastAsia" w:ascii="宋体" w:hAnsi="宋体"/>
          <w:color w:val="auto"/>
          <w:sz w:val="21"/>
          <w:szCs w:val="21"/>
          <w:highlight w:val="none"/>
          <w:u w:val="single"/>
        </w:rPr>
        <w:t>应加盖个人电子印章或手签或盖章</w:t>
      </w:r>
      <w:r>
        <w:rPr>
          <w:rFonts w:hint="eastAsia" w:ascii="宋体" w:hAnsi="宋体"/>
          <w:color w:val="auto"/>
          <w:sz w:val="21"/>
          <w:szCs w:val="21"/>
          <w:highlight w:val="none"/>
        </w:rPr>
        <w:t>后扫描上传。</w:t>
      </w:r>
      <w:r>
        <w:rPr>
          <w:rFonts w:hint="eastAsia" w:ascii="宋体" w:hAnsi="宋体"/>
          <w:b/>
          <w:bCs/>
          <w:color w:val="auto"/>
          <w:sz w:val="21"/>
          <w:szCs w:val="21"/>
          <w:highlight w:val="none"/>
          <w:u w:val="single"/>
        </w:rPr>
        <w:t>由广州投标文件管理专用软件系统生成的“工程量清单主表--工程量清单报价表”封面页及扉页可以仅采用单位数字证书加盖电子印章处理。</w:t>
      </w:r>
      <w:r>
        <w:rPr>
          <w:rFonts w:hint="eastAsia" w:ascii="宋体" w:hAnsi="宋体"/>
          <w:color w:val="auto"/>
          <w:sz w:val="21"/>
          <w:szCs w:val="21"/>
          <w:highlight w:val="none"/>
        </w:rPr>
        <w:t>按照交易平台关于全流程电子化项目的相关指南进行操作。</w:t>
      </w:r>
      <w:r>
        <w:rPr>
          <w:rFonts w:hint="eastAsia" w:ascii="宋体" w:hAnsi="宋体"/>
          <w:b/>
          <w:bCs/>
          <w:color w:val="auto"/>
          <w:sz w:val="21"/>
          <w:szCs w:val="21"/>
          <w:highlight w:val="none"/>
          <w:u w:val="single"/>
        </w:rPr>
        <w:t>详见：【全流程电子化项目】电子招投标操作手册（无纸化）。</w:t>
      </w:r>
    </w:p>
    <w:p w14:paraId="35D253BE">
      <w:pPr>
        <w:pStyle w:val="4"/>
        <w:pBdr>
          <w:bottom w:val="single" w:color="auto" w:sz="4" w:space="0"/>
        </w:pBdr>
        <w:spacing w:after="0" w:line="360" w:lineRule="auto"/>
        <w:ind w:firstLine="422" w:firstLineChars="200"/>
        <w:rPr>
          <w:rFonts w:hint="eastAsia" w:ascii="宋体" w:hAnsi="宋体"/>
          <w:b/>
          <w:bCs/>
          <w:color w:val="auto"/>
          <w:sz w:val="21"/>
          <w:szCs w:val="21"/>
          <w:highlight w:val="none"/>
          <w:u w:val="single"/>
        </w:rPr>
      </w:pPr>
      <w:r>
        <w:rPr>
          <w:rFonts w:hint="eastAsia" w:ascii="宋体" w:hAnsi="宋体"/>
          <w:b/>
          <w:bCs/>
          <w:color w:val="auto"/>
          <w:sz w:val="21"/>
          <w:szCs w:val="21"/>
          <w:highlight w:val="none"/>
          <w:u w:val="single"/>
        </w:rPr>
        <w:t>注释：投标文件电子文档需要投标人单位盖章的材料，投标人加盖电子印章即可，不得将投标人未对电子文档加盖实物印章作为否决投标的情形。</w:t>
      </w:r>
    </w:p>
    <w:p w14:paraId="2E957DC5">
      <w:pPr>
        <w:pStyle w:val="4"/>
        <w:pBdr>
          <w:bottom w:val="single" w:color="auto" w:sz="4" w:space="0"/>
        </w:pBdr>
        <w:spacing w:after="0" w:line="360" w:lineRule="auto"/>
        <w:ind w:firstLine="420" w:firstLineChars="200"/>
        <w:rPr>
          <w:rFonts w:hint="eastAsia" w:ascii="宋体" w:hAnsi="宋体" w:cs="Times New Roman"/>
          <w:b/>
          <w:bCs/>
          <w:color w:val="auto"/>
          <w:sz w:val="21"/>
          <w:szCs w:val="21"/>
          <w:highlight w:val="none"/>
        </w:rPr>
      </w:pPr>
      <w:r>
        <w:rPr>
          <w:rFonts w:hint="eastAsia" w:ascii="宋体" w:hAnsi="宋体"/>
          <w:color w:val="auto"/>
          <w:sz w:val="21"/>
          <w:szCs w:val="21"/>
          <w:highlight w:val="none"/>
        </w:rPr>
        <w:t xml:space="preserve">12.3 </w:t>
      </w:r>
      <w:r>
        <w:rPr>
          <w:rFonts w:hint="eastAsia" w:ascii="宋体" w:hAnsi="宋体"/>
          <w:bCs/>
          <w:color w:val="auto"/>
          <w:sz w:val="21"/>
          <w:szCs w:val="21"/>
          <w:highlight w:val="none"/>
        </w:rPr>
        <w:t>投标文件应按</w:t>
      </w:r>
      <w:r>
        <w:rPr>
          <w:rFonts w:hint="eastAsia" w:ascii="宋体" w:hAnsi="宋体"/>
          <w:color w:val="auto"/>
          <w:sz w:val="21"/>
          <w:szCs w:val="21"/>
          <w:highlight w:val="none"/>
        </w:rPr>
        <w:t>照交易平台关于全流程电子化项目的相关指南进行编制，详见：</w:t>
      </w:r>
      <w:r>
        <w:rPr>
          <w:rFonts w:hint="eastAsia" w:ascii="宋体" w:hAnsi="宋体" w:eastAsia="宋体" w:cs="宋体"/>
          <w:b/>
          <w:bCs w:val="0"/>
          <w:szCs w:val="21"/>
          <w:highlight w:val="none"/>
          <w:u w:val="single"/>
        </w:rPr>
        <w:t>广州交易集团有限公司（广州公共资源交易中心）</w:t>
      </w:r>
      <w:r>
        <w:rPr>
          <w:rFonts w:hint="eastAsia"/>
          <w:color w:val="auto"/>
          <w:sz w:val="21"/>
          <w:szCs w:val="21"/>
          <w:highlight w:val="none"/>
          <w:u w:val="single"/>
        </w:rPr>
        <w:t>网站</w:t>
      </w:r>
      <w:r>
        <w:rPr>
          <w:rFonts w:hint="eastAsia" w:ascii="宋体" w:hAnsi="宋体"/>
          <w:color w:val="auto"/>
          <w:sz w:val="21"/>
          <w:szCs w:val="21"/>
          <w:highlight w:val="none"/>
        </w:rPr>
        <w:t>。</w:t>
      </w:r>
    </w:p>
    <w:p w14:paraId="20FEEE38">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 xml:space="preserve">13.1.1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修改类型：增加</w:t>
      </w:r>
    </w:p>
    <w:p w14:paraId="4C3D1585">
      <w:pPr>
        <w:pStyle w:val="4"/>
        <w:spacing w:after="0" w:line="360" w:lineRule="auto"/>
        <w:ind w:firstLine="422" w:firstLineChars="200"/>
        <w:rPr>
          <w:rFonts w:ascii="宋体" w:hAnsi="宋体"/>
          <w:b/>
          <w:bCs/>
          <w:color w:val="auto"/>
          <w:sz w:val="21"/>
          <w:szCs w:val="21"/>
          <w:highlight w:val="none"/>
          <w:u w:val="single"/>
        </w:rPr>
      </w:pPr>
      <w:r>
        <w:rPr>
          <w:rFonts w:hint="eastAsia" w:ascii="宋体" w:hAnsi="宋体" w:cs="Times New Roman"/>
          <w:b/>
          <w:bCs/>
          <w:color w:val="auto"/>
          <w:sz w:val="21"/>
          <w:szCs w:val="21"/>
          <w:highlight w:val="none"/>
          <w:lang w:eastAsia="zh-CN"/>
        </w:rPr>
        <w:t>现文：</w:t>
      </w:r>
      <w:r>
        <w:rPr>
          <w:rFonts w:hint="eastAsia" w:ascii="宋体" w:hAnsi="宋体"/>
          <w:b/>
          <w:bCs/>
          <w:color w:val="auto"/>
          <w:sz w:val="21"/>
          <w:szCs w:val="21"/>
          <w:highlight w:val="none"/>
          <w:u w:val="single"/>
        </w:rPr>
        <w:t>13.1.1投标报价的计费依据：</w:t>
      </w:r>
    </w:p>
    <w:p w14:paraId="538B3949">
      <w:pPr>
        <w:pStyle w:val="4"/>
        <w:spacing w:after="0"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13.1.1.1工程计价执行《广东省建设工程计价依据（2018）》等有关规定。</w:t>
      </w:r>
    </w:p>
    <w:p w14:paraId="489BAD97">
      <w:pPr>
        <w:pStyle w:val="4"/>
        <w:spacing w:after="0"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13.1.1.2材料综合价格部分、人工日工资价格及机械台班价格执行本项目概算财政评审批复所参考的同期月度有关文件。</w:t>
      </w:r>
    </w:p>
    <w:p w14:paraId="1AEBBFBE">
      <w:pPr>
        <w:pStyle w:val="4"/>
        <w:pBdr>
          <w:bottom w:val="single" w:color="auto" w:sz="4" w:space="0"/>
        </w:pBdr>
        <w:spacing w:after="0" w:line="360" w:lineRule="auto"/>
        <w:ind w:firstLine="422" w:firstLineChars="200"/>
        <w:rPr>
          <w:rFonts w:ascii="宋体" w:hAnsi="宋体"/>
          <w:b/>
          <w:bCs/>
          <w:color w:val="auto"/>
          <w:sz w:val="21"/>
          <w:szCs w:val="21"/>
          <w:highlight w:val="none"/>
          <w:u w:val="single"/>
        </w:rPr>
      </w:pPr>
      <w:r>
        <w:rPr>
          <w:rFonts w:hint="eastAsia" w:ascii="宋体" w:hAnsi="宋体"/>
          <w:b/>
          <w:bCs/>
          <w:color w:val="auto"/>
          <w:sz w:val="21"/>
          <w:szCs w:val="21"/>
          <w:highlight w:val="none"/>
          <w:u w:val="single"/>
        </w:rPr>
        <w:t>13.1.1.3材料价格依据：本项目概算财政评审批复所参考的同期月度广州地区建设工程常用材料税前综合信息价，不足部分参考同期《广州地区建设工程材料（设备）厂商价格信息》及市场价等有关价格文件。</w:t>
      </w:r>
    </w:p>
    <w:p w14:paraId="5C949AC4">
      <w:pPr>
        <w:pStyle w:val="4"/>
        <w:pBdr>
          <w:bottom w:val="single" w:color="auto" w:sz="4" w:space="0"/>
        </w:pBdr>
        <w:spacing w:after="0" w:line="360" w:lineRule="auto"/>
        <w:ind w:firstLine="422" w:firstLineChars="200"/>
        <w:rPr>
          <w:rFonts w:hint="eastAsia" w:ascii="宋体" w:hAnsi="宋体" w:cs="Times New Roman"/>
          <w:b/>
          <w:bCs/>
          <w:color w:val="auto"/>
          <w:sz w:val="21"/>
          <w:szCs w:val="21"/>
          <w:highlight w:val="none"/>
        </w:rPr>
      </w:pPr>
      <w:r>
        <w:rPr>
          <w:rFonts w:hint="eastAsia" w:ascii="宋体" w:hAnsi="宋体"/>
          <w:b/>
          <w:bCs/>
          <w:color w:val="auto"/>
          <w:sz w:val="21"/>
          <w:szCs w:val="21"/>
          <w:highlight w:val="none"/>
          <w:u w:val="single"/>
        </w:rPr>
        <w:t>13.1.1.4本项目所使用的材料、其质量档次按本招标文件所附施工合同专用条款49.9要求进行计价。</w:t>
      </w:r>
    </w:p>
    <w:p w14:paraId="039C1D5F">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13.3.1-</w:t>
      </w:r>
      <w:r>
        <w:rPr>
          <w:rFonts w:hint="eastAsia" w:ascii="宋体" w:hAnsi="宋体"/>
          <w:b/>
          <w:color w:val="auto"/>
          <w:szCs w:val="21"/>
          <w:highlight w:val="none"/>
        </w:rPr>
        <w:t>13.3.9</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修改类型：增加</w:t>
      </w:r>
    </w:p>
    <w:p w14:paraId="35D4D3B1">
      <w:pPr>
        <w:pBdr>
          <w:bottom w:val="single" w:color="auto" w:sz="6" w:space="1"/>
        </w:pBdr>
        <w:spacing w:line="360" w:lineRule="auto"/>
        <w:ind w:firstLine="422" w:firstLineChars="200"/>
        <w:rPr>
          <w:rFonts w:ascii="宋体" w:hAnsi="宋体"/>
          <w:b/>
          <w:bCs/>
          <w:color w:val="auto"/>
          <w:szCs w:val="21"/>
          <w:highlight w:val="none"/>
          <w:u w:val="single"/>
        </w:rPr>
      </w:pPr>
      <w:r>
        <w:rPr>
          <w:rFonts w:hint="eastAsia" w:ascii="宋体" w:hAnsi="宋体"/>
          <w:b/>
          <w:color w:val="auto"/>
          <w:szCs w:val="21"/>
          <w:highlight w:val="none"/>
        </w:rPr>
        <w:t>现文：</w:t>
      </w:r>
      <w:r>
        <w:rPr>
          <w:rFonts w:hint="eastAsia" w:ascii="宋体" w:hAnsi="宋体"/>
          <w:b/>
          <w:bCs/>
          <w:color w:val="auto"/>
          <w:szCs w:val="21"/>
          <w:highlight w:val="none"/>
          <w:u w:val="single"/>
        </w:rPr>
        <w:t>13.3.1技术措施项目费、绿色施工安全防护措施费、措施其它项目费〔包括夜间施工增加费、交通干扰工程施工增加费、赶工措施费、地下管线交叉降效费、特殊工程培训费、施工排水费、施工降水费、大型机械进出场费、泥浆池(槽)砌筑及拆除费、地上、地下设施、建筑物的临时保护设施、交通安全维护设施费、 道路交通疏导费、临时占用道路费、永久管线标志设置费、硬式扫床验收费、环境保护费、淤泥疏通费、环保报批费、施工便道、栈桥、机械浮船、工程保险费、工程保修费等费用〕、其它项目费用｛包括总承包服务费、管理配合费、材料保管费、预算包干费等费用｝、拟建工程(道路、建筑物等) 周边的房屋进行房屋鉴定费用（因施工原因引起的鉴定）费用等与工程有关的费用及保证质量、安全的各项技术措施费，由投标人自行考虑并计入投标报价。</w:t>
      </w:r>
    </w:p>
    <w:p w14:paraId="47B6EBE6">
      <w:pPr>
        <w:pBdr>
          <w:bottom w:val="single" w:color="auto" w:sz="6" w:space="1"/>
        </w:pBdr>
        <w:spacing w:line="360" w:lineRule="auto"/>
        <w:ind w:firstLine="527" w:firstLineChars="250"/>
        <w:rPr>
          <w:rFonts w:ascii="宋体" w:hAnsi="宋体"/>
          <w:b/>
          <w:bCs/>
          <w:color w:val="auto"/>
          <w:szCs w:val="21"/>
          <w:highlight w:val="none"/>
          <w:u w:val="single"/>
        </w:rPr>
      </w:pPr>
      <w:r>
        <w:rPr>
          <w:rFonts w:hint="eastAsia" w:ascii="宋体" w:hAnsi="宋体"/>
          <w:b/>
          <w:bCs/>
          <w:color w:val="auto"/>
          <w:szCs w:val="21"/>
          <w:highlight w:val="none"/>
          <w:u w:val="single"/>
        </w:rPr>
        <w:t>预算包干费包括:施工雨(污)水的排除、地下水的排除；因地形影响造成的场内料具二次运输；工程用水加压措施；完工清场后的垃圾外运;材料堆放场地的整理；水电安装后的补洞工料费；工程成品、半成品的保护、照顾费；施工中的临时停电停水的应急措施；基础埋深2米以内挖土方的塌方；日间照明施工增加费。</w:t>
      </w:r>
    </w:p>
    <w:p w14:paraId="2275808E">
      <w:pPr>
        <w:pBdr>
          <w:bottom w:val="single" w:color="auto" w:sz="6" w:space="1"/>
        </w:pBdr>
        <w:spacing w:line="360" w:lineRule="auto"/>
        <w:ind w:firstLine="527" w:firstLineChars="250"/>
        <w:rPr>
          <w:rFonts w:ascii="宋体" w:hAnsi="宋体"/>
          <w:b/>
          <w:bCs/>
          <w:color w:val="auto"/>
          <w:szCs w:val="21"/>
          <w:highlight w:val="none"/>
          <w:u w:val="single"/>
        </w:rPr>
      </w:pPr>
      <w:r>
        <w:rPr>
          <w:rFonts w:hint="eastAsia" w:ascii="宋体" w:hAnsi="宋体"/>
          <w:b/>
          <w:bCs/>
          <w:color w:val="auto"/>
          <w:szCs w:val="21"/>
          <w:highlight w:val="none"/>
          <w:u w:val="single"/>
        </w:rPr>
        <w:t>13.3.2本次投标报价是包含施工过程风险的报价，承包人在施工过程所需的施工风险处理费用及不可预见费用在投标报价中已包含，承包人在施工过程造成附近建筑物、构筑物及现场已完成的构件破坏，由此引起的所有费用由承包人承担。</w:t>
      </w:r>
    </w:p>
    <w:p w14:paraId="319F398D">
      <w:pPr>
        <w:pBdr>
          <w:bottom w:val="single" w:color="auto" w:sz="6" w:space="1"/>
        </w:pBdr>
        <w:spacing w:line="360" w:lineRule="auto"/>
        <w:ind w:firstLine="527" w:firstLineChars="250"/>
        <w:rPr>
          <w:rFonts w:ascii="宋体" w:hAnsi="宋体"/>
          <w:b/>
          <w:bCs/>
          <w:color w:val="auto"/>
          <w:szCs w:val="21"/>
          <w:highlight w:val="none"/>
          <w:u w:val="single"/>
        </w:rPr>
      </w:pPr>
      <w:r>
        <w:rPr>
          <w:rFonts w:hint="eastAsia" w:ascii="宋体" w:hAnsi="宋体"/>
          <w:b/>
          <w:bCs/>
          <w:color w:val="auto"/>
          <w:szCs w:val="21"/>
          <w:highlight w:val="none"/>
          <w:u w:val="single"/>
        </w:rPr>
        <w:t>13.3.3凡施工图纸中未有详细注明的做法，则按国家及广东省有关的设计规范及施工验收规范进行施工，投标人在投标报价时须将些因素考虑在内。</w:t>
      </w:r>
    </w:p>
    <w:p w14:paraId="23EA5FF9">
      <w:pPr>
        <w:pBdr>
          <w:bottom w:val="single" w:color="auto" w:sz="6" w:space="1"/>
        </w:pBdr>
        <w:spacing w:line="360" w:lineRule="auto"/>
        <w:ind w:firstLine="527" w:firstLineChars="250"/>
        <w:rPr>
          <w:rFonts w:ascii="宋体" w:hAnsi="宋体"/>
          <w:b/>
          <w:bCs/>
          <w:color w:val="auto"/>
          <w:szCs w:val="21"/>
          <w:highlight w:val="none"/>
          <w:u w:val="single"/>
        </w:rPr>
      </w:pPr>
      <w:r>
        <w:rPr>
          <w:rFonts w:hint="eastAsia" w:ascii="宋体" w:hAnsi="宋体"/>
          <w:b/>
          <w:bCs/>
          <w:color w:val="auto"/>
          <w:szCs w:val="21"/>
          <w:highlight w:val="none"/>
          <w:u w:val="single"/>
        </w:rPr>
        <w:t>13.3.4投标人还应在本次投标报价中充分考虑由招标人另外委托的其他专业承包人（例如各种专业设备安装等非本次招标范围的工程项目）等进入现场施工的管理配合费用，并须在施工过程中在人力和机械方面给予配合和管理。</w:t>
      </w:r>
    </w:p>
    <w:p w14:paraId="5E5E6DE0">
      <w:pPr>
        <w:pBdr>
          <w:bottom w:val="single" w:color="auto" w:sz="6" w:space="1"/>
        </w:pBdr>
        <w:spacing w:line="360" w:lineRule="auto"/>
        <w:ind w:firstLine="527" w:firstLineChars="250"/>
        <w:rPr>
          <w:rFonts w:ascii="宋体" w:hAnsi="宋体"/>
          <w:b/>
          <w:bCs/>
          <w:color w:val="auto"/>
          <w:szCs w:val="21"/>
          <w:highlight w:val="none"/>
          <w:u w:val="single"/>
        </w:rPr>
      </w:pPr>
      <w:r>
        <w:rPr>
          <w:rFonts w:hint="eastAsia" w:ascii="宋体" w:hAnsi="宋体"/>
          <w:b/>
          <w:bCs/>
          <w:color w:val="auto"/>
          <w:szCs w:val="21"/>
          <w:highlight w:val="none"/>
          <w:u w:val="single"/>
        </w:rPr>
        <w:t>13.3.5</w:t>
      </w:r>
      <w:r>
        <w:rPr>
          <w:rFonts w:hint="eastAsia" w:ascii="宋体" w:hAnsi="宋体"/>
          <w:b/>
          <w:bCs/>
          <w:color w:val="auto"/>
          <w:kern w:val="0"/>
          <w:szCs w:val="21"/>
          <w:highlight w:val="none"/>
          <w:u w:val="single"/>
        </w:rPr>
        <w:t>承包人按现行的相关规定及施工合同条款要求购买工程保险，所需费用由各投标人综合考虑在投标报价中。</w:t>
      </w:r>
    </w:p>
    <w:p w14:paraId="56192881">
      <w:pPr>
        <w:pBdr>
          <w:bottom w:val="single" w:color="auto" w:sz="6" w:space="1"/>
        </w:pBdr>
        <w:spacing w:line="360" w:lineRule="auto"/>
        <w:ind w:firstLine="527" w:firstLineChars="250"/>
        <w:rPr>
          <w:rFonts w:ascii="宋体" w:hAnsi="宋体"/>
          <w:b/>
          <w:bCs/>
          <w:color w:val="auto"/>
          <w:szCs w:val="21"/>
          <w:highlight w:val="none"/>
          <w:u w:val="single"/>
        </w:rPr>
      </w:pPr>
      <w:r>
        <w:rPr>
          <w:rFonts w:hint="eastAsia" w:ascii="宋体" w:hAnsi="宋体"/>
          <w:b/>
          <w:bCs/>
          <w:color w:val="auto"/>
          <w:szCs w:val="21"/>
          <w:highlight w:val="none"/>
          <w:u w:val="single"/>
        </w:rPr>
        <w:t>13.3.6本工程开工日期以发包人书面通知时间为准，工期需与其它标段配合，施工需与其它标段穿插进行，相关费用及工期须在投标报价中考虑，发包人不再另行增加费用及工期。</w:t>
      </w:r>
    </w:p>
    <w:p w14:paraId="5E59ACE6">
      <w:pPr>
        <w:pBdr>
          <w:bottom w:val="single" w:color="auto" w:sz="6" w:space="1"/>
        </w:pBdr>
        <w:spacing w:line="360" w:lineRule="auto"/>
        <w:ind w:firstLine="527" w:firstLineChars="250"/>
        <w:rPr>
          <w:rFonts w:ascii="宋体" w:hAnsi="宋体"/>
          <w:b/>
          <w:bCs/>
          <w:color w:val="auto"/>
          <w:szCs w:val="21"/>
          <w:highlight w:val="none"/>
          <w:u w:val="single"/>
        </w:rPr>
      </w:pPr>
      <w:r>
        <w:rPr>
          <w:rFonts w:hint="eastAsia" w:ascii="宋体" w:hAnsi="宋体"/>
          <w:b/>
          <w:bCs/>
          <w:color w:val="auto"/>
          <w:szCs w:val="21"/>
          <w:highlight w:val="none"/>
          <w:u w:val="single"/>
        </w:rPr>
        <w:t>13.3.7招标人不提供取土点，土方的运距按15公里考虑进行计价，因运距而引起造价变化属投标风险，招标人在项目实施时对相关影响不作增减。</w:t>
      </w:r>
    </w:p>
    <w:p w14:paraId="0C76EC80">
      <w:pPr>
        <w:pBdr>
          <w:bottom w:val="single" w:color="auto" w:sz="6" w:space="1"/>
        </w:pBdr>
        <w:spacing w:line="360" w:lineRule="auto"/>
        <w:ind w:firstLine="527" w:firstLineChars="250"/>
        <w:rPr>
          <w:rFonts w:ascii="宋体" w:hAnsi="宋体"/>
          <w:b/>
          <w:bCs/>
          <w:color w:val="auto"/>
          <w:szCs w:val="21"/>
          <w:highlight w:val="none"/>
          <w:u w:val="single"/>
        </w:rPr>
      </w:pPr>
      <w:r>
        <w:rPr>
          <w:rFonts w:hint="eastAsia" w:ascii="宋体" w:hAnsi="宋体"/>
          <w:b/>
          <w:bCs/>
          <w:color w:val="auto"/>
          <w:szCs w:val="21"/>
          <w:highlight w:val="none"/>
          <w:u w:val="single"/>
        </w:rPr>
        <w:t>13.3.8中标人需配合由发包人委托的桩基等检测项目的检测工作，负责按检测单位要求提供水源、电源、脚手架、修建检测车辆出入便道、检测场地平整、钻芯孔回灌封闭所需的水泥等、检测用桩帽的制作、相关预埋件的埋设、结构实体检测后的恢复工作等准备、配合工作，相关费用投标人须在投标报价中考虑，发包人不再另行增加费用。</w:t>
      </w:r>
    </w:p>
    <w:p w14:paraId="418A269B">
      <w:pPr>
        <w:pBdr>
          <w:bottom w:val="single" w:color="auto" w:sz="6" w:space="1"/>
        </w:pBdr>
        <w:spacing w:line="360" w:lineRule="auto"/>
        <w:ind w:firstLine="527" w:firstLineChars="250"/>
        <w:rPr>
          <w:rFonts w:ascii="宋体" w:hAnsi="宋体"/>
          <w:b/>
          <w:bCs/>
          <w:color w:val="auto"/>
          <w:szCs w:val="21"/>
          <w:highlight w:val="none"/>
          <w:u w:val="single"/>
        </w:rPr>
      </w:pPr>
      <w:r>
        <w:rPr>
          <w:rFonts w:hint="eastAsia" w:ascii="宋体" w:hAnsi="宋体"/>
          <w:b/>
          <w:bCs/>
          <w:color w:val="auto"/>
          <w:szCs w:val="21"/>
          <w:highlight w:val="none"/>
          <w:u w:val="single"/>
        </w:rPr>
        <w:t>13.3.9根据《广州市城乡建设委员会印发〈关于进一步加强广州市建设工程质量检测委托管理工作方案〉的通知》（穗建质[2012]1767号）第二条规定：“新招标的建设工程，应在施工招标文件中明确建设单位为委托工程质量检测的主体，工程质量检测费用不应纳入投标总价。”因此，在编制本工程投标预算时，其他项目费中的材料检验试验费不应包含在投标报价中。</w:t>
      </w:r>
    </w:p>
    <w:p w14:paraId="71B8C2D9">
      <w:pPr>
        <w:pBdr>
          <w:top w:val="none" w:color="auto" w:sz="0" w:space="0"/>
          <w:left w:val="none" w:color="auto" w:sz="0" w:space="0"/>
          <w:bottom w:val="none" w:color="auto" w:sz="0" w:space="0"/>
          <w:right w:val="none" w:color="auto" w:sz="0" w:space="0"/>
          <w:between w:val="none" w:color="auto" w:sz="0" w:space="0"/>
        </w:pBd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13</w:t>
      </w:r>
      <w:r>
        <w:rPr>
          <w:rFonts w:hint="eastAsia" w:ascii="宋体" w:hAnsi="宋体"/>
          <w:b/>
          <w:color w:val="auto"/>
          <w:szCs w:val="21"/>
          <w:highlight w:val="none"/>
        </w:rPr>
        <w:t>.4            修改类型：修改</w:t>
      </w:r>
    </w:p>
    <w:p w14:paraId="3211EC31">
      <w:pPr>
        <w:pBdr>
          <w:top w:val="none" w:color="auto" w:sz="0" w:space="0"/>
          <w:left w:val="none" w:color="auto" w:sz="0" w:space="0"/>
          <w:bottom w:val="none" w:color="auto" w:sz="0" w:space="0"/>
          <w:right w:val="none" w:color="auto" w:sz="0" w:space="0"/>
          <w:between w:val="none" w:color="auto" w:sz="0" w:space="0"/>
        </w:pBdr>
        <w:spacing w:line="360" w:lineRule="auto"/>
        <w:ind w:firstLine="422" w:firstLineChars="200"/>
        <w:rPr>
          <w:rFonts w:hint="eastAsia" w:ascii="宋体" w:hAnsi="宋体" w:cs="Times New Roman"/>
          <w:color w:val="auto"/>
          <w:sz w:val="21"/>
          <w:szCs w:val="21"/>
          <w:highlight w:val="none"/>
          <w:u w:val="none"/>
        </w:rPr>
      </w:pPr>
      <w:r>
        <w:rPr>
          <w:rFonts w:hint="eastAsia" w:ascii="宋体" w:hAnsi="宋体"/>
          <w:b/>
          <w:bCs/>
          <w:color w:val="auto"/>
          <w:szCs w:val="21"/>
          <w:highlight w:val="none"/>
          <w:u w:val="none"/>
        </w:rPr>
        <w:t>原文：</w:t>
      </w:r>
      <w:r>
        <w:rPr>
          <w:rFonts w:hint="eastAsia" w:ascii="宋体" w:hAnsi="宋体"/>
          <w:color w:val="auto"/>
          <w:sz w:val="21"/>
          <w:szCs w:val="21"/>
          <w:highlight w:val="none"/>
          <w:u w:val="none"/>
        </w:rPr>
        <w:t>13.4投标人一旦中标，投标人对招标人提供的招标工程量清单中列出的工程项目所报出的综合单价，在工程结算时将不得变更，招标人应在招标文件及合同中明确在人工、材料、设备或机械台班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14:paraId="1538940E">
      <w:pPr>
        <w:pBdr>
          <w:bottom w:val="single" w:color="auto" w:sz="4" w:space="1"/>
        </w:pBdr>
        <w:spacing w:line="360" w:lineRule="auto"/>
        <w:ind w:firstLine="422" w:firstLineChars="200"/>
        <w:rPr>
          <w:rFonts w:ascii="宋体" w:hAnsi="宋体"/>
          <w:color w:val="auto"/>
          <w:szCs w:val="21"/>
          <w:highlight w:val="none"/>
          <w:u w:val="single"/>
        </w:rPr>
      </w:pPr>
      <w:r>
        <w:rPr>
          <w:rFonts w:hint="eastAsia" w:ascii="宋体" w:hAnsi="宋体" w:cs="Times New Roman"/>
          <w:b/>
          <w:bCs/>
          <w:color w:val="auto"/>
          <w:sz w:val="21"/>
          <w:szCs w:val="21"/>
          <w:highlight w:val="none"/>
          <w:u w:val="none"/>
          <w:lang w:eastAsia="zh-CN"/>
        </w:rPr>
        <w:t>现文：</w:t>
      </w:r>
      <w:r>
        <w:rPr>
          <w:rFonts w:ascii="宋体" w:hAnsi="宋体"/>
          <w:color w:val="auto"/>
          <w:sz w:val="21"/>
          <w:szCs w:val="21"/>
          <w:highlight w:val="none"/>
        </w:rPr>
        <w:t>13.4</w:t>
      </w:r>
      <w:r>
        <w:rPr>
          <w:rFonts w:hint="eastAsia" w:ascii="宋体" w:hAnsi="宋体"/>
          <w:color w:val="auto"/>
          <w:sz w:val="21"/>
          <w:szCs w:val="21"/>
          <w:highlight w:val="none"/>
        </w:rPr>
        <w:t>投标人一旦中标，投标人对招标人提供的招标工程量清单中列出的工程项目所报出的综合单价，</w:t>
      </w:r>
      <w:r>
        <w:rPr>
          <w:rFonts w:hint="eastAsia" w:ascii="宋体" w:hAnsi="宋体"/>
          <w:b/>
          <w:bCs/>
          <w:color w:val="auto"/>
          <w:sz w:val="21"/>
          <w:szCs w:val="21"/>
          <w:highlight w:val="none"/>
          <w:u w:val="single"/>
        </w:rPr>
        <w:t>原则上不得变更，但涉及建设工程材料价格波动异常，超出发承包双方按以往经验所能预见与避免的范围和承担的风险的情况除外，由招标人在招标文件及合同中明确</w:t>
      </w:r>
      <w:r>
        <w:rPr>
          <w:rFonts w:hint="eastAsia" w:ascii="宋体" w:hAnsi="宋体"/>
          <w:b w:val="0"/>
          <w:bCs w:val="0"/>
          <w:color w:val="auto"/>
          <w:sz w:val="21"/>
          <w:szCs w:val="21"/>
          <w:highlight w:val="none"/>
          <w:u w:val="none"/>
        </w:rPr>
        <w:t>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14:paraId="5118CF13">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13</w:t>
      </w:r>
      <w:r>
        <w:rPr>
          <w:rFonts w:hint="eastAsia" w:ascii="宋体" w:hAnsi="宋体"/>
          <w:b/>
          <w:color w:val="auto"/>
          <w:szCs w:val="21"/>
          <w:highlight w:val="none"/>
        </w:rPr>
        <w:t>.</w:t>
      </w:r>
      <w:r>
        <w:rPr>
          <w:rFonts w:ascii="宋体" w:hAnsi="宋体"/>
          <w:b/>
          <w:color w:val="auto"/>
          <w:szCs w:val="21"/>
          <w:highlight w:val="none"/>
        </w:rPr>
        <w:t>5.2</w:t>
      </w:r>
      <w:r>
        <w:rPr>
          <w:rFonts w:hint="eastAsia" w:ascii="宋体" w:hAnsi="宋体"/>
          <w:b/>
          <w:color w:val="auto"/>
          <w:szCs w:val="21"/>
          <w:highlight w:val="none"/>
        </w:rPr>
        <w:t xml:space="preserve">             修改类型：修改</w:t>
      </w:r>
    </w:p>
    <w:p w14:paraId="52794668">
      <w:pPr>
        <w:spacing w:line="360" w:lineRule="auto"/>
        <w:ind w:firstLine="472" w:firstLineChars="224"/>
        <w:rPr>
          <w:rFonts w:ascii="宋体" w:hAnsi="宋体"/>
          <w:color w:val="auto"/>
          <w:szCs w:val="21"/>
          <w:highlight w:val="none"/>
        </w:rPr>
      </w:pPr>
      <w:r>
        <w:rPr>
          <w:rFonts w:hint="eastAsia" w:ascii="宋体" w:hAnsi="宋体"/>
          <w:b/>
          <w:color w:val="auto"/>
          <w:szCs w:val="21"/>
          <w:highlight w:val="none"/>
        </w:rPr>
        <w:t>原文：</w:t>
      </w:r>
      <w:r>
        <w:rPr>
          <w:rFonts w:hint="eastAsia" w:ascii="宋体" w:hAnsi="宋体"/>
          <w:color w:val="auto"/>
          <w:sz w:val="21"/>
          <w:szCs w:val="21"/>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由招标人在招标文件中依法确定计价方式。</w:t>
      </w:r>
    </w:p>
    <w:p w14:paraId="3F022090">
      <w:pPr>
        <w:pBdr>
          <w:bottom w:val="single" w:color="auto" w:sz="4" w:space="0"/>
        </w:pBdr>
        <w:spacing w:line="360" w:lineRule="auto"/>
        <w:ind w:firstLine="472" w:firstLineChars="224"/>
        <w:rPr>
          <w:rFonts w:ascii="宋体" w:hAnsi="宋体"/>
          <w:color w:val="auto"/>
          <w:szCs w:val="21"/>
          <w:highlight w:val="none"/>
          <w:u w:val="single"/>
        </w:rPr>
      </w:pPr>
      <w:r>
        <w:rPr>
          <w:rFonts w:hint="eastAsia" w:ascii="宋体" w:hAnsi="宋体"/>
          <w:b/>
          <w:color w:val="auto"/>
          <w:szCs w:val="21"/>
          <w:highlight w:val="none"/>
        </w:rPr>
        <w:t>现文：</w:t>
      </w:r>
      <w:r>
        <w:rPr>
          <w:rFonts w:hint="eastAsia" w:ascii="宋体" w:hAnsi="宋体"/>
          <w:color w:val="auto"/>
          <w:szCs w:val="21"/>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w:t>
      </w:r>
      <w:r>
        <w:rPr>
          <w:rFonts w:hint="eastAsia" w:ascii="宋体" w:hAnsi="宋体"/>
          <w:b/>
          <w:bCs/>
          <w:color w:val="auto"/>
          <w:szCs w:val="21"/>
          <w:highlight w:val="none"/>
          <w:u w:val="single"/>
        </w:rPr>
        <w:t>则参照广州市造价管理站同期《广州地区建设工程材料（设备）厂商价格信息》并进行市场询价；对《广州地区建设工程材料（设备）厂商价格信息》仍然没有的材料单价，则由承包人提出适当的材料单价，经招标人和监理单位确认后执行。详见本招标文件所附施工合同专用条款第72.工程变更事件的有关规定。</w:t>
      </w:r>
      <w:r>
        <w:rPr>
          <w:rFonts w:hint="eastAsia" w:ascii="宋体" w:hAnsi="宋体"/>
          <w:color w:val="auto"/>
          <w:szCs w:val="21"/>
          <w:highlight w:val="none"/>
          <w:u w:val="single"/>
        </w:rPr>
        <w:t xml:space="preserve">                                                                  </w:t>
      </w:r>
    </w:p>
    <w:p w14:paraId="71B064C9">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13</w:t>
      </w:r>
      <w:r>
        <w:rPr>
          <w:rFonts w:hint="eastAsia" w:ascii="宋体" w:hAnsi="宋体"/>
          <w:b/>
          <w:color w:val="auto"/>
          <w:szCs w:val="21"/>
          <w:highlight w:val="none"/>
        </w:rPr>
        <w:t>.</w:t>
      </w:r>
      <w:r>
        <w:rPr>
          <w:rFonts w:ascii="宋体" w:hAnsi="宋体"/>
          <w:b/>
          <w:color w:val="auto"/>
          <w:szCs w:val="21"/>
          <w:highlight w:val="none"/>
        </w:rPr>
        <w:t>5.3</w:t>
      </w:r>
      <w:r>
        <w:rPr>
          <w:rFonts w:hint="eastAsia" w:ascii="宋体" w:hAnsi="宋体"/>
          <w:b/>
          <w:color w:val="auto"/>
          <w:szCs w:val="21"/>
          <w:highlight w:val="none"/>
        </w:rPr>
        <w:t xml:space="preserve">             修改类型：修改</w:t>
      </w:r>
    </w:p>
    <w:p w14:paraId="28DD5C52">
      <w:pPr>
        <w:spacing w:line="360" w:lineRule="auto"/>
        <w:ind w:firstLine="472" w:firstLineChars="224"/>
        <w:rPr>
          <w:rFonts w:ascii="宋体" w:hAnsi="宋体"/>
          <w:color w:val="auto"/>
          <w:sz w:val="24"/>
          <w:highlight w:val="none"/>
        </w:rPr>
      </w:pPr>
      <w:r>
        <w:rPr>
          <w:rFonts w:hint="eastAsia" w:ascii="宋体" w:hAnsi="宋体"/>
          <w:b/>
          <w:color w:val="auto"/>
          <w:szCs w:val="21"/>
          <w:highlight w:val="none"/>
        </w:rPr>
        <w:t>原文：</w:t>
      </w:r>
      <w:r>
        <w:rPr>
          <w:rFonts w:hint="eastAsia" w:ascii="宋体" w:hAnsi="宋体"/>
          <w:bCs/>
          <w:color w:val="auto"/>
          <w:szCs w:val="21"/>
          <w:highlight w:val="none"/>
        </w:rPr>
        <w:t>中标的投标文件工程量清单中没有相同项目或类似项目的，如可套取相关定额，则以相关定额为基数下浮计算单价</w:t>
      </w:r>
      <w:r>
        <w:rPr>
          <w:rFonts w:ascii="宋体" w:hAnsi="宋体"/>
          <w:bCs/>
          <w:color w:val="auto"/>
          <w:szCs w:val="21"/>
          <w:highlight w:val="none"/>
        </w:rPr>
        <w:t>,</w:t>
      </w:r>
      <w:r>
        <w:rPr>
          <w:rFonts w:hint="eastAsia" w:ascii="宋体" w:hAnsi="宋体"/>
          <w:bCs/>
          <w:color w:val="auto"/>
          <w:szCs w:val="21"/>
          <w:highlight w:val="none"/>
        </w:rPr>
        <w:t>下浮率为中标价相对于最高投标限价的下浮率（下浮率</w:t>
      </w:r>
      <w:r>
        <w:rPr>
          <w:rFonts w:ascii="宋体" w:hAnsi="宋体"/>
          <w:bCs/>
          <w:color w:val="auto"/>
          <w:szCs w:val="21"/>
          <w:highlight w:val="none"/>
        </w:rPr>
        <w:t>=(</w:t>
      </w:r>
      <w:r>
        <w:rPr>
          <w:rFonts w:hint="eastAsia" w:ascii="宋体" w:hAnsi="宋体"/>
          <w:bCs/>
          <w:color w:val="auto"/>
          <w:szCs w:val="21"/>
          <w:highlight w:val="none"/>
        </w:rPr>
        <w:t>最高投标限价</w:t>
      </w:r>
      <w:r>
        <w:rPr>
          <w:rFonts w:ascii="宋体" w:hAnsi="宋体"/>
          <w:bCs/>
          <w:color w:val="auto"/>
          <w:szCs w:val="21"/>
          <w:highlight w:val="none"/>
        </w:rPr>
        <w:t>-</w:t>
      </w:r>
      <w:r>
        <w:rPr>
          <w:rFonts w:hint="eastAsia" w:ascii="宋体" w:hAnsi="宋体"/>
          <w:bCs/>
          <w:color w:val="auto"/>
          <w:szCs w:val="21"/>
          <w:highlight w:val="none"/>
        </w:rPr>
        <w:t>中标价</w:t>
      </w:r>
      <w:r>
        <w:rPr>
          <w:rFonts w:ascii="宋体" w:hAnsi="宋体"/>
          <w:bCs/>
          <w:color w:val="auto"/>
          <w:szCs w:val="21"/>
          <w:highlight w:val="none"/>
        </w:rPr>
        <w:t xml:space="preserve">)/ </w:t>
      </w:r>
      <w:r>
        <w:rPr>
          <w:rFonts w:hint="eastAsia" w:ascii="宋体" w:hAnsi="宋体"/>
          <w:bCs/>
          <w:color w:val="auto"/>
          <w:szCs w:val="21"/>
          <w:highlight w:val="none"/>
        </w:rPr>
        <w:t>最高投标限价）。</w:t>
      </w:r>
    </w:p>
    <w:p w14:paraId="27F44786">
      <w:pPr>
        <w:pBdr>
          <w:bottom w:val="single" w:color="auto" w:sz="6" w:space="1"/>
        </w:pBdr>
        <w:spacing w:line="360" w:lineRule="auto"/>
        <w:ind w:firstLine="527" w:firstLineChars="250"/>
        <w:rPr>
          <w:rFonts w:hint="eastAsia" w:ascii="宋体" w:hAnsi="宋体" w:eastAsia="宋体" w:cs="Times New Roman"/>
          <w:color w:val="auto"/>
          <w:sz w:val="21"/>
          <w:szCs w:val="21"/>
          <w:highlight w:val="none"/>
          <w:u w:val="none"/>
          <w:lang w:eastAsia="zh-CN"/>
        </w:rPr>
      </w:pPr>
      <w:r>
        <w:rPr>
          <w:rFonts w:hint="eastAsia" w:ascii="宋体" w:hAnsi="宋体"/>
          <w:b/>
          <w:color w:val="auto"/>
          <w:szCs w:val="21"/>
          <w:highlight w:val="none"/>
        </w:rPr>
        <w:t>现文：</w:t>
      </w:r>
      <w:r>
        <w:rPr>
          <w:rFonts w:hint="eastAsia" w:ascii="宋体" w:hAnsi="宋体"/>
          <w:bCs/>
          <w:color w:val="auto"/>
          <w:szCs w:val="21"/>
          <w:highlight w:val="none"/>
        </w:rPr>
        <w:t>中标的投标文件工程量清单中没有相同项目或类似项目的，如可套取相关定额，则以相关定额为基数下浮计算单价</w:t>
      </w:r>
      <w:r>
        <w:rPr>
          <w:rFonts w:ascii="宋体" w:hAnsi="宋体"/>
          <w:bCs/>
          <w:color w:val="auto"/>
          <w:szCs w:val="21"/>
          <w:highlight w:val="none"/>
        </w:rPr>
        <w:t>,</w:t>
      </w:r>
      <w:r>
        <w:rPr>
          <w:rFonts w:hint="eastAsia" w:ascii="宋体" w:hAnsi="宋体"/>
          <w:bCs/>
          <w:color w:val="auto"/>
          <w:szCs w:val="21"/>
          <w:highlight w:val="none"/>
        </w:rPr>
        <w:t>下浮率为中标价相对于最高投标限价的下浮率（下浮率</w:t>
      </w:r>
      <w:r>
        <w:rPr>
          <w:rFonts w:ascii="宋体" w:hAnsi="宋体"/>
          <w:bCs/>
          <w:color w:val="auto"/>
          <w:szCs w:val="21"/>
          <w:highlight w:val="none"/>
        </w:rPr>
        <w:t>=(</w:t>
      </w:r>
      <w:r>
        <w:rPr>
          <w:rFonts w:hint="eastAsia" w:ascii="宋体" w:hAnsi="宋体"/>
          <w:bCs/>
          <w:color w:val="auto"/>
          <w:szCs w:val="21"/>
          <w:highlight w:val="none"/>
        </w:rPr>
        <w:t>最高投标限价</w:t>
      </w:r>
      <w:r>
        <w:rPr>
          <w:rFonts w:ascii="宋体" w:hAnsi="宋体"/>
          <w:bCs/>
          <w:color w:val="auto"/>
          <w:szCs w:val="21"/>
          <w:highlight w:val="none"/>
        </w:rPr>
        <w:t>-</w:t>
      </w:r>
      <w:r>
        <w:rPr>
          <w:rFonts w:hint="eastAsia" w:ascii="宋体" w:hAnsi="宋体"/>
          <w:bCs/>
          <w:color w:val="auto"/>
          <w:szCs w:val="21"/>
          <w:highlight w:val="none"/>
        </w:rPr>
        <w:t>中标价</w:t>
      </w:r>
      <w:r>
        <w:rPr>
          <w:rFonts w:ascii="宋体" w:hAnsi="宋体"/>
          <w:bCs/>
          <w:color w:val="auto"/>
          <w:szCs w:val="21"/>
          <w:highlight w:val="none"/>
        </w:rPr>
        <w:t xml:space="preserve">)/ </w:t>
      </w:r>
      <w:r>
        <w:rPr>
          <w:rFonts w:hint="eastAsia" w:ascii="宋体" w:hAnsi="宋体"/>
          <w:bCs/>
          <w:color w:val="auto"/>
          <w:szCs w:val="21"/>
          <w:highlight w:val="none"/>
        </w:rPr>
        <w:t>最高投标限价）。</w:t>
      </w:r>
      <w:r>
        <w:rPr>
          <w:rFonts w:hint="eastAsia" w:ascii="宋体" w:hAnsi="宋体"/>
          <w:b/>
          <w:bCs w:val="0"/>
          <w:color w:val="auto"/>
          <w:szCs w:val="21"/>
          <w:highlight w:val="none"/>
          <w:u w:val="single"/>
        </w:rPr>
        <w:t>材料价格按广州市造价管理站同期《广州地区建设工程常用材料税前综合价格》计算，《广州地区建设工程常用材料税前综合价格》没有的材料单价，则参照广州市造价管理站同期《广州地区建设工程材料（设备）厂商价格信息》并进行市场询价；对《广州地区建设工程材料（设备）厂商价格信息》仍然没有的材料单价，则由承包人提出适当的材料单价，经招标人和监理单位确认后执行。</w:t>
      </w:r>
    </w:p>
    <w:p w14:paraId="47C5126D">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13</w:t>
      </w:r>
      <w:r>
        <w:rPr>
          <w:rFonts w:hint="eastAsia" w:ascii="宋体" w:hAnsi="宋体"/>
          <w:b/>
          <w:color w:val="auto"/>
          <w:szCs w:val="21"/>
          <w:highlight w:val="none"/>
        </w:rPr>
        <w:t>.</w:t>
      </w:r>
      <w:r>
        <w:rPr>
          <w:rFonts w:ascii="宋体" w:hAnsi="宋体"/>
          <w:b/>
          <w:color w:val="auto"/>
          <w:szCs w:val="21"/>
          <w:highlight w:val="none"/>
        </w:rPr>
        <w:t>10-13.12</w:t>
      </w:r>
      <w:r>
        <w:rPr>
          <w:rFonts w:hint="eastAsia" w:ascii="宋体" w:hAnsi="宋体"/>
          <w:b/>
          <w:color w:val="auto"/>
          <w:szCs w:val="21"/>
          <w:highlight w:val="none"/>
        </w:rPr>
        <w:t xml:space="preserve">             修改类型：增加</w:t>
      </w:r>
    </w:p>
    <w:p w14:paraId="2D60596D">
      <w:pPr>
        <w:spacing w:line="360" w:lineRule="auto"/>
        <w:ind w:firstLine="472" w:firstLineChars="224"/>
        <w:rPr>
          <w:rFonts w:ascii="宋体" w:hAnsi="宋体"/>
          <w:b/>
          <w:bCs/>
          <w:color w:val="auto"/>
          <w:szCs w:val="21"/>
          <w:highlight w:val="none"/>
          <w:u w:val="single"/>
        </w:rPr>
      </w:pPr>
      <w:r>
        <w:rPr>
          <w:rFonts w:hint="eastAsia" w:ascii="宋体" w:hAnsi="宋体"/>
          <w:b/>
          <w:color w:val="auto"/>
          <w:szCs w:val="21"/>
          <w:highlight w:val="none"/>
        </w:rPr>
        <w:t>现文：</w:t>
      </w:r>
      <w:r>
        <w:rPr>
          <w:rFonts w:hint="eastAsia" w:ascii="宋体" w:hAnsi="宋体"/>
          <w:b/>
          <w:bCs/>
          <w:color w:val="auto"/>
          <w:szCs w:val="21"/>
          <w:highlight w:val="none"/>
          <w:u w:val="single"/>
        </w:rPr>
        <w:t>13.10投标人一旦中标，中标价即为合同价，合同价款在合同条款签订后，任何一方不得擅自改变。投标人在报价时要充分考虑本工程的一切风险因素（如场地因素、地质资料和地下障碍物因素、材料设备价格因素、工程费用调整因素、外部环境影响因素等），在投标报价时作出最优和最合适、最有竞争力的报价。</w:t>
      </w:r>
    </w:p>
    <w:p w14:paraId="046C6BD9">
      <w:pPr>
        <w:spacing w:line="360" w:lineRule="auto"/>
        <w:ind w:firstLine="472" w:firstLineChars="224"/>
        <w:rPr>
          <w:rFonts w:ascii="宋体" w:hAnsi="宋体"/>
          <w:b/>
          <w:bCs/>
          <w:color w:val="auto"/>
          <w:szCs w:val="21"/>
          <w:highlight w:val="none"/>
          <w:u w:val="single"/>
        </w:rPr>
      </w:pPr>
      <w:r>
        <w:rPr>
          <w:rFonts w:hint="eastAsia" w:ascii="宋体" w:hAnsi="宋体"/>
          <w:b/>
          <w:bCs/>
          <w:color w:val="auto"/>
          <w:szCs w:val="21"/>
          <w:highlight w:val="none"/>
          <w:u w:val="single"/>
        </w:rPr>
        <w:t>13.11工程变更详见本招标文件所附施工合同专用条款第72.工程变更事件的有关规定。</w:t>
      </w:r>
    </w:p>
    <w:p w14:paraId="4ED69A55">
      <w:pPr>
        <w:pBdr>
          <w:bottom w:val="single" w:color="auto" w:sz="6" w:space="1"/>
        </w:pBdr>
        <w:spacing w:line="360" w:lineRule="auto"/>
        <w:ind w:firstLine="422" w:firstLineChars="200"/>
        <w:rPr>
          <w:rFonts w:hint="eastAsia" w:ascii="宋体" w:hAnsi="宋体" w:cs="Times New Roman"/>
          <w:b/>
          <w:bCs/>
          <w:color w:val="auto"/>
          <w:sz w:val="21"/>
          <w:szCs w:val="21"/>
          <w:highlight w:val="none"/>
          <w:u w:val="none"/>
        </w:rPr>
      </w:pPr>
      <w:r>
        <w:rPr>
          <w:rFonts w:hint="eastAsia" w:ascii="宋体" w:hAnsi="宋体"/>
          <w:b/>
          <w:bCs/>
          <w:color w:val="auto"/>
          <w:szCs w:val="21"/>
          <w:highlight w:val="none"/>
          <w:u w:val="single"/>
        </w:rPr>
        <w:t>13.12工程量清单说明详见本招标文件第七章。</w:t>
      </w:r>
    </w:p>
    <w:p w14:paraId="07FE7654">
      <w:pPr>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条款号：16</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069A561F">
      <w:pPr>
        <w:pStyle w:val="4"/>
        <w:spacing w:after="0" w:line="360" w:lineRule="auto"/>
        <w:ind w:firstLine="422" w:firstLineChars="200"/>
        <w:rPr>
          <w:rFonts w:ascii="宋体"/>
          <w:b/>
          <w:bCs/>
          <w:color w:val="auto"/>
          <w:sz w:val="21"/>
          <w:szCs w:val="21"/>
          <w:highlight w:val="none"/>
        </w:rPr>
      </w:pPr>
      <w:r>
        <w:rPr>
          <w:rFonts w:hint="eastAsia" w:ascii="宋体" w:hAnsi="宋体"/>
          <w:b/>
          <w:bCs/>
          <w:color w:val="auto"/>
          <w:sz w:val="21"/>
          <w:szCs w:val="21"/>
          <w:highlight w:val="none"/>
          <w:lang w:val="en-US" w:eastAsia="zh-CN"/>
        </w:rPr>
        <w:t>原文：</w:t>
      </w:r>
      <w:r>
        <w:rPr>
          <w:rFonts w:ascii="宋体" w:hAnsi="宋体"/>
          <w:b/>
          <w:bCs/>
          <w:color w:val="auto"/>
          <w:sz w:val="21"/>
          <w:szCs w:val="21"/>
          <w:highlight w:val="none"/>
        </w:rPr>
        <w:t>16</w:t>
      </w:r>
      <w:r>
        <w:rPr>
          <w:rFonts w:hint="eastAsia" w:ascii="宋体" w:hAnsi="宋体"/>
          <w:b/>
          <w:bCs/>
          <w:color w:val="auto"/>
          <w:sz w:val="21"/>
          <w:szCs w:val="21"/>
          <w:highlight w:val="none"/>
        </w:rPr>
        <w:t>．投标保证金</w:t>
      </w:r>
    </w:p>
    <w:p w14:paraId="73F24DF4">
      <w:pPr>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16.1</w:t>
      </w:r>
      <w:r>
        <w:rPr>
          <w:rFonts w:hint="eastAsia" w:ascii="宋体" w:hAnsi="宋体"/>
          <w:color w:val="auto"/>
          <w:sz w:val="21"/>
          <w:szCs w:val="21"/>
          <w:highlight w:val="none"/>
        </w:rPr>
        <w:t>投标人应按</w:t>
      </w:r>
      <w:r>
        <w:rPr>
          <w:rFonts w:hint="eastAsia" w:ascii="宋体" w:hAnsi="宋体"/>
          <w:color w:val="auto"/>
          <w:sz w:val="21"/>
          <w:szCs w:val="21"/>
          <w:highlight w:val="none"/>
          <w:lang w:eastAsia="zh-CN"/>
        </w:rPr>
        <w:t>国家、省、市有关规定和</w:t>
      </w:r>
      <w:r>
        <w:rPr>
          <w:rFonts w:hint="eastAsia" w:ascii="宋体" w:hAnsi="宋体"/>
          <w:color w:val="auto"/>
          <w:sz w:val="21"/>
          <w:szCs w:val="21"/>
          <w:highlight w:val="none"/>
        </w:rPr>
        <w:t>投标须知前附表第</w:t>
      </w:r>
      <w:r>
        <w:rPr>
          <w:rFonts w:hint="eastAsia" w:ascii="宋体" w:hAnsi="宋体"/>
          <w:color w:val="auto"/>
          <w:sz w:val="21"/>
          <w:szCs w:val="21"/>
          <w:highlight w:val="none"/>
          <w:lang w:val="en-US" w:eastAsia="zh-CN"/>
        </w:rPr>
        <w:t>16</w:t>
      </w:r>
      <w:r>
        <w:rPr>
          <w:rFonts w:hint="eastAsia" w:ascii="宋体" w:hAnsi="宋体"/>
          <w:color w:val="auto"/>
          <w:sz w:val="21"/>
          <w:szCs w:val="21"/>
          <w:highlight w:val="none"/>
        </w:rPr>
        <w:t>项所述金额和时间递交</w:t>
      </w:r>
      <w:r>
        <w:rPr>
          <w:rFonts w:hint="eastAsia" w:ascii="宋体" w:hAnsi="宋体"/>
          <w:bCs/>
          <w:color w:val="auto"/>
          <w:sz w:val="21"/>
          <w:szCs w:val="21"/>
          <w:highlight w:val="none"/>
        </w:rPr>
        <w:t>投标保证金</w:t>
      </w:r>
      <w:r>
        <w:rPr>
          <w:rFonts w:hint="eastAsia" w:ascii="宋体" w:hAnsi="宋体"/>
          <w:color w:val="auto"/>
          <w:sz w:val="21"/>
          <w:szCs w:val="21"/>
          <w:highlight w:val="none"/>
        </w:rPr>
        <w:t>。招标人应当允许投标人自主选择现金、银行保函、保证保险、专业工程担保公司担保等方式缴纳投标保证金。</w:t>
      </w:r>
    </w:p>
    <w:p w14:paraId="7B23C531">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16.1.1 采用现金或者支票形式提交的，投标保证金须从投标人的银行基本账户转出。</w:t>
      </w:r>
    </w:p>
    <w:p w14:paraId="72064F1D">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16.1.2 采用非电子形式的银行保函、专业工程担保公司担保或保证保险提交投标保证金的，在开标前不强制要求投标人提交纸质原件，由中标候选人在中标候选人公示前提交并在网上公示，投标人应在投标文件中提交保函、担保或保证保险扫描件并加盖投标人电子印章。如投标人存在16.4条款所列情形的，应将纸质原件提交给招标人。</w:t>
      </w:r>
    </w:p>
    <w:p w14:paraId="6F8D0E55">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16.1.3 采用电子形式的保函、担保或保证保险提交投标保证金的，应在招标文件中明确电子递交途径。</w:t>
      </w:r>
    </w:p>
    <w:p w14:paraId="7A67642A">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16.2开标时投标人没有按要求提供投标保证金的，其投标文件将被否决；未按招标文件要求提交符合免予提供投标保证金相关证明材料，且未提交投标保证金的投标人，视为未按要求提供投标保证金。</w:t>
      </w:r>
    </w:p>
    <w:p w14:paraId="765FB542">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16.3投标保证金应依据法律法规的相关规定退还。</w:t>
      </w:r>
    </w:p>
    <w:p w14:paraId="5FB009B7">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16.4如有下列情况之一的，招标人可以不予退还投标保证金（是否退还投标保证金由招标人</w:t>
      </w:r>
      <w:r>
        <w:rPr>
          <w:rFonts w:hint="eastAsia" w:ascii="宋体" w:hAnsi="宋体"/>
          <w:color w:val="auto"/>
          <w:sz w:val="21"/>
          <w:szCs w:val="21"/>
          <w:highlight w:val="none"/>
          <w:lang w:eastAsia="zh-CN"/>
        </w:rPr>
        <w:t>依法依规</w:t>
      </w:r>
      <w:r>
        <w:rPr>
          <w:rFonts w:hint="eastAsia" w:ascii="宋体" w:hAnsi="宋体"/>
          <w:color w:val="auto"/>
          <w:sz w:val="21"/>
          <w:szCs w:val="21"/>
          <w:highlight w:val="none"/>
        </w:rPr>
        <w:t>在招标文件中规定）：</w:t>
      </w:r>
    </w:p>
    <w:p w14:paraId="146ECF76">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16.5投标人如存在下列情况之一的，将被拒绝在一定时期内参与招标人后续工程投标（由招标人</w:t>
      </w:r>
      <w:r>
        <w:rPr>
          <w:rFonts w:hint="eastAsia" w:ascii="宋体" w:hAnsi="宋体"/>
          <w:color w:val="auto"/>
          <w:sz w:val="21"/>
          <w:szCs w:val="21"/>
          <w:highlight w:val="none"/>
          <w:lang w:eastAsia="zh-CN"/>
        </w:rPr>
        <w:t>依法依规</w:t>
      </w:r>
      <w:r>
        <w:rPr>
          <w:rFonts w:hint="eastAsia" w:ascii="宋体" w:hAnsi="宋体"/>
          <w:color w:val="auto"/>
          <w:sz w:val="21"/>
          <w:szCs w:val="21"/>
          <w:highlight w:val="none"/>
        </w:rPr>
        <w:t>在招标文件中明确）：</w:t>
      </w:r>
    </w:p>
    <w:p w14:paraId="5348893B">
      <w:pPr>
        <w:spacing w:line="360" w:lineRule="auto"/>
        <w:ind w:firstLine="472" w:firstLineChars="224"/>
        <w:rPr>
          <w:rFonts w:hint="eastAsia" w:ascii="宋体" w:hAnsi="宋体"/>
          <w:b/>
          <w:bCs/>
          <w:color w:val="auto"/>
          <w:sz w:val="21"/>
          <w:szCs w:val="21"/>
          <w:highlight w:val="none"/>
        </w:rPr>
      </w:pPr>
      <w:r>
        <w:rPr>
          <w:rFonts w:hint="eastAsia" w:ascii="宋体" w:hAnsi="宋体"/>
          <w:b/>
          <w:color w:val="auto"/>
          <w:szCs w:val="21"/>
          <w:highlight w:val="none"/>
        </w:rPr>
        <w:t>现文：</w:t>
      </w:r>
      <w:r>
        <w:rPr>
          <w:rFonts w:ascii="宋体" w:hAnsi="宋体"/>
          <w:b/>
          <w:bCs/>
          <w:color w:val="auto"/>
          <w:sz w:val="21"/>
          <w:szCs w:val="21"/>
          <w:highlight w:val="none"/>
        </w:rPr>
        <w:t>16</w:t>
      </w:r>
      <w:r>
        <w:rPr>
          <w:rFonts w:hint="eastAsia" w:ascii="宋体" w:hAnsi="宋体"/>
          <w:b/>
          <w:bCs/>
          <w:color w:val="auto"/>
          <w:sz w:val="21"/>
          <w:szCs w:val="21"/>
          <w:highlight w:val="none"/>
        </w:rPr>
        <w:t>．投标保证金</w:t>
      </w:r>
    </w:p>
    <w:p w14:paraId="0001541C">
      <w:pPr>
        <w:spacing w:line="360" w:lineRule="auto"/>
        <w:ind w:firstLine="472" w:firstLineChars="224"/>
        <w:rPr>
          <w:rFonts w:ascii="宋体" w:hAnsi="宋体"/>
          <w:b/>
          <w:bCs/>
          <w:color w:val="auto"/>
          <w:szCs w:val="21"/>
          <w:highlight w:val="none"/>
          <w:u w:val="single"/>
        </w:rPr>
      </w:pPr>
      <w:r>
        <w:rPr>
          <w:rFonts w:hint="eastAsia" w:ascii="宋体" w:hAnsi="宋体"/>
          <w:b/>
          <w:bCs/>
          <w:color w:val="auto"/>
          <w:szCs w:val="21"/>
          <w:highlight w:val="none"/>
          <w:u w:val="single"/>
        </w:rPr>
        <w:t>16.1本项目免收投标保证金，投标人提供《关于投标保证金的承诺》（详见第四章投标文件格式）。</w:t>
      </w:r>
    </w:p>
    <w:p w14:paraId="3305E445">
      <w:pPr>
        <w:spacing w:line="360" w:lineRule="auto"/>
        <w:ind w:firstLine="472" w:firstLineChars="224"/>
        <w:rPr>
          <w:rFonts w:ascii="宋体" w:hAnsi="宋体"/>
          <w:b/>
          <w:bCs/>
          <w:color w:val="auto"/>
          <w:szCs w:val="21"/>
          <w:highlight w:val="none"/>
          <w:u w:val="single"/>
        </w:rPr>
      </w:pPr>
      <w:r>
        <w:rPr>
          <w:rFonts w:hint="eastAsia" w:ascii="宋体" w:hAnsi="宋体"/>
          <w:b/>
          <w:bCs/>
          <w:color w:val="auto"/>
          <w:szCs w:val="21"/>
          <w:highlight w:val="none"/>
          <w:u w:val="single"/>
        </w:rPr>
        <w:t>16.2对于投标人已提供《关于投标保证金的承诺》，若投标人存在16.4条款所列情形，该投标人应在发现存在16.4条款所列情形之日起5个工作日内按投标须知前附表第1</w:t>
      </w:r>
      <w:r>
        <w:rPr>
          <w:rFonts w:hint="eastAsia" w:ascii="宋体" w:hAnsi="宋体"/>
          <w:b/>
          <w:bCs/>
          <w:color w:val="auto"/>
          <w:szCs w:val="21"/>
          <w:highlight w:val="none"/>
          <w:u w:val="single"/>
          <w:lang w:eastAsia="zh-CN"/>
        </w:rPr>
        <w:t>6</w:t>
      </w:r>
      <w:r>
        <w:rPr>
          <w:rFonts w:hint="eastAsia" w:ascii="宋体" w:hAnsi="宋体"/>
          <w:b/>
          <w:bCs/>
          <w:color w:val="auto"/>
          <w:szCs w:val="21"/>
          <w:highlight w:val="none"/>
          <w:u w:val="single"/>
        </w:rPr>
        <w:t>项所述金额补交投标保证金。若未按要求补交投标保证金的将暂停其参与招标人后续工程投标，直至完成补交手续为止。</w:t>
      </w:r>
    </w:p>
    <w:p w14:paraId="09DC8D12">
      <w:pPr>
        <w:spacing w:line="360" w:lineRule="auto"/>
        <w:ind w:firstLine="472" w:firstLineChars="224"/>
        <w:rPr>
          <w:rFonts w:ascii="宋体" w:hAnsi="宋体"/>
          <w:b/>
          <w:bCs/>
          <w:color w:val="auto"/>
          <w:szCs w:val="21"/>
          <w:highlight w:val="none"/>
          <w:u w:val="single"/>
        </w:rPr>
      </w:pPr>
      <w:r>
        <w:rPr>
          <w:rFonts w:hint="eastAsia" w:ascii="宋体" w:hAnsi="宋体"/>
          <w:b/>
          <w:bCs/>
          <w:color w:val="auto"/>
          <w:szCs w:val="21"/>
          <w:highlight w:val="none"/>
          <w:u w:val="single"/>
        </w:rPr>
        <w:t>16.3开标时投标人没有按招标文件要求提交《关于投标保证金的承诺》的投标人，视为未按要求提供投标保证金。</w:t>
      </w:r>
    </w:p>
    <w:p w14:paraId="337D0B41">
      <w:pPr>
        <w:spacing w:line="360" w:lineRule="auto"/>
        <w:ind w:firstLine="472" w:firstLineChars="224"/>
        <w:rPr>
          <w:rFonts w:ascii="宋体" w:hAnsi="宋体"/>
          <w:b/>
          <w:bCs/>
          <w:color w:val="auto"/>
          <w:szCs w:val="21"/>
          <w:highlight w:val="none"/>
          <w:u w:val="single"/>
        </w:rPr>
      </w:pPr>
      <w:r>
        <w:rPr>
          <w:rFonts w:hint="eastAsia" w:ascii="宋体" w:hAnsi="宋体"/>
          <w:b/>
          <w:bCs/>
          <w:color w:val="auto"/>
          <w:szCs w:val="21"/>
          <w:highlight w:val="none"/>
          <w:u w:val="single"/>
        </w:rPr>
        <w:t>16.4如有下列情况之一的，招标人可以不予退还投标保证金（是否退还投标保证金由招标人在招标文件中规定）：</w:t>
      </w:r>
    </w:p>
    <w:p w14:paraId="199A3ADB">
      <w:pPr>
        <w:spacing w:line="360" w:lineRule="auto"/>
        <w:ind w:firstLine="472" w:firstLineChars="224"/>
        <w:rPr>
          <w:rFonts w:ascii="宋体" w:hAnsi="宋体"/>
          <w:b/>
          <w:bCs/>
          <w:color w:val="auto"/>
          <w:szCs w:val="21"/>
          <w:highlight w:val="none"/>
          <w:u w:val="single"/>
        </w:rPr>
      </w:pPr>
      <w:r>
        <w:rPr>
          <w:rFonts w:hint="eastAsia" w:ascii="宋体" w:hAnsi="宋体"/>
          <w:b/>
          <w:bCs/>
          <w:color w:val="auto"/>
          <w:szCs w:val="21"/>
          <w:highlight w:val="none"/>
          <w:u w:val="single"/>
        </w:rPr>
        <w:t>16.4.1因投标人原因造成投标文件未解密的；</w:t>
      </w:r>
    </w:p>
    <w:p w14:paraId="5CED0267">
      <w:pPr>
        <w:spacing w:line="360" w:lineRule="auto"/>
        <w:ind w:firstLine="472" w:firstLineChars="224"/>
        <w:rPr>
          <w:rFonts w:ascii="宋体" w:hAnsi="宋体"/>
          <w:b/>
          <w:bCs/>
          <w:color w:val="auto"/>
          <w:szCs w:val="21"/>
          <w:highlight w:val="none"/>
          <w:u w:val="single"/>
        </w:rPr>
      </w:pPr>
      <w:r>
        <w:rPr>
          <w:rFonts w:hint="eastAsia" w:ascii="宋体" w:hAnsi="宋体"/>
          <w:b/>
          <w:bCs/>
          <w:color w:val="auto"/>
          <w:szCs w:val="21"/>
          <w:highlight w:val="none"/>
          <w:u w:val="single"/>
        </w:rPr>
        <w:t>16.4.2投标人在投标有效期内撤销投标文件；</w:t>
      </w:r>
    </w:p>
    <w:p w14:paraId="40DD44E2">
      <w:pPr>
        <w:spacing w:line="360" w:lineRule="auto"/>
        <w:ind w:firstLine="472" w:firstLineChars="224"/>
        <w:rPr>
          <w:rFonts w:hint="eastAsia" w:ascii="宋体" w:hAnsi="宋体"/>
          <w:b/>
          <w:bCs/>
          <w:color w:val="auto"/>
          <w:szCs w:val="21"/>
          <w:highlight w:val="none"/>
          <w:u w:val="single"/>
        </w:rPr>
      </w:pPr>
      <w:r>
        <w:rPr>
          <w:rFonts w:hint="eastAsia" w:ascii="宋体" w:hAnsi="宋体"/>
          <w:b/>
          <w:bCs/>
          <w:color w:val="auto"/>
          <w:szCs w:val="21"/>
          <w:highlight w:val="none"/>
          <w:u w:val="single"/>
        </w:rPr>
        <w:t>16.4.3中标人未能在规定期限内按要求提交履约担保；</w:t>
      </w:r>
    </w:p>
    <w:p w14:paraId="65C98C1C">
      <w:pPr>
        <w:spacing w:line="360" w:lineRule="auto"/>
        <w:ind w:firstLine="472" w:firstLineChars="224"/>
        <w:rPr>
          <w:rFonts w:hint="eastAsia"/>
          <w:b/>
          <w:bCs/>
          <w:color w:val="auto"/>
          <w:highlight w:val="none"/>
        </w:rPr>
      </w:pPr>
      <w:r>
        <w:rPr>
          <w:rFonts w:hint="eastAsia" w:ascii="宋体" w:hAnsi="宋体"/>
          <w:b/>
          <w:bCs/>
          <w:color w:val="auto"/>
          <w:szCs w:val="21"/>
          <w:highlight w:val="none"/>
          <w:u w:val="single"/>
        </w:rPr>
        <w:t>16.4.4中标人未能在规定期限内签署合同协议。</w:t>
      </w:r>
    </w:p>
    <w:p w14:paraId="1CD357C8">
      <w:pPr>
        <w:pStyle w:val="5"/>
        <w:rPr>
          <w:color w:val="auto"/>
          <w:highlight w:val="none"/>
          <w:u w:val="single"/>
        </w:rPr>
      </w:pPr>
      <w:r>
        <w:rPr>
          <w:rFonts w:hint="eastAsia" w:ascii="宋体" w:hAnsi="宋体"/>
          <w:color w:val="auto"/>
          <w:szCs w:val="21"/>
          <w:highlight w:val="none"/>
        </w:rPr>
        <w:t xml:space="preserve"> </w:t>
      </w:r>
      <w:r>
        <w:rPr>
          <w:rFonts w:hint="eastAsia" w:ascii="宋体" w:hAnsi="宋体"/>
          <w:color w:val="auto"/>
          <w:szCs w:val="21"/>
          <w:highlight w:val="none"/>
          <w:u w:val="single"/>
        </w:rPr>
        <w:t xml:space="preserve">                                                                                         </w:t>
      </w:r>
    </w:p>
    <w:p w14:paraId="33941E85">
      <w:pPr>
        <w:spacing w:line="360" w:lineRule="auto"/>
        <w:ind w:firstLine="527" w:firstLineChars="250"/>
        <w:rPr>
          <w:rFonts w:ascii="宋体" w:hAnsi="宋体"/>
          <w:b/>
          <w:color w:val="auto"/>
          <w:szCs w:val="21"/>
          <w:highlight w:val="none"/>
        </w:rPr>
      </w:pPr>
      <w:r>
        <w:rPr>
          <w:rFonts w:hint="eastAsia" w:ascii="宋体" w:hAnsi="宋体"/>
          <w:b/>
          <w:color w:val="auto"/>
          <w:szCs w:val="21"/>
          <w:highlight w:val="none"/>
        </w:rPr>
        <w:t>条款号：17.1</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13FE6108">
      <w:pPr>
        <w:spacing w:line="360" w:lineRule="auto"/>
        <w:ind w:firstLine="422" w:firstLineChars="200"/>
        <w:rPr>
          <w:rFonts w:ascii="宋体" w:hAnsi="宋体"/>
          <w:color w:val="auto"/>
          <w:sz w:val="21"/>
          <w:szCs w:val="21"/>
          <w:highlight w:val="none"/>
        </w:rPr>
      </w:pPr>
      <w:r>
        <w:rPr>
          <w:rFonts w:hint="eastAsia" w:ascii="宋体" w:hAnsi="宋体"/>
          <w:b/>
          <w:color w:val="auto"/>
          <w:szCs w:val="21"/>
          <w:highlight w:val="none"/>
        </w:rPr>
        <w:t>原文：</w:t>
      </w:r>
      <w:r>
        <w:rPr>
          <w:rFonts w:ascii="宋体" w:hAnsi="宋体"/>
          <w:color w:val="auto"/>
          <w:sz w:val="21"/>
          <w:szCs w:val="21"/>
          <w:highlight w:val="none"/>
        </w:rPr>
        <w:t>17.1</w:t>
      </w:r>
      <w:r>
        <w:rPr>
          <w:rFonts w:hint="eastAsia" w:ascii="宋体" w:hAnsi="宋体"/>
          <w:color w:val="auto"/>
          <w:sz w:val="21"/>
          <w:szCs w:val="21"/>
          <w:highlight w:val="none"/>
        </w:rPr>
        <w:t>投标人应采用单位数字证书，按招标文件要求在相应位置加盖电子印章。投标文件中需个人签字或盖章的，应加盖个人电子印章或在线下完成后扫描上传。按照交易平台关于全流程电子化项目的相关指南进行操作。详见：</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 xml:space="preserve"> 。</w:t>
      </w:r>
    </w:p>
    <w:p w14:paraId="6DBA45F2">
      <w:pPr>
        <w:pBdr>
          <w:bottom w:val="single" w:color="auto" w:sz="6" w:space="1"/>
        </w:pBdr>
        <w:spacing w:line="360" w:lineRule="auto"/>
        <w:ind w:firstLine="527" w:firstLineChars="250"/>
        <w:rPr>
          <w:rFonts w:hint="eastAsia" w:ascii="宋体" w:hAnsi="宋体"/>
          <w:color w:val="auto"/>
          <w:szCs w:val="21"/>
          <w:highlight w:val="none"/>
        </w:rPr>
      </w:pPr>
      <w:r>
        <w:rPr>
          <w:rFonts w:hint="eastAsia" w:ascii="宋体" w:hAnsi="宋体"/>
          <w:b/>
          <w:color w:val="auto"/>
          <w:szCs w:val="21"/>
          <w:highlight w:val="none"/>
        </w:rPr>
        <w:t>现文：</w:t>
      </w:r>
      <w:r>
        <w:rPr>
          <w:rFonts w:hint="eastAsia" w:ascii="宋体" w:hAnsi="宋体"/>
          <w:color w:val="auto"/>
          <w:szCs w:val="21"/>
          <w:highlight w:val="none"/>
        </w:rPr>
        <w:t>17.1投标人应采用单位数字证书</w:t>
      </w:r>
      <w:r>
        <w:rPr>
          <w:rFonts w:hint="eastAsia" w:ascii="宋体" w:hAnsi="宋体"/>
          <w:b/>
          <w:bCs/>
          <w:szCs w:val="21"/>
          <w:highlight w:val="none"/>
          <w:u w:val="single"/>
        </w:rPr>
        <w:t>（联合体投标的，由联合体主办方采用其单位数字证书）</w:t>
      </w:r>
      <w:r>
        <w:rPr>
          <w:rFonts w:hint="eastAsia" w:ascii="宋体" w:hAnsi="宋体"/>
          <w:color w:val="auto"/>
          <w:szCs w:val="21"/>
          <w:highlight w:val="none"/>
        </w:rPr>
        <w:t>，按招标文件要求在相应位置加盖电子印章。投标文件中需个人签字或盖章的，应</w:t>
      </w:r>
      <w:r>
        <w:rPr>
          <w:rFonts w:hint="eastAsia" w:ascii="宋体" w:hAnsi="宋体"/>
          <w:color w:val="auto"/>
          <w:szCs w:val="21"/>
          <w:highlight w:val="none"/>
          <w:u w:val="single"/>
        </w:rPr>
        <w:t>加盖个人电子印章或</w:t>
      </w:r>
      <w:r>
        <w:rPr>
          <w:rFonts w:hint="eastAsia" w:ascii="宋体" w:hAnsi="宋体"/>
          <w:b/>
          <w:bCs/>
          <w:color w:val="auto"/>
          <w:szCs w:val="21"/>
          <w:highlight w:val="none"/>
          <w:u w:val="single"/>
        </w:rPr>
        <w:t>手签或盖章</w:t>
      </w:r>
      <w:r>
        <w:rPr>
          <w:rFonts w:hint="eastAsia" w:ascii="宋体" w:hAnsi="宋体"/>
          <w:color w:val="auto"/>
          <w:szCs w:val="21"/>
          <w:highlight w:val="none"/>
        </w:rPr>
        <w:t>后扫描上传。</w:t>
      </w:r>
      <w:r>
        <w:rPr>
          <w:rFonts w:hint="eastAsia" w:ascii="宋体" w:hAnsi="宋体"/>
          <w:b/>
          <w:bCs/>
          <w:color w:val="auto"/>
          <w:szCs w:val="21"/>
          <w:highlight w:val="none"/>
          <w:u w:val="single"/>
        </w:rPr>
        <w:t>由广州投标文件管理专用软件系统生成的“工程量清单主表--工程量清单报价表”封面页及扉页可以仅采用单位数字证书加盖电子印章处理。</w:t>
      </w:r>
      <w:r>
        <w:rPr>
          <w:rFonts w:hint="eastAsia" w:ascii="宋体" w:hAnsi="宋体"/>
          <w:color w:val="auto"/>
          <w:szCs w:val="21"/>
          <w:highlight w:val="none"/>
        </w:rPr>
        <w:t>按照交易平台关于全流程电子化项目的相关指南进行操作。详见：</w:t>
      </w:r>
      <w:r>
        <w:rPr>
          <w:rFonts w:hint="eastAsia" w:ascii="宋体" w:hAnsi="宋体"/>
          <w:b/>
          <w:bCs/>
          <w:color w:val="auto"/>
          <w:szCs w:val="21"/>
          <w:highlight w:val="none"/>
          <w:u w:val="single"/>
        </w:rPr>
        <w:t>【全流程电子化项目】电子招投标操作手册（无纸化）</w:t>
      </w:r>
      <w:r>
        <w:rPr>
          <w:rFonts w:hint="eastAsia" w:ascii="宋体" w:hAnsi="宋体"/>
          <w:color w:val="auto"/>
          <w:szCs w:val="21"/>
          <w:highlight w:val="none"/>
        </w:rPr>
        <w:t>。</w:t>
      </w:r>
    </w:p>
    <w:p w14:paraId="3CBF78CB">
      <w:pPr>
        <w:pBdr>
          <w:bottom w:val="single" w:color="auto" w:sz="6" w:space="1"/>
        </w:pBdr>
        <w:spacing w:line="360" w:lineRule="auto"/>
        <w:ind w:firstLine="527" w:firstLineChars="250"/>
        <w:rPr>
          <w:rFonts w:hint="eastAsia" w:ascii="宋体" w:hAnsi="宋体"/>
          <w:color w:val="auto"/>
          <w:szCs w:val="21"/>
          <w:highlight w:val="none"/>
        </w:rPr>
      </w:pPr>
      <w:r>
        <w:rPr>
          <w:rFonts w:hint="eastAsia" w:ascii="宋体" w:hAnsi="宋体"/>
          <w:b/>
          <w:bCs/>
          <w:szCs w:val="21"/>
          <w:highlight w:val="none"/>
          <w:u w:val="single"/>
        </w:rPr>
        <w:t>17.2联合体投标的，除《联合体工作协议》需联合体各方分别按要求进行签字、盖章外，投标文件内容及落款中的“投标人”应填写联合体各方的单位全称【格式表示为：（主）A公司全称（成）B公司全称】，可由主办方签字、盖章。</w:t>
      </w:r>
    </w:p>
    <w:p w14:paraId="3D383E18">
      <w:pPr>
        <w:pBdr>
          <w:bottom w:val="single" w:color="auto" w:sz="6" w:space="1"/>
        </w:pBdr>
        <w:spacing w:line="360" w:lineRule="auto"/>
        <w:ind w:firstLine="527" w:firstLineChars="250"/>
        <w:rPr>
          <w:rFonts w:ascii="宋体" w:hAnsi="宋体"/>
          <w:b/>
          <w:bCs/>
          <w:color w:val="auto"/>
          <w:szCs w:val="21"/>
          <w:highlight w:val="none"/>
          <w:u w:val="single"/>
        </w:rPr>
      </w:pPr>
      <w:r>
        <w:rPr>
          <w:rFonts w:hint="eastAsia" w:ascii="宋体" w:hAnsi="宋体"/>
          <w:b/>
          <w:bCs/>
          <w:color w:val="auto"/>
          <w:szCs w:val="21"/>
          <w:highlight w:val="none"/>
          <w:u w:val="single"/>
        </w:rPr>
        <w:t>17.</w:t>
      </w:r>
      <w:r>
        <w:rPr>
          <w:rFonts w:hint="eastAsia" w:ascii="宋体" w:hAnsi="宋体"/>
          <w:b/>
          <w:bCs/>
          <w:color w:val="auto"/>
          <w:szCs w:val="21"/>
          <w:highlight w:val="none"/>
          <w:u w:val="single"/>
          <w:lang w:val="en-US" w:eastAsia="zh-CN"/>
        </w:rPr>
        <w:t>3</w:t>
      </w:r>
      <w:r>
        <w:rPr>
          <w:rFonts w:hint="eastAsia" w:ascii="宋体" w:hAnsi="宋体"/>
          <w:b/>
          <w:bCs/>
          <w:color w:val="auto"/>
          <w:szCs w:val="21"/>
          <w:highlight w:val="none"/>
          <w:u w:val="single"/>
        </w:rPr>
        <w:t>发放中标通知书后3个工作天内投标人需到招标人处，在招标人、招标代理、投标人三方共同见证下，将在广州交易集团有限公司（广州公共资源交易中心）网站下载的投标文件打印(其中的预算文件需转换成《建设工程工程量清单计价规范》规定的格式)，并三方签名确认，投标人加盖公章，然后再复印4套，合共5套投标文件提供给招标人，相关费用由投标人支付。</w:t>
      </w:r>
    </w:p>
    <w:p w14:paraId="4E2910F6">
      <w:pPr>
        <w:spacing w:line="360" w:lineRule="auto"/>
        <w:ind w:firstLine="472" w:firstLineChars="224"/>
        <w:rPr>
          <w:rFonts w:hint="eastAsia" w:ascii="宋体" w:hAnsi="宋体" w:cs="宋体"/>
          <w:b/>
          <w:szCs w:val="21"/>
          <w:highlight w:val="none"/>
        </w:rPr>
      </w:pPr>
      <w:r>
        <w:rPr>
          <w:rFonts w:hint="eastAsia"/>
          <w:b/>
          <w:szCs w:val="21"/>
          <w:highlight w:val="none"/>
        </w:rPr>
        <w:t>条款号</w:t>
      </w:r>
      <w:r>
        <w:rPr>
          <w:rFonts w:hint="eastAsia" w:ascii="宋体" w:hAnsi="宋体" w:cs="宋体"/>
          <w:b/>
          <w:szCs w:val="21"/>
          <w:highlight w:val="none"/>
        </w:rPr>
        <w:t>：18.1～18.2                         修改类型：修改</w:t>
      </w:r>
    </w:p>
    <w:p w14:paraId="08DA2EE5">
      <w:pPr>
        <w:pBdr>
          <w:bottom w:val="single" w:color="auto" w:sz="6" w:space="1"/>
        </w:pBdr>
        <w:spacing w:line="360" w:lineRule="auto"/>
        <w:ind w:firstLine="422" w:firstLineChars="200"/>
        <w:rPr>
          <w:rFonts w:hint="eastAsia" w:ascii="宋体" w:hAnsi="宋体" w:cs="宋体"/>
          <w:szCs w:val="21"/>
          <w:highlight w:val="none"/>
        </w:rPr>
      </w:pPr>
      <w:r>
        <w:rPr>
          <w:rFonts w:hint="eastAsia" w:ascii="宋体" w:hAnsi="宋体" w:cs="宋体"/>
          <w:b/>
          <w:szCs w:val="21"/>
          <w:highlight w:val="none"/>
        </w:rPr>
        <w:t>原文：</w:t>
      </w:r>
      <w:r>
        <w:rPr>
          <w:rFonts w:hint="eastAsia" w:ascii="宋体" w:hAnsi="宋体" w:cs="宋体"/>
          <w:szCs w:val="21"/>
          <w:highlight w:val="none"/>
        </w:rPr>
        <w:t>18.1递交的电子投标文件（不含备用光盘）必须进行加密。按照交易平台关于全流程电子化项目的相关指南进行操作。详见：</w:t>
      </w:r>
      <w:r>
        <w:rPr>
          <w:rFonts w:hint="eastAsia" w:ascii="宋体" w:hAnsi="宋体" w:cs="宋体"/>
          <w:szCs w:val="21"/>
          <w:highlight w:val="none"/>
          <w:u w:val="single"/>
        </w:rPr>
        <w:t xml:space="preserve">            </w:t>
      </w:r>
      <w:r>
        <w:rPr>
          <w:rFonts w:hint="eastAsia" w:ascii="宋体" w:hAnsi="宋体" w:cs="宋体"/>
          <w:szCs w:val="21"/>
          <w:highlight w:val="none"/>
        </w:rPr>
        <w:t>。</w:t>
      </w:r>
    </w:p>
    <w:p w14:paraId="6E5FED7C">
      <w:pPr>
        <w:pBdr>
          <w:bottom w:val="single" w:color="auto" w:sz="6" w:space="1"/>
        </w:pBdr>
        <w:spacing w:line="360" w:lineRule="auto"/>
        <w:ind w:firstLine="525" w:firstLineChars="250"/>
        <w:rPr>
          <w:rFonts w:hint="eastAsia" w:ascii="宋体" w:hAnsi="宋体" w:cs="宋体"/>
          <w:szCs w:val="21"/>
          <w:highlight w:val="none"/>
        </w:rPr>
      </w:pPr>
      <w:r>
        <w:rPr>
          <w:rFonts w:hint="eastAsia" w:ascii="宋体" w:hAnsi="宋体" w:cs="宋体"/>
          <w:szCs w:val="21"/>
          <w:highlight w:val="none"/>
        </w:rPr>
        <w:t>18.2 未按要求加密的投标文件，</w:t>
      </w:r>
      <w:r>
        <w:rPr>
          <w:rFonts w:hint="eastAsia" w:ascii="宋体" w:hAnsi="宋体" w:cs="宋体"/>
          <w:szCs w:val="21"/>
          <w:highlight w:val="none"/>
          <w:u w:val="single"/>
        </w:rPr>
        <w:t xml:space="preserve">        </w:t>
      </w:r>
      <w:r>
        <w:rPr>
          <w:rFonts w:hint="eastAsia" w:ascii="宋体" w:hAnsi="宋体" w:cs="宋体"/>
          <w:szCs w:val="21"/>
          <w:highlight w:val="none"/>
        </w:rPr>
        <w:t>交易平台将予以拒收。</w:t>
      </w:r>
    </w:p>
    <w:p w14:paraId="373D0039">
      <w:pPr>
        <w:pBdr>
          <w:bottom w:val="single" w:color="auto" w:sz="6" w:space="1"/>
        </w:pBdr>
        <w:spacing w:line="360" w:lineRule="auto"/>
        <w:ind w:firstLine="422" w:firstLineChars="200"/>
        <w:rPr>
          <w:rFonts w:hint="eastAsia" w:ascii="宋体" w:hAnsi="宋体" w:cs="宋体"/>
          <w:szCs w:val="21"/>
          <w:highlight w:val="none"/>
        </w:rPr>
      </w:pPr>
      <w:r>
        <w:rPr>
          <w:rFonts w:hint="eastAsia" w:ascii="宋体" w:hAnsi="宋体" w:cs="宋体"/>
          <w:b/>
          <w:szCs w:val="21"/>
          <w:highlight w:val="none"/>
        </w:rPr>
        <w:t>现文：</w:t>
      </w:r>
      <w:r>
        <w:rPr>
          <w:rFonts w:hint="eastAsia" w:ascii="宋体" w:hAnsi="宋体" w:cs="宋体"/>
          <w:szCs w:val="21"/>
          <w:highlight w:val="none"/>
        </w:rPr>
        <w:t>18.1递交的电子投标文件</w:t>
      </w:r>
      <w:r>
        <w:rPr>
          <w:rFonts w:hint="eastAsia" w:ascii="宋体" w:hAnsi="宋体" w:cs="宋体"/>
          <w:b/>
          <w:bCs/>
          <w:szCs w:val="21"/>
          <w:highlight w:val="none"/>
          <w:u w:val="single"/>
        </w:rPr>
        <w:t>（评标部分和定标部分）</w:t>
      </w:r>
      <w:r>
        <w:rPr>
          <w:rFonts w:hint="eastAsia" w:ascii="宋体" w:hAnsi="宋体" w:cs="宋体"/>
          <w:szCs w:val="21"/>
          <w:highlight w:val="none"/>
        </w:rPr>
        <w:t>（不含备用光盘）必须进行加密。按照交易平台关于全流程电子化项目的相关指南进行操作。详见：</w:t>
      </w:r>
      <w:r>
        <w:rPr>
          <w:rFonts w:hint="eastAsia" w:ascii="宋体" w:hAnsi="宋体" w:cs="宋体"/>
          <w:b/>
          <w:bCs/>
          <w:szCs w:val="21"/>
          <w:highlight w:val="none"/>
          <w:u w:val="single"/>
        </w:rPr>
        <w:t>【全流程电子化项目】电子招投标操作手册（无纸化）</w:t>
      </w:r>
      <w:r>
        <w:rPr>
          <w:rFonts w:hint="eastAsia" w:ascii="宋体" w:hAnsi="宋体" w:cs="宋体"/>
          <w:szCs w:val="21"/>
          <w:highlight w:val="none"/>
        </w:rPr>
        <w:t>。</w:t>
      </w:r>
    </w:p>
    <w:p w14:paraId="120A5E06">
      <w:pPr>
        <w:pBdr>
          <w:bottom w:val="single" w:color="auto" w:sz="6" w:space="1"/>
        </w:pBdr>
        <w:spacing w:line="360" w:lineRule="auto"/>
        <w:ind w:firstLine="525" w:firstLineChars="250"/>
        <w:rPr>
          <w:rFonts w:hint="eastAsia" w:ascii="宋体" w:hAnsi="宋体" w:cs="宋体"/>
          <w:szCs w:val="21"/>
          <w:highlight w:val="none"/>
        </w:rPr>
      </w:pPr>
      <w:r>
        <w:rPr>
          <w:rFonts w:hint="eastAsia" w:ascii="宋体" w:hAnsi="宋体" w:cs="宋体"/>
          <w:szCs w:val="21"/>
          <w:highlight w:val="none"/>
        </w:rPr>
        <w:t>18.2 未按要求加密的投标文件</w:t>
      </w:r>
      <w:r>
        <w:rPr>
          <w:rFonts w:hint="eastAsia" w:ascii="宋体" w:hAnsi="宋体" w:cs="宋体"/>
          <w:b/>
          <w:bCs/>
          <w:szCs w:val="21"/>
          <w:highlight w:val="none"/>
          <w:u w:val="single"/>
        </w:rPr>
        <w:t>（评标部分和定标部分）</w:t>
      </w:r>
      <w:r>
        <w:rPr>
          <w:rFonts w:hint="eastAsia" w:ascii="宋体" w:hAnsi="宋体" w:eastAsia="宋体" w:cs="宋体"/>
          <w:szCs w:val="21"/>
          <w:highlight w:val="none"/>
          <w:lang w:eastAsia="zh-CN"/>
        </w:rPr>
        <w:t>，</w:t>
      </w:r>
      <w:r>
        <w:rPr>
          <w:rFonts w:hint="eastAsia" w:ascii="宋体" w:hAnsi="宋体" w:eastAsia="宋体" w:cs="宋体"/>
          <w:b/>
          <w:bCs/>
          <w:szCs w:val="21"/>
          <w:highlight w:val="none"/>
          <w:u w:val="single"/>
        </w:rPr>
        <w:t>广州交易集团有限公司（广州公共资源交易中心）</w:t>
      </w:r>
      <w:r>
        <w:rPr>
          <w:rFonts w:hint="eastAsia" w:ascii="宋体" w:hAnsi="宋体" w:cs="宋体"/>
          <w:szCs w:val="21"/>
          <w:highlight w:val="none"/>
        </w:rPr>
        <w:t>交易平台将予以拒收。</w:t>
      </w:r>
    </w:p>
    <w:p w14:paraId="7FB9C572">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条款号：19.1～19.</w:t>
      </w:r>
      <w:r>
        <w:rPr>
          <w:rFonts w:hint="eastAsia" w:ascii="宋体" w:hAnsi="宋体"/>
          <w:b/>
          <w:color w:val="auto"/>
          <w:szCs w:val="21"/>
          <w:highlight w:val="none"/>
          <w:lang w:val="en-US" w:eastAsia="zh-CN"/>
        </w:rPr>
        <w:t>5</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5F427C8F">
      <w:pPr>
        <w:spacing w:line="360" w:lineRule="auto"/>
        <w:ind w:firstLine="422" w:firstLineChars="200"/>
        <w:rPr>
          <w:rFonts w:ascii="宋体"/>
          <w:bCs/>
          <w:color w:val="auto"/>
          <w:sz w:val="21"/>
          <w:szCs w:val="21"/>
          <w:highlight w:val="none"/>
        </w:rPr>
      </w:pPr>
      <w:r>
        <w:rPr>
          <w:rFonts w:hint="eastAsia" w:ascii="宋体" w:hAnsi="宋体"/>
          <w:b/>
          <w:color w:val="auto"/>
          <w:szCs w:val="21"/>
          <w:highlight w:val="none"/>
        </w:rPr>
        <w:t>原文：</w:t>
      </w:r>
      <w:r>
        <w:rPr>
          <w:rFonts w:ascii="宋体" w:hAnsi="宋体"/>
          <w:bCs/>
          <w:color w:val="auto"/>
          <w:sz w:val="21"/>
          <w:szCs w:val="21"/>
          <w:highlight w:val="none"/>
        </w:rPr>
        <w:t>1</w:t>
      </w:r>
      <w:r>
        <w:rPr>
          <w:rFonts w:hint="eastAsia" w:ascii="宋体" w:hAnsi="宋体"/>
          <w:bCs/>
          <w:color w:val="auto"/>
          <w:sz w:val="21"/>
          <w:szCs w:val="21"/>
          <w:highlight w:val="none"/>
        </w:rPr>
        <w:t>9</w:t>
      </w:r>
      <w:r>
        <w:rPr>
          <w:rFonts w:ascii="宋体" w:hAnsi="宋体"/>
          <w:bCs/>
          <w:color w:val="auto"/>
          <w:sz w:val="21"/>
          <w:szCs w:val="21"/>
          <w:highlight w:val="none"/>
        </w:rPr>
        <w:t>.</w:t>
      </w:r>
      <w:r>
        <w:rPr>
          <w:rFonts w:hint="eastAsia" w:ascii="宋体" w:hAnsi="宋体"/>
          <w:bCs/>
          <w:color w:val="auto"/>
          <w:sz w:val="21"/>
          <w:szCs w:val="21"/>
          <w:highlight w:val="none"/>
        </w:rPr>
        <w:t>1投标人通过</w:t>
      </w:r>
      <w:r>
        <w:rPr>
          <w:color w:val="auto"/>
          <w:sz w:val="21"/>
          <w:szCs w:val="21"/>
          <w:highlight w:val="none"/>
          <w:u w:val="single"/>
        </w:rPr>
        <w:t xml:space="preserve">        </w:t>
      </w:r>
      <w:r>
        <w:rPr>
          <w:rFonts w:hint="eastAsia" w:ascii="宋体" w:hAnsi="宋体"/>
          <w:color w:val="auto"/>
          <w:sz w:val="21"/>
          <w:szCs w:val="21"/>
          <w:highlight w:val="none"/>
        </w:rPr>
        <w:t>交易平台递交电子投标文件。</w:t>
      </w:r>
    </w:p>
    <w:p w14:paraId="2A6DAB3A">
      <w:pPr>
        <w:spacing w:line="360" w:lineRule="auto"/>
        <w:ind w:firstLine="420" w:firstLineChars="200"/>
        <w:rPr>
          <w:rFonts w:ascii="宋体"/>
          <w:bCs/>
          <w:color w:val="auto"/>
          <w:sz w:val="21"/>
          <w:szCs w:val="21"/>
          <w:highlight w:val="none"/>
        </w:rPr>
      </w:pPr>
      <w:r>
        <w:rPr>
          <w:rFonts w:ascii="宋体" w:hAnsi="宋体"/>
          <w:bCs/>
          <w:color w:val="auto"/>
          <w:sz w:val="21"/>
          <w:szCs w:val="21"/>
          <w:highlight w:val="none"/>
        </w:rPr>
        <w:t>1</w:t>
      </w:r>
      <w:r>
        <w:rPr>
          <w:rFonts w:hint="eastAsia" w:ascii="宋体" w:hAnsi="宋体"/>
          <w:bCs/>
          <w:color w:val="auto"/>
          <w:sz w:val="21"/>
          <w:szCs w:val="21"/>
          <w:highlight w:val="none"/>
        </w:rPr>
        <w:t>9</w:t>
      </w:r>
      <w:r>
        <w:rPr>
          <w:rFonts w:ascii="宋体" w:hAnsi="宋体"/>
          <w:bCs/>
          <w:color w:val="auto"/>
          <w:sz w:val="21"/>
          <w:szCs w:val="21"/>
          <w:highlight w:val="none"/>
        </w:rPr>
        <w:t>.</w:t>
      </w:r>
      <w:r>
        <w:rPr>
          <w:rFonts w:hint="eastAsia" w:ascii="宋体" w:hAnsi="宋体"/>
          <w:bCs/>
          <w:color w:val="auto"/>
          <w:sz w:val="21"/>
          <w:szCs w:val="21"/>
          <w:highlight w:val="none"/>
        </w:rPr>
        <w:t>2投标人完成电子</w:t>
      </w:r>
      <w:r>
        <w:rPr>
          <w:rFonts w:hint="eastAsia" w:ascii="宋体" w:hAnsi="宋体"/>
          <w:color w:val="auto"/>
          <w:sz w:val="21"/>
          <w:szCs w:val="21"/>
          <w:highlight w:val="none"/>
        </w:rPr>
        <w:t>投标文件</w:t>
      </w:r>
      <w:r>
        <w:rPr>
          <w:rFonts w:hint="eastAsia" w:ascii="宋体" w:hAnsi="宋体"/>
          <w:bCs/>
          <w:color w:val="auto"/>
          <w:sz w:val="21"/>
          <w:szCs w:val="21"/>
          <w:highlight w:val="none"/>
        </w:rPr>
        <w:t>上传后，</w:t>
      </w:r>
      <w:r>
        <w:rPr>
          <w:color w:val="auto"/>
          <w:sz w:val="21"/>
          <w:szCs w:val="21"/>
          <w:highlight w:val="none"/>
          <w:u w:val="single"/>
        </w:rPr>
        <w:t xml:space="preserve">        </w:t>
      </w:r>
      <w:r>
        <w:rPr>
          <w:rFonts w:hint="eastAsia" w:ascii="宋体" w:hAnsi="宋体"/>
          <w:color w:val="auto"/>
          <w:sz w:val="21"/>
          <w:szCs w:val="21"/>
          <w:highlight w:val="none"/>
        </w:rPr>
        <w:t>交易平台即时向投标人发出递交回执通知。递交时间以递交回执通知载明的传输完成时间为准。</w:t>
      </w:r>
    </w:p>
    <w:p w14:paraId="2723F035">
      <w:pPr>
        <w:spacing w:line="360" w:lineRule="auto"/>
        <w:ind w:firstLine="420" w:firstLineChars="200"/>
        <w:rPr>
          <w:rFonts w:ascii="宋体" w:hAnsi="宋体"/>
          <w:color w:val="auto"/>
          <w:sz w:val="21"/>
          <w:szCs w:val="21"/>
          <w:highlight w:val="none"/>
        </w:rPr>
      </w:pPr>
      <w:r>
        <w:rPr>
          <w:rFonts w:ascii="宋体" w:hAnsi="宋体"/>
          <w:bCs/>
          <w:color w:val="auto"/>
          <w:sz w:val="21"/>
          <w:szCs w:val="21"/>
          <w:highlight w:val="none"/>
        </w:rPr>
        <w:t>1</w:t>
      </w:r>
      <w:r>
        <w:rPr>
          <w:rFonts w:hint="eastAsia" w:ascii="宋体" w:hAnsi="宋体"/>
          <w:bCs/>
          <w:color w:val="auto"/>
          <w:sz w:val="21"/>
          <w:szCs w:val="21"/>
          <w:highlight w:val="none"/>
        </w:rPr>
        <w:t>9</w:t>
      </w:r>
      <w:r>
        <w:rPr>
          <w:rFonts w:ascii="宋体" w:hAnsi="宋体"/>
          <w:bCs/>
          <w:color w:val="auto"/>
          <w:sz w:val="21"/>
          <w:szCs w:val="21"/>
          <w:highlight w:val="none"/>
        </w:rPr>
        <w:t>.</w:t>
      </w:r>
      <w:r>
        <w:rPr>
          <w:rFonts w:hint="eastAsia" w:ascii="宋体" w:hAnsi="宋体"/>
          <w:bCs/>
          <w:color w:val="auto"/>
          <w:sz w:val="21"/>
          <w:szCs w:val="21"/>
          <w:highlight w:val="none"/>
        </w:rPr>
        <w:t>3</w:t>
      </w:r>
      <w:r>
        <w:rPr>
          <w:rFonts w:hint="eastAsia"/>
          <w:bCs/>
          <w:color w:val="auto"/>
          <w:sz w:val="21"/>
          <w:szCs w:val="21"/>
          <w:highlight w:val="none"/>
        </w:rPr>
        <w:t>逾期送达的</w:t>
      </w:r>
      <w:r>
        <w:rPr>
          <w:rFonts w:hint="eastAsia" w:ascii="宋体" w:hAnsi="宋体"/>
          <w:bCs/>
          <w:color w:val="auto"/>
          <w:sz w:val="21"/>
          <w:szCs w:val="21"/>
          <w:highlight w:val="none"/>
        </w:rPr>
        <w:t>电子投标文件，</w:t>
      </w:r>
      <w:r>
        <w:rPr>
          <w:color w:val="auto"/>
          <w:sz w:val="21"/>
          <w:szCs w:val="21"/>
          <w:highlight w:val="none"/>
          <w:u w:val="single"/>
        </w:rPr>
        <w:t xml:space="preserve">        </w:t>
      </w:r>
      <w:r>
        <w:rPr>
          <w:rFonts w:hint="eastAsia" w:ascii="宋体" w:hAnsi="宋体"/>
          <w:color w:val="auto"/>
          <w:sz w:val="21"/>
          <w:szCs w:val="21"/>
          <w:highlight w:val="none"/>
        </w:rPr>
        <w:t>交易平台将予以拒收。</w:t>
      </w:r>
    </w:p>
    <w:p w14:paraId="0E1FA4B6">
      <w:pPr>
        <w:spacing w:line="360" w:lineRule="auto"/>
        <w:ind w:firstLine="420" w:firstLineChars="200"/>
        <w:rPr>
          <w:rFonts w:ascii="宋体"/>
          <w:color w:val="auto"/>
          <w:sz w:val="21"/>
          <w:szCs w:val="21"/>
          <w:highlight w:val="none"/>
        </w:rPr>
      </w:pPr>
      <w:r>
        <w:rPr>
          <w:rFonts w:ascii="宋体" w:hAnsi="宋体"/>
          <w:color w:val="auto"/>
          <w:sz w:val="21"/>
          <w:szCs w:val="21"/>
          <w:highlight w:val="none"/>
        </w:rPr>
        <w:t>19.</w:t>
      </w:r>
      <w:r>
        <w:rPr>
          <w:rFonts w:hint="eastAsia" w:ascii="宋体" w:hAnsi="宋体"/>
          <w:color w:val="auto"/>
          <w:sz w:val="21"/>
          <w:szCs w:val="21"/>
          <w:highlight w:val="none"/>
        </w:rPr>
        <w:t>4</w:t>
      </w:r>
      <w:r>
        <w:rPr>
          <w:rFonts w:ascii="宋体" w:hAnsi="宋体"/>
          <w:color w:val="auto"/>
          <w:sz w:val="21"/>
          <w:szCs w:val="21"/>
          <w:highlight w:val="none"/>
        </w:rPr>
        <w:t xml:space="preserve"> </w:t>
      </w:r>
      <w:r>
        <w:rPr>
          <w:rFonts w:hint="eastAsia" w:ascii="宋体" w:hAnsi="宋体"/>
          <w:color w:val="auto"/>
          <w:sz w:val="21"/>
          <w:szCs w:val="21"/>
          <w:highlight w:val="none"/>
        </w:rPr>
        <w:t>投标截止前，</w:t>
      </w:r>
      <w:r>
        <w:rPr>
          <w:rFonts w:hint="eastAsia"/>
          <w:color w:val="auto"/>
          <w:sz w:val="21"/>
          <w:szCs w:val="21"/>
          <w:highlight w:val="none"/>
        </w:rPr>
        <w:t>招标人拒绝接收符合条件的投标文件，投标人可向招标投标监督机构投诉。</w:t>
      </w:r>
    </w:p>
    <w:p w14:paraId="69175F7C">
      <w:pPr>
        <w:pBdr>
          <w:bottom w:val="single" w:color="auto" w:sz="6" w:space="1"/>
        </w:pBdr>
        <w:spacing w:line="360" w:lineRule="auto"/>
        <w:ind w:firstLine="525" w:firstLineChars="250"/>
        <w:rPr>
          <w:rFonts w:hint="eastAsia" w:ascii="宋体" w:hAnsi="宋体"/>
          <w:color w:val="auto"/>
          <w:szCs w:val="21"/>
          <w:highlight w:val="none"/>
          <w:u w:val="single"/>
        </w:rPr>
      </w:pPr>
      <w:r>
        <w:rPr>
          <w:rFonts w:ascii="宋体" w:hAnsi="宋体"/>
          <w:color w:val="auto"/>
          <w:sz w:val="21"/>
          <w:szCs w:val="21"/>
          <w:highlight w:val="none"/>
        </w:rPr>
        <w:t>19.</w:t>
      </w:r>
      <w:r>
        <w:rPr>
          <w:rFonts w:hint="eastAsia" w:ascii="宋体" w:hAnsi="宋体"/>
          <w:color w:val="auto"/>
          <w:sz w:val="21"/>
          <w:szCs w:val="21"/>
          <w:highlight w:val="none"/>
        </w:rPr>
        <w:t>5如技术标和经济标先后分别开启，</w:t>
      </w:r>
      <w:r>
        <w:rPr>
          <w:color w:val="auto"/>
          <w:sz w:val="21"/>
          <w:szCs w:val="21"/>
          <w:highlight w:val="none"/>
          <w:u w:val="single"/>
        </w:rPr>
        <w:t xml:space="preserve">        </w:t>
      </w:r>
      <w:r>
        <w:rPr>
          <w:rFonts w:hint="eastAsia" w:ascii="宋体" w:hAnsi="宋体"/>
          <w:color w:val="auto"/>
          <w:sz w:val="21"/>
          <w:szCs w:val="21"/>
          <w:highlight w:val="none"/>
        </w:rPr>
        <w:t>交易平台将按招标文件规定的时间分别开启技术标和经济标。</w:t>
      </w:r>
    </w:p>
    <w:p w14:paraId="249C921D">
      <w:pPr>
        <w:pBdr>
          <w:bottom w:val="single" w:color="auto" w:sz="6" w:space="1"/>
        </w:pBdr>
        <w:spacing w:line="360" w:lineRule="auto"/>
        <w:ind w:firstLine="527" w:firstLineChars="250"/>
        <w:rPr>
          <w:rFonts w:ascii="宋体" w:hAnsi="宋体"/>
          <w:color w:val="auto"/>
          <w:szCs w:val="21"/>
          <w:highlight w:val="none"/>
        </w:rPr>
      </w:pPr>
      <w:r>
        <w:rPr>
          <w:rFonts w:hint="eastAsia" w:ascii="宋体" w:hAnsi="宋体"/>
          <w:b/>
          <w:bCs/>
          <w:color w:val="auto"/>
          <w:szCs w:val="21"/>
          <w:highlight w:val="none"/>
          <w:u w:val="none"/>
          <w:lang w:eastAsia="zh-CN"/>
        </w:rPr>
        <w:t>现文：</w:t>
      </w:r>
      <w:r>
        <w:rPr>
          <w:rFonts w:hint="eastAsia" w:ascii="宋体" w:hAnsi="宋体"/>
          <w:color w:val="auto"/>
          <w:szCs w:val="21"/>
          <w:highlight w:val="none"/>
        </w:rPr>
        <w:t>19.1投标人通过</w:t>
      </w:r>
      <w:r>
        <w:rPr>
          <w:rFonts w:hint="eastAsia" w:ascii="宋体" w:hAnsi="宋体" w:eastAsia="宋体" w:cs="宋体"/>
          <w:b/>
          <w:bCs/>
          <w:szCs w:val="21"/>
          <w:highlight w:val="none"/>
          <w:u w:val="single"/>
        </w:rPr>
        <w:t>广州交易集团有限公司（广州公共资源交易中心）</w:t>
      </w:r>
      <w:r>
        <w:rPr>
          <w:rFonts w:hint="eastAsia" w:ascii="宋体" w:hAnsi="宋体"/>
          <w:color w:val="auto"/>
          <w:szCs w:val="21"/>
          <w:highlight w:val="none"/>
        </w:rPr>
        <w:t>交易平台递交电子投标文件</w:t>
      </w:r>
      <w:r>
        <w:rPr>
          <w:rFonts w:hint="eastAsia" w:ascii="宋体" w:hAnsi="宋体"/>
          <w:b/>
          <w:bCs/>
          <w:color w:val="auto"/>
          <w:szCs w:val="21"/>
          <w:highlight w:val="none"/>
          <w:u w:val="single"/>
          <w:lang w:eastAsia="zh-CN"/>
        </w:rPr>
        <w:t>（评标部分和定标部分）</w:t>
      </w:r>
      <w:r>
        <w:rPr>
          <w:rFonts w:hint="eastAsia" w:ascii="宋体" w:hAnsi="宋体"/>
          <w:color w:val="auto"/>
          <w:szCs w:val="21"/>
          <w:highlight w:val="none"/>
        </w:rPr>
        <w:t>。</w:t>
      </w:r>
    </w:p>
    <w:p w14:paraId="5657685A">
      <w:pPr>
        <w:pBdr>
          <w:bottom w:val="single" w:color="auto" w:sz="6" w:space="1"/>
        </w:pBd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19.2投标人完成电子投标文件</w:t>
      </w:r>
      <w:r>
        <w:rPr>
          <w:rFonts w:hint="eastAsia" w:ascii="宋体" w:hAnsi="宋体"/>
          <w:b/>
          <w:bCs/>
          <w:color w:val="auto"/>
          <w:szCs w:val="21"/>
          <w:highlight w:val="none"/>
          <w:u w:val="single"/>
          <w:lang w:eastAsia="zh-CN"/>
        </w:rPr>
        <w:t>（评标部分和定标部分）</w:t>
      </w:r>
      <w:r>
        <w:rPr>
          <w:rFonts w:hint="eastAsia" w:ascii="宋体" w:hAnsi="宋体"/>
          <w:color w:val="auto"/>
          <w:szCs w:val="21"/>
          <w:highlight w:val="none"/>
        </w:rPr>
        <w:t>上传后，</w:t>
      </w:r>
      <w:r>
        <w:rPr>
          <w:rFonts w:hint="eastAsia" w:ascii="宋体" w:hAnsi="宋体" w:eastAsia="宋体" w:cs="宋体"/>
          <w:b/>
          <w:bCs/>
          <w:szCs w:val="21"/>
          <w:highlight w:val="none"/>
          <w:u w:val="single"/>
        </w:rPr>
        <w:t>广州交易集团有限公司（广州公共资源交易中心）</w:t>
      </w:r>
      <w:r>
        <w:rPr>
          <w:rFonts w:hint="eastAsia" w:ascii="宋体" w:hAnsi="宋体"/>
          <w:color w:val="auto"/>
          <w:szCs w:val="21"/>
          <w:highlight w:val="none"/>
        </w:rPr>
        <w:t>交易平台即时向投标人发出递交回执通知。递交时间以递交回执通知载明的传输完成时间为准。</w:t>
      </w:r>
    </w:p>
    <w:p w14:paraId="19540976">
      <w:pPr>
        <w:pBdr>
          <w:bottom w:val="single" w:color="auto" w:sz="6" w:space="1"/>
        </w:pBdr>
        <w:spacing w:line="360" w:lineRule="auto"/>
        <w:ind w:firstLine="525" w:firstLineChars="250"/>
        <w:rPr>
          <w:rFonts w:ascii="宋体" w:hAnsi="宋体"/>
          <w:color w:val="auto"/>
          <w:szCs w:val="21"/>
          <w:highlight w:val="none"/>
        </w:rPr>
      </w:pPr>
      <w:r>
        <w:rPr>
          <w:rFonts w:hint="eastAsia" w:ascii="宋体" w:hAnsi="宋体"/>
          <w:color w:val="auto"/>
          <w:szCs w:val="21"/>
          <w:highlight w:val="none"/>
        </w:rPr>
        <w:t>19.3逾期送达的电子投标文件</w:t>
      </w:r>
      <w:r>
        <w:rPr>
          <w:rFonts w:hint="eastAsia" w:ascii="宋体" w:hAnsi="宋体"/>
          <w:b/>
          <w:bCs/>
          <w:color w:val="auto"/>
          <w:szCs w:val="21"/>
          <w:highlight w:val="none"/>
          <w:u w:val="single"/>
          <w:lang w:eastAsia="zh-CN"/>
        </w:rPr>
        <w:t>（评标部分和定标部分）</w:t>
      </w:r>
      <w:r>
        <w:rPr>
          <w:rFonts w:hint="eastAsia" w:ascii="宋体" w:hAnsi="宋体"/>
          <w:color w:val="auto"/>
          <w:szCs w:val="21"/>
          <w:highlight w:val="none"/>
        </w:rPr>
        <w:t>，</w:t>
      </w:r>
      <w:r>
        <w:rPr>
          <w:rFonts w:hint="eastAsia" w:ascii="宋体" w:hAnsi="宋体" w:eastAsia="宋体" w:cs="宋体"/>
          <w:b/>
          <w:bCs/>
          <w:szCs w:val="21"/>
          <w:highlight w:val="none"/>
          <w:u w:val="single"/>
        </w:rPr>
        <w:t>广州交易集团有限公司（广州公共资源交易中心）</w:t>
      </w:r>
      <w:r>
        <w:rPr>
          <w:rFonts w:hint="eastAsia" w:ascii="宋体" w:hAnsi="宋体"/>
          <w:color w:val="auto"/>
          <w:szCs w:val="21"/>
          <w:highlight w:val="none"/>
        </w:rPr>
        <w:t>交易平台将予以拒收。</w:t>
      </w:r>
    </w:p>
    <w:p w14:paraId="081A0987">
      <w:pPr>
        <w:pBdr>
          <w:bottom w:val="single" w:color="auto" w:sz="6" w:space="1"/>
        </w:pBdr>
        <w:spacing w:line="360" w:lineRule="auto"/>
        <w:ind w:firstLine="525" w:firstLineChars="250"/>
        <w:rPr>
          <w:rFonts w:hint="eastAsia" w:ascii="宋体" w:hAnsi="宋体" w:eastAsia="宋体"/>
          <w:b/>
          <w:bCs/>
          <w:color w:val="auto"/>
          <w:szCs w:val="21"/>
          <w:highlight w:val="none"/>
          <w:u w:val="none"/>
          <w:lang w:eastAsia="zh-CN"/>
        </w:rPr>
      </w:pPr>
      <w:r>
        <w:rPr>
          <w:rFonts w:hint="eastAsia" w:ascii="宋体" w:hAnsi="宋体"/>
          <w:color w:val="auto"/>
          <w:szCs w:val="21"/>
          <w:highlight w:val="none"/>
        </w:rPr>
        <w:t>19.4 投标截止前，招标人拒绝接收符合条件的投标文件，投标人可向招标投标监督机构投诉。</w:t>
      </w:r>
    </w:p>
    <w:p w14:paraId="47314050">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w:t>
      </w:r>
      <w:r>
        <w:rPr>
          <w:rFonts w:ascii="宋体" w:hAnsi="宋体"/>
          <w:b/>
          <w:color w:val="auto"/>
          <w:szCs w:val="21"/>
          <w:highlight w:val="none"/>
        </w:rPr>
        <w:t xml:space="preserve">21.1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6E872443">
      <w:pPr>
        <w:spacing w:line="360" w:lineRule="auto"/>
        <w:ind w:firstLine="527" w:firstLineChars="250"/>
        <w:rPr>
          <w:rFonts w:ascii="宋体" w:hAnsi="宋体"/>
          <w:color w:val="auto"/>
          <w:szCs w:val="21"/>
          <w:highlight w:val="none"/>
        </w:rPr>
      </w:pPr>
      <w:r>
        <w:rPr>
          <w:rFonts w:hint="eastAsia" w:ascii="宋体" w:hAnsi="宋体"/>
          <w:b/>
          <w:color w:val="auto"/>
          <w:szCs w:val="21"/>
          <w:highlight w:val="none"/>
        </w:rPr>
        <w:t>原文：</w:t>
      </w:r>
      <w:r>
        <w:rPr>
          <w:rFonts w:ascii="宋体" w:hAnsi="宋体"/>
          <w:color w:val="auto"/>
          <w:szCs w:val="21"/>
          <w:highlight w:val="none"/>
        </w:rPr>
        <w:t xml:space="preserve">21.1 </w:t>
      </w:r>
      <w:r>
        <w:rPr>
          <w:rFonts w:hint="eastAsia" w:ascii="宋体" w:hAnsi="宋体"/>
          <w:color w:val="auto"/>
          <w:szCs w:val="21"/>
          <w:highlight w:val="none"/>
        </w:rPr>
        <w:t>本须知前附表第</w:t>
      </w:r>
      <w:r>
        <w:rPr>
          <w:rFonts w:ascii="宋体" w:hAnsi="宋体"/>
          <w:color w:val="auto"/>
          <w:szCs w:val="21"/>
          <w:highlight w:val="none"/>
        </w:rPr>
        <w:t>1</w:t>
      </w:r>
      <w:r>
        <w:rPr>
          <w:rFonts w:hint="eastAsia" w:ascii="宋体" w:hAnsi="宋体"/>
          <w:color w:val="auto"/>
          <w:szCs w:val="21"/>
          <w:highlight w:val="none"/>
        </w:rPr>
        <w:t>7项规定的投标截止时间后送达的电子投标文件，</w:t>
      </w:r>
      <w:r>
        <w:rPr>
          <w:rFonts w:ascii="宋体" w:hAnsi="宋体"/>
          <w:color w:val="auto"/>
          <w:szCs w:val="21"/>
          <w:highlight w:val="none"/>
          <w:u w:val="single"/>
        </w:rPr>
        <w:t xml:space="preserve">        </w:t>
      </w:r>
      <w:r>
        <w:rPr>
          <w:rFonts w:hint="eastAsia" w:ascii="宋体" w:hAnsi="宋体"/>
          <w:color w:val="auto"/>
          <w:szCs w:val="21"/>
          <w:highlight w:val="none"/>
        </w:rPr>
        <w:t>交易平台将予以拒收。</w:t>
      </w:r>
    </w:p>
    <w:p w14:paraId="647D08A4">
      <w:pPr>
        <w:pBdr>
          <w:bottom w:val="single" w:color="auto" w:sz="6" w:space="1"/>
        </w:pBdr>
        <w:spacing w:line="360" w:lineRule="auto"/>
        <w:ind w:firstLine="527" w:firstLineChars="250"/>
        <w:rPr>
          <w:rFonts w:ascii="宋体" w:hAnsi="宋体"/>
          <w:color w:val="auto"/>
          <w:szCs w:val="21"/>
          <w:highlight w:val="none"/>
          <w:u w:val="single"/>
        </w:rPr>
      </w:pPr>
      <w:r>
        <w:rPr>
          <w:rFonts w:hint="eastAsia" w:ascii="宋体" w:hAnsi="宋体"/>
          <w:b/>
          <w:color w:val="auto"/>
          <w:szCs w:val="21"/>
          <w:highlight w:val="none"/>
        </w:rPr>
        <w:t>现文：</w:t>
      </w:r>
      <w:r>
        <w:rPr>
          <w:rFonts w:ascii="宋体" w:hAnsi="宋体"/>
          <w:color w:val="auto"/>
          <w:szCs w:val="21"/>
          <w:highlight w:val="none"/>
        </w:rPr>
        <w:t xml:space="preserve">21.1 </w:t>
      </w:r>
      <w:r>
        <w:rPr>
          <w:rFonts w:hint="eastAsia" w:ascii="宋体" w:hAnsi="宋体"/>
          <w:color w:val="auto"/>
          <w:szCs w:val="21"/>
          <w:highlight w:val="none"/>
        </w:rPr>
        <w:t>本须知前附表第</w:t>
      </w:r>
      <w:r>
        <w:rPr>
          <w:rFonts w:ascii="宋体" w:hAnsi="宋体"/>
          <w:color w:val="auto"/>
          <w:szCs w:val="21"/>
          <w:highlight w:val="none"/>
        </w:rPr>
        <w:t>1</w:t>
      </w:r>
      <w:r>
        <w:rPr>
          <w:rFonts w:hint="eastAsia" w:ascii="宋体" w:hAnsi="宋体"/>
          <w:color w:val="auto"/>
          <w:szCs w:val="21"/>
          <w:highlight w:val="none"/>
        </w:rPr>
        <w:t>7项规定的投标截止时间后送达的电子投标文件，</w:t>
      </w:r>
      <w:r>
        <w:rPr>
          <w:rFonts w:hint="eastAsia" w:ascii="宋体" w:hAnsi="宋体" w:eastAsia="宋体" w:cs="宋体"/>
          <w:b/>
          <w:bCs/>
          <w:szCs w:val="21"/>
          <w:highlight w:val="none"/>
          <w:u w:val="single"/>
        </w:rPr>
        <w:t>广州交易集团有限公司（广州公共资源交易中心）</w:t>
      </w:r>
      <w:r>
        <w:rPr>
          <w:rFonts w:hint="eastAsia" w:ascii="宋体" w:hAnsi="宋体"/>
          <w:color w:val="auto"/>
          <w:szCs w:val="21"/>
          <w:highlight w:val="none"/>
        </w:rPr>
        <w:t>交易平台将予以拒收。</w:t>
      </w:r>
    </w:p>
    <w:p w14:paraId="10E6BD40">
      <w:pPr>
        <w:spacing w:line="360" w:lineRule="auto"/>
        <w:ind w:firstLine="422" w:firstLineChars="200"/>
        <w:rPr>
          <w:rFonts w:ascii="宋体" w:hAnsi="宋体" w:cs="宋体"/>
          <w:b/>
          <w:szCs w:val="21"/>
          <w:highlight w:val="none"/>
        </w:rPr>
      </w:pPr>
      <w:r>
        <w:rPr>
          <w:rFonts w:hint="eastAsia" w:ascii="宋体" w:hAnsi="宋体" w:cs="宋体"/>
          <w:b/>
          <w:szCs w:val="21"/>
          <w:highlight w:val="none"/>
        </w:rPr>
        <w:t>条款号：24                          修改类型：修改</w:t>
      </w:r>
    </w:p>
    <w:p w14:paraId="337B92E9">
      <w:pPr>
        <w:spacing w:line="360" w:lineRule="auto"/>
        <w:ind w:firstLine="422" w:firstLineChars="200"/>
        <w:rPr>
          <w:rFonts w:ascii="宋体" w:hAnsi="宋体" w:cs="宋体"/>
          <w:szCs w:val="21"/>
          <w:highlight w:val="none"/>
        </w:rPr>
      </w:pPr>
      <w:r>
        <w:rPr>
          <w:rFonts w:hint="eastAsia" w:ascii="宋体" w:hAnsi="宋体" w:cs="宋体"/>
          <w:b/>
          <w:szCs w:val="21"/>
          <w:highlight w:val="none"/>
        </w:rPr>
        <w:t>原文：24．评标过程的保密</w:t>
      </w:r>
    </w:p>
    <w:p w14:paraId="7CE943BB">
      <w:pPr>
        <w:spacing w:line="360" w:lineRule="auto"/>
        <w:ind w:firstLine="420" w:firstLineChars="200"/>
        <w:rPr>
          <w:rFonts w:ascii="宋体" w:hAnsi="宋体" w:cs="宋体"/>
          <w:szCs w:val="21"/>
          <w:highlight w:val="none"/>
        </w:rPr>
      </w:pPr>
      <w:r>
        <w:rPr>
          <w:rFonts w:hint="eastAsia" w:ascii="宋体" w:hAnsi="宋体" w:cs="宋体"/>
          <w:szCs w:val="21"/>
          <w:highlight w:val="none"/>
        </w:rPr>
        <w:t>24.1 开标后，直至中标公示为止，凡属于对投标文件的审查、澄清、评价和比较有关的资料以及中标候选人的推荐情况，与评标有关的其他任何情况均严格保密。</w:t>
      </w:r>
    </w:p>
    <w:p w14:paraId="4265B959">
      <w:pPr>
        <w:spacing w:line="360" w:lineRule="auto"/>
        <w:ind w:firstLine="420" w:firstLineChars="200"/>
        <w:rPr>
          <w:rFonts w:ascii="宋体" w:hAnsi="宋体" w:cs="宋体"/>
          <w:szCs w:val="21"/>
          <w:highlight w:val="none"/>
        </w:rPr>
      </w:pPr>
      <w:r>
        <w:rPr>
          <w:rFonts w:hint="eastAsia" w:ascii="宋体" w:hAnsi="宋体" w:cs="宋体"/>
          <w:szCs w:val="21"/>
          <w:highlight w:val="none"/>
        </w:rPr>
        <w:t>24.2 在投标文件的评审和比较、中标候选人推荐以及授予合同的过程中，投标人向招标人和评标委员会施加不公正影响的任何行为，都将会导致其投标被拒绝。</w:t>
      </w:r>
    </w:p>
    <w:p w14:paraId="2C8019D4">
      <w:pPr>
        <w:spacing w:line="360" w:lineRule="auto"/>
        <w:ind w:firstLine="422" w:firstLineChars="200"/>
        <w:rPr>
          <w:rFonts w:ascii="宋体" w:hAnsi="宋体" w:cs="宋体"/>
          <w:szCs w:val="21"/>
          <w:highlight w:val="none"/>
        </w:rPr>
      </w:pPr>
      <w:r>
        <w:rPr>
          <w:rFonts w:hint="eastAsia" w:ascii="宋体" w:hAnsi="宋体" w:cs="宋体"/>
          <w:b/>
          <w:szCs w:val="21"/>
          <w:highlight w:val="none"/>
        </w:rPr>
        <w:t>现文：24．评标过程的保密</w:t>
      </w:r>
    </w:p>
    <w:p w14:paraId="62F191E4">
      <w:pPr>
        <w:pBdr>
          <w:bottom w:val="single" w:color="auto" w:sz="4" w:space="0"/>
        </w:pBdr>
        <w:spacing w:line="360" w:lineRule="auto"/>
        <w:ind w:firstLine="420" w:firstLineChars="200"/>
        <w:rPr>
          <w:rFonts w:ascii="宋体" w:hAnsi="宋体" w:cs="宋体"/>
          <w:szCs w:val="21"/>
          <w:highlight w:val="none"/>
        </w:rPr>
      </w:pPr>
      <w:r>
        <w:rPr>
          <w:rFonts w:hint="eastAsia" w:ascii="宋体" w:hAnsi="宋体" w:cs="宋体"/>
          <w:szCs w:val="21"/>
          <w:highlight w:val="none"/>
        </w:rPr>
        <w:t>24.1 开标后，直至</w:t>
      </w:r>
      <w:r>
        <w:rPr>
          <w:rFonts w:hint="eastAsia" w:ascii="宋体" w:hAnsi="宋体" w:cs="宋体"/>
          <w:b/>
          <w:bCs/>
          <w:szCs w:val="21"/>
          <w:highlight w:val="none"/>
          <w:u w:val="single"/>
        </w:rPr>
        <w:t>合格的中标候选人</w:t>
      </w:r>
      <w:r>
        <w:rPr>
          <w:rFonts w:hint="eastAsia" w:ascii="宋体" w:hAnsi="宋体" w:cs="宋体"/>
          <w:szCs w:val="21"/>
          <w:highlight w:val="none"/>
        </w:rPr>
        <w:t>公示为止，凡属于对投标文件的审查、澄清、评价和比较有关的资料以及</w:t>
      </w:r>
      <w:r>
        <w:rPr>
          <w:rFonts w:hint="eastAsia" w:ascii="宋体" w:hAnsi="宋体" w:cs="宋体"/>
          <w:b/>
          <w:bCs/>
          <w:szCs w:val="21"/>
          <w:highlight w:val="none"/>
          <w:u w:val="single"/>
        </w:rPr>
        <w:t>合格的</w:t>
      </w:r>
      <w:r>
        <w:rPr>
          <w:rFonts w:hint="eastAsia" w:ascii="宋体" w:hAnsi="宋体" w:cs="宋体"/>
          <w:szCs w:val="21"/>
          <w:highlight w:val="none"/>
        </w:rPr>
        <w:t>中标候选人的推荐情况，与评标有关的其他任何情况均严格保密。</w:t>
      </w:r>
    </w:p>
    <w:p w14:paraId="7120D028">
      <w:pPr>
        <w:pBdr>
          <w:bottom w:val="single" w:color="auto" w:sz="4" w:space="0"/>
        </w:pBdr>
        <w:spacing w:line="360" w:lineRule="auto"/>
        <w:ind w:firstLine="420" w:firstLineChars="200"/>
        <w:rPr>
          <w:rFonts w:hint="eastAsia" w:ascii="宋体" w:hAnsi="宋体"/>
          <w:b/>
          <w:color w:val="auto"/>
          <w:szCs w:val="21"/>
          <w:highlight w:val="none"/>
        </w:rPr>
      </w:pPr>
      <w:r>
        <w:rPr>
          <w:rFonts w:hint="eastAsia" w:ascii="宋体" w:hAnsi="宋体" w:cs="宋体"/>
          <w:szCs w:val="21"/>
          <w:highlight w:val="none"/>
        </w:rPr>
        <w:t>24.2 在投标文件的评审和比较、</w:t>
      </w:r>
      <w:r>
        <w:rPr>
          <w:rFonts w:hint="eastAsia" w:ascii="宋体" w:hAnsi="宋体" w:cs="宋体"/>
          <w:b/>
          <w:bCs/>
          <w:szCs w:val="21"/>
          <w:highlight w:val="none"/>
          <w:u w:val="single"/>
        </w:rPr>
        <w:t>合格的</w:t>
      </w:r>
      <w:r>
        <w:rPr>
          <w:rFonts w:hint="eastAsia" w:ascii="宋体" w:hAnsi="宋体" w:cs="宋体"/>
          <w:szCs w:val="21"/>
          <w:highlight w:val="none"/>
        </w:rPr>
        <w:t>中标候选人推荐</w:t>
      </w:r>
      <w:r>
        <w:rPr>
          <w:rFonts w:hint="eastAsia" w:ascii="宋体" w:hAnsi="宋体" w:cs="宋体"/>
          <w:b/>
          <w:bCs/>
          <w:szCs w:val="21"/>
          <w:highlight w:val="none"/>
          <w:u w:val="single"/>
        </w:rPr>
        <w:t>[不排序，按统一社会信用代码后4位（除校验码外）大小排位，如统一社会信用代码后4位出现字母情况的，字母以“0”进行代替大小排位；如出现后4位（除校验码外）大小一致的，则随机排位。若为联合体投标，指联合体主办方。]、定标</w:t>
      </w:r>
      <w:r>
        <w:rPr>
          <w:rFonts w:hint="eastAsia" w:ascii="宋体" w:hAnsi="宋体" w:cs="宋体"/>
          <w:szCs w:val="21"/>
          <w:highlight w:val="none"/>
        </w:rPr>
        <w:t>以及授予合同的过程中，投标人向招标人和评标委员会</w:t>
      </w:r>
      <w:r>
        <w:rPr>
          <w:rFonts w:hint="eastAsia" w:ascii="宋体" w:hAnsi="宋体" w:cs="宋体"/>
          <w:b/>
          <w:bCs/>
          <w:szCs w:val="21"/>
          <w:highlight w:val="none"/>
          <w:u w:val="single"/>
        </w:rPr>
        <w:t>和定标委员会</w:t>
      </w:r>
      <w:r>
        <w:rPr>
          <w:rFonts w:hint="eastAsia" w:ascii="宋体" w:hAnsi="宋体" w:cs="宋体"/>
          <w:szCs w:val="21"/>
          <w:highlight w:val="none"/>
        </w:rPr>
        <w:t>施加不公正影响的任何行为，都将会导致其投标被拒绝。</w:t>
      </w:r>
    </w:p>
    <w:p w14:paraId="1A3E187A">
      <w:pPr>
        <w:spacing w:line="360" w:lineRule="auto"/>
        <w:ind w:firstLine="472" w:firstLineChars="224"/>
        <w:rPr>
          <w:rFonts w:ascii="宋体" w:hAnsi="宋体"/>
          <w:b/>
          <w:szCs w:val="21"/>
          <w:highlight w:val="none"/>
        </w:rPr>
      </w:pPr>
      <w:r>
        <w:rPr>
          <w:rFonts w:hint="eastAsia" w:ascii="宋体" w:hAnsi="宋体"/>
          <w:b/>
          <w:szCs w:val="21"/>
          <w:highlight w:val="none"/>
        </w:rPr>
        <w:t>条款号：</w:t>
      </w:r>
      <w:r>
        <w:rPr>
          <w:rFonts w:hint="eastAsia" w:ascii="宋体" w:hAnsi="宋体"/>
          <w:b/>
          <w:szCs w:val="21"/>
          <w:highlight w:val="none"/>
          <w:lang w:val="en-US" w:eastAsia="zh-CN"/>
        </w:rPr>
        <w:t>27</w:t>
      </w:r>
      <w:r>
        <w:rPr>
          <w:rFonts w:hint="eastAsia" w:ascii="宋体" w:hAnsi="宋体"/>
          <w:b/>
          <w:szCs w:val="21"/>
          <w:highlight w:val="none"/>
        </w:rPr>
        <w:t xml:space="preserve">               修改类型：修改</w:t>
      </w:r>
    </w:p>
    <w:p w14:paraId="2A4F32B5">
      <w:pPr>
        <w:pStyle w:val="21"/>
        <w:ind w:firstLine="422"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b/>
          <w:szCs w:val="21"/>
          <w:highlight w:val="none"/>
        </w:rPr>
        <w:t>原文：</w:t>
      </w:r>
      <w:r>
        <w:rPr>
          <w:rFonts w:hint="eastAsia" w:ascii="宋体" w:hAnsi="宋体" w:eastAsia="宋体" w:cs="Times New Roman"/>
          <w:color w:val="auto"/>
          <w:kern w:val="2"/>
          <w:sz w:val="21"/>
          <w:szCs w:val="21"/>
          <w:highlight w:val="none"/>
          <w:lang w:val="en-US" w:eastAsia="zh-CN" w:bidi="ar-SA"/>
        </w:rPr>
        <w:t>27.1按照投标人须知前附表的规定，由招标人或招标人授权的评标委员会依法确定中标人。</w:t>
      </w:r>
    </w:p>
    <w:p w14:paraId="77F9D0BD">
      <w:pPr>
        <w:pBdr>
          <w:bottom w:val="single" w:color="auto" w:sz="6" w:space="1"/>
        </w:pBdr>
        <w:spacing w:line="360" w:lineRule="auto"/>
        <w:ind w:firstLine="525" w:firstLineChars="25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27.2采用评定分离方式确定中标人的，从其规定。</w:t>
      </w:r>
    </w:p>
    <w:p w14:paraId="1037A113">
      <w:pPr>
        <w:pBdr>
          <w:bottom w:val="single" w:color="auto" w:sz="6" w:space="1"/>
        </w:pBdr>
        <w:spacing w:line="360" w:lineRule="auto"/>
        <w:ind w:firstLine="527" w:firstLineChars="250"/>
        <w:rPr>
          <w:rFonts w:ascii="宋体" w:hAnsi="宋体"/>
          <w:szCs w:val="21"/>
          <w:highlight w:val="none"/>
        </w:rPr>
      </w:pPr>
      <w:r>
        <w:rPr>
          <w:rFonts w:hint="eastAsia" w:ascii="宋体" w:hAnsi="宋体"/>
          <w:b/>
          <w:szCs w:val="21"/>
          <w:highlight w:val="none"/>
        </w:rPr>
        <w:t>现文：</w:t>
      </w:r>
      <w:r>
        <w:rPr>
          <w:rFonts w:hint="eastAsia" w:ascii="宋体" w:hAnsi="宋体" w:eastAsia="宋体" w:cs="Times New Roman"/>
          <w:b/>
          <w:bCs/>
          <w:color w:val="auto"/>
          <w:kern w:val="2"/>
          <w:sz w:val="21"/>
          <w:szCs w:val="21"/>
          <w:highlight w:val="none"/>
          <w:u w:val="single"/>
          <w:lang w:val="en-US" w:eastAsia="zh-CN" w:bidi="ar-SA"/>
        </w:rPr>
        <w:t>27.</w:t>
      </w:r>
      <w:r>
        <w:rPr>
          <w:rFonts w:hint="eastAsia" w:ascii="宋体" w:hAnsi="宋体" w:cs="Times New Roman"/>
          <w:b/>
          <w:bCs/>
          <w:color w:val="auto"/>
          <w:kern w:val="2"/>
          <w:sz w:val="21"/>
          <w:szCs w:val="21"/>
          <w:highlight w:val="none"/>
          <w:u w:val="single"/>
          <w:lang w:val="en-US" w:eastAsia="zh-CN" w:bidi="ar-SA"/>
        </w:rPr>
        <w:t>1</w:t>
      </w:r>
      <w:r>
        <w:rPr>
          <w:rFonts w:hint="eastAsia" w:ascii="宋体" w:hAnsi="宋体" w:eastAsia="宋体" w:cs="Times New Roman"/>
          <w:b/>
          <w:bCs/>
          <w:color w:val="auto"/>
          <w:kern w:val="2"/>
          <w:sz w:val="21"/>
          <w:szCs w:val="21"/>
          <w:highlight w:val="none"/>
          <w:u w:val="single"/>
          <w:lang w:val="en-US" w:eastAsia="zh-CN" w:bidi="ar-SA"/>
        </w:rPr>
        <w:t>采用评定分离方式确定中标人的，按照投标人须知前附表</w:t>
      </w:r>
      <w:r>
        <w:rPr>
          <w:rFonts w:hint="eastAsia" w:ascii="宋体" w:hAnsi="宋体"/>
          <w:b/>
          <w:bCs/>
          <w:color w:val="auto"/>
          <w:sz w:val="21"/>
          <w:szCs w:val="21"/>
          <w:highlight w:val="none"/>
          <w:u w:val="single"/>
        </w:rPr>
        <w:t>第</w:t>
      </w:r>
      <w:r>
        <w:rPr>
          <w:rFonts w:hint="eastAsia" w:ascii="宋体" w:hAnsi="宋体"/>
          <w:b/>
          <w:bCs/>
          <w:color w:val="auto"/>
          <w:sz w:val="21"/>
          <w:szCs w:val="21"/>
          <w:highlight w:val="none"/>
          <w:u w:val="single"/>
          <w:lang w:val="en-US" w:eastAsia="zh-CN"/>
        </w:rPr>
        <w:t>20</w:t>
      </w:r>
      <w:r>
        <w:rPr>
          <w:rFonts w:hint="eastAsia" w:ascii="宋体" w:hAnsi="宋体"/>
          <w:b/>
          <w:bCs/>
          <w:color w:val="auto"/>
          <w:sz w:val="21"/>
          <w:szCs w:val="21"/>
          <w:highlight w:val="none"/>
          <w:u w:val="single"/>
        </w:rPr>
        <w:t>项</w:t>
      </w:r>
      <w:r>
        <w:rPr>
          <w:rFonts w:hint="eastAsia" w:ascii="宋体" w:hAnsi="宋体" w:eastAsia="宋体" w:cs="Times New Roman"/>
          <w:b/>
          <w:bCs/>
          <w:color w:val="auto"/>
          <w:kern w:val="2"/>
          <w:sz w:val="21"/>
          <w:szCs w:val="21"/>
          <w:highlight w:val="none"/>
          <w:u w:val="single"/>
          <w:lang w:val="en-US" w:eastAsia="zh-CN" w:bidi="ar-SA"/>
        </w:rPr>
        <w:t>的规定，</w:t>
      </w:r>
      <w:r>
        <w:rPr>
          <w:rFonts w:hint="eastAsia" w:ascii="宋体" w:hAnsi="宋体"/>
          <w:b/>
          <w:bCs/>
          <w:color w:val="auto"/>
          <w:sz w:val="21"/>
          <w:szCs w:val="21"/>
          <w:highlight w:val="none"/>
          <w:u w:val="single"/>
        </w:rPr>
        <w:t>定标委员会由招标人组建</w:t>
      </w:r>
      <w:r>
        <w:rPr>
          <w:rFonts w:hint="eastAsia" w:hAnsi="宋体"/>
          <w:b/>
          <w:bCs/>
          <w:color w:val="auto"/>
          <w:sz w:val="21"/>
          <w:szCs w:val="21"/>
          <w:highlight w:val="none"/>
          <w:u w:val="single"/>
          <w:lang w:eastAsia="zh-CN"/>
        </w:rPr>
        <w:t>，</w:t>
      </w:r>
      <w:r>
        <w:rPr>
          <w:rFonts w:hint="eastAsia" w:ascii="宋体" w:hAnsi="宋体" w:eastAsia="宋体" w:cs="Times New Roman"/>
          <w:b/>
          <w:bCs/>
          <w:color w:val="auto"/>
          <w:kern w:val="2"/>
          <w:sz w:val="21"/>
          <w:szCs w:val="21"/>
          <w:highlight w:val="none"/>
          <w:u w:val="single"/>
          <w:lang w:val="en-US" w:eastAsia="zh-CN" w:bidi="ar-SA"/>
        </w:rPr>
        <w:t>依法确定中标人。</w:t>
      </w:r>
    </w:p>
    <w:p w14:paraId="5DD1AE44">
      <w:pPr>
        <w:spacing w:line="360" w:lineRule="auto"/>
        <w:ind w:firstLine="527" w:firstLineChars="250"/>
        <w:rPr>
          <w:color w:val="auto"/>
          <w:highlight w:val="none"/>
        </w:rPr>
      </w:pPr>
      <w:r>
        <w:rPr>
          <w:rFonts w:hint="eastAsia" w:ascii="宋体" w:hAnsi="宋体"/>
          <w:b/>
          <w:color w:val="auto"/>
          <w:szCs w:val="21"/>
          <w:highlight w:val="none"/>
        </w:rPr>
        <w:t>条款号：2</w:t>
      </w:r>
      <w:r>
        <w:rPr>
          <w:rFonts w:hint="eastAsia" w:ascii="宋体" w:hAnsi="宋体"/>
          <w:b/>
          <w:color w:val="auto"/>
          <w:szCs w:val="21"/>
          <w:highlight w:val="none"/>
          <w:lang w:val="en-US" w:eastAsia="zh-CN"/>
        </w:rPr>
        <w:t>8</w:t>
      </w:r>
      <w:r>
        <w:rPr>
          <w:rFonts w:hint="eastAsia" w:ascii="宋体" w:hAnsi="宋体"/>
          <w:b/>
          <w:color w:val="auto"/>
          <w:szCs w:val="21"/>
          <w:highlight w:val="none"/>
        </w:rPr>
        <w:t>.1</w:t>
      </w:r>
      <w:r>
        <w:rPr>
          <w:rFonts w:ascii="宋体" w:hAnsi="宋体"/>
          <w:b/>
          <w:color w:val="auto"/>
          <w:szCs w:val="21"/>
          <w:highlight w:val="none"/>
        </w:rPr>
        <w:t xml:space="preserve">    </w:t>
      </w:r>
      <w:r>
        <w:rPr>
          <w:rFonts w:hint="eastAsia" w:ascii="宋体" w:hAnsi="宋体"/>
          <w:b/>
          <w:color w:val="auto"/>
          <w:szCs w:val="21"/>
          <w:highlight w:val="none"/>
        </w:rPr>
        <w:t xml:space="preserve">                       </w:t>
      </w:r>
      <w:r>
        <w:rPr>
          <w:rFonts w:ascii="宋体" w:hAnsi="宋体"/>
          <w:b/>
          <w:color w:val="auto"/>
          <w:szCs w:val="21"/>
          <w:highlight w:val="none"/>
        </w:rPr>
        <w:t xml:space="preserve">    </w:t>
      </w:r>
      <w:r>
        <w:rPr>
          <w:rFonts w:hint="eastAsia" w:ascii="宋体" w:hAnsi="宋体"/>
          <w:b/>
          <w:color w:val="auto"/>
          <w:szCs w:val="21"/>
          <w:highlight w:val="none"/>
        </w:rPr>
        <w:t>修改类型：修改</w:t>
      </w:r>
    </w:p>
    <w:p w14:paraId="7F48BDD6">
      <w:pPr>
        <w:pBdr>
          <w:bottom w:val="single" w:color="auto" w:sz="6" w:space="1"/>
        </w:pBdr>
        <w:spacing w:line="360" w:lineRule="auto"/>
        <w:ind w:firstLine="527" w:firstLineChars="250"/>
        <w:rPr>
          <w:rFonts w:hint="eastAsia" w:ascii="宋体" w:hAnsi="宋体"/>
          <w:color w:val="auto"/>
          <w:szCs w:val="21"/>
          <w:highlight w:val="none"/>
          <w:u w:val="single"/>
        </w:rPr>
      </w:pPr>
      <w:r>
        <w:rPr>
          <w:rFonts w:hint="eastAsia" w:ascii="宋体" w:hAnsi="宋体"/>
          <w:b/>
          <w:color w:val="auto"/>
          <w:szCs w:val="21"/>
          <w:highlight w:val="none"/>
        </w:rPr>
        <w:t>原文：</w:t>
      </w:r>
      <w:r>
        <w:rPr>
          <w:rFonts w:hint="eastAsia" w:ascii="宋体" w:hAnsi="宋体"/>
          <w:color w:val="auto"/>
          <w:sz w:val="21"/>
          <w:szCs w:val="21"/>
          <w:highlight w:val="none"/>
          <w:lang w:val="en-US" w:eastAsia="zh-CN"/>
        </w:rPr>
        <w:t>28</w:t>
      </w:r>
      <w:r>
        <w:rPr>
          <w:rFonts w:hint="eastAsia" w:ascii="宋体" w:hAnsi="宋体"/>
          <w:color w:val="auto"/>
          <w:sz w:val="21"/>
          <w:szCs w:val="21"/>
          <w:highlight w:val="none"/>
        </w:rPr>
        <w:t>.1招标人将在</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交易平台、广东省招标投标监管网和中国招标投标公共服务平台公示中标候选人，公示期为三天</w:t>
      </w:r>
      <w:r>
        <w:rPr>
          <w:rFonts w:hint="eastAsia" w:ascii="宋体" w:hAnsi="宋体"/>
          <w:color w:val="auto"/>
          <w:sz w:val="21"/>
          <w:szCs w:val="21"/>
          <w:highlight w:val="none"/>
          <w:lang w:eastAsia="zh-CN"/>
        </w:rPr>
        <w:t>（最后一天应为工作日）</w:t>
      </w:r>
      <w:r>
        <w:rPr>
          <w:rFonts w:hint="eastAsia" w:ascii="宋体" w:hAnsi="宋体"/>
          <w:color w:val="auto"/>
          <w:sz w:val="21"/>
          <w:szCs w:val="21"/>
          <w:highlight w:val="none"/>
        </w:rPr>
        <w:t>。投标人或其他利害关系人对评标结果有异议的，应当在中标候选人公示期间提出，通过</w:t>
      </w:r>
      <w:r>
        <w:rPr>
          <w:rFonts w:hint="eastAsia" w:ascii="宋体" w:hAnsi="宋体"/>
          <w:color w:val="auto"/>
          <w:sz w:val="21"/>
          <w:szCs w:val="21"/>
          <w:highlight w:val="none"/>
          <w:lang w:eastAsia="zh-CN"/>
        </w:rPr>
        <w:t>电子交易系统向招标人</w:t>
      </w:r>
      <w:r>
        <w:rPr>
          <w:rFonts w:hint="eastAsia" w:ascii="宋体" w:hAnsi="宋体"/>
          <w:color w:val="auto"/>
          <w:sz w:val="21"/>
          <w:szCs w:val="21"/>
          <w:highlight w:val="none"/>
        </w:rPr>
        <w:t>提出异议</w:t>
      </w:r>
      <w:r>
        <w:rPr>
          <w:rFonts w:hint="eastAsia" w:ascii="宋体" w:hAnsi="宋体"/>
          <w:color w:val="auto"/>
          <w:sz w:val="21"/>
          <w:szCs w:val="21"/>
          <w:highlight w:val="none"/>
          <w:lang w:eastAsia="zh-CN"/>
        </w:rPr>
        <w:t>，</w:t>
      </w:r>
      <w:r>
        <w:rPr>
          <w:rFonts w:hint="eastAsia" w:ascii="宋体" w:hAnsi="宋体"/>
          <w:color w:val="auto"/>
          <w:sz w:val="21"/>
          <w:szCs w:val="21"/>
          <w:highlight w:val="none"/>
        </w:rPr>
        <w:t>招标人也应通过交易平台答复线上提交的异议</w:t>
      </w:r>
      <w:r>
        <w:rPr>
          <w:rFonts w:hint="eastAsia" w:ascii="宋体" w:hAnsi="宋体"/>
          <w:color w:val="auto"/>
          <w:sz w:val="21"/>
          <w:szCs w:val="21"/>
          <w:highlight w:val="none"/>
          <w:lang w:eastAsia="zh-CN"/>
        </w:rPr>
        <w:t>，</w:t>
      </w:r>
      <w:r>
        <w:rPr>
          <w:rFonts w:hint="eastAsia" w:ascii="宋体" w:hAnsi="宋体"/>
          <w:color w:val="auto"/>
          <w:sz w:val="21"/>
          <w:szCs w:val="21"/>
          <w:highlight w:val="none"/>
        </w:rPr>
        <w:t>具体按照</w:t>
      </w:r>
      <w:r>
        <w:rPr>
          <w:rFonts w:hint="eastAsia" w:ascii="宋体" w:hAnsi="宋体"/>
          <w:color w:val="auto"/>
          <w:sz w:val="21"/>
          <w:szCs w:val="21"/>
          <w:highlight w:val="none"/>
          <w:lang w:eastAsia="zh-CN"/>
        </w:rPr>
        <w:t>电子招标投标</w:t>
      </w:r>
      <w:r>
        <w:rPr>
          <w:rFonts w:hint="eastAsia" w:ascii="宋体" w:hAnsi="宋体"/>
          <w:color w:val="auto"/>
          <w:sz w:val="21"/>
          <w:szCs w:val="21"/>
          <w:highlight w:val="none"/>
        </w:rPr>
        <w:t>交易平台相关指南进行操作。作出答复前，应当暂停招标投标活动。</w:t>
      </w:r>
      <w:r>
        <w:rPr>
          <w:rFonts w:hint="eastAsia" w:ascii="宋体" w:hAnsi="宋体"/>
          <w:color w:val="auto"/>
          <w:sz w:val="21"/>
          <w:szCs w:val="21"/>
          <w:highlight w:val="none"/>
          <w:u w:val="single"/>
          <w:lang w:eastAsia="zh-CN"/>
        </w:rPr>
        <w:t>投标人提出异议时需</w:t>
      </w:r>
      <w:r>
        <w:rPr>
          <w:rFonts w:hint="eastAsia" w:ascii="宋体" w:hAnsi="宋体"/>
          <w:color w:val="auto"/>
          <w:sz w:val="21"/>
          <w:szCs w:val="21"/>
          <w:highlight w:val="none"/>
          <w:u w:val="single"/>
          <w:lang w:val="en-US" w:eastAsia="zh-CN"/>
        </w:rPr>
        <w:t>在线提交</w:t>
      </w:r>
      <w:r>
        <w:rPr>
          <w:rFonts w:hint="eastAsia" w:ascii="宋体" w:hAnsi="宋体"/>
          <w:color w:val="auto"/>
          <w:sz w:val="21"/>
          <w:szCs w:val="21"/>
          <w:highlight w:val="none"/>
          <w:u w:val="single"/>
          <w:lang w:eastAsia="zh-CN"/>
        </w:rPr>
        <w:t>书面的异议书（异议书应清晰表述异议事项、依据、线索、请求或主张、有效的联系方式等）并附法定代表人证明书、有效的授权委托书、被授权人的有效身份证明。</w:t>
      </w:r>
    </w:p>
    <w:p w14:paraId="00D63195">
      <w:pPr>
        <w:spacing w:line="360" w:lineRule="auto"/>
        <w:ind w:firstLine="422" w:firstLineChars="200"/>
        <w:rPr>
          <w:rFonts w:hint="eastAsia" w:ascii="宋体" w:hAnsi="宋体"/>
          <w:color w:val="auto"/>
          <w:sz w:val="21"/>
          <w:szCs w:val="21"/>
          <w:highlight w:val="none"/>
          <w:u w:val="single"/>
          <w:lang w:eastAsia="zh-CN"/>
        </w:rPr>
      </w:pPr>
      <w:r>
        <w:rPr>
          <w:rFonts w:hint="eastAsia" w:ascii="宋体" w:hAnsi="宋体"/>
          <w:b/>
          <w:bCs/>
          <w:color w:val="auto"/>
          <w:szCs w:val="21"/>
          <w:highlight w:val="none"/>
          <w:u w:val="none"/>
          <w:lang w:eastAsia="zh-CN"/>
        </w:rPr>
        <w:t>现文：</w:t>
      </w:r>
      <w:r>
        <w:rPr>
          <w:rFonts w:hint="eastAsia" w:ascii="宋体" w:hAnsi="宋体"/>
          <w:color w:val="auto"/>
          <w:sz w:val="21"/>
          <w:szCs w:val="21"/>
          <w:highlight w:val="none"/>
          <w:lang w:val="en-US" w:eastAsia="zh-CN"/>
        </w:rPr>
        <w:t>28</w:t>
      </w:r>
      <w:r>
        <w:rPr>
          <w:rFonts w:hint="eastAsia" w:ascii="宋体" w:hAnsi="宋体"/>
          <w:color w:val="auto"/>
          <w:sz w:val="21"/>
          <w:szCs w:val="21"/>
          <w:highlight w:val="none"/>
        </w:rPr>
        <w:t>.1招标人将在</w:t>
      </w:r>
      <w:r>
        <w:rPr>
          <w:rFonts w:hint="eastAsia" w:ascii="宋体" w:hAnsi="宋体"/>
          <w:b/>
          <w:bCs/>
          <w:color w:val="auto"/>
          <w:sz w:val="21"/>
          <w:szCs w:val="21"/>
          <w:highlight w:val="none"/>
          <w:u w:val="single"/>
        </w:rPr>
        <w:t>广州交易集团有限公司（广州公共资源交易中心）</w:t>
      </w:r>
      <w:r>
        <w:rPr>
          <w:rFonts w:hint="eastAsia" w:ascii="宋体" w:hAnsi="宋体"/>
          <w:color w:val="auto"/>
          <w:sz w:val="21"/>
          <w:szCs w:val="21"/>
          <w:highlight w:val="none"/>
        </w:rPr>
        <w:t>交易平台、广东省招标投标监管网和中国招标投标公共服务平台公示</w:t>
      </w:r>
      <w:r>
        <w:rPr>
          <w:rFonts w:hint="eastAsia" w:ascii="宋体" w:hAnsi="宋体"/>
          <w:b/>
          <w:bCs/>
          <w:color w:val="auto"/>
          <w:sz w:val="21"/>
          <w:szCs w:val="21"/>
          <w:highlight w:val="none"/>
          <w:u w:val="single"/>
          <w:lang w:val="en-US" w:eastAsia="zh-CN"/>
        </w:rPr>
        <w:t>合格的</w:t>
      </w:r>
      <w:r>
        <w:rPr>
          <w:rFonts w:hint="eastAsia" w:ascii="宋体" w:hAnsi="宋体"/>
          <w:color w:val="auto"/>
          <w:sz w:val="21"/>
          <w:szCs w:val="21"/>
          <w:highlight w:val="none"/>
        </w:rPr>
        <w:t>中标候选人，公示期为三天</w:t>
      </w:r>
      <w:r>
        <w:rPr>
          <w:rFonts w:hint="eastAsia" w:ascii="宋体" w:hAnsi="宋体"/>
          <w:color w:val="auto"/>
          <w:sz w:val="21"/>
          <w:szCs w:val="21"/>
          <w:highlight w:val="none"/>
          <w:lang w:eastAsia="zh-CN"/>
        </w:rPr>
        <w:t>（最后一天应为工作日）</w:t>
      </w:r>
      <w:r>
        <w:rPr>
          <w:rFonts w:hint="eastAsia" w:ascii="宋体" w:hAnsi="宋体"/>
          <w:color w:val="auto"/>
          <w:sz w:val="21"/>
          <w:szCs w:val="21"/>
          <w:highlight w:val="none"/>
        </w:rPr>
        <w:t>。投标人或其他利害关系人对评标结果有异议的，应当在</w:t>
      </w:r>
      <w:r>
        <w:rPr>
          <w:rFonts w:hint="eastAsia" w:ascii="宋体" w:hAnsi="宋体"/>
          <w:b/>
          <w:bCs/>
          <w:color w:val="auto"/>
          <w:sz w:val="21"/>
          <w:szCs w:val="21"/>
          <w:highlight w:val="none"/>
          <w:u w:val="single"/>
          <w:lang w:val="en-US" w:eastAsia="zh-CN"/>
        </w:rPr>
        <w:t>合格的</w:t>
      </w:r>
      <w:r>
        <w:rPr>
          <w:rFonts w:hint="eastAsia" w:ascii="宋体" w:hAnsi="宋体"/>
          <w:color w:val="auto"/>
          <w:sz w:val="21"/>
          <w:szCs w:val="21"/>
          <w:highlight w:val="none"/>
        </w:rPr>
        <w:t>中标候选人公示期间提出，通过</w:t>
      </w:r>
      <w:r>
        <w:rPr>
          <w:rFonts w:hint="eastAsia" w:ascii="宋体" w:hAnsi="宋体"/>
          <w:color w:val="auto"/>
          <w:sz w:val="21"/>
          <w:szCs w:val="21"/>
          <w:highlight w:val="none"/>
          <w:lang w:eastAsia="zh-CN"/>
        </w:rPr>
        <w:t>电子交易系统向招标人</w:t>
      </w:r>
      <w:r>
        <w:rPr>
          <w:rFonts w:hint="eastAsia" w:ascii="宋体" w:hAnsi="宋体"/>
          <w:color w:val="auto"/>
          <w:sz w:val="21"/>
          <w:szCs w:val="21"/>
          <w:highlight w:val="none"/>
        </w:rPr>
        <w:t>提出异议</w:t>
      </w:r>
      <w:r>
        <w:rPr>
          <w:rFonts w:hint="eastAsia" w:ascii="宋体" w:hAnsi="宋体"/>
          <w:color w:val="auto"/>
          <w:sz w:val="21"/>
          <w:szCs w:val="21"/>
          <w:highlight w:val="none"/>
          <w:lang w:eastAsia="zh-CN"/>
        </w:rPr>
        <w:t>，</w:t>
      </w:r>
      <w:r>
        <w:rPr>
          <w:rFonts w:hint="eastAsia" w:ascii="宋体" w:hAnsi="宋体"/>
          <w:color w:val="auto"/>
          <w:sz w:val="21"/>
          <w:szCs w:val="21"/>
          <w:highlight w:val="none"/>
        </w:rPr>
        <w:t>招标人也应通过交易平台答复线上提交的异议</w:t>
      </w:r>
      <w:r>
        <w:rPr>
          <w:rFonts w:hint="eastAsia" w:ascii="宋体" w:hAnsi="宋体"/>
          <w:color w:val="auto"/>
          <w:sz w:val="21"/>
          <w:szCs w:val="21"/>
          <w:highlight w:val="none"/>
          <w:lang w:eastAsia="zh-CN"/>
        </w:rPr>
        <w:t>，</w:t>
      </w:r>
      <w:r>
        <w:rPr>
          <w:rFonts w:hint="eastAsia" w:ascii="宋体" w:hAnsi="宋体"/>
          <w:color w:val="auto"/>
          <w:sz w:val="21"/>
          <w:szCs w:val="21"/>
          <w:highlight w:val="none"/>
        </w:rPr>
        <w:t>具体按照</w:t>
      </w:r>
      <w:r>
        <w:rPr>
          <w:rFonts w:hint="eastAsia" w:ascii="宋体" w:hAnsi="宋体"/>
          <w:color w:val="auto"/>
          <w:sz w:val="21"/>
          <w:szCs w:val="21"/>
          <w:highlight w:val="none"/>
          <w:lang w:eastAsia="zh-CN"/>
        </w:rPr>
        <w:t>电子招标投标</w:t>
      </w:r>
      <w:r>
        <w:rPr>
          <w:rFonts w:hint="eastAsia" w:ascii="宋体" w:hAnsi="宋体"/>
          <w:color w:val="auto"/>
          <w:sz w:val="21"/>
          <w:szCs w:val="21"/>
          <w:highlight w:val="none"/>
        </w:rPr>
        <w:t>交易平台相关指南进行操作。作出答复前，应当暂停招标投标活动。</w:t>
      </w:r>
      <w:r>
        <w:rPr>
          <w:rFonts w:hint="eastAsia" w:ascii="宋体" w:hAnsi="宋体"/>
          <w:color w:val="auto"/>
          <w:sz w:val="21"/>
          <w:szCs w:val="21"/>
          <w:highlight w:val="none"/>
          <w:u w:val="single"/>
          <w:lang w:eastAsia="zh-CN"/>
        </w:rPr>
        <w:t>投标人提出异议时需</w:t>
      </w:r>
      <w:r>
        <w:rPr>
          <w:rFonts w:hint="eastAsia" w:ascii="宋体" w:hAnsi="宋体"/>
          <w:color w:val="auto"/>
          <w:sz w:val="21"/>
          <w:szCs w:val="21"/>
          <w:highlight w:val="none"/>
          <w:u w:val="single"/>
          <w:lang w:val="en-US" w:eastAsia="zh-CN"/>
        </w:rPr>
        <w:t>在线提交</w:t>
      </w:r>
      <w:r>
        <w:rPr>
          <w:rFonts w:hint="eastAsia" w:ascii="宋体" w:hAnsi="宋体"/>
          <w:color w:val="auto"/>
          <w:sz w:val="21"/>
          <w:szCs w:val="21"/>
          <w:highlight w:val="none"/>
          <w:u w:val="single"/>
          <w:lang w:eastAsia="zh-CN"/>
        </w:rPr>
        <w:t>书面的异议书（异议书应清晰表述异议事项、依据、线索、请求或主张、有效的联系方式等）并附法定代表人证明书、有效的授权委托书、被授权人的有效身份证明。</w:t>
      </w:r>
    </w:p>
    <w:p w14:paraId="5F713DA1">
      <w:pPr>
        <w:pBdr>
          <w:bottom w:val="single" w:color="auto" w:sz="6" w:space="1"/>
        </w:pBdr>
        <w:spacing w:line="360" w:lineRule="auto"/>
        <w:ind w:firstLine="527" w:firstLineChars="250"/>
        <w:rPr>
          <w:rFonts w:ascii="宋体" w:hAnsi="宋体"/>
          <w:color w:val="auto"/>
          <w:szCs w:val="21"/>
          <w:highlight w:val="none"/>
          <w:u w:val="single"/>
        </w:rPr>
      </w:pPr>
      <w:r>
        <w:rPr>
          <w:rFonts w:hint="eastAsia" w:ascii="宋体" w:hAnsi="宋体"/>
          <w:b/>
          <w:bCs/>
          <w:color w:val="auto"/>
          <w:sz w:val="21"/>
          <w:szCs w:val="21"/>
          <w:highlight w:val="none"/>
          <w:u w:val="single"/>
        </w:rPr>
        <w:t>中标单位的法定代表人或授权委托代理人和项目经理必须在中标公示期满之日起3个工作日内，持个人身份证原件、单位公章印鉴、营业执照、资质证书、项目主要管理人员个人身份证原件和资格证（或岗位证）以及在中标单位购买的近1个月的社保证明原件、复印件（加盖中标单位公章）到建设（或代建）单位进行身份核查备案。经核查，确认与投标文件一致的，方可签订施工合同。若身份核查发现与投标文件不一致的，中标无效。逾期不办理的，视为自动放弃中标资格，</w:t>
      </w:r>
      <w:r>
        <w:rPr>
          <w:rFonts w:hint="eastAsia" w:ascii="宋体" w:hAnsi="宋体" w:cs="宋体"/>
          <w:b/>
          <w:bCs w:val="0"/>
          <w:color w:val="auto"/>
          <w:sz w:val="21"/>
          <w:szCs w:val="21"/>
          <w:highlight w:val="none"/>
          <w:u w:val="single"/>
          <w:lang w:val="en-US" w:eastAsia="zh-CN"/>
        </w:rPr>
        <w:t>招标人可以重新招标或由原定标委员会根据原定标办法从其他合格的中标候选人中重新票决确定中标人并公示。</w:t>
      </w:r>
    </w:p>
    <w:p w14:paraId="5B3A074D">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条款号：2</w:t>
      </w:r>
      <w:r>
        <w:rPr>
          <w:rFonts w:hint="eastAsia" w:ascii="宋体" w:hAnsi="宋体"/>
          <w:b/>
          <w:color w:val="auto"/>
          <w:szCs w:val="21"/>
          <w:highlight w:val="none"/>
          <w:lang w:val="en-US" w:eastAsia="zh-CN"/>
        </w:rPr>
        <w:t>8</w:t>
      </w:r>
      <w:r>
        <w:rPr>
          <w:rFonts w:hint="eastAsia" w:ascii="宋体" w:hAnsi="宋体"/>
          <w:b/>
          <w:color w:val="auto"/>
          <w:szCs w:val="21"/>
          <w:highlight w:val="none"/>
        </w:rPr>
        <w:t>.4                修改类型：修改</w:t>
      </w:r>
    </w:p>
    <w:p w14:paraId="23AD7008">
      <w:pPr>
        <w:spacing w:line="360" w:lineRule="auto"/>
        <w:ind w:firstLine="422" w:firstLineChars="200"/>
        <w:rPr>
          <w:rFonts w:ascii="宋体" w:hAnsi="宋体"/>
          <w:bCs/>
          <w:color w:val="auto"/>
          <w:szCs w:val="21"/>
          <w:highlight w:val="none"/>
        </w:rPr>
      </w:pPr>
      <w:r>
        <w:rPr>
          <w:rFonts w:hint="eastAsia" w:ascii="宋体" w:hAnsi="宋体"/>
          <w:b/>
          <w:color w:val="auto"/>
          <w:szCs w:val="21"/>
          <w:highlight w:val="none"/>
        </w:rPr>
        <w:t>原文：</w:t>
      </w:r>
      <w:r>
        <w:rPr>
          <w:rFonts w:hint="eastAsia" w:ascii="宋体" w:hAnsi="宋体"/>
          <w:bCs/>
          <w:color w:val="auto"/>
          <w:szCs w:val="21"/>
          <w:highlight w:val="none"/>
        </w:rPr>
        <w:t>2</w:t>
      </w:r>
      <w:r>
        <w:rPr>
          <w:rFonts w:hint="eastAsia" w:ascii="宋体" w:hAnsi="宋体"/>
          <w:bCs/>
          <w:color w:val="auto"/>
          <w:szCs w:val="21"/>
          <w:highlight w:val="none"/>
          <w:lang w:val="en-US" w:eastAsia="zh-CN"/>
        </w:rPr>
        <w:t>8</w:t>
      </w:r>
      <w:r>
        <w:rPr>
          <w:rFonts w:hint="eastAsia" w:ascii="宋体" w:hAnsi="宋体"/>
          <w:bCs/>
          <w:color w:val="auto"/>
          <w:szCs w:val="21"/>
          <w:highlight w:val="none"/>
        </w:rPr>
        <w:t>.4</w:t>
      </w:r>
      <w:r>
        <w:rPr>
          <w:rFonts w:hint="eastAsia" w:ascii="宋体" w:hAnsi="宋体"/>
          <w:color w:val="auto"/>
          <w:sz w:val="21"/>
          <w:szCs w:val="21"/>
          <w:highlight w:val="none"/>
        </w:rPr>
        <w:t>在产生中标候选人后，招标人将中标候选人的投标文件商务部分文件的所有内容（包括人员、业绩、奖项等资料）在</w:t>
      </w:r>
      <w:r>
        <w:rPr>
          <w:rFonts w:hint="eastAsia" w:ascii="宋体" w:hAnsi="宋体"/>
          <w:color w:val="auto"/>
          <w:sz w:val="21"/>
          <w:szCs w:val="21"/>
          <w:highlight w:val="none"/>
          <w:u w:val="single"/>
        </w:rPr>
        <w:t xml:space="preserve">        </w:t>
      </w:r>
      <w:r>
        <w:rPr>
          <w:rFonts w:hint="eastAsia" w:ascii="宋体" w:hAnsi="宋体"/>
          <w:color w:val="auto"/>
          <w:sz w:val="21"/>
          <w:szCs w:val="21"/>
          <w:highlight w:val="none"/>
        </w:rPr>
        <w:t>交易平台和广东省招标投标监管网公开。</w:t>
      </w:r>
    </w:p>
    <w:p w14:paraId="48214C91">
      <w:pPr>
        <w:pBdr>
          <w:bottom w:val="single" w:color="auto" w:sz="6" w:space="1"/>
        </w:pBdr>
        <w:spacing w:line="360" w:lineRule="auto"/>
        <w:ind w:firstLine="422" w:firstLineChars="200"/>
        <w:rPr>
          <w:rFonts w:ascii="宋体" w:hAnsi="宋体"/>
          <w:color w:val="auto"/>
          <w:szCs w:val="21"/>
          <w:highlight w:val="none"/>
          <w:u w:val="single"/>
        </w:rPr>
      </w:pPr>
      <w:r>
        <w:rPr>
          <w:rFonts w:hint="eastAsia" w:ascii="宋体" w:hAnsi="宋体"/>
          <w:b/>
          <w:color w:val="auto"/>
          <w:szCs w:val="21"/>
          <w:highlight w:val="none"/>
        </w:rPr>
        <w:t>现文：</w:t>
      </w:r>
      <w:r>
        <w:rPr>
          <w:rFonts w:hint="eastAsia" w:ascii="宋体" w:hAnsi="宋体"/>
          <w:bCs/>
          <w:color w:val="auto"/>
          <w:szCs w:val="21"/>
          <w:highlight w:val="none"/>
        </w:rPr>
        <w:t>2</w:t>
      </w:r>
      <w:r>
        <w:rPr>
          <w:rFonts w:hint="eastAsia" w:ascii="宋体" w:hAnsi="宋体"/>
          <w:bCs/>
          <w:color w:val="auto"/>
          <w:szCs w:val="21"/>
          <w:highlight w:val="none"/>
          <w:lang w:val="en-US" w:eastAsia="zh-CN"/>
        </w:rPr>
        <w:t>8</w:t>
      </w:r>
      <w:r>
        <w:rPr>
          <w:rFonts w:hint="eastAsia" w:ascii="宋体" w:hAnsi="宋体"/>
          <w:bCs/>
          <w:color w:val="auto"/>
          <w:szCs w:val="21"/>
          <w:highlight w:val="none"/>
        </w:rPr>
        <w:t>.4在产生</w:t>
      </w:r>
      <w:r>
        <w:rPr>
          <w:rFonts w:hint="eastAsia" w:ascii="宋体" w:hAnsi="宋体"/>
          <w:b/>
          <w:bCs/>
          <w:color w:val="auto"/>
          <w:sz w:val="21"/>
          <w:szCs w:val="21"/>
          <w:highlight w:val="none"/>
          <w:u w:val="single"/>
          <w:lang w:val="en-US" w:eastAsia="zh-CN"/>
        </w:rPr>
        <w:t>合格的</w:t>
      </w:r>
      <w:r>
        <w:rPr>
          <w:rFonts w:hint="eastAsia" w:ascii="宋体" w:hAnsi="宋体"/>
          <w:bCs/>
          <w:color w:val="auto"/>
          <w:szCs w:val="21"/>
          <w:highlight w:val="none"/>
        </w:rPr>
        <w:t>中标候选人后，招标人将</w:t>
      </w:r>
      <w:r>
        <w:rPr>
          <w:rFonts w:hint="eastAsia" w:ascii="宋体" w:hAnsi="宋体"/>
          <w:b/>
          <w:bCs/>
          <w:color w:val="auto"/>
          <w:sz w:val="21"/>
          <w:szCs w:val="21"/>
          <w:highlight w:val="none"/>
          <w:u w:val="single"/>
          <w:lang w:val="en-US" w:eastAsia="zh-CN"/>
        </w:rPr>
        <w:t>合格的</w:t>
      </w:r>
      <w:r>
        <w:rPr>
          <w:rFonts w:hint="eastAsia" w:ascii="宋体" w:hAnsi="宋体"/>
          <w:bCs/>
          <w:color w:val="auto"/>
          <w:szCs w:val="21"/>
          <w:highlight w:val="none"/>
        </w:rPr>
        <w:t>中标候选人的投标文件商务部分文件的所有内容（包括人员、业绩、奖项等资料）在</w:t>
      </w:r>
      <w:r>
        <w:rPr>
          <w:rFonts w:hint="eastAsia" w:ascii="宋体" w:hAnsi="宋体"/>
          <w:b/>
          <w:bCs w:val="0"/>
          <w:color w:val="auto"/>
          <w:szCs w:val="21"/>
          <w:highlight w:val="none"/>
          <w:u w:val="single"/>
        </w:rPr>
        <w:t>广州交易集团有限公司（广州公共资源交易中心）</w:t>
      </w:r>
      <w:r>
        <w:rPr>
          <w:rFonts w:hint="eastAsia" w:ascii="宋体" w:hAnsi="宋体"/>
          <w:bCs/>
          <w:color w:val="auto"/>
          <w:szCs w:val="21"/>
          <w:highlight w:val="none"/>
        </w:rPr>
        <w:t>交易平台和广东省招标投标监管网公开。</w:t>
      </w:r>
    </w:p>
    <w:p w14:paraId="15E46579">
      <w:pPr>
        <w:spacing w:line="360" w:lineRule="auto"/>
        <w:ind w:firstLine="472" w:firstLineChars="224"/>
        <w:rPr>
          <w:rFonts w:hint="eastAsia" w:ascii="宋体" w:hAnsi="宋体" w:eastAsia="宋体"/>
          <w:b/>
          <w:color w:val="auto"/>
          <w:szCs w:val="21"/>
          <w:highlight w:val="none"/>
          <w:lang w:eastAsia="zh-CN"/>
        </w:rPr>
      </w:pPr>
      <w:r>
        <w:rPr>
          <w:rFonts w:hint="eastAsia" w:ascii="宋体" w:hAnsi="宋体"/>
          <w:b/>
          <w:color w:val="auto"/>
          <w:szCs w:val="21"/>
          <w:highlight w:val="none"/>
        </w:rPr>
        <w:t>条款号：2</w:t>
      </w:r>
      <w:r>
        <w:rPr>
          <w:rFonts w:hint="eastAsia" w:ascii="宋体" w:hAnsi="宋体"/>
          <w:b/>
          <w:color w:val="auto"/>
          <w:szCs w:val="21"/>
          <w:highlight w:val="none"/>
          <w:lang w:val="en-US" w:eastAsia="zh-CN"/>
        </w:rPr>
        <w:t>8</w:t>
      </w:r>
      <w:r>
        <w:rPr>
          <w:rFonts w:hint="eastAsia" w:ascii="宋体" w:hAnsi="宋体"/>
          <w:b/>
          <w:color w:val="auto"/>
          <w:szCs w:val="21"/>
          <w:highlight w:val="none"/>
        </w:rPr>
        <w:t>.5</w:t>
      </w:r>
      <w:r>
        <w:rPr>
          <w:rFonts w:ascii="宋体" w:hAnsi="宋体"/>
          <w:b/>
          <w:color w:val="auto"/>
          <w:szCs w:val="21"/>
          <w:highlight w:val="none"/>
        </w:rPr>
        <w:t>-</w:t>
      </w:r>
      <w:r>
        <w:rPr>
          <w:rFonts w:hint="eastAsia" w:ascii="宋体" w:hAnsi="宋体"/>
          <w:b/>
          <w:color w:val="auto"/>
          <w:szCs w:val="21"/>
          <w:highlight w:val="none"/>
        </w:rPr>
        <w:t>2</w:t>
      </w:r>
      <w:r>
        <w:rPr>
          <w:rFonts w:hint="eastAsia" w:ascii="宋体" w:hAnsi="宋体"/>
          <w:b/>
          <w:color w:val="auto"/>
          <w:szCs w:val="21"/>
          <w:highlight w:val="none"/>
          <w:lang w:val="en-US" w:eastAsia="zh-CN"/>
        </w:rPr>
        <w:t>8.</w:t>
      </w:r>
      <w:r>
        <w:rPr>
          <w:rFonts w:hint="eastAsia" w:ascii="宋体" w:hAnsi="宋体"/>
          <w:b/>
          <w:color w:val="auto"/>
          <w:szCs w:val="21"/>
          <w:highlight w:val="none"/>
        </w:rPr>
        <w:t>6             修改类型：</w:t>
      </w:r>
      <w:r>
        <w:rPr>
          <w:rFonts w:hint="eastAsia" w:ascii="宋体" w:hAnsi="宋体"/>
          <w:b/>
          <w:color w:val="auto"/>
          <w:szCs w:val="21"/>
          <w:highlight w:val="none"/>
          <w:lang w:val="en-US" w:eastAsia="zh-CN"/>
        </w:rPr>
        <w:t>修改</w:t>
      </w:r>
    </w:p>
    <w:p w14:paraId="3B49D8C3">
      <w:pPr>
        <w:spacing w:line="360" w:lineRule="auto"/>
        <w:ind w:firstLine="422" w:firstLineChars="200"/>
        <w:rPr>
          <w:rFonts w:hint="eastAsia" w:ascii="宋体" w:hAnsi="宋体" w:eastAsia="宋体" w:cs="Times New Roman"/>
          <w:color w:val="auto"/>
          <w:sz w:val="21"/>
          <w:szCs w:val="21"/>
          <w:highlight w:val="none"/>
          <w:lang w:eastAsia="zh-CN"/>
        </w:rPr>
      </w:pPr>
      <w:r>
        <w:rPr>
          <w:rFonts w:hint="eastAsia" w:ascii="宋体" w:hAnsi="宋体" w:cs="Times New Roman"/>
          <w:b/>
          <w:bCs/>
          <w:color w:val="auto"/>
          <w:sz w:val="21"/>
          <w:szCs w:val="21"/>
          <w:highlight w:val="none"/>
          <w:lang w:val="en-US" w:eastAsia="zh-CN"/>
        </w:rPr>
        <w:t>原文</w:t>
      </w:r>
      <w:r>
        <w:rPr>
          <w:rFonts w:hint="eastAsia" w:ascii="宋体" w:hAnsi="宋体" w:cs="Times New Roman"/>
          <w:color w:val="auto"/>
          <w:sz w:val="21"/>
          <w:szCs w:val="21"/>
          <w:highlight w:val="none"/>
          <w:lang w:val="en-US" w:eastAsia="zh-CN"/>
        </w:rPr>
        <w:t>：28</w:t>
      </w:r>
      <w:r>
        <w:rPr>
          <w:rFonts w:hint="eastAsia" w:ascii="宋体" w:hAnsi="宋体" w:eastAsia="宋体" w:cs="Times New Roman"/>
          <w:color w:val="auto"/>
          <w:sz w:val="21"/>
          <w:szCs w:val="21"/>
          <w:highlight w:val="none"/>
          <w:lang w:val="en-US" w:eastAsia="zh-CN"/>
        </w:rPr>
        <w:t>.5</w:t>
      </w:r>
      <w:r>
        <w:rPr>
          <w:rFonts w:hint="eastAsia" w:ascii="宋体" w:hAnsi="宋体" w:cs="Times New Roman"/>
          <w:color w:val="auto"/>
          <w:sz w:val="21"/>
          <w:szCs w:val="21"/>
          <w:highlight w:val="none"/>
          <w:lang w:val="en-US" w:eastAsia="zh-CN"/>
        </w:rPr>
        <w:t>（适用于轨道交通建设项目）</w:t>
      </w:r>
      <w:r>
        <w:rPr>
          <w:rFonts w:hint="eastAsia" w:ascii="宋体" w:hAnsi="宋体" w:eastAsia="宋体" w:cs="Times New Roman"/>
          <w:color w:val="auto"/>
          <w:sz w:val="21"/>
          <w:szCs w:val="21"/>
          <w:highlight w:val="none"/>
          <w:lang w:val="en-US" w:eastAsia="zh-CN"/>
        </w:rPr>
        <w:t>如</w:t>
      </w:r>
      <w:r>
        <w:rPr>
          <w:rFonts w:hint="eastAsia" w:ascii="宋体" w:hAnsi="宋体" w:eastAsia="宋体" w:cs="Times New Roman"/>
          <w:color w:val="auto"/>
          <w:sz w:val="21"/>
          <w:szCs w:val="21"/>
          <w:highlight w:val="none"/>
        </w:rPr>
        <w:t>项目采用整体发包的形式开展施工总承包招标，</w:t>
      </w:r>
      <w:r>
        <w:rPr>
          <w:rFonts w:hint="eastAsia" w:ascii="宋体" w:hAnsi="宋体" w:eastAsia="宋体" w:cs="Times New Roman"/>
          <w:color w:val="auto"/>
          <w:sz w:val="21"/>
          <w:szCs w:val="21"/>
          <w:highlight w:val="none"/>
          <w:lang w:eastAsia="zh-CN"/>
        </w:rPr>
        <w:t>且</w:t>
      </w:r>
      <w:r>
        <w:rPr>
          <w:rFonts w:hint="eastAsia" w:ascii="宋体" w:hAnsi="宋体" w:eastAsia="宋体" w:cs="Times New Roman"/>
          <w:color w:val="auto"/>
          <w:sz w:val="21"/>
          <w:szCs w:val="21"/>
          <w:highlight w:val="none"/>
        </w:rPr>
        <w:t>后续需分</w:t>
      </w:r>
      <w:r>
        <w:rPr>
          <w:rFonts w:hint="eastAsia" w:ascii="宋体" w:hAnsi="宋体" w:cs="Times New Roman"/>
          <w:color w:val="auto"/>
          <w:sz w:val="21"/>
          <w:szCs w:val="21"/>
          <w:highlight w:val="none"/>
          <w:lang w:eastAsia="zh-CN"/>
        </w:rPr>
        <w:t>段</w:t>
      </w:r>
      <w:r>
        <w:rPr>
          <w:rFonts w:hint="eastAsia" w:ascii="宋体" w:hAnsi="宋体" w:eastAsia="宋体" w:cs="Times New Roman"/>
          <w:color w:val="auto"/>
          <w:sz w:val="21"/>
          <w:szCs w:val="21"/>
          <w:highlight w:val="none"/>
          <w:lang w:eastAsia="zh-CN"/>
        </w:rPr>
        <w:t>办理监督手续</w:t>
      </w:r>
      <w:r>
        <w:rPr>
          <w:rFonts w:hint="eastAsia" w:ascii="宋体" w:hAnsi="宋体" w:eastAsia="宋体" w:cs="Times New Roman"/>
          <w:color w:val="auto"/>
          <w:sz w:val="21"/>
          <w:szCs w:val="21"/>
          <w:highlight w:val="none"/>
        </w:rPr>
        <w:t>，确定中标单位后，</w:t>
      </w:r>
      <w:r>
        <w:rPr>
          <w:rFonts w:hint="eastAsia" w:ascii="宋体" w:hAnsi="宋体" w:eastAsia="宋体" w:cs="Times New Roman"/>
          <w:color w:val="auto"/>
          <w:sz w:val="21"/>
          <w:szCs w:val="21"/>
          <w:highlight w:val="none"/>
          <w:lang w:eastAsia="zh-CN"/>
        </w:rPr>
        <w:t>招标</w:t>
      </w:r>
      <w:r>
        <w:rPr>
          <w:rFonts w:hint="eastAsia" w:ascii="宋体" w:hAnsi="宋体" w:cs="Times New Roman"/>
          <w:color w:val="auto"/>
          <w:sz w:val="21"/>
          <w:szCs w:val="21"/>
          <w:highlight w:val="none"/>
          <w:lang w:eastAsia="zh-CN"/>
        </w:rPr>
        <w:t>人</w:t>
      </w:r>
      <w:r>
        <w:rPr>
          <w:rFonts w:hint="eastAsia" w:ascii="宋体" w:hAnsi="宋体" w:eastAsia="宋体" w:cs="Times New Roman"/>
          <w:color w:val="auto"/>
          <w:sz w:val="21"/>
          <w:szCs w:val="21"/>
          <w:highlight w:val="none"/>
        </w:rPr>
        <w:t>在向中标单位发出的中标通知书中一并标注施工总承包项目经理和各段项目经理</w:t>
      </w:r>
      <w:r>
        <w:rPr>
          <w:rFonts w:hint="eastAsia" w:ascii="宋体" w:hAnsi="宋体" w:eastAsia="宋体" w:cs="Times New Roman"/>
          <w:color w:val="auto"/>
          <w:sz w:val="21"/>
          <w:szCs w:val="21"/>
          <w:highlight w:val="none"/>
          <w:lang w:eastAsia="zh-CN"/>
        </w:rPr>
        <w:t>。</w:t>
      </w:r>
    </w:p>
    <w:p w14:paraId="7EA42D1E">
      <w:pPr>
        <w:pBdr>
          <w:bottom w:val="single" w:color="auto" w:sz="4" w:space="0"/>
        </w:pBdr>
        <w:spacing w:line="360" w:lineRule="auto"/>
        <w:ind w:firstLine="422" w:firstLineChars="200"/>
        <w:rPr>
          <w:rFonts w:ascii="宋体" w:hAnsi="宋体"/>
          <w:color w:val="auto"/>
          <w:sz w:val="21"/>
          <w:szCs w:val="21"/>
          <w:highlight w:val="none"/>
          <w:u w:val="single"/>
        </w:rPr>
      </w:pPr>
      <w:r>
        <w:rPr>
          <w:rFonts w:hint="eastAsia"/>
          <w:b/>
          <w:bCs/>
          <w:color w:val="auto"/>
          <w:szCs w:val="21"/>
          <w:highlight w:val="none"/>
          <w:lang w:eastAsia="zh-CN"/>
        </w:rPr>
        <w:t>现文</w:t>
      </w:r>
      <w:r>
        <w:rPr>
          <w:rFonts w:hint="eastAsia"/>
          <w:color w:val="auto"/>
          <w:szCs w:val="21"/>
          <w:highlight w:val="none"/>
          <w:lang w:eastAsia="zh-CN"/>
        </w:rPr>
        <w:t>：</w:t>
      </w:r>
      <w:r>
        <w:rPr>
          <w:rFonts w:hint="eastAsia" w:ascii="宋体" w:hAnsi="宋体" w:cs="Times New Roman"/>
          <w:color w:val="auto"/>
          <w:sz w:val="21"/>
          <w:szCs w:val="21"/>
          <w:highlight w:val="none"/>
          <w:lang w:val="en-US" w:eastAsia="zh-CN"/>
        </w:rPr>
        <w:t>28</w:t>
      </w:r>
      <w:r>
        <w:rPr>
          <w:rFonts w:hint="eastAsia" w:ascii="宋体" w:hAnsi="宋体" w:eastAsia="宋体" w:cs="Times New Roman"/>
          <w:color w:val="auto"/>
          <w:sz w:val="21"/>
          <w:szCs w:val="21"/>
          <w:highlight w:val="none"/>
          <w:lang w:val="en-US" w:eastAsia="zh-CN"/>
        </w:rPr>
        <w:t>.5</w:t>
      </w:r>
      <w:r>
        <w:rPr>
          <w:rFonts w:hint="eastAsia" w:ascii="宋体" w:hAnsi="宋体"/>
          <w:b/>
          <w:bCs/>
          <w:szCs w:val="21"/>
          <w:highlight w:val="none"/>
          <w:u w:val="single"/>
        </w:rPr>
        <w:t>在广州交易集团有限公司（广州公共资源交易中心）交易平台发布中标通知书之日起，即视为中标人确认收到中标通知书。</w:t>
      </w:r>
      <w:r>
        <w:rPr>
          <w:rFonts w:hint="eastAsia" w:ascii="宋体" w:hAnsi="宋体"/>
          <w:b/>
          <w:bCs/>
          <w:color w:val="auto"/>
          <w:sz w:val="21"/>
          <w:szCs w:val="21"/>
          <w:highlight w:val="none"/>
          <w:u w:val="single"/>
        </w:rPr>
        <w:t>中标人必须由其委托代理人携带身份证及法人授权委托证明按招标人通知的时间和地点领取纸质图纸。中标人领取纸质图纸后必须与招标人在网上发布的电子版图纸进行核对，如有不符须于收到纸质图纸后五个工作日内将问题以书面形式向招标人提出；如纸质图纸和电子版图纸核对无误，中标人须于领取纸质图纸后五个工作日内在其中一套图纸上每页盖公章确认连同经盖公章的图纸确认函一并送回给招标人，表明中标人认同纸质图纸中内容与投标时的电子版图纸内容一致。</w:t>
      </w:r>
    </w:p>
    <w:p w14:paraId="05534994">
      <w:pPr>
        <w:pStyle w:val="9"/>
        <w:pBdr>
          <w:bottom w:val="single" w:color="auto" w:sz="4" w:space="0"/>
        </w:pBdr>
        <w:spacing w:line="360" w:lineRule="auto"/>
        <w:rPr>
          <w:rFonts w:hint="eastAsia" w:ascii="宋体" w:hAnsi="宋体" w:eastAsia="宋体"/>
          <w:color w:val="auto"/>
          <w:szCs w:val="21"/>
          <w:highlight w:val="none"/>
          <w:u w:val="single"/>
          <w:lang w:eastAsia="zh-CN"/>
        </w:rPr>
      </w:pPr>
      <w:r>
        <w:rPr>
          <w:rFonts w:hint="eastAsia" w:ascii="宋体" w:hAnsi="宋体"/>
          <w:color w:val="auto"/>
          <w:sz w:val="21"/>
          <w:szCs w:val="21"/>
          <w:highlight w:val="none"/>
          <w:u w:val="single"/>
        </w:rPr>
        <w:t>2</w:t>
      </w:r>
      <w:r>
        <w:rPr>
          <w:rFonts w:hint="eastAsia" w:ascii="宋体" w:hAnsi="宋体"/>
          <w:color w:val="auto"/>
          <w:sz w:val="21"/>
          <w:szCs w:val="21"/>
          <w:highlight w:val="none"/>
          <w:u w:val="single"/>
          <w:lang w:val="en-US" w:eastAsia="zh-CN"/>
        </w:rPr>
        <w:t>8</w:t>
      </w:r>
      <w:r>
        <w:rPr>
          <w:rFonts w:hint="eastAsia" w:ascii="宋体" w:hAnsi="宋体"/>
          <w:color w:val="auto"/>
          <w:sz w:val="21"/>
          <w:szCs w:val="21"/>
          <w:highlight w:val="none"/>
          <w:u w:val="single"/>
        </w:rPr>
        <w:t xml:space="preserve">.6 </w:t>
      </w:r>
      <w:r>
        <w:rPr>
          <w:rFonts w:hint="eastAsia" w:ascii="宋体" w:hAnsi="宋体"/>
          <w:b/>
          <w:bCs/>
          <w:color w:val="auto"/>
          <w:sz w:val="21"/>
          <w:szCs w:val="21"/>
          <w:highlight w:val="none"/>
          <w:u w:val="single"/>
        </w:rPr>
        <w:t>招标人或招标代理机构将在中标</w:t>
      </w:r>
      <w:r>
        <w:rPr>
          <w:rFonts w:hint="eastAsia" w:ascii="宋体" w:hAnsi="宋体"/>
          <w:b/>
          <w:bCs/>
          <w:color w:val="auto"/>
          <w:sz w:val="21"/>
          <w:szCs w:val="21"/>
          <w:highlight w:val="none"/>
          <w:u w:val="single"/>
          <w:lang w:val="en-US" w:eastAsia="zh-CN"/>
        </w:rPr>
        <w:t>结果</w:t>
      </w:r>
      <w:r>
        <w:rPr>
          <w:rFonts w:hint="eastAsia" w:ascii="宋体" w:hAnsi="宋体"/>
          <w:b/>
          <w:bCs/>
          <w:color w:val="auto"/>
          <w:sz w:val="21"/>
          <w:szCs w:val="21"/>
          <w:highlight w:val="none"/>
          <w:u w:val="single"/>
        </w:rPr>
        <w:t>公示结束后对</w:t>
      </w:r>
      <w:r>
        <w:rPr>
          <w:rFonts w:hint="eastAsia" w:ascii="宋体" w:hAnsi="宋体"/>
          <w:b/>
          <w:bCs/>
          <w:color w:val="auto"/>
          <w:sz w:val="21"/>
          <w:szCs w:val="21"/>
          <w:highlight w:val="none"/>
          <w:u w:val="single"/>
          <w:lang w:val="en-US" w:eastAsia="zh-CN"/>
        </w:rPr>
        <w:t>中标人</w:t>
      </w:r>
      <w:r>
        <w:rPr>
          <w:rFonts w:hint="eastAsia" w:ascii="宋体" w:hAnsi="宋体"/>
          <w:b/>
          <w:bCs/>
          <w:color w:val="auto"/>
          <w:sz w:val="21"/>
          <w:szCs w:val="21"/>
          <w:highlight w:val="none"/>
          <w:u w:val="single"/>
        </w:rPr>
        <w:t>的企业资质证书有效期进行复核，如果</w:t>
      </w:r>
      <w:r>
        <w:rPr>
          <w:rFonts w:hint="eastAsia" w:ascii="宋体" w:hAnsi="宋体"/>
          <w:b/>
          <w:bCs/>
          <w:color w:val="auto"/>
          <w:sz w:val="21"/>
          <w:szCs w:val="21"/>
          <w:highlight w:val="none"/>
          <w:u w:val="single"/>
          <w:lang w:val="en-US" w:eastAsia="zh-CN"/>
        </w:rPr>
        <w:t>中标人</w:t>
      </w:r>
      <w:r>
        <w:rPr>
          <w:rFonts w:hint="eastAsia" w:ascii="宋体" w:hAnsi="宋体"/>
          <w:b/>
          <w:bCs/>
          <w:color w:val="auto"/>
          <w:sz w:val="21"/>
          <w:szCs w:val="21"/>
          <w:highlight w:val="none"/>
          <w:u w:val="single"/>
        </w:rPr>
        <w:t>在中标</w:t>
      </w:r>
      <w:r>
        <w:rPr>
          <w:rFonts w:hint="eastAsia" w:ascii="宋体" w:hAnsi="宋体"/>
          <w:b/>
          <w:bCs/>
          <w:color w:val="auto"/>
          <w:sz w:val="21"/>
          <w:szCs w:val="21"/>
          <w:highlight w:val="none"/>
          <w:u w:val="single"/>
          <w:lang w:val="en-US" w:eastAsia="zh-CN"/>
        </w:rPr>
        <w:t>结果</w:t>
      </w:r>
      <w:r>
        <w:rPr>
          <w:rFonts w:hint="eastAsia" w:ascii="宋体" w:hAnsi="宋体"/>
          <w:b/>
          <w:bCs/>
          <w:color w:val="auto"/>
          <w:sz w:val="21"/>
          <w:szCs w:val="21"/>
          <w:highlight w:val="none"/>
          <w:u w:val="single"/>
        </w:rPr>
        <w:t>公示结束后7天内尚未取得资质有效期延续核准的，招标人有权否决其投标，</w:t>
      </w:r>
      <w:r>
        <w:rPr>
          <w:rFonts w:hint="eastAsia" w:ascii="宋体" w:hAnsi="宋体" w:cs="宋体"/>
          <w:b/>
          <w:bCs/>
          <w:color w:val="auto"/>
          <w:sz w:val="21"/>
          <w:szCs w:val="21"/>
          <w:highlight w:val="none"/>
          <w:u w:val="single"/>
          <w:lang w:val="en-US" w:eastAsia="zh-CN"/>
        </w:rPr>
        <w:t>招标人可以重新招标或由原定标委员会根据原定标办法从其他合格的中标候选人中重新票决确定中标人并公示。</w:t>
      </w:r>
    </w:p>
    <w:p w14:paraId="53324702">
      <w:pPr>
        <w:spacing w:line="360" w:lineRule="auto"/>
        <w:ind w:firstLine="422" w:firstLineChars="200"/>
        <w:rPr>
          <w:rFonts w:hint="eastAsia" w:ascii="宋体" w:hAnsi="宋体"/>
          <w:b/>
          <w:color w:val="auto"/>
          <w:szCs w:val="21"/>
          <w:highlight w:val="none"/>
          <w:u w:val="none"/>
        </w:rPr>
      </w:pPr>
      <w:r>
        <w:rPr>
          <w:rFonts w:hint="eastAsia" w:ascii="宋体" w:hAnsi="宋体"/>
          <w:b/>
          <w:color w:val="auto"/>
          <w:szCs w:val="21"/>
          <w:highlight w:val="none"/>
        </w:rPr>
        <w:t>条款号：29           修改类型：修改</w:t>
      </w:r>
    </w:p>
    <w:p w14:paraId="5BEE0DAD">
      <w:pPr>
        <w:spacing w:line="360" w:lineRule="auto"/>
        <w:ind w:firstLine="422" w:firstLineChars="200"/>
        <w:rPr>
          <w:rFonts w:ascii="宋体"/>
          <w:b/>
          <w:bCs/>
          <w:color w:val="auto"/>
          <w:sz w:val="21"/>
          <w:szCs w:val="21"/>
          <w:highlight w:val="none"/>
        </w:rPr>
      </w:pPr>
      <w:r>
        <w:rPr>
          <w:rFonts w:hint="eastAsia"/>
          <w:b/>
          <w:bCs/>
          <w:color w:val="auto"/>
          <w:szCs w:val="21"/>
          <w:highlight w:val="none"/>
          <w:lang w:eastAsia="zh-CN"/>
        </w:rPr>
        <w:t>原文：</w:t>
      </w:r>
      <w:r>
        <w:rPr>
          <w:rFonts w:hint="eastAsia" w:ascii="宋体" w:hAnsi="宋体"/>
          <w:b w:val="0"/>
          <w:bCs w:val="0"/>
          <w:color w:val="auto"/>
          <w:sz w:val="21"/>
          <w:szCs w:val="21"/>
          <w:highlight w:val="none"/>
          <w:lang w:val="en-US" w:eastAsia="zh-CN"/>
        </w:rPr>
        <w:t>29</w:t>
      </w:r>
      <w:r>
        <w:rPr>
          <w:rFonts w:hint="eastAsia" w:ascii="宋体" w:hAnsi="宋体"/>
          <w:b w:val="0"/>
          <w:bCs w:val="0"/>
          <w:color w:val="auto"/>
          <w:sz w:val="21"/>
          <w:szCs w:val="21"/>
          <w:highlight w:val="none"/>
        </w:rPr>
        <w:t>．合同协议书的签订</w:t>
      </w:r>
    </w:p>
    <w:p w14:paraId="616A27AF">
      <w:pPr>
        <w:spacing w:line="360" w:lineRule="auto"/>
        <w:ind w:firstLine="420" w:firstLineChars="200"/>
        <w:rPr>
          <w:rFonts w:ascii="宋体"/>
          <w:color w:val="auto"/>
          <w:sz w:val="21"/>
          <w:szCs w:val="21"/>
          <w:highlight w:val="none"/>
        </w:rPr>
      </w:pPr>
      <w:r>
        <w:rPr>
          <w:rFonts w:ascii="宋体" w:hAnsi="宋体"/>
          <w:color w:val="auto"/>
          <w:sz w:val="21"/>
          <w:szCs w:val="21"/>
          <w:highlight w:val="none"/>
        </w:rPr>
        <w:t>2</w:t>
      </w:r>
      <w:r>
        <w:rPr>
          <w:rFonts w:hint="eastAsia" w:ascii="宋体" w:hAnsi="宋体"/>
          <w:color w:val="auto"/>
          <w:sz w:val="21"/>
          <w:szCs w:val="21"/>
          <w:highlight w:val="none"/>
          <w:lang w:val="en-US" w:eastAsia="zh-CN"/>
        </w:rPr>
        <w:t>9</w:t>
      </w:r>
      <w:r>
        <w:rPr>
          <w:rFonts w:ascii="宋体" w:hAnsi="宋体"/>
          <w:color w:val="auto"/>
          <w:sz w:val="21"/>
          <w:szCs w:val="21"/>
          <w:highlight w:val="none"/>
        </w:rPr>
        <w:t xml:space="preserve">.1 </w:t>
      </w:r>
      <w:r>
        <w:rPr>
          <w:rFonts w:hint="eastAsia" w:ascii="宋体" w:hAnsi="宋体"/>
          <w:color w:val="auto"/>
          <w:sz w:val="21"/>
          <w:szCs w:val="21"/>
          <w:highlight w:val="none"/>
        </w:rPr>
        <w:t>招标人与中标人将于中标通知书发出之日起</w:t>
      </w:r>
      <w:r>
        <w:rPr>
          <w:rFonts w:ascii="宋体" w:hAnsi="宋体"/>
          <w:color w:val="auto"/>
          <w:sz w:val="21"/>
          <w:szCs w:val="21"/>
          <w:highlight w:val="none"/>
        </w:rPr>
        <w:t>30</w:t>
      </w:r>
      <w:r>
        <w:rPr>
          <w:rFonts w:hint="eastAsia" w:ascii="宋体" w:hAnsi="宋体"/>
          <w:color w:val="auto"/>
          <w:sz w:val="21"/>
          <w:szCs w:val="21"/>
          <w:highlight w:val="none"/>
        </w:rPr>
        <w:t>日内，按照招标文件和中标人的投标文件商定和签订合同，招标人和中标人不得再行订立背离合同实质性内容的其他协议。</w:t>
      </w:r>
    </w:p>
    <w:p w14:paraId="094DFEAB">
      <w:pPr>
        <w:spacing w:line="360" w:lineRule="auto"/>
        <w:ind w:firstLine="420" w:firstLineChars="200"/>
        <w:rPr>
          <w:rFonts w:ascii="宋体"/>
          <w:color w:val="auto"/>
          <w:sz w:val="21"/>
          <w:szCs w:val="21"/>
          <w:highlight w:val="none"/>
        </w:rPr>
      </w:pPr>
      <w:r>
        <w:rPr>
          <w:rFonts w:ascii="宋体" w:hAnsi="宋体"/>
          <w:color w:val="auto"/>
          <w:sz w:val="21"/>
          <w:szCs w:val="21"/>
          <w:highlight w:val="none"/>
        </w:rPr>
        <w:t>2</w:t>
      </w:r>
      <w:r>
        <w:rPr>
          <w:rFonts w:hint="eastAsia" w:ascii="宋体" w:hAnsi="宋体"/>
          <w:color w:val="auto"/>
          <w:sz w:val="21"/>
          <w:szCs w:val="21"/>
          <w:highlight w:val="none"/>
          <w:lang w:val="en-US" w:eastAsia="zh-CN"/>
        </w:rPr>
        <w:t>9</w:t>
      </w:r>
      <w:r>
        <w:rPr>
          <w:rFonts w:ascii="宋体" w:hAnsi="宋体"/>
          <w:color w:val="auto"/>
          <w:sz w:val="21"/>
          <w:szCs w:val="21"/>
          <w:highlight w:val="none"/>
        </w:rPr>
        <w:t>.2</w:t>
      </w:r>
      <w:r>
        <w:rPr>
          <w:rFonts w:hint="eastAsia" w:ascii="宋体" w:hAnsi="宋体"/>
          <w:color w:val="auto"/>
          <w:sz w:val="21"/>
          <w:szCs w:val="21"/>
          <w:highlight w:val="none"/>
        </w:rPr>
        <w:t>中标通知书发出之日起</w:t>
      </w:r>
      <w:r>
        <w:rPr>
          <w:rFonts w:ascii="宋体" w:hAnsi="宋体"/>
          <w:color w:val="auto"/>
          <w:sz w:val="21"/>
          <w:szCs w:val="21"/>
          <w:highlight w:val="none"/>
        </w:rPr>
        <w:t>30</w:t>
      </w:r>
      <w:r>
        <w:rPr>
          <w:rFonts w:hint="eastAsia" w:ascii="宋体" w:hAnsi="宋体"/>
          <w:color w:val="auto"/>
          <w:sz w:val="21"/>
          <w:szCs w:val="21"/>
          <w:highlight w:val="none"/>
        </w:rPr>
        <w:t>日后，中标人未按上款的规定与招标人订立合同，招标人将解除中标通知书，原中标人的投标保证金不予退还，且依法承担相应法律责任。原中标人给招标人造成的损失超过投标保证金数额的，还应当对超过部分予以赔偿。原中标人有异议的，可以向人民法院起诉。</w:t>
      </w:r>
    </w:p>
    <w:p w14:paraId="438CE740">
      <w:pPr>
        <w:spacing w:line="360" w:lineRule="auto"/>
        <w:ind w:firstLine="420" w:firstLineChars="200"/>
        <w:rPr>
          <w:rFonts w:ascii="宋体"/>
          <w:color w:val="auto"/>
          <w:sz w:val="21"/>
          <w:szCs w:val="21"/>
          <w:highlight w:val="none"/>
        </w:rPr>
      </w:pPr>
      <w:r>
        <w:rPr>
          <w:rFonts w:ascii="宋体" w:hAnsi="宋体"/>
          <w:color w:val="auto"/>
          <w:sz w:val="21"/>
          <w:szCs w:val="21"/>
          <w:highlight w:val="none"/>
        </w:rPr>
        <w:t>2</w:t>
      </w:r>
      <w:r>
        <w:rPr>
          <w:rFonts w:hint="eastAsia" w:ascii="宋体" w:hAnsi="宋体"/>
          <w:color w:val="auto"/>
          <w:sz w:val="21"/>
          <w:szCs w:val="21"/>
          <w:highlight w:val="none"/>
          <w:lang w:val="en-US" w:eastAsia="zh-CN"/>
        </w:rPr>
        <w:t>9</w:t>
      </w:r>
      <w:r>
        <w:rPr>
          <w:rFonts w:ascii="宋体" w:hAnsi="宋体"/>
          <w:color w:val="auto"/>
          <w:sz w:val="21"/>
          <w:szCs w:val="21"/>
          <w:highlight w:val="none"/>
        </w:rPr>
        <w:t>.3</w:t>
      </w:r>
      <w:r>
        <w:rPr>
          <w:rFonts w:hint="eastAsia" w:ascii="宋体" w:hAnsi="宋体"/>
          <w:color w:val="auto"/>
          <w:sz w:val="21"/>
          <w:szCs w:val="21"/>
          <w:highlight w:val="none"/>
        </w:rPr>
        <w:t>非经招标人同意，中标人在投标过程中使用的银行名称及帐号至完成竣工结算不得变更，否则招标人有权停止工程款项的拔付及至解除合同，由此造成的一切责任由中标人承担。</w:t>
      </w:r>
    </w:p>
    <w:p w14:paraId="51E86608">
      <w:pPr>
        <w:spacing w:line="360" w:lineRule="auto"/>
        <w:ind w:firstLine="420" w:firstLineChars="200"/>
        <w:rPr>
          <w:rFonts w:hint="eastAsia"/>
          <w:b/>
          <w:bCs/>
          <w:color w:val="auto"/>
          <w:szCs w:val="21"/>
          <w:highlight w:val="none"/>
          <w:lang w:eastAsia="zh-CN"/>
        </w:rPr>
      </w:pPr>
      <w:r>
        <w:rPr>
          <w:rFonts w:ascii="宋体" w:hAnsi="宋体"/>
          <w:color w:val="auto"/>
          <w:sz w:val="21"/>
          <w:szCs w:val="21"/>
          <w:highlight w:val="none"/>
        </w:rPr>
        <w:t>2</w:t>
      </w:r>
      <w:r>
        <w:rPr>
          <w:rFonts w:hint="eastAsia" w:ascii="宋体" w:hAnsi="宋体"/>
          <w:color w:val="auto"/>
          <w:sz w:val="21"/>
          <w:szCs w:val="21"/>
          <w:highlight w:val="none"/>
          <w:lang w:val="en-US" w:eastAsia="zh-CN"/>
        </w:rPr>
        <w:t>9</w:t>
      </w:r>
      <w:r>
        <w:rPr>
          <w:rFonts w:ascii="宋体" w:hAnsi="宋体"/>
          <w:color w:val="auto"/>
          <w:sz w:val="21"/>
          <w:szCs w:val="21"/>
          <w:highlight w:val="none"/>
        </w:rPr>
        <w:t>.4</w:t>
      </w:r>
      <w:r>
        <w:rPr>
          <w:rFonts w:hint="eastAsia" w:ascii="宋体" w:hAnsi="宋体"/>
          <w:color w:val="auto"/>
          <w:sz w:val="21"/>
          <w:szCs w:val="21"/>
          <w:highlight w:val="none"/>
        </w:rPr>
        <w:t>招标人支付工程款时，中标人应按规定开具发票</w:t>
      </w:r>
      <w:r>
        <w:rPr>
          <w:rFonts w:hint="eastAsia" w:ascii="宋体" w:hAnsi="宋体"/>
          <w:color w:val="auto"/>
          <w:sz w:val="21"/>
          <w:szCs w:val="21"/>
          <w:highlight w:val="none"/>
          <w:lang w:eastAsia="zh-CN"/>
        </w:rPr>
        <w:t>并完税</w:t>
      </w:r>
      <w:r>
        <w:rPr>
          <w:rFonts w:hint="eastAsia" w:ascii="宋体" w:hAnsi="宋体"/>
          <w:color w:val="auto"/>
          <w:sz w:val="21"/>
          <w:szCs w:val="21"/>
          <w:highlight w:val="none"/>
        </w:rPr>
        <w:t>。</w:t>
      </w:r>
    </w:p>
    <w:p w14:paraId="1DFDA62C">
      <w:pPr>
        <w:spacing w:line="360" w:lineRule="auto"/>
        <w:ind w:firstLine="422" w:firstLineChars="200"/>
        <w:rPr>
          <w:rFonts w:ascii="宋体"/>
          <w:b/>
          <w:bCs/>
          <w:color w:val="auto"/>
          <w:sz w:val="21"/>
          <w:szCs w:val="21"/>
          <w:highlight w:val="none"/>
        </w:rPr>
      </w:pPr>
      <w:r>
        <w:rPr>
          <w:rFonts w:hint="eastAsia"/>
          <w:b/>
          <w:bCs/>
          <w:color w:val="auto"/>
          <w:szCs w:val="21"/>
          <w:highlight w:val="none"/>
          <w:lang w:eastAsia="zh-CN"/>
        </w:rPr>
        <w:t>现文：</w:t>
      </w:r>
      <w:r>
        <w:rPr>
          <w:rFonts w:hint="eastAsia" w:ascii="宋体" w:hAnsi="宋体"/>
          <w:b w:val="0"/>
          <w:bCs w:val="0"/>
          <w:color w:val="auto"/>
          <w:sz w:val="21"/>
          <w:szCs w:val="21"/>
          <w:highlight w:val="none"/>
          <w:lang w:val="en-US" w:eastAsia="zh-CN"/>
        </w:rPr>
        <w:t>29</w:t>
      </w:r>
      <w:r>
        <w:rPr>
          <w:rFonts w:hint="eastAsia" w:ascii="宋体" w:hAnsi="宋体"/>
          <w:b w:val="0"/>
          <w:bCs w:val="0"/>
          <w:color w:val="auto"/>
          <w:sz w:val="21"/>
          <w:szCs w:val="21"/>
          <w:highlight w:val="none"/>
        </w:rPr>
        <w:t>．合同协议书的签订</w:t>
      </w:r>
    </w:p>
    <w:p w14:paraId="5961D9C0">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.1 招标人与中标人将于中标通知书发出之日起</w:t>
      </w:r>
      <w:r>
        <w:rPr>
          <w:rFonts w:hint="eastAsia" w:ascii="宋体" w:hAnsi="宋体"/>
          <w:b/>
          <w:bCs/>
          <w:color w:val="auto"/>
          <w:sz w:val="21"/>
          <w:szCs w:val="21"/>
          <w:highlight w:val="none"/>
          <w:u w:val="single"/>
        </w:rPr>
        <w:t>18个日历天</w:t>
      </w:r>
      <w:r>
        <w:rPr>
          <w:rFonts w:hint="eastAsia" w:ascii="宋体" w:hAnsi="宋体"/>
          <w:color w:val="auto"/>
          <w:sz w:val="21"/>
          <w:szCs w:val="21"/>
          <w:highlight w:val="none"/>
        </w:rPr>
        <w:t>内，按照招标文件和中标人的投标文件商定和签订合同，招标人和中标人不得再行订立背离合同实质性内容的其他协议。</w:t>
      </w:r>
      <w:r>
        <w:rPr>
          <w:rFonts w:hint="eastAsia" w:ascii="宋体" w:hAnsi="宋体"/>
          <w:b/>
          <w:bCs/>
          <w:color w:val="auto"/>
          <w:sz w:val="21"/>
          <w:szCs w:val="21"/>
          <w:highlight w:val="none"/>
          <w:u w:val="single"/>
        </w:rPr>
        <w:t>施工合同价在5000万元以上的，书面合同应由招标人和中标人双方法定代表人当面签署。</w:t>
      </w:r>
    </w:p>
    <w:p w14:paraId="74D2E7D7">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.2中标通知书发出之日起</w:t>
      </w:r>
      <w:r>
        <w:rPr>
          <w:rFonts w:hint="eastAsia" w:ascii="宋体" w:hAnsi="宋体"/>
          <w:b/>
          <w:bCs/>
          <w:color w:val="auto"/>
          <w:sz w:val="21"/>
          <w:szCs w:val="21"/>
          <w:highlight w:val="none"/>
          <w:u w:val="single"/>
        </w:rPr>
        <w:t>18个日历天</w:t>
      </w:r>
      <w:r>
        <w:rPr>
          <w:rFonts w:hint="eastAsia" w:ascii="宋体" w:hAnsi="宋体"/>
          <w:color w:val="auto"/>
          <w:sz w:val="21"/>
          <w:szCs w:val="21"/>
          <w:highlight w:val="none"/>
        </w:rPr>
        <w:t>后，中标人未按上款的规定与招标人订立合同，招标人</w:t>
      </w:r>
      <w:r>
        <w:rPr>
          <w:rFonts w:hint="eastAsia" w:ascii="宋体" w:hAnsi="宋体"/>
          <w:b/>
          <w:bCs/>
          <w:color w:val="auto"/>
          <w:sz w:val="21"/>
          <w:szCs w:val="21"/>
          <w:highlight w:val="none"/>
          <w:u w:val="single"/>
        </w:rPr>
        <w:t>有权</w:t>
      </w:r>
      <w:r>
        <w:rPr>
          <w:rFonts w:hint="eastAsia" w:ascii="宋体" w:hAnsi="宋体"/>
          <w:color w:val="auto"/>
          <w:sz w:val="21"/>
          <w:szCs w:val="21"/>
          <w:highlight w:val="none"/>
        </w:rPr>
        <w:t>解除中标通知书，原中标人</w:t>
      </w:r>
      <w:r>
        <w:rPr>
          <w:rFonts w:hint="eastAsia" w:ascii="宋体" w:hAnsi="宋体"/>
          <w:b/>
          <w:bCs/>
          <w:szCs w:val="21"/>
          <w:highlight w:val="none"/>
          <w:u w:val="single"/>
        </w:rPr>
        <w:t>补交的投标保证金</w:t>
      </w:r>
      <w:r>
        <w:rPr>
          <w:rFonts w:hint="eastAsia" w:ascii="宋体" w:hAnsi="宋体"/>
          <w:color w:val="auto"/>
          <w:sz w:val="21"/>
          <w:szCs w:val="21"/>
          <w:highlight w:val="none"/>
        </w:rPr>
        <w:t>不予退还，且依法承担相应法律责任，</w:t>
      </w:r>
      <w:r>
        <w:rPr>
          <w:rFonts w:hint="eastAsia" w:ascii="宋体" w:hAnsi="宋体" w:cs="宋体"/>
          <w:b/>
          <w:bCs w:val="0"/>
          <w:color w:val="auto"/>
          <w:sz w:val="21"/>
          <w:szCs w:val="21"/>
          <w:highlight w:val="none"/>
          <w:u w:val="single"/>
          <w:lang w:val="en-US" w:eastAsia="zh-CN"/>
        </w:rPr>
        <w:t>招标人可以重新招标或由原定标委员会根据原定标办法从其他合格的中标候选人中重新票决确定中标人并公示</w:t>
      </w:r>
      <w:r>
        <w:rPr>
          <w:rFonts w:hint="eastAsia" w:ascii="宋体" w:hAnsi="宋体"/>
          <w:b/>
          <w:bCs/>
          <w:color w:val="auto"/>
          <w:sz w:val="21"/>
          <w:szCs w:val="21"/>
          <w:highlight w:val="none"/>
          <w:u w:val="single"/>
        </w:rPr>
        <w:t>。</w:t>
      </w:r>
      <w:r>
        <w:rPr>
          <w:rFonts w:hint="eastAsia" w:ascii="宋体" w:hAnsi="宋体"/>
          <w:color w:val="auto"/>
          <w:sz w:val="21"/>
          <w:szCs w:val="21"/>
          <w:highlight w:val="none"/>
        </w:rPr>
        <w:t>原中标人给招标人造成的损失超过</w:t>
      </w:r>
      <w:r>
        <w:rPr>
          <w:rFonts w:hint="eastAsia" w:ascii="宋体" w:hAnsi="宋体"/>
          <w:b/>
          <w:bCs/>
          <w:szCs w:val="21"/>
          <w:highlight w:val="none"/>
          <w:u w:val="single"/>
        </w:rPr>
        <w:t>补交的投标保证金</w:t>
      </w:r>
      <w:r>
        <w:rPr>
          <w:rFonts w:hint="eastAsia" w:ascii="宋体" w:hAnsi="宋体"/>
          <w:color w:val="auto"/>
          <w:sz w:val="21"/>
          <w:szCs w:val="21"/>
          <w:highlight w:val="none"/>
        </w:rPr>
        <w:t>数额的，还应当对超过部分予以赔偿。原中标人有异议的，可以向人民法院起诉。</w:t>
      </w:r>
    </w:p>
    <w:p w14:paraId="4AD81208">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.3</w:t>
      </w:r>
      <w:r>
        <w:rPr>
          <w:rFonts w:hint="eastAsia" w:ascii="宋体" w:hAnsi="宋体"/>
          <w:b/>
          <w:bCs/>
          <w:color w:val="auto"/>
          <w:sz w:val="21"/>
          <w:szCs w:val="21"/>
          <w:highlight w:val="none"/>
          <w:u w:val="single"/>
        </w:rPr>
        <w:t>根据《番禺区基建办工程项目银行专户管理办法》（番基建办规章【2019】10号）规定，中标人在施工合同签订前需按相关规定设立本工程的银行专户</w:t>
      </w:r>
      <w:r>
        <w:rPr>
          <w:rFonts w:hint="eastAsia" w:ascii="宋体" w:hAnsi="宋体"/>
          <w:color w:val="auto"/>
          <w:sz w:val="21"/>
          <w:szCs w:val="21"/>
          <w:highlight w:val="none"/>
        </w:rPr>
        <w:t>，未经招标人同意，中标人在投标过程中使用的银行名称及帐号至完成竣工结算不得变更，</w:t>
      </w:r>
      <w:r>
        <w:rPr>
          <w:rFonts w:hint="eastAsia" w:ascii="宋体" w:hAnsi="宋体"/>
          <w:b/>
          <w:bCs/>
          <w:color w:val="auto"/>
          <w:sz w:val="21"/>
          <w:szCs w:val="21"/>
          <w:highlight w:val="none"/>
          <w:u w:val="single"/>
        </w:rPr>
        <w:t>若中标人违反上述约定的，招标人有权停止工程款项的拔付及至解除合同</w:t>
      </w:r>
      <w:r>
        <w:rPr>
          <w:rFonts w:hint="eastAsia" w:ascii="宋体" w:hAnsi="宋体"/>
          <w:color w:val="auto"/>
          <w:sz w:val="21"/>
          <w:szCs w:val="21"/>
          <w:highlight w:val="none"/>
        </w:rPr>
        <w:t>，由此造成的一切责任由中标人承担。</w:t>
      </w:r>
    </w:p>
    <w:p w14:paraId="3137533C">
      <w:pPr>
        <w:pBdr>
          <w:bottom w:val="single" w:color="auto" w:sz="6" w:space="1"/>
        </w:pBdr>
        <w:spacing w:line="360" w:lineRule="auto"/>
        <w:ind w:firstLine="525" w:firstLineChars="250"/>
        <w:rPr>
          <w:rFonts w:hint="eastAsia" w:ascii="宋体" w:hAnsi="宋体"/>
          <w:b/>
          <w:bCs/>
          <w:color w:val="auto"/>
          <w:sz w:val="21"/>
          <w:szCs w:val="21"/>
          <w:highlight w:val="none"/>
          <w:u w:val="single"/>
        </w:rPr>
      </w:pPr>
      <w:r>
        <w:rPr>
          <w:rFonts w:hint="eastAsia" w:ascii="宋体" w:hAnsi="宋体"/>
          <w:color w:val="auto"/>
          <w:sz w:val="21"/>
          <w:szCs w:val="21"/>
          <w:highlight w:val="none"/>
        </w:rPr>
        <w:t>2</w:t>
      </w:r>
      <w:r>
        <w:rPr>
          <w:rFonts w:hint="eastAsia" w:ascii="宋体" w:hAnsi="宋体"/>
          <w:color w:val="auto"/>
          <w:sz w:val="21"/>
          <w:szCs w:val="21"/>
          <w:highlight w:val="none"/>
          <w:lang w:val="en-US" w:eastAsia="zh-CN"/>
        </w:rPr>
        <w:t>9</w:t>
      </w:r>
      <w:r>
        <w:rPr>
          <w:rFonts w:hint="eastAsia" w:ascii="宋体" w:hAnsi="宋体"/>
          <w:color w:val="auto"/>
          <w:sz w:val="21"/>
          <w:szCs w:val="21"/>
          <w:highlight w:val="none"/>
        </w:rPr>
        <w:t>.4</w:t>
      </w:r>
      <w:r>
        <w:rPr>
          <w:rFonts w:hint="eastAsia" w:ascii="宋体" w:hAnsi="宋体"/>
          <w:b/>
          <w:bCs/>
          <w:color w:val="auto"/>
          <w:sz w:val="21"/>
          <w:szCs w:val="21"/>
          <w:highlight w:val="none"/>
          <w:u w:val="single"/>
        </w:rPr>
        <w:t>中标人须以工程项目为单位，在商业银行设立建设领域工人工资支付专用帐户用于支付工人工资。具体执行及管理办法参照《广州市住房和城乡建设局关于印发广州市建筑施工实名制管理办法的通知(2020)》（穗建规字〔2020〕18号）、《广州市住房和城乡建设局、广州市人力资源和社会保障局、广州市交通运输局等关于印发广州市建设领域工人工资支付分账管理实施细则的通知》（穗建规字〔2020〕37号）。</w:t>
      </w:r>
    </w:p>
    <w:p w14:paraId="662CAA65">
      <w:pPr>
        <w:pBdr>
          <w:bottom w:val="single" w:color="auto" w:sz="6" w:space="1"/>
        </w:pBdr>
        <w:spacing w:line="360" w:lineRule="auto"/>
        <w:ind w:firstLine="527" w:firstLineChars="250"/>
        <w:rPr>
          <w:rFonts w:hint="eastAsia" w:ascii="宋体" w:hAnsi="宋体" w:eastAsia="宋体"/>
          <w:color w:val="auto"/>
          <w:sz w:val="21"/>
          <w:szCs w:val="21"/>
          <w:highlight w:val="none"/>
          <w:u w:val="single"/>
          <w:lang w:val="en-US" w:eastAsia="zh-CN"/>
        </w:rPr>
      </w:pPr>
      <w:r>
        <w:rPr>
          <w:rFonts w:hint="eastAsia" w:ascii="宋体" w:hAnsi="宋体"/>
          <w:b/>
          <w:bCs/>
          <w:color w:val="auto"/>
          <w:sz w:val="21"/>
          <w:szCs w:val="21"/>
          <w:highlight w:val="none"/>
          <w:u w:val="single"/>
          <w:lang w:val="en-US" w:eastAsia="zh-CN"/>
        </w:rPr>
        <w:t>29.5招标人和中标人应当自中标通知书发出之日起三十日内通过电子招标投标文件交易平台在线签订合同。</w:t>
      </w:r>
    </w:p>
    <w:p w14:paraId="62E22D5C">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条款号：</w:t>
      </w:r>
      <w:r>
        <w:rPr>
          <w:rFonts w:hint="eastAsia" w:ascii="宋体" w:hAnsi="宋体"/>
          <w:b/>
          <w:color w:val="auto"/>
          <w:szCs w:val="21"/>
          <w:highlight w:val="none"/>
          <w:lang w:val="en-US" w:eastAsia="zh-CN"/>
        </w:rPr>
        <w:t>30</w:t>
      </w:r>
      <w:r>
        <w:rPr>
          <w:rFonts w:hint="eastAsia" w:ascii="宋体" w:hAnsi="宋体"/>
          <w:b/>
          <w:color w:val="auto"/>
          <w:szCs w:val="21"/>
          <w:highlight w:val="none"/>
        </w:rPr>
        <w:t xml:space="preserve">          修改类型：修改</w:t>
      </w:r>
    </w:p>
    <w:p w14:paraId="2943C084">
      <w:pPr>
        <w:spacing w:line="360" w:lineRule="auto"/>
        <w:ind w:firstLine="472" w:firstLineChars="224"/>
        <w:rPr>
          <w:rFonts w:ascii="宋体" w:hAnsi="宋体"/>
          <w:b/>
          <w:color w:val="auto"/>
          <w:szCs w:val="21"/>
          <w:highlight w:val="none"/>
        </w:rPr>
      </w:pPr>
      <w:r>
        <w:rPr>
          <w:rFonts w:hint="eastAsia" w:ascii="宋体" w:hAnsi="宋体"/>
          <w:b/>
          <w:color w:val="auto"/>
          <w:szCs w:val="21"/>
          <w:highlight w:val="none"/>
        </w:rPr>
        <w:t>原文：</w:t>
      </w:r>
      <w:r>
        <w:rPr>
          <w:rFonts w:hint="eastAsia" w:ascii="宋体" w:hAnsi="宋体"/>
          <w:b w:val="0"/>
          <w:bCs/>
          <w:color w:val="auto"/>
          <w:szCs w:val="21"/>
          <w:highlight w:val="none"/>
          <w:lang w:val="en-US" w:eastAsia="zh-CN"/>
        </w:rPr>
        <w:t>30</w:t>
      </w:r>
      <w:r>
        <w:rPr>
          <w:rFonts w:hint="eastAsia" w:ascii="宋体" w:hAnsi="宋体"/>
          <w:b w:val="0"/>
          <w:bCs/>
          <w:color w:val="auto"/>
          <w:szCs w:val="21"/>
          <w:highlight w:val="none"/>
        </w:rPr>
        <w:t>．履约担保</w:t>
      </w:r>
    </w:p>
    <w:p w14:paraId="2993C592">
      <w:pPr>
        <w:snapToGrid w:val="0"/>
        <w:spacing w:line="360" w:lineRule="auto"/>
        <w:ind w:firstLine="420" w:firstLineChars="200"/>
        <w:rPr>
          <w:rFonts w:ascii="宋体"/>
          <w:color w:val="auto"/>
          <w:sz w:val="21"/>
          <w:szCs w:val="21"/>
          <w:highlight w:val="none"/>
        </w:rPr>
      </w:pPr>
      <w:r>
        <w:rPr>
          <w:rFonts w:hint="eastAsia" w:ascii="宋体" w:hAnsi="宋体"/>
          <w:color w:val="auto"/>
          <w:sz w:val="21"/>
          <w:szCs w:val="21"/>
          <w:highlight w:val="none"/>
          <w:lang w:val="en-US" w:eastAsia="zh-CN"/>
        </w:rPr>
        <w:t>30</w:t>
      </w:r>
      <w:r>
        <w:rPr>
          <w:rFonts w:ascii="宋体" w:hAnsi="宋体"/>
          <w:color w:val="auto"/>
          <w:sz w:val="21"/>
          <w:szCs w:val="21"/>
          <w:highlight w:val="none"/>
        </w:rPr>
        <w:t xml:space="preserve">.1 </w:t>
      </w:r>
      <w:r>
        <w:rPr>
          <w:rFonts w:hint="eastAsia" w:ascii="宋体" w:hAnsi="宋体"/>
          <w:color w:val="auto"/>
          <w:sz w:val="21"/>
          <w:szCs w:val="21"/>
          <w:highlight w:val="none"/>
        </w:rPr>
        <w:t>在收到中标通知书后的</w:t>
      </w:r>
      <w:r>
        <w:rPr>
          <w:rFonts w:ascii="宋体" w:hAnsi="宋体"/>
          <w:b w:val="0"/>
          <w:bCs/>
          <w:color w:val="auto"/>
          <w:sz w:val="21"/>
          <w:szCs w:val="21"/>
          <w:highlight w:val="none"/>
        </w:rPr>
        <w:t>15</w:t>
      </w:r>
      <w:r>
        <w:rPr>
          <w:rFonts w:hint="eastAsia" w:ascii="宋体" w:hAnsi="宋体"/>
          <w:b w:val="0"/>
          <w:bCs/>
          <w:color w:val="auto"/>
          <w:sz w:val="21"/>
          <w:szCs w:val="21"/>
          <w:highlight w:val="none"/>
        </w:rPr>
        <w:t>日内</w:t>
      </w:r>
      <w:r>
        <w:rPr>
          <w:rFonts w:hint="eastAsia" w:ascii="宋体" w:hAnsi="宋体"/>
          <w:color w:val="auto"/>
          <w:sz w:val="21"/>
          <w:szCs w:val="21"/>
          <w:highlight w:val="none"/>
        </w:rPr>
        <w:t>，中标人应按本须知前附表第</w:t>
      </w:r>
      <w:r>
        <w:rPr>
          <w:rFonts w:ascii="宋体" w:hAnsi="宋体"/>
          <w:color w:val="auto"/>
          <w:sz w:val="21"/>
          <w:szCs w:val="21"/>
          <w:highlight w:val="none"/>
        </w:rPr>
        <w:t>2</w:t>
      </w:r>
      <w:r>
        <w:rPr>
          <w:rFonts w:hint="eastAsia" w:ascii="宋体" w:hAnsi="宋体"/>
          <w:color w:val="auto"/>
          <w:sz w:val="21"/>
          <w:szCs w:val="21"/>
          <w:highlight w:val="none"/>
        </w:rPr>
        <w:t>0项的规定向招标人提交履约担保。</w:t>
      </w:r>
    </w:p>
    <w:p w14:paraId="1096DF3B">
      <w:pPr>
        <w:snapToGrid w:val="0"/>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lang w:val="en-US" w:eastAsia="zh-CN"/>
        </w:rPr>
        <w:t>30</w:t>
      </w:r>
      <w:r>
        <w:rPr>
          <w:rFonts w:ascii="宋体" w:hAnsi="宋体"/>
          <w:color w:val="auto"/>
          <w:sz w:val="21"/>
          <w:szCs w:val="21"/>
          <w:highlight w:val="none"/>
        </w:rPr>
        <w:t>.2</w:t>
      </w:r>
      <w:r>
        <w:rPr>
          <w:rFonts w:hint="eastAsia" w:ascii="宋体" w:hAnsi="宋体"/>
          <w:color w:val="auto"/>
          <w:sz w:val="21"/>
          <w:szCs w:val="21"/>
          <w:highlight w:val="none"/>
        </w:rPr>
        <w:t>中标通知书发出之日起</w:t>
      </w:r>
      <w:r>
        <w:rPr>
          <w:rFonts w:ascii="宋体" w:hAnsi="宋体"/>
          <w:color w:val="auto"/>
          <w:sz w:val="21"/>
          <w:szCs w:val="21"/>
          <w:highlight w:val="none"/>
        </w:rPr>
        <w:t>15</w:t>
      </w:r>
      <w:r>
        <w:rPr>
          <w:rFonts w:hint="eastAsia" w:ascii="宋体" w:hAnsi="宋体"/>
          <w:color w:val="auto"/>
          <w:sz w:val="21"/>
          <w:szCs w:val="21"/>
          <w:highlight w:val="none"/>
        </w:rPr>
        <w:t>日后，中标人未按上款的规定提交履约担保，招标人将解除中标通知书，原中标人的投标保证金不予退还，且依法承担相应法律责任。原中标人给招标人造成的损失超过投标保证金数额的，还应当对超过部分予以赔偿。原中标人有异议的，可以向人民法院起诉。</w:t>
      </w:r>
    </w:p>
    <w:p w14:paraId="0FA24C98">
      <w:pPr>
        <w:pStyle w:val="9"/>
        <w:spacing w:line="360" w:lineRule="auto"/>
        <w:rPr>
          <w:rFonts w:hint="eastAsia"/>
          <w:color w:val="auto"/>
          <w:szCs w:val="21"/>
          <w:highlight w:val="none"/>
        </w:rPr>
      </w:pPr>
      <w:r>
        <w:rPr>
          <w:rFonts w:hint="eastAsia" w:ascii="宋体" w:hAnsi="宋体" w:eastAsia="宋体" w:cs="Times New Roman"/>
          <w:color w:val="auto"/>
          <w:sz w:val="21"/>
          <w:szCs w:val="21"/>
          <w:highlight w:val="none"/>
          <w:lang w:val="en-US" w:eastAsia="zh-CN"/>
        </w:rPr>
        <w:t>30.3中标候选人的经营、财务状况发生较大变化或存在违法行为，招标人认为可能影响其履约能力的，将在发出中标通知书前提请原评标委员会按照招标文件规定的标准和方法进行审查确认。</w:t>
      </w:r>
    </w:p>
    <w:p w14:paraId="70E86894">
      <w:pPr>
        <w:pBdr>
          <w:bottom w:val="single" w:color="auto" w:sz="6" w:space="1"/>
        </w:pBdr>
        <w:spacing w:line="360" w:lineRule="auto"/>
        <w:ind w:firstLine="527" w:firstLineChars="250"/>
        <w:rPr>
          <w:rFonts w:hint="eastAsia" w:ascii="宋体" w:hAnsi="宋体"/>
          <w:b/>
          <w:bCs/>
          <w:color w:val="auto"/>
          <w:szCs w:val="21"/>
          <w:highlight w:val="none"/>
        </w:rPr>
      </w:pPr>
      <w:r>
        <w:rPr>
          <w:rFonts w:hint="eastAsia" w:ascii="宋体" w:hAnsi="宋体"/>
          <w:b/>
          <w:color w:val="auto"/>
          <w:szCs w:val="21"/>
          <w:highlight w:val="none"/>
        </w:rPr>
        <w:t>现文：</w:t>
      </w:r>
      <w:r>
        <w:rPr>
          <w:rFonts w:hint="eastAsia" w:ascii="宋体" w:hAnsi="宋体"/>
          <w:b w:val="0"/>
          <w:bCs w:val="0"/>
          <w:color w:val="auto"/>
          <w:szCs w:val="21"/>
          <w:highlight w:val="none"/>
          <w:lang w:val="en-US" w:eastAsia="zh-CN"/>
        </w:rPr>
        <w:t>30</w:t>
      </w:r>
      <w:r>
        <w:rPr>
          <w:rFonts w:hint="eastAsia" w:ascii="宋体" w:hAnsi="宋体"/>
          <w:b w:val="0"/>
          <w:bCs w:val="0"/>
          <w:color w:val="auto"/>
          <w:szCs w:val="21"/>
          <w:highlight w:val="none"/>
        </w:rPr>
        <w:t>．履约担保</w:t>
      </w:r>
    </w:p>
    <w:p w14:paraId="78A91D6A">
      <w:pPr>
        <w:pBdr>
          <w:bottom w:val="single" w:color="auto" w:sz="6" w:space="1"/>
        </w:pBdr>
        <w:spacing w:line="360" w:lineRule="auto"/>
        <w:ind w:firstLine="525" w:firstLineChars="250"/>
        <w:rPr>
          <w:rFonts w:ascii="宋体" w:hAnsi="宋体" w:cs="宋体"/>
          <w:b/>
          <w:bCs/>
          <w:color w:val="auto"/>
          <w:szCs w:val="21"/>
          <w:highlight w:val="none"/>
        </w:rPr>
      </w:pPr>
      <w:r>
        <w:rPr>
          <w:rFonts w:hint="eastAsia" w:ascii="宋体" w:hAnsi="宋体"/>
          <w:bCs/>
          <w:color w:val="auto"/>
          <w:szCs w:val="21"/>
          <w:highlight w:val="none"/>
          <w:lang w:val="en-US" w:eastAsia="zh-CN"/>
        </w:rPr>
        <w:t>30</w:t>
      </w:r>
      <w:r>
        <w:rPr>
          <w:rFonts w:hint="eastAsia" w:ascii="宋体" w:hAnsi="宋体"/>
          <w:bCs/>
          <w:color w:val="auto"/>
          <w:szCs w:val="21"/>
          <w:highlight w:val="none"/>
        </w:rPr>
        <w:t>.1 在收到中标通知书后的</w:t>
      </w:r>
      <w:r>
        <w:rPr>
          <w:rFonts w:hint="eastAsia" w:ascii="宋体" w:hAnsi="宋体"/>
          <w:b/>
          <w:bCs w:val="0"/>
          <w:color w:val="auto"/>
          <w:szCs w:val="21"/>
          <w:highlight w:val="none"/>
          <w:u w:val="single"/>
        </w:rPr>
        <w:t>15个日历天</w:t>
      </w:r>
      <w:r>
        <w:rPr>
          <w:rFonts w:hint="eastAsia" w:ascii="宋体" w:hAnsi="宋体"/>
          <w:bCs/>
          <w:color w:val="auto"/>
          <w:szCs w:val="21"/>
          <w:highlight w:val="none"/>
        </w:rPr>
        <w:t>内，中标人应按本须知前附表第</w:t>
      </w:r>
      <w:r>
        <w:rPr>
          <w:rFonts w:hint="eastAsia" w:ascii="宋体" w:hAnsi="宋体"/>
          <w:b/>
          <w:bCs w:val="0"/>
          <w:color w:val="auto"/>
          <w:szCs w:val="21"/>
          <w:highlight w:val="none"/>
          <w:u w:val="single"/>
        </w:rPr>
        <w:t>2</w:t>
      </w:r>
      <w:r>
        <w:rPr>
          <w:rFonts w:hint="eastAsia" w:ascii="宋体" w:hAnsi="宋体"/>
          <w:b/>
          <w:bCs w:val="0"/>
          <w:color w:val="auto"/>
          <w:szCs w:val="21"/>
          <w:highlight w:val="none"/>
          <w:u w:val="single"/>
          <w:lang w:val="en-US" w:eastAsia="zh-CN"/>
        </w:rPr>
        <w:t>1</w:t>
      </w:r>
      <w:r>
        <w:rPr>
          <w:rFonts w:hint="eastAsia" w:ascii="宋体" w:hAnsi="宋体"/>
          <w:bCs/>
          <w:color w:val="auto"/>
          <w:szCs w:val="21"/>
          <w:highlight w:val="none"/>
        </w:rPr>
        <w:t>项的</w:t>
      </w:r>
      <w:r>
        <w:rPr>
          <w:rFonts w:hint="eastAsia" w:ascii="宋体" w:hAnsi="宋体" w:cs="宋体"/>
          <w:color w:val="auto"/>
          <w:szCs w:val="21"/>
          <w:highlight w:val="none"/>
        </w:rPr>
        <w:t>规定向招标人递交履约担保；</w:t>
      </w:r>
      <w:r>
        <w:rPr>
          <w:rFonts w:hint="eastAsia" w:ascii="宋体" w:hAnsi="宋体" w:cs="宋体"/>
          <w:b/>
          <w:bCs/>
          <w:color w:val="auto"/>
          <w:szCs w:val="21"/>
          <w:highlight w:val="none"/>
          <w:u w:val="single"/>
        </w:rPr>
        <w:t>履约担保缴交方式一：从中标人开户银行帐户中转帐或汇款到招标人以下三个银行帐户﹙收款单位：广州市番禺区基本建设投资管理中心，银行帐号一：3602070119200076312，开户银行：工商银行广州番禺平康支行；银行帐号二：44001531416059000078，开户银行：中国建设银行番禺东区支行；银行帐号三：391160100100059844，开户银行：兴业银行番禺支行﹚中的任一个帐户内。</w:t>
      </w:r>
      <w:r>
        <w:rPr>
          <w:rFonts w:hint="eastAsia" w:ascii="宋体" w:hAnsi="宋体" w:cs="宋体"/>
          <w:b/>
          <w:bCs/>
          <w:color w:val="auto"/>
          <w:szCs w:val="21"/>
          <w:highlight w:val="none"/>
        </w:rPr>
        <w:t xml:space="preserve">    </w:t>
      </w:r>
    </w:p>
    <w:p w14:paraId="36F31B1E">
      <w:pPr>
        <w:pBdr>
          <w:bottom w:val="single" w:color="auto" w:sz="6" w:space="1"/>
        </w:pBdr>
        <w:spacing w:line="360" w:lineRule="auto"/>
        <w:ind w:firstLine="527" w:firstLineChars="250"/>
        <w:rPr>
          <w:rFonts w:ascii="宋体" w:hAnsi="宋体" w:cs="宋体"/>
          <w:b/>
          <w:bCs/>
          <w:color w:val="auto"/>
          <w:szCs w:val="21"/>
          <w:highlight w:val="none"/>
          <w:u w:val="single"/>
        </w:rPr>
      </w:pPr>
      <w:r>
        <w:rPr>
          <w:rFonts w:hint="eastAsia" w:ascii="宋体" w:hAnsi="宋体" w:cs="宋体"/>
          <w:b/>
          <w:bCs/>
          <w:color w:val="auto"/>
          <w:szCs w:val="21"/>
          <w:highlight w:val="none"/>
          <w:u w:val="single"/>
        </w:rPr>
        <w:t>方式二：中标人按本合同附件中的格式3向发包人提供保证额为中标价款的10%</w:t>
      </w:r>
      <w:r>
        <w:rPr>
          <w:rFonts w:hint="eastAsia" w:ascii="宋体" w:hAnsi="宋体"/>
          <w:b/>
          <w:bCs/>
          <w:color w:val="auto"/>
          <w:highlight w:val="none"/>
          <w:u w:val="single"/>
        </w:rPr>
        <w:t>(若中标人为中小企业，则为5%)</w:t>
      </w:r>
      <w:r>
        <w:rPr>
          <w:rFonts w:hint="eastAsia" w:ascii="宋体" w:hAnsi="宋体" w:cs="宋体"/>
          <w:b/>
          <w:bCs/>
          <w:color w:val="auto"/>
          <w:szCs w:val="21"/>
          <w:highlight w:val="none"/>
          <w:u w:val="single"/>
        </w:rPr>
        <w:t>的履约保证金银行保函，该银行保函应由在中国注册的银行开具。</w:t>
      </w:r>
    </w:p>
    <w:p w14:paraId="6AC256A6">
      <w:pPr>
        <w:pBdr>
          <w:bottom w:val="single" w:color="auto" w:sz="6" w:space="1"/>
        </w:pBdr>
        <w:spacing w:line="360" w:lineRule="auto"/>
        <w:ind w:firstLine="525" w:firstLineChars="250"/>
        <w:rPr>
          <w:rFonts w:hint="eastAsia" w:ascii="宋体" w:hAnsi="宋体"/>
          <w:b/>
          <w:bCs/>
          <w:color w:val="auto"/>
          <w:szCs w:val="21"/>
          <w:highlight w:val="none"/>
        </w:rPr>
      </w:pPr>
      <w:r>
        <w:rPr>
          <w:rFonts w:hint="eastAsia" w:ascii="宋体" w:hAnsi="宋体" w:cs="宋体"/>
          <w:color w:val="auto"/>
          <w:szCs w:val="21"/>
          <w:highlight w:val="none"/>
          <w:lang w:val="en-US" w:eastAsia="zh-CN"/>
        </w:rPr>
        <w:t>30</w:t>
      </w:r>
      <w:r>
        <w:rPr>
          <w:rFonts w:hint="eastAsia" w:ascii="宋体" w:hAnsi="宋体" w:cs="宋体"/>
          <w:color w:val="auto"/>
          <w:szCs w:val="21"/>
          <w:highlight w:val="none"/>
        </w:rPr>
        <w:t>.2中标通知书发出之日起</w:t>
      </w:r>
      <w:r>
        <w:rPr>
          <w:rFonts w:hint="eastAsia" w:ascii="宋体" w:hAnsi="宋体" w:cs="宋体"/>
          <w:b/>
          <w:bCs/>
          <w:color w:val="auto"/>
          <w:szCs w:val="21"/>
          <w:highlight w:val="none"/>
          <w:u w:val="single"/>
        </w:rPr>
        <w:t>15个日历天</w:t>
      </w:r>
      <w:r>
        <w:rPr>
          <w:rFonts w:hint="eastAsia" w:ascii="宋体" w:hAnsi="宋体" w:cs="宋体"/>
          <w:color w:val="auto"/>
          <w:szCs w:val="21"/>
          <w:highlight w:val="none"/>
        </w:rPr>
        <w:t>内，中标人未按上款的规定递交履约担保</w:t>
      </w:r>
      <w:r>
        <w:rPr>
          <w:rFonts w:hint="eastAsia" w:ascii="宋体" w:hAnsi="宋体" w:cs="宋体"/>
          <w:b/>
          <w:bCs/>
          <w:color w:val="auto"/>
          <w:szCs w:val="21"/>
          <w:highlight w:val="none"/>
          <w:u w:val="single"/>
        </w:rPr>
        <w:t>且未征得招标人同意延期缴交的</w:t>
      </w:r>
      <w:r>
        <w:rPr>
          <w:rFonts w:hint="eastAsia" w:ascii="宋体" w:hAnsi="宋体" w:cs="宋体"/>
          <w:color w:val="auto"/>
          <w:szCs w:val="21"/>
          <w:highlight w:val="none"/>
        </w:rPr>
        <w:t>，招标人将解除中标通知书，原中标人的</w:t>
      </w:r>
      <w:r>
        <w:rPr>
          <w:rFonts w:hint="eastAsia" w:ascii="宋体" w:hAnsi="宋体" w:cs="宋体"/>
          <w:b/>
          <w:bCs/>
          <w:szCs w:val="21"/>
          <w:highlight w:val="none"/>
          <w:u w:val="single"/>
        </w:rPr>
        <w:t>补交的投标保证金</w:t>
      </w:r>
      <w:r>
        <w:rPr>
          <w:rFonts w:hint="eastAsia" w:ascii="宋体" w:hAnsi="宋体" w:cs="宋体"/>
          <w:color w:val="auto"/>
          <w:szCs w:val="21"/>
          <w:highlight w:val="none"/>
        </w:rPr>
        <w:t>不予退还，且依法承担相应法律责任。原中标人给招标人造成的损失超过</w:t>
      </w:r>
      <w:r>
        <w:rPr>
          <w:rFonts w:hint="eastAsia" w:ascii="宋体" w:hAnsi="宋体"/>
          <w:b/>
          <w:bCs/>
          <w:szCs w:val="21"/>
          <w:highlight w:val="none"/>
          <w:u w:val="single"/>
        </w:rPr>
        <w:t>补交的投标保证金</w:t>
      </w:r>
      <w:r>
        <w:rPr>
          <w:rFonts w:hint="eastAsia" w:ascii="宋体" w:hAnsi="宋体" w:cs="宋体"/>
          <w:color w:val="auto"/>
          <w:szCs w:val="21"/>
          <w:highlight w:val="none"/>
        </w:rPr>
        <w:t>数额的，还应当对超过部分予以赔偿。原中标人有异议的，可以向人民法院起诉。</w:t>
      </w:r>
    </w:p>
    <w:p w14:paraId="6877A115">
      <w:pPr>
        <w:spacing w:line="360" w:lineRule="auto"/>
        <w:ind w:firstLine="472" w:firstLineChars="224"/>
        <w:rPr>
          <w:rFonts w:hint="eastAsia" w:ascii="宋体" w:hAnsi="宋体" w:eastAsia="宋体"/>
          <w:b/>
          <w:color w:val="auto"/>
          <w:szCs w:val="21"/>
          <w:highlight w:val="none"/>
          <w:lang w:eastAsia="zh-CN"/>
        </w:rPr>
      </w:pPr>
      <w:r>
        <w:rPr>
          <w:rFonts w:hint="eastAsia" w:ascii="宋体" w:hAnsi="宋体"/>
          <w:b/>
          <w:color w:val="auto"/>
          <w:szCs w:val="21"/>
          <w:highlight w:val="none"/>
        </w:rPr>
        <w:t>条款号：</w:t>
      </w:r>
      <w:r>
        <w:rPr>
          <w:rFonts w:ascii="宋体" w:hAnsi="宋体"/>
          <w:b/>
          <w:color w:val="auto"/>
          <w:szCs w:val="21"/>
          <w:highlight w:val="none"/>
        </w:rPr>
        <w:t>3</w:t>
      </w:r>
      <w:r>
        <w:rPr>
          <w:rFonts w:hint="eastAsia" w:ascii="宋体" w:hAnsi="宋体"/>
          <w:b/>
          <w:color w:val="auto"/>
          <w:szCs w:val="21"/>
          <w:highlight w:val="none"/>
          <w:lang w:val="en-US" w:eastAsia="zh-CN"/>
        </w:rPr>
        <w:t>4</w:t>
      </w:r>
      <w:r>
        <w:rPr>
          <w:rFonts w:hint="eastAsia" w:ascii="宋体" w:hAnsi="宋体"/>
          <w:b/>
          <w:color w:val="auto"/>
          <w:szCs w:val="21"/>
          <w:highlight w:val="none"/>
        </w:rPr>
        <w:t xml:space="preserve">             修改类型：</w:t>
      </w:r>
      <w:r>
        <w:rPr>
          <w:rFonts w:hint="eastAsia" w:ascii="宋体" w:hAnsi="宋体"/>
          <w:b/>
          <w:color w:val="auto"/>
          <w:szCs w:val="21"/>
          <w:highlight w:val="none"/>
          <w:lang w:val="en-US" w:eastAsia="zh-CN"/>
        </w:rPr>
        <w:t>增加</w:t>
      </w:r>
    </w:p>
    <w:p w14:paraId="0DE0623C">
      <w:pPr>
        <w:spacing w:line="360" w:lineRule="auto"/>
        <w:ind w:left="482"/>
        <w:rPr>
          <w:rFonts w:ascii="宋体" w:hAnsi="宋体"/>
          <w:b/>
          <w:bCs/>
          <w:color w:val="auto"/>
          <w:szCs w:val="21"/>
          <w:highlight w:val="none"/>
        </w:rPr>
      </w:pPr>
      <w:r>
        <w:rPr>
          <w:rFonts w:hint="eastAsia" w:ascii="宋体" w:hAnsi="宋体"/>
          <w:b/>
          <w:color w:val="auto"/>
          <w:szCs w:val="21"/>
          <w:highlight w:val="none"/>
        </w:rPr>
        <w:t>现文：</w:t>
      </w:r>
      <w:r>
        <w:rPr>
          <w:rFonts w:ascii="宋体" w:hAnsi="宋体"/>
          <w:b/>
          <w:bCs/>
          <w:color w:val="auto"/>
          <w:szCs w:val="21"/>
          <w:highlight w:val="none"/>
        </w:rPr>
        <w:t>3</w:t>
      </w:r>
      <w:r>
        <w:rPr>
          <w:rFonts w:hint="eastAsia" w:ascii="宋体" w:hAnsi="宋体"/>
          <w:b/>
          <w:bCs/>
          <w:color w:val="auto"/>
          <w:szCs w:val="21"/>
          <w:highlight w:val="none"/>
          <w:lang w:val="en-US" w:eastAsia="zh-CN"/>
        </w:rPr>
        <w:t>4</w:t>
      </w:r>
      <w:r>
        <w:rPr>
          <w:rFonts w:hint="eastAsia" w:ascii="宋体" w:hAnsi="宋体"/>
          <w:b/>
          <w:bCs/>
          <w:color w:val="auto"/>
          <w:szCs w:val="21"/>
          <w:highlight w:val="none"/>
        </w:rPr>
        <w:t>．其它费用</w:t>
      </w:r>
    </w:p>
    <w:p w14:paraId="2FC963D0">
      <w:pPr>
        <w:pBdr>
          <w:bottom w:val="single" w:color="auto" w:sz="4" w:space="0"/>
        </w:pBdr>
        <w:spacing w:line="360" w:lineRule="auto"/>
        <w:ind w:firstLine="472" w:firstLineChars="224"/>
        <w:rPr>
          <w:rFonts w:hint="eastAsia" w:ascii="宋体" w:hAnsi="宋体"/>
          <w:b/>
          <w:bCs/>
          <w:color w:val="auto"/>
          <w:szCs w:val="21"/>
          <w:highlight w:val="none"/>
          <w:u w:val="single"/>
        </w:rPr>
      </w:pPr>
      <w:r>
        <w:rPr>
          <w:rFonts w:hint="eastAsia" w:ascii="宋体" w:hAnsi="宋体"/>
          <w:b/>
          <w:bCs/>
          <w:color w:val="auto"/>
          <w:szCs w:val="21"/>
          <w:highlight w:val="none"/>
          <w:u w:val="single"/>
        </w:rPr>
        <w:t>中标人代缴公共资源交易服务费，其费用包含在中标人投标报价中，</w:t>
      </w:r>
      <w:r>
        <w:rPr>
          <w:rFonts w:hint="eastAsia" w:ascii="宋体" w:hAnsi="宋体"/>
          <w:b/>
          <w:bCs/>
          <w:color w:val="auto"/>
          <w:spacing w:val="20"/>
          <w:szCs w:val="21"/>
          <w:highlight w:val="none"/>
          <w:u w:val="single"/>
        </w:rPr>
        <w:t>由广州交易集团有限公司（广州公共资源交易中心）</w:t>
      </w:r>
      <w:r>
        <w:rPr>
          <w:rFonts w:hint="eastAsia" w:ascii="宋体" w:hAnsi="宋体"/>
          <w:b/>
          <w:bCs/>
          <w:color w:val="auto"/>
          <w:szCs w:val="21"/>
          <w:highlight w:val="none"/>
          <w:u w:val="single"/>
        </w:rPr>
        <w:t>向中标人开具增值税发票。</w:t>
      </w:r>
    </w:p>
    <w:p w14:paraId="59DFACF0">
      <w:pPr>
        <w:spacing w:line="360" w:lineRule="auto"/>
        <w:ind w:firstLine="211" w:firstLineChars="100"/>
        <w:rPr>
          <w:b/>
          <w:color w:val="auto"/>
          <w:szCs w:val="21"/>
          <w:highlight w:val="none"/>
        </w:rPr>
      </w:pPr>
      <w:r>
        <w:rPr>
          <w:rFonts w:hint="eastAsia"/>
          <w:b/>
          <w:color w:val="auto"/>
          <w:szCs w:val="21"/>
          <w:highlight w:val="none"/>
        </w:rPr>
        <w:t>注：以上修改，仅限于本范本中有可供选择条款的情形。</w:t>
      </w:r>
    </w:p>
    <w:p w14:paraId="4E264536">
      <w:pPr>
        <w:spacing w:line="360" w:lineRule="auto"/>
        <w:rPr>
          <w:color w:val="auto"/>
          <w:highlight w:val="none"/>
        </w:rPr>
      </w:pPr>
      <w:r>
        <w:rPr>
          <w:rFonts w:hint="eastAsia"/>
          <w:b/>
          <w:color w:val="auto"/>
          <w:szCs w:val="21"/>
          <w:highlight w:val="none"/>
        </w:rPr>
        <w:t>（以下无正文）</w:t>
      </w:r>
    </w:p>
    <w:p w14:paraId="45A86170">
      <w:pPr>
        <w:pStyle w:val="6"/>
        <w:rPr>
          <w:color w:val="auto"/>
          <w:highlight w:val="none"/>
        </w:rPr>
      </w:pPr>
      <w:r>
        <w:rPr>
          <w:color w:val="auto"/>
          <w:highlight w:val="none"/>
        </w:rPr>
        <w:br w:type="page"/>
      </w:r>
      <w:bookmarkStart w:id="18" w:name="_Toc12778"/>
      <w:bookmarkStart w:id="19" w:name="_Toc26716"/>
      <w:bookmarkStart w:id="20" w:name="_Toc19765"/>
      <w:bookmarkStart w:id="21" w:name="_Toc14935"/>
      <w:bookmarkStart w:id="22" w:name="_Toc2272548"/>
      <w:bookmarkStart w:id="23" w:name="_Toc21525492"/>
      <w:r>
        <w:rPr>
          <w:rFonts w:hint="eastAsia"/>
          <w:color w:val="auto"/>
          <w:highlight w:val="none"/>
        </w:rPr>
        <w:t>三、投标须知通用条款</w:t>
      </w:r>
      <w:bookmarkEnd w:id="18"/>
      <w:bookmarkEnd w:id="19"/>
      <w:bookmarkEnd w:id="20"/>
      <w:bookmarkEnd w:id="21"/>
      <w:bookmarkEnd w:id="22"/>
      <w:bookmarkEnd w:id="23"/>
    </w:p>
    <w:p w14:paraId="6655BF62">
      <w:pPr>
        <w:pStyle w:val="7"/>
        <w:bidi w:val="0"/>
        <w:rPr>
          <w:color w:val="auto"/>
          <w:highlight w:val="none"/>
        </w:rPr>
      </w:pPr>
      <w:bookmarkStart w:id="24" w:name="_Toc16055"/>
      <w:bookmarkStart w:id="25" w:name="_Toc2272549"/>
      <w:bookmarkStart w:id="26" w:name="_Toc21525493"/>
      <w:bookmarkStart w:id="27" w:name="_Toc752"/>
      <w:bookmarkStart w:id="28" w:name="_Toc7269"/>
      <w:bookmarkStart w:id="29" w:name="_Toc821"/>
      <w:r>
        <w:rPr>
          <w:rFonts w:hint="eastAsia"/>
          <w:color w:val="auto"/>
          <w:highlight w:val="none"/>
        </w:rPr>
        <w:t>（一）总则</w:t>
      </w:r>
      <w:bookmarkEnd w:id="24"/>
      <w:bookmarkEnd w:id="25"/>
      <w:bookmarkEnd w:id="26"/>
      <w:bookmarkEnd w:id="27"/>
      <w:bookmarkEnd w:id="28"/>
      <w:bookmarkEnd w:id="29"/>
    </w:p>
    <w:p w14:paraId="162DDC8E">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w:t>
      </w:r>
      <w:r>
        <w:rPr>
          <w:rFonts w:hint="eastAsia" w:ascii="宋体" w:hAnsi="宋体"/>
          <w:b/>
          <w:bCs/>
          <w:color w:val="auto"/>
          <w:sz w:val="24"/>
          <w:highlight w:val="none"/>
        </w:rPr>
        <w:t>、定义</w:t>
      </w:r>
    </w:p>
    <w:p w14:paraId="2B118612">
      <w:pPr>
        <w:pStyle w:val="4"/>
        <w:spacing w:after="0" w:line="360" w:lineRule="auto"/>
        <w:ind w:firstLine="480" w:firstLineChars="200"/>
        <w:rPr>
          <w:rFonts w:ascii="宋体"/>
          <w:b/>
          <w:bCs/>
          <w:color w:val="auto"/>
          <w:sz w:val="24"/>
          <w:highlight w:val="none"/>
        </w:rPr>
      </w:pPr>
      <w:r>
        <w:rPr>
          <w:rFonts w:hint="eastAsia" w:ascii="宋体" w:hAnsi="宋体"/>
          <w:color w:val="auto"/>
          <w:sz w:val="24"/>
          <w:highlight w:val="none"/>
        </w:rPr>
        <w:t>本招标文件使用的下列词语具有如下规定的意义：</w:t>
      </w:r>
    </w:p>
    <w:p w14:paraId="50966081">
      <w:pPr>
        <w:pStyle w:val="4"/>
        <w:spacing w:after="0" w:line="360" w:lineRule="auto"/>
        <w:ind w:firstLine="480" w:firstLineChars="200"/>
        <w:rPr>
          <w:rFonts w:ascii="宋体"/>
          <w:b/>
          <w:bCs/>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1</w:t>
      </w:r>
      <w:r>
        <w:rPr>
          <w:rFonts w:hint="eastAsia" w:ascii="宋体" w:hAnsi="宋体"/>
          <w:color w:val="auto"/>
          <w:sz w:val="24"/>
          <w:highlight w:val="none"/>
        </w:rPr>
        <w:t>）“招标人”（即发包人）、“项目建设管理单位</w:t>
      </w:r>
      <w:r>
        <w:rPr>
          <w:rFonts w:hint="eastAsia" w:ascii="宋体"/>
          <w:color w:val="auto"/>
          <w:sz w:val="24"/>
          <w:highlight w:val="none"/>
        </w:rPr>
        <w:t>”</w:t>
      </w:r>
      <w:r>
        <w:rPr>
          <w:rFonts w:hint="eastAsia" w:ascii="宋体" w:hAnsi="宋体"/>
          <w:color w:val="auto"/>
          <w:sz w:val="24"/>
          <w:highlight w:val="none"/>
        </w:rPr>
        <w:t>（或称“项目代建单位”）、“招标代理”、“设计单位”、“监理单位”均已在投标须知前附表中列明。</w:t>
      </w:r>
    </w:p>
    <w:p w14:paraId="423CF12D">
      <w:pPr>
        <w:pStyle w:val="4"/>
        <w:spacing w:after="0" w:line="360" w:lineRule="auto"/>
        <w:ind w:firstLine="480" w:firstLineChars="200"/>
        <w:rPr>
          <w:rFonts w:ascii="宋体"/>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2</w:t>
      </w:r>
      <w:r>
        <w:rPr>
          <w:rFonts w:hint="eastAsia" w:ascii="宋体" w:hAnsi="宋体"/>
          <w:color w:val="auto"/>
          <w:sz w:val="24"/>
          <w:highlight w:val="none"/>
        </w:rPr>
        <w:t>）“投标人”指向招标人提交投标文件的当事人。</w:t>
      </w:r>
      <w:r>
        <w:rPr>
          <w:rFonts w:ascii="宋体" w:hAnsi="宋体"/>
          <w:color w:val="auto"/>
          <w:sz w:val="24"/>
          <w:highlight w:val="none"/>
        </w:rPr>
        <w:t xml:space="preserve">   </w:t>
      </w:r>
    </w:p>
    <w:p w14:paraId="47883F8F">
      <w:pPr>
        <w:pStyle w:val="4"/>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3</w:t>
      </w:r>
      <w:r>
        <w:rPr>
          <w:rFonts w:hint="eastAsia" w:ascii="宋体" w:hAnsi="宋体"/>
          <w:color w:val="auto"/>
          <w:sz w:val="24"/>
          <w:highlight w:val="none"/>
        </w:rPr>
        <w:t>）“承包人”指其投标被招标人接受并与其签订承包合同的当事人。</w:t>
      </w:r>
    </w:p>
    <w:p w14:paraId="715A8346">
      <w:pPr>
        <w:pStyle w:val="4"/>
        <w:spacing w:after="0" w:line="360" w:lineRule="auto"/>
        <w:ind w:firstLine="480" w:firstLineChars="200"/>
        <w:rPr>
          <w:rFonts w:ascii="宋体"/>
          <w:color w:val="auto"/>
          <w:sz w:val="24"/>
          <w:highlight w:val="none"/>
          <w:u w:val="single"/>
        </w:rPr>
      </w:pPr>
      <w:r>
        <w:rPr>
          <w:rFonts w:hint="eastAsia" w:ascii="宋体" w:hAnsi="宋体"/>
          <w:color w:val="auto"/>
          <w:sz w:val="24"/>
          <w:highlight w:val="none"/>
        </w:rPr>
        <w:t>（</w:t>
      </w:r>
      <w:r>
        <w:rPr>
          <w:rFonts w:ascii="宋体" w:hAnsi="宋体"/>
          <w:color w:val="auto"/>
          <w:sz w:val="24"/>
          <w:highlight w:val="none"/>
        </w:rPr>
        <w:t>4</w:t>
      </w:r>
      <w:r>
        <w:rPr>
          <w:rFonts w:hint="eastAsia" w:ascii="宋体" w:hAnsi="宋体"/>
          <w:color w:val="auto"/>
          <w:sz w:val="24"/>
          <w:highlight w:val="none"/>
        </w:rPr>
        <w:t>）“招标文件”指由招标代理发出的本文件（包括全部章节、附件）及招标答疑会会议纪要和</w:t>
      </w:r>
      <w:r>
        <w:rPr>
          <w:rFonts w:hint="eastAsia" w:ascii="宋体" w:hAnsi="宋体"/>
          <w:bCs/>
          <w:color w:val="auto"/>
          <w:sz w:val="24"/>
          <w:highlight w:val="none"/>
        </w:rPr>
        <w:t>招标文件的澄清与修改</w:t>
      </w:r>
      <w:r>
        <w:rPr>
          <w:rFonts w:hint="eastAsia" w:ascii="宋体" w:hAnsi="宋体"/>
          <w:color w:val="auto"/>
          <w:sz w:val="24"/>
          <w:highlight w:val="none"/>
        </w:rPr>
        <w:t>文件。</w:t>
      </w:r>
    </w:p>
    <w:p w14:paraId="2521F75C">
      <w:pPr>
        <w:pStyle w:val="4"/>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5</w:t>
      </w:r>
      <w:r>
        <w:rPr>
          <w:rFonts w:hint="eastAsia" w:ascii="宋体" w:hAnsi="宋体"/>
          <w:color w:val="auto"/>
          <w:sz w:val="24"/>
          <w:highlight w:val="none"/>
        </w:rPr>
        <w:t>）“投标文件”指投标人根据本项目招标文件向招标人提交的全部文件。</w:t>
      </w:r>
    </w:p>
    <w:p w14:paraId="3B506D63">
      <w:pPr>
        <w:pStyle w:val="4"/>
        <w:spacing w:after="0" w:line="360" w:lineRule="auto"/>
        <w:ind w:firstLine="480" w:firstLineChars="200"/>
        <w:rPr>
          <w:rFonts w:ascii="宋体"/>
          <w:color w:val="auto"/>
          <w:sz w:val="24"/>
          <w:highlight w:val="none"/>
        </w:rPr>
      </w:pPr>
      <w:r>
        <w:rPr>
          <w:rFonts w:hint="eastAsia" w:ascii="宋体" w:hAnsi="宋体"/>
          <w:color w:val="auto"/>
          <w:sz w:val="24"/>
          <w:highlight w:val="none"/>
        </w:rPr>
        <w:t>（</w:t>
      </w:r>
      <w:r>
        <w:rPr>
          <w:rFonts w:ascii="宋体" w:hAnsi="宋体"/>
          <w:color w:val="auto"/>
          <w:sz w:val="24"/>
          <w:highlight w:val="none"/>
        </w:rPr>
        <w:t>6</w:t>
      </w:r>
      <w:r>
        <w:rPr>
          <w:rFonts w:hint="eastAsia" w:ascii="宋体" w:hAnsi="宋体"/>
          <w:color w:val="auto"/>
          <w:sz w:val="24"/>
          <w:highlight w:val="none"/>
        </w:rPr>
        <w:t>）“书面形式”指打字或印刷的文件和数据电文（包括电报、电传、传真、电子数据交换和电子邮件）。</w:t>
      </w:r>
    </w:p>
    <w:p w14:paraId="159E5229">
      <w:pPr>
        <w:spacing w:line="360" w:lineRule="auto"/>
        <w:ind w:firstLine="482" w:firstLineChars="200"/>
        <w:rPr>
          <w:rFonts w:ascii="宋体"/>
          <w:b/>
          <w:color w:val="auto"/>
          <w:sz w:val="24"/>
          <w:highlight w:val="none"/>
        </w:rPr>
      </w:pPr>
      <w:r>
        <w:rPr>
          <w:rFonts w:ascii="宋体" w:hAnsi="宋体"/>
          <w:b/>
          <w:color w:val="auto"/>
          <w:sz w:val="24"/>
          <w:highlight w:val="none"/>
        </w:rPr>
        <w:t>2</w:t>
      </w:r>
      <w:r>
        <w:rPr>
          <w:rFonts w:hint="eastAsia" w:ascii="宋体" w:hAnsi="宋体"/>
          <w:b/>
          <w:color w:val="auto"/>
          <w:sz w:val="24"/>
          <w:highlight w:val="none"/>
        </w:rPr>
        <w:t>、招标说明</w:t>
      </w:r>
    </w:p>
    <w:p w14:paraId="6BBAD982">
      <w:pPr>
        <w:spacing w:line="360" w:lineRule="auto"/>
        <w:ind w:firstLine="480" w:firstLineChars="200"/>
        <w:rPr>
          <w:rFonts w:ascii="宋体"/>
          <w:bCs/>
          <w:color w:val="auto"/>
          <w:sz w:val="24"/>
          <w:highlight w:val="none"/>
        </w:rPr>
      </w:pPr>
      <w:r>
        <w:rPr>
          <w:rFonts w:ascii="宋体" w:hAnsi="宋体"/>
          <w:bCs/>
          <w:color w:val="auto"/>
          <w:sz w:val="24"/>
          <w:highlight w:val="none"/>
        </w:rPr>
        <w:t>2.1</w:t>
      </w:r>
      <w:r>
        <w:rPr>
          <w:rFonts w:hint="eastAsia" w:ascii="宋体" w:hAnsi="宋体"/>
          <w:bCs/>
          <w:color w:val="auto"/>
          <w:sz w:val="24"/>
          <w:highlight w:val="none"/>
        </w:rPr>
        <w:t>本招标工程项目按照《中华人民共和国招标投标法》等有关法律、行政法规、规章和规范性文件，通过招标方式选定承包人。</w:t>
      </w:r>
    </w:p>
    <w:p w14:paraId="018059D4">
      <w:pPr>
        <w:spacing w:line="360" w:lineRule="auto"/>
        <w:ind w:firstLine="480" w:firstLineChars="200"/>
        <w:rPr>
          <w:rFonts w:ascii="宋体"/>
          <w:bCs/>
          <w:color w:val="auto"/>
          <w:sz w:val="24"/>
          <w:highlight w:val="none"/>
        </w:rPr>
      </w:pPr>
      <w:r>
        <w:rPr>
          <w:rFonts w:ascii="宋体" w:hAnsi="宋体"/>
          <w:bCs/>
          <w:color w:val="auto"/>
          <w:sz w:val="24"/>
          <w:highlight w:val="none"/>
        </w:rPr>
        <w:t>2.2</w:t>
      </w:r>
      <w:r>
        <w:rPr>
          <w:rFonts w:hint="eastAsia" w:ascii="宋体" w:hAnsi="宋体"/>
          <w:bCs/>
          <w:color w:val="auto"/>
          <w:sz w:val="24"/>
          <w:highlight w:val="none"/>
        </w:rPr>
        <w:t>工程名称、</w:t>
      </w:r>
      <w:r>
        <w:rPr>
          <w:rFonts w:hint="eastAsia" w:ascii="宋体" w:hAnsi="宋体"/>
          <w:bCs/>
          <w:color w:val="auto"/>
          <w:sz w:val="24"/>
          <w:highlight w:val="none"/>
          <w:lang w:eastAsia="zh-CN"/>
        </w:rPr>
        <w:t>招标项目名称、</w:t>
      </w:r>
      <w:r>
        <w:rPr>
          <w:rFonts w:hint="eastAsia" w:ascii="宋体" w:hAnsi="宋体"/>
          <w:bCs/>
          <w:color w:val="auto"/>
          <w:sz w:val="24"/>
          <w:highlight w:val="none"/>
        </w:rPr>
        <w:t>建设地点、建设规模、承包方式、质量标准、招标范围、工期要求等均在投标须知前附表中列明。</w:t>
      </w:r>
    </w:p>
    <w:p w14:paraId="601103EC">
      <w:pPr>
        <w:spacing w:line="360" w:lineRule="auto"/>
        <w:ind w:firstLine="480" w:firstLineChars="200"/>
        <w:rPr>
          <w:rFonts w:ascii="宋体"/>
          <w:bCs/>
          <w:color w:val="auto"/>
          <w:sz w:val="24"/>
          <w:highlight w:val="none"/>
        </w:rPr>
      </w:pPr>
      <w:r>
        <w:rPr>
          <w:rFonts w:ascii="宋体" w:hAnsi="宋体"/>
          <w:bCs/>
          <w:color w:val="auto"/>
          <w:sz w:val="24"/>
          <w:highlight w:val="none"/>
        </w:rPr>
        <w:t>2.3</w:t>
      </w:r>
      <w:r>
        <w:rPr>
          <w:rFonts w:hint="eastAsia" w:ascii="宋体" w:hAnsi="宋体"/>
          <w:bCs/>
          <w:color w:val="auto"/>
          <w:sz w:val="24"/>
          <w:highlight w:val="none"/>
        </w:rPr>
        <w:t>设计说明：详见招标图纸。</w:t>
      </w:r>
    </w:p>
    <w:p w14:paraId="571A58B8">
      <w:pPr>
        <w:spacing w:line="360" w:lineRule="auto"/>
        <w:ind w:firstLine="480" w:firstLineChars="200"/>
        <w:rPr>
          <w:rFonts w:ascii="宋体"/>
          <w:bCs/>
          <w:color w:val="auto"/>
          <w:sz w:val="24"/>
          <w:highlight w:val="none"/>
        </w:rPr>
      </w:pPr>
      <w:r>
        <w:rPr>
          <w:rFonts w:ascii="宋体" w:hAnsi="宋体"/>
          <w:bCs/>
          <w:color w:val="auto"/>
          <w:sz w:val="24"/>
          <w:highlight w:val="none"/>
        </w:rPr>
        <w:t>2.4</w:t>
      </w:r>
      <w:r>
        <w:rPr>
          <w:rFonts w:hint="eastAsia" w:ascii="宋体" w:hAnsi="宋体"/>
          <w:bCs/>
          <w:color w:val="auto"/>
          <w:sz w:val="24"/>
          <w:highlight w:val="none"/>
        </w:rPr>
        <w:t>工程施工特点：详见招标图纸。</w:t>
      </w:r>
    </w:p>
    <w:p w14:paraId="7EDB3F36">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3</w:t>
      </w:r>
      <w:r>
        <w:rPr>
          <w:rFonts w:hint="eastAsia" w:ascii="宋体" w:hAnsi="宋体"/>
          <w:b/>
          <w:color w:val="auto"/>
          <w:sz w:val="24"/>
          <w:highlight w:val="none"/>
        </w:rPr>
        <w:t>．资金来源</w:t>
      </w:r>
    </w:p>
    <w:p w14:paraId="52DE1E65">
      <w:pPr>
        <w:spacing w:line="360" w:lineRule="auto"/>
        <w:ind w:firstLine="480" w:firstLineChars="200"/>
        <w:rPr>
          <w:rFonts w:ascii="宋体"/>
          <w:bCs/>
          <w:color w:val="auto"/>
          <w:sz w:val="24"/>
          <w:highlight w:val="none"/>
        </w:rPr>
      </w:pPr>
      <w:r>
        <w:rPr>
          <w:rFonts w:ascii="宋体" w:hAnsi="宋体"/>
          <w:bCs/>
          <w:color w:val="auto"/>
          <w:sz w:val="24"/>
          <w:highlight w:val="none"/>
        </w:rPr>
        <w:t>3.1</w:t>
      </w:r>
      <w:r>
        <w:rPr>
          <w:rFonts w:hint="eastAsia" w:ascii="宋体" w:hAnsi="宋体"/>
          <w:bCs/>
          <w:color w:val="auto"/>
          <w:sz w:val="24"/>
          <w:highlight w:val="none"/>
        </w:rPr>
        <w:t>本招标工程项目资金来源见投标须知前附表第</w:t>
      </w:r>
      <w:r>
        <w:rPr>
          <w:rFonts w:ascii="宋体" w:hAnsi="宋体"/>
          <w:bCs/>
          <w:color w:val="auto"/>
          <w:sz w:val="24"/>
          <w:highlight w:val="none"/>
        </w:rPr>
        <w:t>9</w:t>
      </w:r>
      <w:r>
        <w:rPr>
          <w:rFonts w:hint="eastAsia" w:ascii="宋体" w:hAnsi="宋体"/>
          <w:bCs/>
          <w:color w:val="auto"/>
          <w:sz w:val="24"/>
          <w:highlight w:val="none"/>
        </w:rPr>
        <w:t>项</w:t>
      </w:r>
    </w:p>
    <w:p w14:paraId="1999BC7B">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4</w:t>
      </w:r>
      <w:r>
        <w:rPr>
          <w:rFonts w:hint="eastAsia" w:ascii="宋体" w:hAnsi="宋体"/>
          <w:b/>
          <w:color w:val="auto"/>
          <w:sz w:val="24"/>
          <w:highlight w:val="none"/>
        </w:rPr>
        <w:t>．合格投标人的条件</w:t>
      </w:r>
    </w:p>
    <w:p w14:paraId="10E755A8">
      <w:pPr>
        <w:spacing w:line="360" w:lineRule="auto"/>
        <w:ind w:firstLine="480" w:firstLineChars="200"/>
        <w:rPr>
          <w:rFonts w:hint="eastAsia" w:ascii="宋体" w:hAnsi="宋体" w:eastAsia="宋体"/>
          <w:bCs/>
          <w:color w:val="auto"/>
          <w:sz w:val="24"/>
          <w:highlight w:val="none"/>
          <w:lang w:eastAsia="zh-CN"/>
        </w:rPr>
      </w:pPr>
      <w:r>
        <w:rPr>
          <w:rFonts w:ascii="宋体" w:hAnsi="宋体"/>
          <w:bCs/>
          <w:color w:val="auto"/>
          <w:sz w:val="24"/>
          <w:highlight w:val="none"/>
        </w:rPr>
        <w:t>4.1</w:t>
      </w:r>
      <w:r>
        <w:rPr>
          <w:rFonts w:hint="eastAsia" w:ascii="宋体" w:hAnsi="宋体"/>
          <w:bCs/>
          <w:color w:val="auto"/>
          <w:sz w:val="24"/>
          <w:highlight w:val="none"/>
          <w:lang w:eastAsia="zh-CN"/>
        </w:rPr>
        <w:t>投标人合格条件</w:t>
      </w:r>
      <w:r>
        <w:rPr>
          <w:rFonts w:hint="eastAsia" w:ascii="宋体" w:hAnsi="宋体"/>
          <w:bCs/>
          <w:color w:val="auto"/>
          <w:sz w:val="24"/>
          <w:highlight w:val="none"/>
        </w:rPr>
        <w:t>详见本项目招标公告</w:t>
      </w:r>
      <w:r>
        <w:rPr>
          <w:rFonts w:hint="eastAsia" w:ascii="宋体" w:hAnsi="宋体"/>
          <w:bCs/>
          <w:color w:val="auto"/>
          <w:sz w:val="24"/>
          <w:highlight w:val="none"/>
          <w:lang w:eastAsia="zh-CN"/>
        </w:rPr>
        <w:t>。</w:t>
      </w:r>
    </w:p>
    <w:p w14:paraId="7A9C982A">
      <w:pPr>
        <w:pStyle w:val="21"/>
        <w:ind w:firstLine="480" w:firstLineChars="200"/>
        <w:rPr>
          <w:rFonts w:hint="default" w:eastAsia="宋体"/>
          <w:color w:val="auto"/>
          <w:highlight w:val="none"/>
          <w:lang w:val="en-US" w:eastAsia="zh-CN"/>
        </w:rPr>
      </w:pPr>
      <w:r>
        <w:rPr>
          <w:rFonts w:hint="eastAsia" w:hAnsi="宋体"/>
          <w:bCs/>
          <w:color w:val="auto"/>
          <w:sz w:val="24"/>
          <w:highlight w:val="none"/>
          <w:lang w:val="en-US" w:eastAsia="zh-CN"/>
        </w:rPr>
        <w:t>4.2资格审查方式详见本项目招标公告。</w:t>
      </w:r>
    </w:p>
    <w:p w14:paraId="70ADAA26">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5</w:t>
      </w:r>
      <w:r>
        <w:rPr>
          <w:rFonts w:hint="eastAsia" w:ascii="宋体" w:hAnsi="宋体"/>
          <w:b/>
          <w:color w:val="auto"/>
          <w:sz w:val="24"/>
          <w:highlight w:val="none"/>
        </w:rPr>
        <w:t>．踏勘现场</w:t>
      </w:r>
    </w:p>
    <w:p w14:paraId="06AB5F72">
      <w:pPr>
        <w:spacing w:line="360" w:lineRule="auto"/>
        <w:ind w:firstLine="480" w:firstLineChars="200"/>
        <w:rPr>
          <w:rFonts w:hint="eastAsia" w:ascii="宋体" w:hAnsi="宋体"/>
          <w:bCs/>
          <w:color w:val="auto"/>
          <w:sz w:val="24"/>
          <w:highlight w:val="none"/>
        </w:rPr>
      </w:pPr>
      <w:r>
        <w:rPr>
          <w:rFonts w:ascii="宋体" w:hAnsi="宋体"/>
          <w:bCs/>
          <w:color w:val="auto"/>
          <w:sz w:val="24"/>
          <w:highlight w:val="none"/>
        </w:rPr>
        <w:t xml:space="preserve">5.1 </w:t>
      </w:r>
      <w:r>
        <w:rPr>
          <w:rFonts w:hint="eastAsia" w:ascii="宋体" w:hAnsi="宋体"/>
          <w:bCs/>
          <w:color w:val="auto"/>
          <w:sz w:val="24"/>
          <w:highlight w:val="none"/>
        </w:rPr>
        <w:t>投标人应按本投标须知前附表第</w:t>
      </w:r>
      <w:r>
        <w:rPr>
          <w:rFonts w:ascii="宋体" w:hAnsi="宋体"/>
          <w:bCs/>
          <w:color w:val="auto"/>
          <w:sz w:val="24"/>
          <w:highlight w:val="none"/>
        </w:rPr>
        <w:t>1</w:t>
      </w:r>
      <w:r>
        <w:rPr>
          <w:rFonts w:hint="eastAsia" w:ascii="宋体" w:hAnsi="宋体"/>
          <w:bCs/>
          <w:color w:val="auto"/>
          <w:sz w:val="24"/>
          <w:highlight w:val="none"/>
          <w:lang w:val="en-US" w:eastAsia="zh-CN"/>
        </w:rPr>
        <w:t>2</w:t>
      </w:r>
      <w:r>
        <w:rPr>
          <w:rFonts w:hint="eastAsia" w:ascii="宋体" w:hAnsi="宋体"/>
          <w:bCs/>
          <w:color w:val="auto"/>
          <w:sz w:val="24"/>
          <w:highlight w:val="none"/>
        </w:rPr>
        <w:t>项所述时间和要求</w:t>
      </w:r>
      <w:r>
        <w:rPr>
          <w:rFonts w:hint="eastAsia" w:ascii="宋体" w:hAnsi="宋体"/>
          <w:bCs/>
          <w:color w:val="auto"/>
          <w:sz w:val="24"/>
          <w:highlight w:val="none"/>
          <w:lang w:eastAsia="zh-CN"/>
        </w:rPr>
        <w:t>自行</w:t>
      </w:r>
      <w:r>
        <w:rPr>
          <w:rFonts w:hint="eastAsia" w:ascii="宋体" w:hAnsi="宋体"/>
          <w:bCs/>
          <w:color w:val="auto"/>
          <w:sz w:val="24"/>
          <w:highlight w:val="none"/>
        </w:rPr>
        <w:t>对工程现场及周围环境进行踏勘，</w:t>
      </w:r>
      <w:r>
        <w:rPr>
          <w:rFonts w:hint="eastAsia" w:ascii="宋体" w:hAnsi="宋体"/>
          <w:color w:val="auto"/>
          <w:sz w:val="24"/>
          <w:highlight w:val="none"/>
        </w:rPr>
        <w:t>投标人应充分重视和仔细地进行这种考察，</w:t>
      </w:r>
      <w:r>
        <w:rPr>
          <w:rFonts w:hint="eastAsia" w:ascii="宋体" w:hAnsi="宋体"/>
          <w:bCs/>
          <w:color w:val="auto"/>
          <w:sz w:val="24"/>
          <w:highlight w:val="none"/>
        </w:rPr>
        <w:t>以便投标人获取</w:t>
      </w:r>
      <w:r>
        <w:rPr>
          <w:rFonts w:hint="eastAsia" w:ascii="宋体" w:hAnsi="宋体"/>
          <w:color w:val="auto"/>
          <w:sz w:val="24"/>
          <w:highlight w:val="none"/>
        </w:rPr>
        <w:t>那些须投标人自己负责的</w:t>
      </w:r>
      <w:r>
        <w:rPr>
          <w:rFonts w:hint="eastAsia" w:ascii="宋体" w:hAnsi="宋体"/>
          <w:bCs/>
          <w:color w:val="auto"/>
          <w:sz w:val="24"/>
          <w:highlight w:val="none"/>
        </w:rPr>
        <w:t>有关编制投标文件和签署合同所涉及现场所有的资料。</w:t>
      </w:r>
      <w:r>
        <w:rPr>
          <w:rFonts w:hint="eastAsia" w:ascii="宋体" w:hAnsi="宋体"/>
          <w:b/>
          <w:bCs w:val="0"/>
          <w:color w:val="auto"/>
          <w:sz w:val="24"/>
          <w:highlight w:val="none"/>
          <w:u w:val="single"/>
        </w:rPr>
        <w:t>投标人不进行踏勘的，视为已熟知现场条件，自行承担相关风险。投标人需根据现场踏勘情况以及图纸及工程量清单，如有疑问的应在招标答疑时提出，招标答疑后经招标单位修正确认的工程量清单作为综合单价包干的结算依据，投标单位必须按此清单统一报价。</w:t>
      </w:r>
      <w:r>
        <w:rPr>
          <w:rFonts w:hint="eastAsia" w:ascii="宋体" w:hAnsi="宋体"/>
          <w:bCs/>
          <w:color w:val="auto"/>
          <w:sz w:val="24"/>
          <w:highlight w:val="none"/>
        </w:rPr>
        <w:t>一旦中标，这种考察即被认为其结果已在中标文件中得到充分反映。</w:t>
      </w:r>
    </w:p>
    <w:p w14:paraId="1D6210BE">
      <w:pPr>
        <w:spacing w:line="360" w:lineRule="auto"/>
        <w:ind w:firstLine="480" w:firstLineChars="200"/>
        <w:rPr>
          <w:rFonts w:ascii="宋体"/>
          <w:bCs/>
          <w:color w:val="auto"/>
          <w:sz w:val="24"/>
          <w:highlight w:val="none"/>
          <w:u w:val="single"/>
        </w:rPr>
      </w:pPr>
      <w:r>
        <w:rPr>
          <w:rFonts w:hint="eastAsia" w:ascii="宋体" w:hAnsi="宋体"/>
          <w:color w:val="auto"/>
          <w:sz w:val="24"/>
          <w:highlight w:val="none"/>
          <w:lang w:val="en-US" w:eastAsia="zh-CN"/>
        </w:rPr>
        <w:t>5.2投标人</w:t>
      </w:r>
      <w:r>
        <w:rPr>
          <w:rFonts w:hint="eastAsia" w:ascii="宋体" w:hAnsi="宋体"/>
          <w:bCs/>
          <w:color w:val="auto"/>
          <w:sz w:val="24"/>
          <w:highlight w:val="none"/>
        </w:rPr>
        <w:t>踏勘</w:t>
      </w:r>
      <w:r>
        <w:rPr>
          <w:rFonts w:hint="eastAsia" w:ascii="宋体" w:hAnsi="宋体"/>
          <w:color w:val="auto"/>
          <w:sz w:val="24"/>
          <w:highlight w:val="none"/>
        </w:rPr>
        <w:t>现场的费用</w:t>
      </w:r>
      <w:r>
        <w:rPr>
          <w:rFonts w:hint="eastAsia" w:ascii="宋体" w:hAnsi="宋体"/>
          <w:color w:val="auto"/>
          <w:sz w:val="24"/>
          <w:highlight w:val="none"/>
          <w:lang w:eastAsia="zh-CN"/>
        </w:rPr>
        <w:t>自理</w:t>
      </w:r>
      <w:r>
        <w:rPr>
          <w:rFonts w:hint="eastAsia" w:ascii="宋体" w:hAnsi="宋体"/>
          <w:color w:val="auto"/>
          <w:sz w:val="24"/>
          <w:highlight w:val="none"/>
        </w:rPr>
        <w:t>。</w:t>
      </w:r>
    </w:p>
    <w:p w14:paraId="66FF06AB">
      <w:pPr>
        <w:tabs>
          <w:tab w:val="left" w:pos="105"/>
        </w:tabs>
        <w:spacing w:line="360" w:lineRule="auto"/>
        <w:ind w:firstLine="480" w:firstLineChars="200"/>
        <w:rPr>
          <w:rFonts w:ascii="宋体"/>
          <w:bCs/>
          <w:color w:val="auto"/>
          <w:sz w:val="24"/>
          <w:highlight w:val="none"/>
        </w:rPr>
      </w:pPr>
      <w:r>
        <w:rPr>
          <w:rFonts w:ascii="宋体" w:hAnsi="宋体"/>
          <w:bCs/>
          <w:color w:val="auto"/>
          <w:sz w:val="24"/>
          <w:highlight w:val="none"/>
        </w:rPr>
        <w:t>5.</w:t>
      </w:r>
      <w:r>
        <w:rPr>
          <w:rFonts w:hint="eastAsia" w:ascii="宋体" w:hAnsi="宋体"/>
          <w:bCs/>
          <w:color w:val="auto"/>
          <w:sz w:val="24"/>
          <w:highlight w:val="none"/>
          <w:lang w:val="en-US" w:eastAsia="zh-CN"/>
        </w:rPr>
        <w:t>3</w:t>
      </w:r>
      <w:r>
        <w:rPr>
          <w:rFonts w:ascii="宋体" w:hAnsi="宋体"/>
          <w:bCs/>
          <w:color w:val="auto"/>
          <w:sz w:val="24"/>
          <w:highlight w:val="none"/>
        </w:rPr>
        <w:t xml:space="preserve"> </w:t>
      </w:r>
      <w:r>
        <w:rPr>
          <w:rFonts w:hint="eastAsia" w:ascii="宋体" w:hAnsi="宋体"/>
          <w:bCs/>
          <w:color w:val="auto"/>
          <w:sz w:val="24"/>
          <w:highlight w:val="none"/>
        </w:rPr>
        <w:t>招标人向投标人提供的有关现场的数据和资料，是招标人现有的能被投标人利用的资料，招标人对投标人做出的任何推论、理解和结论均不负责任。</w:t>
      </w:r>
    </w:p>
    <w:p w14:paraId="0E5B168C">
      <w:pPr>
        <w:spacing w:line="360" w:lineRule="auto"/>
        <w:ind w:firstLine="480" w:firstLineChars="200"/>
        <w:rPr>
          <w:rFonts w:hint="eastAsia" w:ascii="宋体" w:hAnsi="宋体"/>
          <w:bCs/>
          <w:color w:val="auto"/>
          <w:sz w:val="24"/>
          <w:highlight w:val="none"/>
        </w:rPr>
      </w:pPr>
      <w:r>
        <w:rPr>
          <w:rFonts w:ascii="宋体" w:hAnsi="宋体"/>
          <w:bCs/>
          <w:color w:val="auto"/>
          <w:sz w:val="24"/>
          <w:highlight w:val="none"/>
        </w:rPr>
        <w:t>5.</w:t>
      </w:r>
      <w:r>
        <w:rPr>
          <w:rFonts w:hint="eastAsia" w:ascii="宋体" w:hAnsi="宋体"/>
          <w:bCs/>
          <w:color w:val="auto"/>
          <w:sz w:val="24"/>
          <w:highlight w:val="none"/>
          <w:lang w:val="en-US" w:eastAsia="zh-CN"/>
        </w:rPr>
        <w:t>4</w:t>
      </w:r>
      <w:r>
        <w:rPr>
          <w:rFonts w:ascii="宋体" w:hAnsi="宋体"/>
          <w:bCs/>
          <w:color w:val="auto"/>
          <w:sz w:val="24"/>
          <w:highlight w:val="none"/>
        </w:rPr>
        <w:t xml:space="preserve"> </w:t>
      </w:r>
      <w:r>
        <w:rPr>
          <w:rFonts w:hint="eastAsia" w:ascii="宋体" w:hAnsi="宋体"/>
          <w:bCs/>
          <w:color w:val="auto"/>
          <w:sz w:val="24"/>
          <w:highlight w:val="none"/>
        </w:rPr>
        <w:t>经招标人允许，投标人可为踏勘目的进入招标人的项目现场。</w:t>
      </w:r>
      <w:r>
        <w:rPr>
          <w:rFonts w:hint="eastAsia" w:ascii="宋体" w:hAnsi="宋体"/>
          <w:color w:val="auto"/>
          <w:sz w:val="24"/>
          <w:highlight w:val="none"/>
        </w:rPr>
        <w:t>在考察过程中，投标人及其代表必须承担那些进入现场后，由于他们的行为所造成的人身伤害（不管是否致命）、财产损失或损坏，以及其他任何原因造成的损失、损坏或费用，</w:t>
      </w:r>
      <w:r>
        <w:rPr>
          <w:rFonts w:hint="eastAsia" w:ascii="宋体" w:hAnsi="宋体"/>
          <w:bCs/>
          <w:color w:val="auto"/>
          <w:sz w:val="24"/>
          <w:highlight w:val="none"/>
        </w:rPr>
        <w:t>投标人不得因此使招标人承担有关的责任和蒙受损失。</w:t>
      </w:r>
    </w:p>
    <w:p w14:paraId="48B857EE">
      <w:pPr>
        <w:pStyle w:val="21"/>
        <w:spacing w:line="360" w:lineRule="auto"/>
        <w:rPr>
          <w:rFonts w:hint="eastAsia" w:eastAsia="宋体"/>
          <w:color w:val="auto"/>
          <w:highlight w:val="none"/>
          <w:lang w:val="en-US" w:eastAsia="zh-CN"/>
        </w:rPr>
      </w:pPr>
      <w:r>
        <w:rPr>
          <w:rFonts w:hint="eastAsia" w:hAnsi="宋体"/>
          <w:bCs/>
          <w:color w:val="auto"/>
          <w:sz w:val="24"/>
          <w:highlight w:val="none"/>
          <w:lang w:val="en-US" w:eastAsia="zh-CN"/>
        </w:rPr>
        <w:t xml:space="preserve">    5.4由于投标人没有对工程现场及周围环境进行</w:t>
      </w:r>
      <w:r>
        <w:rPr>
          <w:rFonts w:hint="eastAsia" w:ascii="宋体" w:hAnsi="宋体"/>
          <w:bCs/>
          <w:color w:val="auto"/>
          <w:sz w:val="24"/>
          <w:highlight w:val="none"/>
        </w:rPr>
        <w:t>踏勘</w:t>
      </w:r>
      <w:r>
        <w:rPr>
          <w:rFonts w:hint="eastAsia" w:ascii="宋体" w:hAnsi="宋体"/>
          <w:bCs/>
          <w:color w:val="auto"/>
          <w:sz w:val="24"/>
          <w:highlight w:val="none"/>
          <w:lang w:eastAsia="zh-CN"/>
        </w:rPr>
        <w:t>，造成投标失误的，由投标人自行承担责任和损失。</w:t>
      </w:r>
    </w:p>
    <w:p w14:paraId="253B4DAC">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6</w:t>
      </w:r>
      <w:r>
        <w:rPr>
          <w:rFonts w:hint="eastAsia" w:ascii="宋体" w:hAnsi="宋体"/>
          <w:b/>
          <w:color w:val="auto"/>
          <w:sz w:val="24"/>
          <w:highlight w:val="none"/>
        </w:rPr>
        <w:t>．投标费用</w:t>
      </w:r>
    </w:p>
    <w:p w14:paraId="569F8F2A">
      <w:pPr>
        <w:tabs>
          <w:tab w:val="left" w:pos="105"/>
        </w:tabs>
        <w:spacing w:line="360" w:lineRule="auto"/>
        <w:ind w:firstLine="480" w:firstLineChars="200"/>
        <w:rPr>
          <w:rFonts w:hint="eastAsia" w:ascii="宋体" w:hAnsi="宋体"/>
          <w:bCs/>
          <w:color w:val="auto"/>
          <w:sz w:val="24"/>
          <w:highlight w:val="none"/>
          <w:lang w:eastAsia="zh-CN"/>
        </w:rPr>
      </w:pPr>
      <w:r>
        <w:rPr>
          <w:rFonts w:ascii="宋体" w:hAnsi="宋体"/>
          <w:bCs/>
          <w:color w:val="auto"/>
          <w:sz w:val="24"/>
          <w:highlight w:val="none"/>
        </w:rPr>
        <w:t>6.1</w:t>
      </w:r>
      <w:r>
        <w:rPr>
          <w:rFonts w:hint="eastAsia" w:ascii="宋体" w:hAnsi="宋体"/>
          <w:bCs/>
          <w:color w:val="auto"/>
          <w:sz w:val="24"/>
          <w:highlight w:val="none"/>
          <w:lang w:eastAsia="zh-CN"/>
        </w:rPr>
        <w:t>投标人准备和参加投标活动发生的费用自理。</w:t>
      </w:r>
    </w:p>
    <w:p w14:paraId="7E1EADD5">
      <w:pPr>
        <w:tabs>
          <w:tab w:val="left" w:pos="105"/>
        </w:tabs>
        <w:spacing w:line="360" w:lineRule="auto"/>
        <w:ind w:firstLine="480" w:firstLineChars="200"/>
        <w:rPr>
          <w:rFonts w:ascii="宋体"/>
          <w:bCs/>
          <w:color w:val="auto"/>
          <w:sz w:val="24"/>
          <w:highlight w:val="none"/>
        </w:rPr>
      </w:pPr>
      <w:r>
        <w:rPr>
          <w:rFonts w:hint="eastAsia" w:ascii="宋体" w:hAnsi="宋体"/>
          <w:bCs/>
          <w:color w:val="auto"/>
          <w:sz w:val="24"/>
          <w:highlight w:val="none"/>
          <w:lang w:val="en-US" w:eastAsia="zh-CN"/>
        </w:rPr>
        <w:t>6.2</w:t>
      </w:r>
      <w:r>
        <w:rPr>
          <w:rFonts w:hint="eastAsia" w:ascii="宋体" w:hAnsi="宋体"/>
          <w:color w:val="auto"/>
          <w:sz w:val="24"/>
          <w:highlight w:val="none"/>
        </w:rPr>
        <w:t>不论投标结果如何，投标人应承担</w:t>
      </w:r>
      <w:r>
        <w:rPr>
          <w:rFonts w:hint="eastAsia" w:ascii="宋体" w:hAnsi="宋体"/>
          <w:bCs/>
          <w:color w:val="auto"/>
          <w:sz w:val="24"/>
          <w:highlight w:val="none"/>
        </w:rPr>
        <w:t>自身</w:t>
      </w:r>
      <w:r>
        <w:rPr>
          <w:rFonts w:hint="eastAsia" w:ascii="宋体" w:hAnsi="宋体"/>
          <w:color w:val="auto"/>
          <w:sz w:val="24"/>
          <w:highlight w:val="none"/>
        </w:rPr>
        <w:t>因投标文件编制、递交及其他</w:t>
      </w:r>
      <w:r>
        <w:rPr>
          <w:rFonts w:hint="eastAsia" w:ascii="宋体" w:hAnsi="宋体"/>
          <w:bCs/>
          <w:color w:val="auto"/>
          <w:sz w:val="24"/>
          <w:highlight w:val="none"/>
        </w:rPr>
        <w:t>参加本招标活动</w:t>
      </w:r>
      <w:r>
        <w:rPr>
          <w:rFonts w:hint="eastAsia" w:ascii="宋体" w:hAnsi="宋体"/>
          <w:color w:val="auto"/>
          <w:sz w:val="24"/>
          <w:highlight w:val="none"/>
        </w:rPr>
        <w:t>所涉及的一切费用，招标人对上述费用不负任何责任。</w:t>
      </w:r>
    </w:p>
    <w:p w14:paraId="3AB3720D">
      <w:pPr>
        <w:pStyle w:val="7"/>
        <w:bidi w:val="0"/>
        <w:rPr>
          <w:color w:val="auto"/>
          <w:highlight w:val="none"/>
        </w:rPr>
      </w:pPr>
      <w:bookmarkStart w:id="30" w:name="_Toc19361"/>
      <w:bookmarkStart w:id="31" w:name="_Toc21525494"/>
      <w:bookmarkStart w:id="32" w:name="_Toc2272550"/>
      <w:bookmarkStart w:id="33" w:name="_Toc5661"/>
      <w:bookmarkStart w:id="34" w:name="_Toc8572"/>
      <w:bookmarkStart w:id="35" w:name="_Toc32432"/>
      <w:r>
        <w:rPr>
          <w:rFonts w:hint="eastAsia"/>
          <w:color w:val="auto"/>
          <w:highlight w:val="none"/>
        </w:rPr>
        <w:t>（二）招标文件</w:t>
      </w:r>
      <w:bookmarkEnd w:id="30"/>
      <w:bookmarkEnd w:id="31"/>
      <w:bookmarkEnd w:id="32"/>
      <w:bookmarkEnd w:id="33"/>
      <w:bookmarkEnd w:id="34"/>
      <w:bookmarkEnd w:id="35"/>
    </w:p>
    <w:p w14:paraId="5BFA3123">
      <w:pPr>
        <w:tabs>
          <w:tab w:val="left" w:pos="105"/>
        </w:tabs>
        <w:spacing w:line="360" w:lineRule="auto"/>
        <w:ind w:firstLine="482" w:firstLineChars="200"/>
        <w:rPr>
          <w:rFonts w:ascii="宋体"/>
          <w:b/>
          <w:color w:val="auto"/>
          <w:sz w:val="24"/>
          <w:highlight w:val="none"/>
        </w:rPr>
      </w:pPr>
      <w:r>
        <w:rPr>
          <w:rFonts w:ascii="宋体" w:hAnsi="宋体"/>
          <w:b/>
          <w:color w:val="auto"/>
          <w:sz w:val="24"/>
          <w:highlight w:val="none"/>
        </w:rPr>
        <w:t>7.</w:t>
      </w:r>
      <w:r>
        <w:rPr>
          <w:rFonts w:hint="eastAsia" w:ascii="宋体" w:hAnsi="宋体"/>
          <w:b/>
          <w:color w:val="auto"/>
          <w:sz w:val="24"/>
          <w:highlight w:val="none"/>
        </w:rPr>
        <w:t>招标文件的组成</w:t>
      </w:r>
    </w:p>
    <w:p w14:paraId="782F919D">
      <w:pPr>
        <w:spacing w:line="360" w:lineRule="auto"/>
        <w:ind w:firstLine="480" w:firstLineChars="200"/>
        <w:rPr>
          <w:rFonts w:ascii="宋体"/>
          <w:color w:val="auto"/>
          <w:sz w:val="24"/>
          <w:highlight w:val="none"/>
          <w:u w:val="single"/>
        </w:rPr>
      </w:pPr>
      <w:r>
        <w:rPr>
          <w:rFonts w:ascii="宋体" w:hAnsi="宋体"/>
          <w:bCs/>
          <w:color w:val="auto"/>
          <w:sz w:val="24"/>
          <w:highlight w:val="none"/>
          <w:u w:val="single"/>
        </w:rPr>
        <w:t>7.1</w:t>
      </w:r>
      <w:r>
        <w:rPr>
          <w:rFonts w:hint="eastAsia" w:ascii="宋体" w:hAnsi="宋体"/>
          <w:color w:val="auto"/>
          <w:sz w:val="24"/>
          <w:highlight w:val="none"/>
          <w:u w:val="single"/>
        </w:rPr>
        <w:t>本招标文件包括下列文件，以及所有按本须知第</w:t>
      </w:r>
      <w:r>
        <w:rPr>
          <w:rFonts w:ascii="宋体" w:hAnsi="宋体"/>
          <w:color w:val="auto"/>
          <w:sz w:val="24"/>
          <w:highlight w:val="none"/>
          <w:u w:val="single"/>
        </w:rPr>
        <w:t>8</w:t>
      </w:r>
      <w:r>
        <w:rPr>
          <w:rFonts w:hint="eastAsia" w:ascii="宋体" w:hAnsi="宋体"/>
          <w:color w:val="auto"/>
          <w:sz w:val="24"/>
          <w:highlight w:val="none"/>
          <w:u w:val="single"/>
        </w:rPr>
        <w:t>条发出的招标答疑会会议纪要和按本须知第</w:t>
      </w:r>
      <w:r>
        <w:rPr>
          <w:rFonts w:ascii="宋体" w:hAnsi="宋体"/>
          <w:color w:val="auto"/>
          <w:sz w:val="24"/>
          <w:highlight w:val="none"/>
          <w:u w:val="single"/>
        </w:rPr>
        <w:t>9</w:t>
      </w:r>
      <w:r>
        <w:rPr>
          <w:rFonts w:hint="eastAsia" w:ascii="宋体" w:hAnsi="宋体"/>
          <w:color w:val="auto"/>
          <w:sz w:val="24"/>
          <w:highlight w:val="none"/>
          <w:u w:val="single"/>
        </w:rPr>
        <w:t>条发出的澄清或修改：</w:t>
      </w:r>
    </w:p>
    <w:p w14:paraId="54DE3131">
      <w:pPr>
        <w:pStyle w:val="4"/>
        <w:numPr>
          <w:ilvl w:val="0"/>
          <w:numId w:val="6"/>
        </w:numPr>
        <w:spacing w:after="0" w:line="360" w:lineRule="auto"/>
        <w:ind w:left="0" w:leftChars="0" w:firstLine="480" w:firstLineChars="200"/>
        <w:rPr>
          <w:rFonts w:hint="eastAsia" w:ascii="宋体" w:hAnsi="宋体"/>
          <w:bCs/>
          <w:color w:val="auto"/>
          <w:sz w:val="24"/>
          <w:highlight w:val="none"/>
          <w:u w:val="single"/>
          <w:lang w:val="en-US" w:eastAsia="zh-CN"/>
        </w:rPr>
      </w:pPr>
      <w:r>
        <w:rPr>
          <w:rFonts w:hint="eastAsia" w:ascii="宋体" w:hAnsi="宋体"/>
          <w:bCs/>
          <w:color w:val="auto"/>
          <w:sz w:val="24"/>
          <w:highlight w:val="none"/>
          <w:u w:val="single"/>
          <w:lang w:val="en-US" w:eastAsia="zh-CN"/>
        </w:rPr>
        <w:t>招标公告</w:t>
      </w:r>
      <w:r>
        <w:rPr>
          <w:rFonts w:hint="eastAsia" w:ascii="宋体" w:hAnsi="宋体" w:cs="宋体"/>
          <w:b/>
          <w:bCs w:val="0"/>
          <w:sz w:val="24"/>
          <w:szCs w:val="24"/>
          <w:highlight w:val="none"/>
          <w:u w:val="single"/>
        </w:rPr>
        <w:t>（另册）</w:t>
      </w:r>
    </w:p>
    <w:p w14:paraId="45BB4585">
      <w:pPr>
        <w:pStyle w:val="4"/>
        <w:numPr>
          <w:ilvl w:val="0"/>
          <w:numId w:val="6"/>
        </w:numPr>
        <w:spacing w:after="0" w:line="360" w:lineRule="auto"/>
        <w:ind w:left="0" w:leftChars="0" w:firstLine="480" w:firstLineChars="200"/>
        <w:rPr>
          <w:rFonts w:ascii="宋体"/>
          <w:color w:val="auto"/>
          <w:sz w:val="24"/>
          <w:highlight w:val="none"/>
          <w:u w:val="single"/>
        </w:rPr>
      </w:pPr>
      <w:r>
        <w:rPr>
          <w:rFonts w:hint="eastAsia" w:ascii="宋体" w:hAnsi="宋体"/>
          <w:color w:val="auto"/>
          <w:sz w:val="24"/>
          <w:highlight w:val="none"/>
          <w:u w:val="single"/>
        </w:rPr>
        <w:t>投标须知</w:t>
      </w:r>
    </w:p>
    <w:p w14:paraId="19842A2F">
      <w:pPr>
        <w:pStyle w:val="4"/>
        <w:numPr>
          <w:ilvl w:val="0"/>
          <w:numId w:val="6"/>
        </w:numPr>
        <w:spacing w:after="0" w:line="360" w:lineRule="auto"/>
        <w:ind w:left="0" w:leftChars="0" w:firstLine="480" w:firstLineChars="200"/>
        <w:rPr>
          <w:rFonts w:ascii="宋体"/>
          <w:color w:val="auto"/>
          <w:sz w:val="24"/>
          <w:highlight w:val="none"/>
          <w:u w:val="single"/>
        </w:rPr>
      </w:pPr>
      <w:r>
        <w:rPr>
          <w:rFonts w:hint="eastAsia" w:ascii="宋体" w:hAnsi="宋体"/>
          <w:color w:val="auto"/>
          <w:sz w:val="24"/>
          <w:highlight w:val="none"/>
          <w:u w:val="single"/>
        </w:rPr>
        <w:t>开标、评标及定标办法</w:t>
      </w:r>
    </w:p>
    <w:p w14:paraId="6491670C">
      <w:pPr>
        <w:pStyle w:val="4"/>
        <w:numPr>
          <w:ilvl w:val="0"/>
          <w:numId w:val="6"/>
        </w:numPr>
        <w:spacing w:after="0" w:line="360" w:lineRule="auto"/>
        <w:ind w:left="0" w:leftChars="0" w:firstLine="480" w:firstLineChars="200"/>
        <w:rPr>
          <w:rFonts w:ascii="宋体"/>
          <w:color w:val="auto"/>
          <w:sz w:val="24"/>
          <w:highlight w:val="none"/>
          <w:u w:val="single"/>
        </w:rPr>
      </w:pPr>
      <w:r>
        <w:rPr>
          <w:rFonts w:hint="eastAsia" w:ascii="宋体" w:hAnsi="宋体"/>
          <w:color w:val="auto"/>
          <w:sz w:val="24"/>
          <w:highlight w:val="none"/>
          <w:u w:val="single"/>
        </w:rPr>
        <w:t>合同条款</w:t>
      </w:r>
      <w:r>
        <w:rPr>
          <w:rFonts w:hint="eastAsia" w:ascii="宋体" w:hAnsi="宋体" w:cs="宋体"/>
          <w:b/>
          <w:bCs w:val="0"/>
          <w:sz w:val="24"/>
          <w:szCs w:val="24"/>
          <w:highlight w:val="none"/>
          <w:u w:val="single"/>
        </w:rPr>
        <w:t>（另册）</w:t>
      </w:r>
    </w:p>
    <w:p w14:paraId="46AD382C">
      <w:pPr>
        <w:pStyle w:val="4"/>
        <w:numPr>
          <w:ilvl w:val="0"/>
          <w:numId w:val="6"/>
        </w:numPr>
        <w:spacing w:after="0" w:line="360" w:lineRule="auto"/>
        <w:ind w:left="0" w:leftChars="0" w:firstLine="480" w:firstLineChars="200"/>
        <w:rPr>
          <w:rFonts w:hint="eastAsia" w:ascii="宋体" w:hAnsi="宋体"/>
          <w:color w:val="auto"/>
          <w:sz w:val="24"/>
          <w:highlight w:val="none"/>
          <w:u w:val="single"/>
        </w:rPr>
      </w:pPr>
      <w:r>
        <w:rPr>
          <w:rFonts w:hint="eastAsia" w:ascii="宋体" w:hAnsi="宋体"/>
          <w:color w:val="auto"/>
          <w:sz w:val="24"/>
          <w:highlight w:val="none"/>
          <w:u w:val="single"/>
        </w:rPr>
        <w:t>投标文件格式</w:t>
      </w:r>
    </w:p>
    <w:p w14:paraId="1E385192">
      <w:pPr>
        <w:pStyle w:val="4"/>
        <w:numPr>
          <w:ilvl w:val="0"/>
          <w:numId w:val="6"/>
        </w:numPr>
        <w:spacing w:after="0" w:line="360" w:lineRule="auto"/>
        <w:ind w:left="0" w:leftChars="0" w:firstLine="480" w:firstLineChars="200"/>
        <w:rPr>
          <w:rFonts w:hint="eastAsia" w:ascii="宋体" w:hAnsi="宋体"/>
          <w:color w:val="auto"/>
          <w:sz w:val="24"/>
          <w:highlight w:val="none"/>
          <w:u w:val="single"/>
        </w:rPr>
      </w:pPr>
      <w:r>
        <w:rPr>
          <w:rFonts w:hint="eastAsia" w:ascii="宋体" w:hAnsi="宋体"/>
          <w:color w:val="auto"/>
          <w:sz w:val="24"/>
          <w:highlight w:val="none"/>
          <w:u w:val="single"/>
        </w:rPr>
        <w:t>技术条件（工程建设标准）</w:t>
      </w:r>
    </w:p>
    <w:p w14:paraId="2BC97678">
      <w:pPr>
        <w:pStyle w:val="4"/>
        <w:numPr>
          <w:ilvl w:val="0"/>
          <w:numId w:val="6"/>
        </w:numPr>
        <w:spacing w:after="0" w:line="360" w:lineRule="auto"/>
        <w:ind w:left="0" w:leftChars="0" w:firstLine="480" w:firstLineChars="200"/>
        <w:rPr>
          <w:rFonts w:hint="eastAsia" w:ascii="宋体" w:hAnsi="宋体"/>
          <w:color w:val="auto"/>
          <w:sz w:val="24"/>
          <w:highlight w:val="none"/>
          <w:u w:val="single"/>
        </w:rPr>
      </w:pPr>
      <w:r>
        <w:rPr>
          <w:rFonts w:hint="eastAsia" w:ascii="宋体" w:hAnsi="宋体"/>
          <w:color w:val="auto"/>
          <w:sz w:val="24"/>
          <w:highlight w:val="none"/>
          <w:u w:val="single"/>
        </w:rPr>
        <w:t>图纸及勘察资料</w:t>
      </w:r>
      <w:r>
        <w:rPr>
          <w:rFonts w:hint="eastAsia" w:ascii="宋体" w:hAnsi="宋体" w:cs="宋体"/>
          <w:b/>
          <w:bCs w:val="0"/>
          <w:sz w:val="24"/>
          <w:szCs w:val="24"/>
          <w:highlight w:val="none"/>
          <w:u w:val="single"/>
        </w:rPr>
        <w:t>（另册）</w:t>
      </w:r>
    </w:p>
    <w:p w14:paraId="530E462B">
      <w:pPr>
        <w:pStyle w:val="4"/>
        <w:numPr>
          <w:ilvl w:val="0"/>
          <w:numId w:val="6"/>
        </w:numPr>
        <w:spacing w:after="0" w:line="360" w:lineRule="auto"/>
        <w:ind w:left="0" w:leftChars="0" w:firstLine="480" w:firstLineChars="200"/>
        <w:rPr>
          <w:rFonts w:hint="eastAsia" w:ascii="宋体" w:hAnsi="宋体"/>
          <w:color w:val="auto"/>
          <w:sz w:val="24"/>
          <w:highlight w:val="none"/>
          <w:u w:val="single"/>
        </w:rPr>
      </w:pPr>
      <w:r>
        <w:rPr>
          <w:rFonts w:hint="eastAsia" w:ascii="宋体" w:hAnsi="宋体"/>
          <w:bCs/>
          <w:color w:val="auto"/>
          <w:sz w:val="24"/>
          <w:highlight w:val="none"/>
          <w:u w:val="single"/>
        </w:rPr>
        <w:t>招标</w:t>
      </w:r>
      <w:r>
        <w:rPr>
          <w:rFonts w:hint="eastAsia" w:ascii="宋体" w:hAnsi="宋体"/>
          <w:color w:val="auto"/>
          <w:sz w:val="24"/>
          <w:highlight w:val="none"/>
          <w:u w:val="single"/>
        </w:rPr>
        <w:t>工程量清单</w:t>
      </w:r>
      <w:r>
        <w:rPr>
          <w:rFonts w:hint="eastAsia" w:ascii="宋体" w:hAnsi="宋体" w:cs="宋体"/>
          <w:b/>
          <w:bCs w:val="0"/>
          <w:sz w:val="24"/>
          <w:szCs w:val="24"/>
          <w:highlight w:val="none"/>
          <w:u w:val="single"/>
        </w:rPr>
        <w:t>（另册）</w:t>
      </w:r>
    </w:p>
    <w:p w14:paraId="4D1F106B">
      <w:pPr>
        <w:pStyle w:val="4"/>
        <w:numPr>
          <w:ilvl w:val="0"/>
          <w:numId w:val="6"/>
        </w:numPr>
        <w:spacing w:after="0" w:line="360" w:lineRule="auto"/>
        <w:ind w:left="0" w:leftChars="0" w:firstLine="480" w:firstLineChars="200"/>
        <w:rPr>
          <w:rFonts w:hint="eastAsia" w:ascii="宋体" w:hAnsi="宋体"/>
          <w:color w:val="auto"/>
          <w:sz w:val="24"/>
          <w:highlight w:val="none"/>
          <w:u w:val="single"/>
        </w:rPr>
      </w:pPr>
      <w:r>
        <w:rPr>
          <w:rFonts w:hint="eastAsia" w:ascii="宋体" w:hAnsi="宋体"/>
          <w:color w:val="auto"/>
          <w:sz w:val="24"/>
          <w:highlight w:val="none"/>
          <w:u w:val="single"/>
        </w:rPr>
        <w:t>最高投标限价</w:t>
      </w:r>
      <w:r>
        <w:rPr>
          <w:rFonts w:hint="eastAsia" w:ascii="宋体" w:hAnsi="宋体" w:cs="宋体"/>
          <w:b/>
          <w:bCs w:val="0"/>
          <w:sz w:val="24"/>
          <w:szCs w:val="24"/>
          <w:highlight w:val="none"/>
          <w:u w:val="single"/>
        </w:rPr>
        <w:t>（另册）</w:t>
      </w:r>
    </w:p>
    <w:p w14:paraId="7682569A">
      <w:pPr>
        <w:pStyle w:val="4"/>
        <w:spacing w:after="0" w:line="360" w:lineRule="auto"/>
        <w:ind w:left="-2" w:firstLine="480" w:firstLineChars="200"/>
        <w:rPr>
          <w:rFonts w:hint="eastAsia" w:ascii="楷体" w:hAnsi="楷体" w:eastAsia="楷体" w:cs="楷体"/>
          <w:b w:val="0"/>
          <w:bCs w:val="0"/>
          <w:color w:val="auto"/>
          <w:kern w:val="0"/>
          <w:sz w:val="24"/>
          <w:szCs w:val="24"/>
          <w:highlight w:val="none"/>
          <w:lang w:eastAsia="zh-CN"/>
        </w:rPr>
      </w:pPr>
      <w:r>
        <w:rPr>
          <w:rFonts w:hint="eastAsia" w:ascii="楷体" w:hAnsi="楷体" w:eastAsia="楷体" w:cs="楷体"/>
          <w:b w:val="0"/>
          <w:bCs w:val="0"/>
          <w:color w:val="auto"/>
          <w:sz w:val="24"/>
          <w:highlight w:val="none"/>
        </w:rPr>
        <w:t>注：</w:t>
      </w:r>
      <w:r>
        <w:rPr>
          <w:rFonts w:hint="eastAsia" w:ascii="楷体" w:hAnsi="楷体" w:eastAsia="楷体" w:cs="楷体"/>
          <w:b w:val="0"/>
          <w:bCs w:val="0"/>
          <w:color w:val="auto"/>
          <w:kern w:val="0"/>
          <w:sz w:val="24"/>
          <w:szCs w:val="24"/>
          <w:highlight w:val="none"/>
        </w:rPr>
        <w:t>招标人应在技术条件（工程建设标准）中明确</w:t>
      </w:r>
      <w:r>
        <w:rPr>
          <w:rFonts w:hint="eastAsia" w:ascii="楷体" w:hAnsi="楷体" w:eastAsia="楷体" w:cs="楷体"/>
          <w:b w:val="0"/>
          <w:bCs w:val="0"/>
          <w:color w:val="auto"/>
          <w:kern w:val="0"/>
          <w:sz w:val="24"/>
          <w:szCs w:val="24"/>
          <w:highlight w:val="none"/>
          <w:lang w:eastAsia="zh-CN"/>
        </w:rPr>
        <w:t>如下内容：</w:t>
      </w:r>
    </w:p>
    <w:p w14:paraId="0F14B602">
      <w:pPr>
        <w:pStyle w:val="4"/>
        <w:numPr>
          <w:ilvl w:val="0"/>
          <w:numId w:val="0"/>
        </w:numPr>
        <w:spacing w:after="0" w:line="360" w:lineRule="auto"/>
        <w:ind w:leftChars="200"/>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lang w:val="en-US" w:eastAsia="zh-CN"/>
        </w:rPr>
        <w:t>1.</w:t>
      </w:r>
      <w:r>
        <w:rPr>
          <w:rFonts w:hint="eastAsia" w:ascii="楷体" w:hAnsi="楷体" w:eastAsia="楷体" w:cs="楷体"/>
          <w:b w:val="0"/>
          <w:bCs w:val="0"/>
          <w:color w:val="auto"/>
          <w:kern w:val="0"/>
          <w:sz w:val="24"/>
          <w:szCs w:val="24"/>
          <w:highlight w:val="none"/>
        </w:rPr>
        <w:t>施工现场建筑垃圾源头减量的具体要求和建筑垃圾综合利用产品的使用要求。</w:t>
      </w:r>
    </w:p>
    <w:p w14:paraId="1B4E4E38">
      <w:pPr>
        <w:pStyle w:val="4"/>
        <w:numPr>
          <w:ilvl w:val="0"/>
          <w:numId w:val="0"/>
        </w:numPr>
        <w:spacing w:after="0" w:line="360" w:lineRule="auto"/>
        <w:ind w:leftChars="200"/>
        <w:rPr>
          <w:rFonts w:hint="eastAsia" w:ascii="楷体" w:hAnsi="楷体" w:eastAsia="楷体" w:cs="楷体"/>
          <w:b w:val="0"/>
          <w:bCs w:val="0"/>
          <w:color w:val="auto"/>
          <w:kern w:val="0"/>
          <w:sz w:val="24"/>
          <w:szCs w:val="24"/>
          <w:highlight w:val="none"/>
        </w:rPr>
      </w:pPr>
      <w:r>
        <w:rPr>
          <w:rFonts w:hint="eastAsia" w:ascii="楷体" w:hAnsi="楷体" w:eastAsia="楷体" w:cs="楷体"/>
          <w:b w:val="0"/>
          <w:bCs w:val="0"/>
          <w:color w:val="auto"/>
          <w:kern w:val="0"/>
          <w:sz w:val="24"/>
          <w:szCs w:val="24"/>
          <w:highlight w:val="none"/>
          <w:lang w:val="en-US" w:eastAsia="zh-CN"/>
        </w:rPr>
        <w:t>2.</w:t>
      </w:r>
      <w:r>
        <w:rPr>
          <w:rFonts w:hint="eastAsia" w:ascii="楷体" w:hAnsi="楷体" w:eastAsia="楷体" w:cs="楷体"/>
          <w:b w:val="0"/>
          <w:bCs w:val="0"/>
          <w:color w:val="auto"/>
          <w:kern w:val="0"/>
          <w:sz w:val="24"/>
          <w:szCs w:val="24"/>
          <w:highlight w:val="none"/>
          <w:lang w:eastAsia="zh-CN"/>
        </w:rPr>
        <w:t>占道施工相关告知、围蔽、修复等要求。</w:t>
      </w:r>
    </w:p>
    <w:p w14:paraId="0523E4BB">
      <w:pPr>
        <w:pStyle w:val="4"/>
        <w:numPr>
          <w:ilvl w:val="0"/>
          <w:numId w:val="0"/>
        </w:numPr>
        <w:spacing w:after="0" w:line="360" w:lineRule="auto"/>
        <w:ind w:leftChars="200"/>
        <w:rPr>
          <w:rFonts w:hint="eastAsia" w:ascii="楷体" w:hAnsi="楷体" w:eastAsia="楷体" w:cs="楷体"/>
          <w:b w:val="0"/>
          <w:bCs w:val="0"/>
          <w:color w:val="auto"/>
          <w:kern w:val="0"/>
          <w:sz w:val="24"/>
          <w:szCs w:val="24"/>
          <w:highlight w:val="none"/>
          <w:lang w:val="en-US" w:eastAsia="zh-CN"/>
        </w:rPr>
      </w:pPr>
      <w:r>
        <w:rPr>
          <w:rFonts w:hint="eastAsia" w:ascii="楷体" w:hAnsi="楷体" w:eastAsia="楷体" w:cs="楷体"/>
          <w:b w:val="0"/>
          <w:bCs w:val="0"/>
          <w:color w:val="auto"/>
          <w:kern w:val="0"/>
          <w:sz w:val="24"/>
          <w:szCs w:val="24"/>
          <w:highlight w:val="none"/>
          <w:lang w:val="en-US" w:eastAsia="zh-CN"/>
        </w:rPr>
        <w:t>3.</w:t>
      </w:r>
      <w:r>
        <w:rPr>
          <w:rFonts w:hint="eastAsia" w:ascii="楷体" w:hAnsi="楷体" w:eastAsia="楷体" w:cs="楷体"/>
          <w:b w:val="0"/>
          <w:bCs w:val="0"/>
          <w:color w:val="auto"/>
          <w:kern w:val="0"/>
          <w:sz w:val="24"/>
          <w:szCs w:val="24"/>
          <w:highlight w:val="none"/>
          <w:lang w:eastAsia="zh-CN"/>
        </w:rPr>
        <w:t>对照《广州市智能建造技术清单（</w:t>
      </w:r>
      <w:r>
        <w:rPr>
          <w:rFonts w:hint="eastAsia" w:ascii="楷体" w:hAnsi="楷体" w:eastAsia="楷体" w:cs="楷体"/>
          <w:b w:val="0"/>
          <w:bCs w:val="0"/>
          <w:color w:val="auto"/>
          <w:kern w:val="0"/>
          <w:sz w:val="24"/>
          <w:szCs w:val="24"/>
          <w:highlight w:val="none"/>
          <w:lang w:val="en-US" w:eastAsia="zh-CN"/>
        </w:rPr>
        <w:t>1.0版）》对招标项目智能建造提出要求。</w:t>
      </w:r>
    </w:p>
    <w:p w14:paraId="3C2FDD1E">
      <w:pPr>
        <w:pStyle w:val="4"/>
        <w:numPr>
          <w:ilvl w:val="0"/>
          <w:numId w:val="0"/>
        </w:numPr>
        <w:spacing w:after="0" w:line="360" w:lineRule="auto"/>
        <w:ind w:leftChars="200"/>
        <w:rPr>
          <w:rFonts w:hint="eastAsia" w:ascii="楷体" w:hAnsi="楷体" w:eastAsia="楷体" w:cs="楷体"/>
          <w:b w:val="0"/>
          <w:bCs w:val="0"/>
          <w:color w:val="auto"/>
          <w:kern w:val="0"/>
          <w:sz w:val="24"/>
          <w:szCs w:val="24"/>
          <w:highlight w:val="none"/>
          <w:lang w:val="en-US" w:eastAsia="zh-CN"/>
        </w:rPr>
      </w:pPr>
      <w:r>
        <w:rPr>
          <w:rFonts w:hint="eastAsia" w:ascii="楷体" w:hAnsi="楷体" w:eastAsia="楷体" w:cs="楷体"/>
          <w:b w:val="0"/>
          <w:bCs w:val="0"/>
          <w:color w:val="auto"/>
          <w:kern w:val="0"/>
          <w:sz w:val="24"/>
          <w:szCs w:val="24"/>
          <w:highlight w:val="none"/>
          <w:lang w:val="en-US" w:eastAsia="zh-CN"/>
        </w:rPr>
        <w:t>4.招标人对中标人参与“百千万工程”的具体要求。</w:t>
      </w:r>
    </w:p>
    <w:p w14:paraId="20170E26">
      <w:pPr>
        <w:pStyle w:val="4"/>
        <w:numPr>
          <w:ilvl w:val="0"/>
          <w:numId w:val="0"/>
        </w:numPr>
        <w:spacing w:after="0" w:line="360" w:lineRule="auto"/>
        <w:ind w:firstLine="480" w:firstLineChars="200"/>
        <w:rPr>
          <w:rFonts w:hint="default" w:ascii="楷体" w:hAnsi="楷体" w:eastAsia="楷体" w:cs="楷体"/>
          <w:b w:val="0"/>
          <w:bCs w:val="0"/>
          <w:color w:val="auto"/>
          <w:kern w:val="0"/>
          <w:sz w:val="24"/>
          <w:szCs w:val="24"/>
          <w:highlight w:val="none"/>
          <w:lang w:val="en-US" w:eastAsia="zh-CN"/>
        </w:rPr>
      </w:pPr>
      <w:r>
        <w:rPr>
          <w:rFonts w:hint="eastAsia" w:ascii="楷体" w:hAnsi="楷体" w:eastAsia="楷体" w:cs="楷体"/>
          <w:b w:val="0"/>
          <w:bCs w:val="0"/>
          <w:color w:val="auto"/>
          <w:kern w:val="0"/>
          <w:sz w:val="24"/>
          <w:szCs w:val="24"/>
          <w:highlight w:val="none"/>
          <w:lang w:val="en-US" w:eastAsia="zh-CN"/>
        </w:rPr>
        <w:t>5.在建筑废弃物运输上落实《关于加快推动氢能产业高质量发展的若干措施》的要求。</w:t>
      </w:r>
    </w:p>
    <w:p w14:paraId="0CD5A412">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7.2 </w:t>
      </w:r>
      <w:r>
        <w:rPr>
          <w:rFonts w:hint="eastAsia" w:ascii="宋体" w:hAnsi="宋体"/>
          <w:color w:val="auto"/>
          <w:sz w:val="24"/>
          <w:highlight w:val="none"/>
        </w:rPr>
        <w:t>投标人获取招标文件后，应仔细检查招标文件的所有内容，认真审阅招标文件中所有的事项、格式、条款和规范要求等，若投标人的投标文件没有按招标文件要求提交全部资料，或投标文件实质上没有响应招标文件的要求，招标人将按评标办法的规定予以拒绝，并且不允许投标人通过修改或撤消其不符合要求的差异或保留使之成为具有响应性的投标文件。</w:t>
      </w:r>
    </w:p>
    <w:p w14:paraId="17F349F1">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7.3 </w:t>
      </w:r>
      <w:r>
        <w:rPr>
          <w:rFonts w:hint="eastAsia" w:ascii="宋体" w:hAnsi="宋体"/>
          <w:color w:val="auto"/>
          <w:sz w:val="24"/>
          <w:highlight w:val="none"/>
        </w:rPr>
        <w:t>投标人一旦中标，招标文件的内容对招标人和中标人双方均有约束力。</w:t>
      </w:r>
    </w:p>
    <w:p w14:paraId="213EC5F2">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8</w:t>
      </w:r>
      <w:r>
        <w:rPr>
          <w:rFonts w:hint="eastAsia" w:ascii="宋体" w:hAnsi="宋体"/>
          <w:b/>
          <w:bCs/>
          <w:color w:val="auto"/>
          <w:sz w:val="24"/>
          <w:highlight w:val="none"/>
        </w:rPr>
        <w:t>．招标答疑</w:t>
      </w:r>
    </w:p>
    <w:p w14:paraId="5ABDE5EF">
      <w:pPr>
        <w:pStyle w:val="4"/>
        <w:spacing w:after="0" w:line="360" w:lineRule="auto"/>
        <w:ind w:firstLine="480" w:firstLineChars="200"/>
        <w:rPr>
          <w:rFonts w:ascii="宋体" w:hAnsi="宋体"/>
          <w:color w:val="auto"/>
          <w:sz w:val="24"/>
          <w:highlight w:val="none"/>
        </w:rPr>
      </w:pPr>
      <w:r>
        <w:rPr>
          <w:rFonts w:ascii="宋体" w:hAnsi="宋体"/>
          <w:color w:val="auto"/>
          <w:sz w:val="24"/>
          <w:highlight w:val="none"/>
        </w:rPr>
        <w:t xml:space="preserve">8.1 </w:t>
      </w:r>
      <w:r>
        <w:rPr>
          <w:rFonts w:hint="eastAsia" w:ascii="宋体" w:hAnsi="宋体"/>
          <w:color w:val="auto"/>
          <w:sz w:val="24"/>
          <w:highlight w:val="none"/>
        </w:rPr>
        <w:t>投标人若对招标文件（包括招标图纸）中有疑问，可以书面形式通过</w:t>
      </w:r>
      <w:r>
        <w:rPr>
          <w:rFonts w:hint="eastAsia" w:ascii="宋体" w:hAnsi="宋体"/>
          <w:b/>
          <w:bCs/>
          <w:color w:val="auto"/>
          <w:sz w:val="24"/>
          <w:highlight w:val="none"/>
          <w:u w:val="single"/>
          <w:lang w:eastAsia="zh-CN"/>
        </w:rPr>
        <w:t>广州交易集团有限公司（广州公共资源交易中心）</w:t>
      </w:r>
      <w:r>
        <w:rPr>
          <w:rFonts w:hint="eastAsia" w:ascii="宋体" w:hAnsi="宋体"/>
          <w:color w:val="auto"/>
          <w:sz w:val="24"/>
          <w:highlight w:val="none"/>
        </w:rPr>
        <w:t>交易平台提交给招标人或招标代理人，提交形式见本须知前附表第1</w:t>
      </w:r>
      <w:r>
        <w:rPr>
          <w:rFonts w:hint="eastAsia" w:ascii="宋体" w:hAnsi="宋体"/>
          <w:color w:val="auto"/>
          <w:sz w:val="24"/>
          <w:highlight w:val="none"/>
          <w:lang w:val="en-US" w:eastAsia="zh-CN"/>
        </w:rPr>
        <w:t>3</w:t>
      </w:r>
      <w:r>
        <w:rPr>
          <w:rFonts w:hint="eastAsia" w:ascii="宋体" w:hAnsi="宋体"/>
          <w:color w:val="auto"/>
          <w:sz w:val="24"/>
          <w:highlight w:val="none"/>
        </w:rPr>
        <w:t>项。</w:t>
      </w:r>
    </w:p>
    <w:p w14:paraId="45F57896">
      <w:pPr>
        <w:pStyle w:val="4"/>
        <w:spacing w:after="0" w:line="360" w:lineRule="auto"/>
        <w:ind w:firstLine="482" w:firstLineChars="200"/>
        <w:rPr>
          <w:rFonts w:ascii="宋体"/>
          <w:b/>
          <w:bCs/>
          <w:color w:val="auto"/>
          <w:sz w:val="24"/>
          <w:highlight w:val="none"/>
          <w:u w:val="single"/>
        </w:rPr>
      </w:pPr>
      <w:r>
        <w:rPr>
          <w:rFonts w:hint="eastAsia" w:ascii="宋体" w:hAnsi="宋体"/>
          <w:b/>
          <w:bCs/>
          <w:color w:val="auto"/>
          <w:sz w:val="24"/>
          <w:highlight w:val="none"/>
          <w:u w:val="single"/>
        </w:rPr>
        <w:t>网上答疑的操作指南为：登陆</w:t>
      </w:r>
      <w:r>
        <w:rPr>
          <w:rFonts w:hint="eastAsia" w:ascii="宋体" w:hAnsi="宋体"/>
          <w:b/>
          <w:bCs/>
          <w:color w:val="auto"/>
          <w:sz w:val="24"/>
          <w:highlight w:val="none"/>
          <w:u w:val="single"/>
          <w:lang w:eastAsia="zh-CN"/>
        </w:rPr>
        <w:t>广州交易集团有限公司（广州公共资源交易中心）</w:t>
      </w:r>
      <w:r>
        <w:rPr>
          <w:rFonts w:hint="eastAsia" w:ascii="宋体" w:hAnsi="宋体"/>
          <w:b/>
          <w:bCs/>
          <w:color w:val="auto"/>
          <w:sz w:val="24"/>
          <w:highlight w:val="none"/>
          <w:u w:val="single"/>
        </w:rPr>
        <w:t>新建设工程交易平台中“我是投标人”→“我的投标”→“招标答疑提问”通过项目编号或名称找到所需的项目→在上述的答疑时间内点击“提问” →无记名或匿名提出问题以及查看所有的问题（提交问题时需插入投标人CA证书）。</w:t>
      </w:r>
    </w:p>
    <w:p w14:paraId="78DBA76F">
      <w:pPr>
        <w:pStyle w:val="4"/>
        <w:spacing w:after="0" w:line="360" w:lineRule="auto"/>
        <w:ind w:firstLine="480" w:firstLineChars="200"/>
        <w:rPr>
          <w:rFonts w:ascii="宋体"/>
          <w:color w:val="auto"/>
          <w:sz w:val="24"/>
          <w:highlight w:val="none"/>
        </w:rPr>
      </w:pPr>
      <w:r>
        <w:rPr>
          <w:rFonts w:ascii="宋体" w:hAnsi="宋体"/>
          <w:color w:val="auto"/>
          <w:sz w:val="24"/>
          <w:highlight w:val="none"/>
        </w:rPr>
        <w:t>8.2</w:t>
      </w:r>
      <w:r>
        <w:rPr>
          <w:rFonts w:hint="eastAsia" w:ascii="宋体"/>
          <w:color w:val="auto"/>
          <w:sz w:val="24"/>
          <w:highlight w:val="none"/>
        </w:rPr>
        <w:t xml:space="preserve"> 招标答疑会会议纪要将在提交投标文件截止时间15日前在</w:t>
      </w:r>
      <w:r>
        <w:rPr>
          <w:rFonts w:hint="eastAsia" w:ascii="宋体"/>
          <w:b/>
          <w:bCs/>
          <w:color w:val="auto"/>
          <w:sz w:val="24"/>
          <w:highlight w:val="none"/>
          <w:u w:val="single"/>
          <w:lang w:eastAsia="zh-CN"/>
        </w:rPr>
        <w:t>广州交易集团有限公司（广州公共资源交易中心）</w:t>
      </w:r>
      <w:r>
        <w:rPr>
          <w:rFonts w:hint="eastAsia" w:ascii="宋体"/>
          <w:color w:val="auto"/>
          <w:sz w:val="24"/>
          <w:highlight w:val="none"/>
        </w:rPr>
        <w:t>交易平台</w:t>
      </w:r>
      <w:r>
        <w:rPr>
          <w:rFonts w:hint="eastAsia" w:ascii="宋体"/>
          <w:b/>
          <w:bCs/>
          <w:color w:val="auto"/>
          <w:sz w:val="24"/>
          <w:highlight w:val="none"/>
          <w:u w:val="single"/>
        </w:rPr>
        <w:t>“建设工程”→“项目查询（日程安排、答疑纪要）”</w:t>
      </w:r>
      <w:r>
        <w:rPr>
          <w:rFonts w:hint="eastAsia" w:ascii="宋体"/>
          <w:color w:val="auto"/>
          <w:sz w:val="24"/>
          <w:highlight w:val="none"/>
        </w:rPr>
        <w:t>专区公开发布。答疑纪要一经在</w:t>
      </w:r>
      <w:r>
        <w:rPr>
          <w:rFonts w:hint="eastAsia" w:ascii="宋体"/>
          <w:b/>
          <w:bCs/>
          <w:color w:val="auto"/>
          <w:sz w:val="24"/>
          <w:highlight w:val="none"/>
          <w:u w:val="single"/>
          <w:lang w:eastAsia="zh-CN"/>
        </w:rPr>
        <w:t>广州交易集团有限公司（广州公共资源交易中心）</w:t>
      </w:r>
      <w:r>
        <w:rPr>
          <w:rFonts w:hint="eastAsia" w:ascii="宋体"/>
          <w:color w:val="auto"/>
          <w:sz w:val="24"/>
          <w:highlight w:val="none"/>
        </w:rPr>
        <w:t>交易平台发布，视作已发放给所有投标人。</w:t>
      </w:r>
    </w:p>
    <w:p w14:paraId="6AF9B526">
      <w:pPr>
        <w:pStyle w:val="4"/>
        <w:spacing w:after="0" w:line="360" w:lineRule="auto"/>
        <w:ind w:firstLine="480" w:firstLineChars="200"/>
        <w:rPr>
          <w:rFonts w:ascii="宋体"/>
          <w:color w:val="auto"/>
          <w:sz w:val="24"/>
          <w:highlight w:val="none"/>
        </w:rPr>
      </w:pPr>
      <w:r>
        <w:rPr>
          <w:rFonts w:ascii="宋体" w:hAnsi="宋体"/>
          <w:color w:val="auto"/>
          <w:sz w:val="24"/>
          <w:highlight w:val="none"/>
        </w:rPr>
        <w:t>8.3</w:t>
      </w:r>
      <w:r>
        <w:rPr>
          <w:rFonts w:hint="eastAsia" w:ascii="宋体" w:hAnsi="宋体"/>
          <w:color w:val="auto"/>
          <w:sz w:val="24"/>
          <w:highlight w:val="none"/>
        </w:rPr>
        <w:t>答疑会会议纪要为招标文件的一部分。</w:t>
      </w:r>
    </w:p>
    <w:p w14:paraId="3833710D">
      <w:pPr>
        <w:pStyle w:val="4"/>
        <w:spacing w:after="0" w:line="360" w:lineRule="auto"/>
        <w:ind w:firstLine="480" w:firstLineChars="200"/>
        <w:rPr>
          <w:rFonts w:ascii="宋体"/>
          <w:color w:val="auto"/>
          <w:sz w:val="24"/>
          <w:highlight w:val="none"/>
        </w:rPr>
      </w:pPr>
      <w:r>
        <w:rPr>
          <w:rFonts w:ascii="宋体" w:hAnsi="宋体"/>
          <w:color w:val="auto"/>
          <w:sz w:val="24"/>
          <w:highlight w:val="none"/>
        </w:rPr>
        <w:t>8.4</w:t>
      </w:r>
      <w:r>
        <w:rPr>
          <w:rFonts w:hint="eastAsia" w:ascii="宋体" w:hAnsi="宋体"/>
          <w:color w:val="auto"/>
          <w:sz w:val="24"/>
          <w:highlight w:val="none"/>
        </w:rPr>
        <w:t>若招标答疑会会议纪要与招标文件有矛盾，以答疑会议纪要最后发出的书面形式的文件为准。</w:t>
      </w:r>
    </w:p>
    <w:p w14:paraId="284CB566">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9.</w:t>
      </w:r>
      <w:r>
        <w:rPr>
          <w:rFonts w:hint="eastAsia" w:ascii="宋体" w:hAnsi="宋体"/>
          <w:b/>
          <w:bCs/>
          <w:color w:val="auto"/>
          <w:sz w:val="24"/>
          <w:highlight w:val="none"/>
        </w:rPr>
        <w:t>招标文件的澄清与修改</w:t>
      </w:r>
    </w:p>
    <w:p w14:paraId="25E5EB2D">
      <w:pPr>
        <w:pStyle w:val="4"/>
        <w:spacing w:after="0" w:line="360" w:lineRule="auto"/>
        <w:ind w:firstLine="480" w:firstLineChars="200"/>
        <w:rPr>
          <w:rFonts w:ascii="宋体"/>
          <w:color w:val="auto"/>
          <w:sz w:val="24"/>
          <w:highlight w:val="none"/>
        </w:rPr>
      </w:pPr>
      <w:r>
        <w:rPr>
          <w:rFonts w:ascii="宋体" w:hAnsi="宋体"/>
          <w:color w:val="auto"/>
          <w:sz w:val="24"/>
          <w:highlight w:val="none"/>
        </w:rPr>
        <w:t>9.1</w:t>
      </w:r>
      <w:r>
        <w:rPr>
          <w:rFonts w:hint="eastAsia" w:ascii="宋体" w:hAnsi="宋体"/>
          <w:color w:val="auto"/>
          <w:sz w:val="24"/>
          <w:highlight w:val="none"/>
        </w:rPr>
        <w:t>招标文件发出后</w:t>
      </w:r>
      <w:r>
        <w:rPr>
          <w:rFonts w:ascii="宋体"/>
          <w:color w:val="auto"/>
          <w:sz w:val="24"/>
          <w:highlight w:val="none"/>
        </w:rPr>
        <w:t>,</w:t>
      </w:r>
      <w:r>
        <w:rPr>
          <w:rFonts w:hint="eastAsia" w:ascii="宋体" w:hAnsi="宋体"/>
          <w:color w:val="auto"/>
          <w:sz w:val="24"/>
          <w:highlight w:val="none"/>
        </w:rPr>
        <w:t>在提交投标文件截止时间15日前，招标人可对招标文件进行必要的澄清或修改。</w:t>
      </w:r>
    </w:p>
    <w:p w14:paraId="51679D00">
      <w:pPr>
        <w:pStyle w:val="4"/>
        <w:spacing w:after="0" w:line="360" w:lineRule="auto"/>
        <w:ind w:firstLine="480" w:firstLineChars="200"/>
        <w:rPr>
          <w:rFonts w:ascii="宋体"/>
          <w:color w:val="auto"/>
          <w:sz w:val="24"/>
          <w:highlight w:val="none"/>
        </w:rPr>
      </w:pPr>
      <w:r>
        <w:rPr>
          <w:rFonts w:ascii="宋体" w:hAnsi="宋体"/>
          <w:color w:val="auto"/>
          <w:sz w:val="24"/>
          <w:highlight w:val="none"/>
        </w:rPr>
        <w:t>9.2</w:t>
      </w:r>
      <w:r>
        <w:rPr>
          <w:rFonts w:hint="eastAsia" w:ascii="宋体"/>
          <w:color w:val="auto"/>
          <w:sz w:val="24"/>
          <w:highlight w:val="none"/>
        </w:rPr>
        <w:t>招标文件的澄清或修改将在</w:t>
      </w:r>
      <w:r>
        <w:rPr>
          <w:rFonts w:hint="eastAsia" w:ascii="宋体"/>
          <w:b/>
          <w:bCs/>
          <w:color w:val="auto"/>
          <w:sz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hAnsi="宋体"/>
          <w:b/>
          <w:bCs/>
          <w:color w:val="auto"/>
          <w:sz w:val="24"/>
          <w:szCs w:val="24"/>
          <w:highlight w:val="none"/>
          <w:u w:val="single"/>
        </w:rPr>
        <w:t>“建设工程”→“项目查询（日程安排、答疑纪要）”</w:t>
      </w:r>
      <w:r>
        <w:rPr>
          <w:rFonts w:hint="eastAsia" w:ascii="宋体"/>
          <w:color w:val="auto"/>
          <w:sz w:val="24"/>
          <w:highlight w:val="none"/>
        </w:rPr>
        <w:t>专区公开发布。答疑纪要一经在</w:t>
      </w:r>
      <w:r>
        <w:rPr>
          <w:rFonts w:hint="eastAsia" w:ascii="宋体"/>
          <w:b/>
          <w:bCs/>
          <w:color w:val="auto"/>
          <w:sz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color w:val="auto"/>
          <w:sz w:val="24"/>
          <w:highlight w:val="none"/>
        </w:rPr>
        <w:t>发布，视作已发放给所有投标人，以</w:t>
      </w:r>
      <w:r>
        <w:rPr>
          <w:rFonts w:hint="eastAsia" w:ascii="宋体"/>
          <w:b/>
          <w:bCs/>
          <w:color w:val="auto"/>
          <w:sz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color w:val="auto"/>
          <w:sz w:val="24"/>
          <w:highlight w:val="none"/>
        </w:rPr>
        <w:t>上网发布时间作为送达时间。</w:t>
      </w:r>
    </w:p>
    <w:p w14:paraId="4422F419">
      <w:pPr>
        <w:pStyle w:val="4"/>
        <w:spacing w:after="0" w:line="360" w:lineRule="auto"/>
        <w:ind w:firstLine="480" w:firstLineChars="200"/>
        <w:rPr>
          <w:rFonts w:hint="eastAsia" w:ascii="宋体" w:hAnsi="宋体" w:eastAsia="宋体"/>
          <w:color w:val="auto"/>
          <w:sz w:val="24"/>
          <w:highlight w:val="none"/>
        </w:rPr>
      </w:pPr>
      <w:r>
        <w:rPr>
          <w:rFonts w:ascii="宋体" w:hAnsi="宋体"/>
          <w:color w:val="auto"/>
          <w:sz w:val="24"/>
          <w:highlight w:val="none"/>
        </w:rPr>
        <w:t>9.3</w:t>
      </w:r>
      <w:r>
        <w:rPr>
          <w:rFonts w:hint="eastAsia" w:ascii="宋体" w:hAnsi="宋体"/>
          <w:color w:val="auto"/>
          <w:sz w:val="24"/>
          <w:highlight w:val="none"/>
        </w:rPr>
        <w:t>招标文件的</w:t>
      </w:r>
      <w:r>
        <w:rPr>
          <w:rFonts w:hint="eastAsia" w:ascii="宋体" w:hAnsi="宋体"/>
          <w:color w:val="auto"/>
          <w:sz w:val="24"/>
          <w:highlight w:val="none"/>
          <w:lang w:eastAsia="zh-CN"/>
        </w:rPr>
        <w:t>澄清或</w:t>
      </w:r>
      <w:r>
        <w:rPr>
          <w:rFonts w:hint="eastAsia" w:ascii="宋体" w:hAnsi="宋体" w:eastAsia="宋体"/>
          <w:color w:val="auto"/>
          <w:sz w:val="24"/>
          <w:highlight w:val="none"/>
        </w:rPr>
        <w:t>修改内容为招标文件的组成部分</w:t>
      </w:r>
      <w:r>
        <w:rPr>
          <w:rFonts w:hint="eastAsia" w:ascii="宋体" w:hAnsi="宋体" w:eastAsia="宋体"/>
          <w:color w:val="auto"/>
          <w:sz w:val="24"/>
          <w:highlight w:val="none"/>
          <w:lang w:eastAsia="zh-CN"/>
        </w:rPr>
        <w:t>，对投标人起约束作用</w:t>
      </w:r>
      <w:r>
        <w:rPr>
          <w:rFonts w:hint="eastAsia" w:ascii="宋体" w:hAnsi="宋体" w:eastAsia="宋体"/>
          <w:color w:val="auto"/>
          <w:sz w:val="24"/>
          <w:highlight w:val="none"/>
        </w:rPr>
        <w:t>。</w:t>
      </w:r>
    </w:p>
    <w:p w14:paraId="5FA16AFA">
      <w:pPr>
        <w:pStyle w:val="4"/>
        <w:spacing w:after="0" w:line="360" w:lineRule="auto"/>
        <w:ind w:firstLine="480" w:firstLineChars="200"/>
        <w:rPr>
          <w:rFonts w:ascii="宋体"/>
          <w:color w:val="auto"/>
          <w:sz w:val="24"/>
          <w:highlight w:val="none"/>
        </w:rPr>
      </w:pPr>
      <w:r>
        <w:rPr>
          <w:rFonts w:ascii="宋体" w:hAnsi="宋体"/>
          <w:color w:val="auto"/>
          <w:sz w:val="24"/>
          <w:highlight w:val="none"/>
        </w:rPr>
        <w:t>9.4</w:t>
      </w:r>
      <w:r>
        <w:rPr>
          <w:rFonts w:hint="eastAsia" w:ascii="宋体" w:hAnsi="宋体"/>
          <w:color w:val="auto"/>
          <w:sz w:val="24"/>
          <w:highlight w:val="none"/>
        </w:rPr>
        <w:t>招标文件的澄清或修改均以在</w:t>
      </w:r>
      <w:r>
        <w:rPr>
          <w:rFonts w:hint="eastAsia" w:ascii="宋体" w:hAnsi="宋体"/>
          <w:b/>
          <w:bCs/>
          <w:color w:val="auto"/>
          <w:sz w:val="24"/>
          <w:highlight w:val="none"/>
          <w:u w:val="single"/>
          <w:lang w:eastAsia="zh-CN"/>
        </w:rPr>
        <w:t>广州交易集团有限公司（广州公共资源交易中心）</w:t>
      </w:r>
      <w:r>
        <w:rPr>
          <w:rFonts w:hint="eastAsia" w:ascii="宋体" w:hAnsi="宋体"/>
          <w:b/>
          <w:bCs/>
          <w:color w:val="auto"/>
          <w:sz w:val="24"/>
          <w:highlight w:val="none"/>
          <w:u w:val="single"/>
        </w:rPr>
        <w:t>交易平台“建设工程”→“项目查询（日程安排、答疑纪要）”专区公开</w:t>
      </w:r>
      <w:r>
        <w:rPr>
          <w:rFonts w:hint="eastAsia" w:ascii="宋体" w:hAnsi="宋体"/>
          <w:color w:val="auto"/>
          <w:sz w:val="24"/>
          <w:highlight w:val="none"/>
          <w:u w:val="none"/>
        </w:rPr>
        <w:t>发布</w:t>
      </w:r>
      <w:r>
        <w:rPr>
          <w:rFonts w:hint="eastAsia" w:ascii="宋体" w:hAnsi="宋体"/>
          <w:color w:val="auto"/>
          <w:sz w:val="24"/>
          <w:highlight w:val="none"/>
        </w:rPr>
        <w:t>的内容为准。当招标文件的澄清、修改、补充等在同一内容的表述不一致时，以最后发出的文件为准。</w:t>
      </w:r>
    </w:p>
    <w:p w14:paraId="4DC6585D">
      <w:pPr>
        <w:pStyle w:val="4"/>
        <w:spacing w:after="0" w:line="360" w:lineRule="auto"/>
        <w:ind w:firstLine="480" w:firstLineChars="200"/>
        <w:rPr>
          <w:rFonts w:ascii="宋体"/>
          <w:color w:val="auto"/>
          <w:sz w:val="24"/>
          <w:highlight w:val="none"/>
        </w:rPr>
      </w:pPr>
      <w:r>
        <w:rPr>
          <w:rFonts w:ascii="宋体" w:hAnsi="宋体"/>
          <w:color w:val="auto"/>
          <w:sz w:val="24"/>
          <w:highlight w:val="none"/>
        </w:rPr>
        <w:t>9.5</w:t>
      </w:r>
      <w:r>
        <w:rPr>
          <w:rFonts w:hint="eastAsia" w:ascii="宋体" w:hAnsi="宋体"/>
          <w:color w:val="auto"/>
          <w:sz w:val="24"/>
          <w:highlight w:val="none"/>
        </w:rPr>
        <w:t>为使投标人在编制投标文件时有充分的时间对招标文件的澄清或修改等内容考虑进去，招标人将酌情延长提交投标文件的截止时间，具体时间将在招标文件的澄清或修改中予以明确。若澄清或修改中没有明确延长时间，即表示投标时间不延长。</w:t>
      </w:r>
    </w:p>
    <w:p w14:paraId="0B16AFE6">
      <w:pPr>
        <w:pStyle w:val="7"/>
        <w:bidi w:val="0"/>
        <w:rPr>
          <w:color w:val="auto"/>
          <w:highlight w:val="none"/>
        </w:rPr>
      </w:pPr>
      <w:bookmarkStart w:id="36" w:name="_Toc2272551"/>
      <w:bookmarkStart w:id="37" w:name="_Toc19531"/>
      <w:bookmarkStart w:id="38" w:name="_Toc4891"/>
      <w:bookmarkStart w:id="39" w:name="_Toc21525495"/>
      <w:bookmarkStart w:id="40" w:name="_Toc4901"/>
      <w:bookmarkStart w:id="41" w:name="_Toc644"/>
      <w:r>
        <w:rPr>
          <w:rFonts w:hint="eastAsia"/>
          <w:color w:val="auto"/>
          <w:highlight w:val="none"/>
        </w:rPr>
        <w:t>（三）投标文件的编制</w:t>
      </w:r>
      <w:bookmarkEnd w:id="36"/>
      <w:bookmarkEnd w:id="37"/>
      <w:bookmarkEnd w:id="38"/>
      <w:bookmarkEnd w:id="39"/>
      <w:bookmarkEnd w:id="40"/>
      <w:bookmarkEnd w:id="41"/>
    </w:p>
    <w:p w14:paraId="67BA9935">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10</w:t>
      </w:r>
      <w:r>
        <w:rPr>
          <w:rFonts w:hint="eastAsia" w:ascii="宋体" w:hAnsi="宋体"/>
          <w:b/>
          <w:bCs/>
          <w:color w:val="auto"/>
          <w:sz w:val="24"/>
          <w:highlight w:val="none"/>
        </w:rPr>
        <w:t>．投标文件的语言及度量衡单位</w:t>
      </w:r>
    </w:p>
    <w:p w14:paraId="55CAA51C">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10.1 </w:t>
      </w:r>
      <w:r>
        <w:rPr>
          <w:rFonts w:hint="eastAsia" w:ascii="宋体" w:hAnsi="宋体"/>
          <w:color w:val="auto"/>
          <w:sz w:val="24"/>
          <w:highlight w:val="none"/>
        </w:rPr>
        <w:t>投标文件和与投标有关的所有文件均应使用中文。</w:t>
      </w:r>
    </w:p>
    <w:p w14:paraId="7F398CF6">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10.2 </w:t>
      </w:r>
      <w:r>
        <w:rPr>
          <w:rFonts w:hint="eastAsia" w:ascii="宋体" w:hAnsi="宋体"/>
          <w:color w:val="auto"/>
          <w:sz w:val="24"/>
          <w:highlight w:val="none"/>
        </w:rPr>
        <w:t>除工程规范另有规定外，投标文件使用的度量衡单位，均采用中华人民共和国法定计量单位。</w:t>
      </w:r>
    </w:p>
    <w:p w14:paraId="4551A4E7">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11</w:t>
      </w:r>
      <w:r>
        <w:rPr>
          <w:rFonts w:hint="eastAsia" w:ascii="宋体" w:hAnsi="宋体"/>
          <w:b/>
          <w:bCs/>
          <w:color w:val="auto"/>
          <w:sz w:val="24"/>
          <w:highlight w:val="none"/>
        </w:rPr>
        <w:t>．投标文件的组成</w:t>
      </w:r>
    </w:p>
    <w:p w14:paraId="4F6FE2D7">
      <w:pPr>
        <w:pStyle w:val="5"/>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11.1投标文件由</w:t>
      </w:r>
      <w:r>
        <w:rPr>
          <w:rFonts w:hint="eastAsia" w:ascii="宋体" w:hAnsi="宋体"/>
          <w:b/>
          <w:bCs/>
          <w:color w:val="auto"/>
          <w:sz w:val="24"/>
          <w:szCs w:val="24"/>
          <w:highlight w:val="none"/>
          <w:u w:val="single"/>
        </w:rPr>
        <w:t>评标部分及定标部分两部分组成。其中投标文件（评标部分）</w:t>
      </w:r>
      <w:r>
        <w:rPr>
          <w:rFonts w:hint="eastAsia" w:ascii="宋体" w:hAnsi="宋体"/>
          <w:color w:val="auto"/>
          <w:sz w:val="24"/>
          <w:szCs w:val="24"/>
          <w:highlight w:val="none"/>
        </w:rPr>
        <w:t>由技术标（含资格审查文件）和经济标组成</w:t>
      </w:r>
      <w:r>
        <w:rPr>
          <w:rFonts w:hint="eastAsia" w:ascii="宋体" w:hAnsi="宋体"/>
          <w:b/>
          <w:bCs w:val="0"/>
          <w:color w:val="auto"/>
          <w:sz w:val="24"/>
          <w:szCs w:val="24"/>
          <w:highlight w:val="none"/>
          <w:u w:val="single"/>
        </w:rPr>
        <w:t>。投标文件（定标部分）由入围候选人施工履约能力与水平评价、服务保障措施、企业施工能力组成</w:t>
      </w:r>
      <w:r>
        <w:rPr>
          <w:rFonts w:hint="eastAsia" w:ascii="宋体" w:hAnsi="宋体"/>
          <w:b/>
          <w:color w:val="auto"/>
          <w:sz w:val="24"/>
          <w:szCs w:val="24"/>
          <w:highlight w:val="none"/>
        </w:rPr>
        <w:t>。</w:t>
      </w:r>
    </w:p>
    <w:p w14:paraId="32591494">
      <w:pPr>
        <w:pStyle w:val="5"/>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11.2投标文件技术标部分主要包括下列内容:</w:t>
      </w:r>
    </w:p>
    <w:p w14:paraId="64B01C3C">
      <w:pPr>
        <w:pStyle w:val="5"/>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11.2.1 技术投标文件</w:t>
      </w:r>
      <w:r>
        <w:rPr>
          <w:rFonts w:hint="eastAsia" w:ascii="宋体" w:hAnsi="宋体"/>
          <w:b/>
          <w:bCs/>
          <w:color w:val="auto"/>
          <w:sz w:val="24"/>
          <w:szCs w:val="24"/>
          <w:highlight w:val="none"/>
          <w:u w:val="single"/>
        </w:rPr>
        <w:t>(按招标文件的要求填写)</w:t>
      </w:r>
      <w:r>
        <w:rPr>
          <w:rFonts w:hint="eastAsia" w:ascii="宋体" w:hAnsi="宋体"/>
          <w:color w:val="auto"/>
          <w:sz w:val="24"/>
          <w:szCs w:val="24"/>
          <w:highlight w:val="none"/>
          <w:u w:val="single"/>
        </w:rPr>
        <w:t>；</w:t>
      </w:r>
    </w:p>
    <w:p w14:paraId="6CAEED67">
      <w:pPr>
        <w:pStyle w:val="5"/>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rPr>
        <w:t>11.2.2 资格审查文件：</w:t>
      </w:r>
    </w:p>
    <w:p w14:paraId="0C0CA5F5">
      <w:pPr>
        <w:pStyle w:val="5"/>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rPr>
        <w:t>（1）投标人声明</w:t>
      </w:r>
      <w:r>
        <w:rPr>
          <w:rFonts w:hint="eastAsia" w:ascii="宋体" w:hAnsi="宋体"/>
          <w:b/>
          <w:bCs/>
          <w:color w:val="auto"/>
          <w:sz w:val="24"/>
          <w:szCs w:val="24"/>
          <w:highlight w:val="none"/>
          <w:u w:val="single"/>
        </w:rPr>
        <w:t>（已按照招标公告附件的内容签署盖章的）</w:t>
      </w:r>
      <w:r>
        <w:rPr>
          <w:rFonts w:hint="eastAsia" w:ascii="宋体" w:hAnsi="宋体"/>
          <w:color w:val="auto"/>
          <w:sz w:val="24"/>
          <w:szCs w:val="24"/>
          <w:highlight w:val="none"/>
          <w:u w:val="single"/>
        </w:rPr>
        <w:t xml:space="preserve">； </w:t>
      </w:r>
    </w:p>
    <w:p w14:paraId="7520E2CE">
      <w:pPr>
        <w:pStyle w:val="5"/>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rPr>
        <w:t>（2）法定代表人证明书、法定代表人签字或盖章的本投标文件授权委托证明书</w:t>
      </w:r>
      <w:r>
        <w:rPr>
          <w:rFonts w:hint="eastAsia" w:ascii="宋体" w:hAnsi="宋体"/>
          <w:b/>
          <w:bCs/>
          <w:sz w:val="24"/>
          <w:szCs w:val="24"/>
          <w:highlight w:val="none"/>
          <w:u w:val="single"/>
        </w:rPr>
        <w:t>（联合体投标的，由联合体主办方出具）</w:t>
      </w:r>
      <w:r>
        <w:rPr>
          <w:rFonts w:hint="eastAsia" w:ascii="宋体" w:hAnsi="宋体"/>
          <w:color w:val="auto"/>
          <w:sz w:val="24"/>
          <w:szCs w:val="24"/>
          <w:highlight w:val="none"/>
          <w:u w:val="single"/>
        </w:rPr>
        <w:t>；</w:t>
      </w:r>
    </w:p>
    <w:p w14:paraId="6BD04F24">
      <w:pPr>
        <w:pStyle w:val="5"/>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rPr>
        <w:t>（3）企业营业执照</w:t>
      </w:r>
      <w:r>
        <w:rPr>
          <w:rFonts w:hint="eastAsia" w:ascii="宋体" w:hAnsi="宋体"/>
          <w:b/>
          <w:bCs/>
          <w:color w:val="auto"/>
          <w:sz w:val="24"/>
          <w:szCs w:val="24"/>
          <w:highlight w:val="none"/>
          <w:u w:val="single"/>
        </w:rPr>
        <w:t>扫描件或电子证照</w:t>
      </w:r>
      <w:r>
        <w:rPr>
          <w:rFonts w:hint="eastAsia"/>
          <w:b/>
          <w:bCs/>
          <w:sz w:val="24"/>
          <w:szCs w:val="24"/>
          <w:highlight w:val="none"/>
          <w:u w:val="single"/>
        </w:rPr>
        <w:t>（联合体投标的，联合体各方均需具有）</w:t>
      </w:r>
      <w:r>
        <w:rPr>
          <w:rFonts w:hint="eastAsia" w:ascii="宋体" w:hAnsi="宋体"/>
          <w:color w:val="auto"/>
          <w:sz w:val="24"/>
          <w:szCs w:val="24"/>
          <w:highlight w:val="none"/>
          <w:u w:val="single"/>
        </w:rPr>
        <w:t>；</w:t>
      </w:r>
    </w:p>
    <w:p w14:paraId="2BEED57D">
      <w:pPr>
        <w:pStyle w:val="5"/>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rPr>
        <w:t>（4）企业资质证书</w:t>
      </w:r>
      <w:r>
        <w:rPr>
          <w:rFonts w:hint="eastAsia" w:ascii="宋体" w:hAnsi="宋体"/>
          <w:b/>
          <w:bCs/>
          <w:color w:val="auto"/>
          <w:sz w:val="24"/>
          <w:szCs w:val="24"/>
          <w:highlight w:val="none"/>
          <w:u w:val="single"/>
        </w:rPr>
        <w:t>扫描件或电子证照</w:t>
      </w:r>
      <w:r>
        <w:rPr>
          <w:rFonts w:hint="eastAsia" w:ascii="宋体" w:hAnsi="宋体"/>
          <w:b/>
          <w:bCs/>
          <w:sz w:val="24"/>
          <w:szCs w:val="24"/>
          <w:highlight w:val="none"/>
          <w:u w:val="single"/>
        </w:rPr>
        <w:t>（</w:t>
      </w:r>
      <w:r>
        <w:rPr>
          <w:rFonts w:hint="eastAsia"/>
          <w:b/>
          <w:bCs/>
          <w:sz w:val="24"/>
          <w:szCs w:val="24"/>
          <w:highlight w:val="none"/>
          <w:u w:val="single"/>
        </w:rPr>
        <w:t>联合体投标的，</w:t>
      </w:r>
      <w:r>
        <w:rPr>
          <w:rFonts w:hint="eastAsia" w:ascii="宋体" w:hAnsi="宋体"/>
          <w:b/>
          <w:bCs/>
          <w:sz w:val="24"/>
          <w:szCs w:val="24"/>
          <w:highlight w:val="none"/>
          <w:u w:val="single"/>
        </w:rPr>
        <w:t>联合体各方均需提供；投标人的资质不在有效期内，资质延续手续已通过政府有关部门核准的，投标人需提供经核准延续的相关证明材料，资质延续手续未通过政府有关部门核准的，提供延续申请的相关证明材料(如“三库一平台”提交申请截图、申请回执等可以证明已经办理核准延续手续的相关证明文件)，未能按要求提供相关资料的，视为资质已失效。）</w:t>
      </w:r>
      <w:r>
        <w:rPr>
          <w:rFonts w:hint="eastAsia" w:ascii="宋体" w:hAnsi="宋体"/>
          <w:color w:val="auto"/>
          <w:sz w:val="24"/>
          <w:szCs w:val="24"/>
          <w:highlight w:val="none"/>
          <w:u w:val="single"/>
        </w:rPr>
        <w:t>；</w:t>
      </w:r>
    </w:p>
    <w:p w14:paraId="469AD5E3">
      <w:pPr>
        <w:pStyle w:val="5"/>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rPr>
        <w:t>（5）建筑施工企业安全生产许可证</w:t>
      </w:r>
      <w:r>
        <w:rPr>
          <w:rFonts w:hint="eastAsia" w:ascii="宋体" w:hAnsi="宋体"/>
          <w:b/>
          <w:bCs/>
          <w:color w:val="auto"/>
          <w:sz w:val="24"/>
          <w:szCs w:val="24"/>
          <w:highlight w:val="none"/>
          <w:u w:val="single"/>
        </w:rPr>
        <w:t>扫描件或电子证照</w:t>
      </w:r>
      <w:r>
        <w:rPr>
          <w:rFonts w:hint="eastAsia" w:ascii="宋体" w:hAnsi="宋体"/>
          <w:color w:val="auto"/>
          <w:sz w:val="24"/>
          <w:szCs w:val="24"/>
          <w:highlight w:val="none"/>
          <w:u w:val="single"/>
        </w:rPr>
        <w:t>；</w:t>
      </w:r>
    </w:p>
    <w:p w14:paraId="4000C2E2">
      <w:pPr>
        <w:pStyle w:val="5"/>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rPr>
        <w:t>（6）项目负责人（按网上投标登记时选择</w:t>
      </w:r>
      <w:r>
        <w:rPr>
          <w:rFonts w:hint="eastAsia" w:ascii="宋体" w:hAnsi="宋体"/>
          <w:b/>
          <w:bCs/>
          <w:color w:val="auto"/>
          <w:sz w:val="24"/>
          <w:szCs w:val="24"/>
          <w:highlight w:val="none"/>
          <w:u w:val="single"/>
        </w:rPr>
        <w:t>拟投入本项目</w:t>
      </w:r>
      <w:r>
        <w:rPr>
          <w:rFonts w:hint="eastAsia" w:ascii="宋体" w:hAnsi="宋体"/>
          <w:color w:val="auto"/>
          <w:sz w:val="24"/>
          <w:szCs w:val="24"/>
          <w:highlight w:val="none"/>
          <w:u w:val="single"/>
        </w:rPr>
        <w:t>的项目负责人）；</w:t>
      </w:r>
    </w:p>
    <w:p w14:paraId="226AEA17">
      <w:pPr>
        <w:pStyle w:val="5"/>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rPr>
        <w:t>（7）专职安全员（按网上投标登记时选择</w:t>
      </w:r>
      <w:r>
        <w:rPr>
          <w:rFonts w:hint="eastAsia" w:ascii="宋体" w:hAnsi="宋体"/>
          <w:b/>
          <w:bCs/>
          <w:color w:val="auto"/>
          <w:sz w:val="24"/>
          <w:szCs w:val="24"/>
          <w:highlight w:val="none"/>
          <w:u w:val="single"/>
        </w:rPr>
        <w:t>拟投入本项目</w:t>
      </w:r>
      <w:r>
        <w:rPr>
          <w:rFonts w:hint="eastAsia" w:ascii="宋体" w:hAnsi="宋体"/>
          <w:color w:val="auto"/>
          <w:sz w:val="24"/>
          <w:szCs w:val="24"/>
          <w:highlight w:val="none"/>
          <w:u w:val="single"/>
        </w:rPr>
        <w:t>的专职安全员）；</w:t>
      </w:r>
    </w:p>
    <w:p w14:paraId="3E49581C">
      <w:pPr>
        <w:pStyle w:val="5"/>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rPr>
        <w:t>（8）拟委派项目负责人的有效期内的建造师注册证书</w:t>
      </w:r>
      <w:r>
        <w:rPr>
          <w:rFonts w:hint="eastAsia" w:ascii="宋体" w:hAnsi="宋体"/>
          <w:b/>
          <w:bCs/>
          <w:color w:val="auto"/>
          <w:sz w:val="24"/>
          <w:szCs w:val="24"/>
          <w:highlight w:val="none"/>
          <w:u w:val="single"/>
        </w:rPr>
        <w:t>扫描件或电子证书</w:t>
      </w:r>
      <w:r>
        <w:rPr>
          <w:rFonts w:hint="eastAsia" w:ascii="宋体" w:hAnsi="宋体"/>
          <w:color w:val="auto"/>
          <w:sz w:val="24"/>
          <w:szCs w:val="24"/>
          <w:highlight w:val="none"/>
          <w:u w:val="single"/>
        </w:rPr>
        <w:t xml:space="preserve">； </w:t>
      </w:r>
    </w:p>
    <w:p w14:paraId="126A41DE">
      <w:pPr>
        <w:pStyle w:val="5"/>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rPr>
        <w:t>（</w:t>
      </w:r>
      <w:r>
        <w:rPr>
          <w:rFonts w:hint="eastAsia" w:ascii="宋体" w:hAnsi="宋体"/>
          <w:color w:val="auto"/>
          <w:sz w:val="24"/>
          <w:szCs w:val="24"/>
          <w:highlight w:val="none"/>
          <w:u w:val="single"/>
          <w:lang w:val="en-US" w:eastAsia="zh-CN"/>
        </w:rPr>
        <w:t>9</w:t>
      </w:r>
      <w:r>
        <w:rPr>
          <w:rFonts w:hint="eastAsia" w:ascii="宋体" w:hAnsi="宋体"/>
          <w:color w:val="auto"/>
          <w:sz w:val="24"/>
          <w:szCs w:val="24"/>
          <w:highlight w:val="none"/>
          <w:u w:val="single"/>
        </w:rPr>
        <w:t>）项目负责人须持有有效期内的安全考核合格证书（B类）或建筑施工企业项目负责人安全生产考核合格证书</w:t>
      </w:r>
      <w:r>
        <w:rPr>
          <w:rFonts w:hint="eastAsia" w:ascii="宋体" w:hAnsi="宋体"/>
          <w:b/>
          <w:bCs/>
          <w:color w:val="auto"/>
          <w:sz w:val="24"/>
          <w:szCs w:val="24"/>
          <w:highlight w:val="none"/>
          <w:u w:val="single"/>
        </w:rPr>
        <w:t>扫描件或电子证书</w:t>
      </w:r>
      <w:r>
        <w:rPr>
          <w:rFonts w:hint="eastAsia" w:ascii="宋体" w:hAnsi="宋体"/>
          <w:color w:val="auto"/>
          <w:sz w:val="24"/>
          <w:szCs w:val="24"/>
          <w:highlight w:val="none"/>
          <w:u w:val="single"/>
        </w:rPr>
        <w:t xml:space="preserve">； </w:t>
      </w:r>
    </w:p>
    <w:p w14:paraId="783F9E6D">
      <w:pPr>
        <w:pStyle w:val="5"/>
        <w:spacing w:line="360" w:lineRule="auto"/>
        <w:ind w:firstLine="480" w:firstLineChars="200"/>
        <w:rPr>
          <w:rFonts w:hint="eastAsia" w:ascii="宋体" w:hAnsi="宋体"/>
          <w:color w:val="auto"/>
          <w:sz w:val="24"/>
          <w:szCs w:val="24"/>
          <w:highlight w:val="none"/>
          <w:u w:val="single"/>
        </w:rPr>
      </w:pPr>
      <w:r>
        <w:rPr>
          <w:rFonts w:hint="eastAsia" w:ascii="宋体" w:hAnsi="宋体"/>
          <w:color w:val="auto"/>
          <w:sz w:val="24"/>
          <w:szCs w:val="24"/>
          <w:highlight w:val="none"/>
          <w:u w:val="single"/>
        </w:rPr>
        <w:t>（1</w:t>
      </w:r>
      <w:r>
        <w:rPr>
          <w:rFonts w:hint="eastAsia" w:ascii="宋体" w:hAnsi="宋体"/>
          <w:color w:val="auto"/>
          <w:sz w:val="24"/>
          <w:szCs w:val="24"/>
          <w:highlight w:val="none"/>
          <w:u w:val="single"/>
          <w:lang w:val="en-US" w:eastAsia="zh-CN"/>
        </w:rPr>
        <w:t>0</w:t>
      </w:r>
      <w:r>
        <w:rPr>
          <w:rFonts w:hint="eastAsia" w:ascii="宋体" w:hAnsi="宋体"/>
          <w:color w:val="auto"/>
          <w:sz w:val="24"/>
          <w:szCs w:val="24"/>
          <w:highlight w:val="none"/>
          <w:u w:val="single"/>
        </w:rPr>
        <w:t>）专职安全员须具有安全生产考核合格证（C类）或建筑施工企业专职安全生产管理人员安全生产考核合格证（C3</w:t>
      </w:r>
      <w:r>
        <w:rPr>
          <w:rFonts w:hint="eastAsia" w:ascii="宋体" w:hAnsi="宋体"/>
          <w:b/>
          <w:bCs/>
          <w:color w:val="auto"/>
          <w:sz w:val="24"/>
          <w:szCs w:val="24"/>
          <w:highlight w:val="none"/>
          <w:u w:val="single"/>
        </w:rPr>
        <w:t>类</w:t>
      </w:r>
      <w:r>
        <w:rPr>
          <w:rFonts w:hint="eastAsia" w:ascii="宋体" w:hAnsi="宋体"/>
          <w:color w:val="auto"/>
          <w:sz w:val="24"/>
          <w:szCs w:val="24"/>
          <w:highlight w:val="none"/>
          <w:u w:val="single"/>
        </w:rPr>
        <w:t>）</w:t>
      </w:r>
      <w:r>
        <w:rPr>
          <w:rFonts w:hint="eastAsia" w:ascii="宋体" w:hAnsi="宋体"/>
          <w:b/>
          <w:bCs/>
          <w:color w:val="auto"/>
          <w:sz w:val="24"/>
          <w:szCs w:val="24"/>
          <w:highlight w:val="none"/>
          <w:u w:val="single"/>
        </w:rPr>
        <w:t>扫描件或电子证书</w:t>
      </w:r>
      <w:r>
        <w:rPr>
          <w:rFonts w:hint="eastAsia" w:ascii="宋体" w:hAnsi="宋体"/>
          <w:color w:val="auto"/>
          <w:sz w:val="24"/>
          <w:szCs w:val="24"/>
          <w:highlight w:val="none"/>
          <w:u w:val="single"/>
        </w:rPr>
        <w:t xml:space="preserve">； </w:t>
      </w:r>
    </w:p>
    <w:p w14:paraId="70C5E92A">
      <w:pPr>
        <w:pStyle w:val="5"/>
        <w:spacing w:line="360" w:lineRule="auto"/>
        <w:ind w:firstLine="480" w:firstLineChars="200"/>
        <w:rPr>
          <w:rFonts w:hint="eastAsia" w:ascii="宋体" w:hAnsi="宋体" w:eastAsia="宋体" w:cs="宋体"/>
          <w:b/>
          <w:bCs/>
          <w:sz w:val="24"/>
          <w:szCs w:val="24"/>
          <w:highlight w:val="none"/>
          <w:u w:val="single"/>
          <w:lang w:eastAsia="zh-CN"/>
        </w:rPr>
      </w:pPr>
      <w:r>
        <w:rPr>
          <w:rFonts w:hint="eastAsia" w:ascii="宋体" w:hAnsi="宋体"/>
          <w:color w:val="auto"/>
          <w:sz w:val="24"/>
          <w:szCs w:val="24"/>
          <w:highlight w:val="none"/>
          <w:u w:val="single"/>
        </w:rPr>
        <w:t>（</w:t>
      </w:r>
      <w:r>
        <w:rPr>
          <w:rFonts w:hint="eastAsia" w:ascii="宋体" w:hAnsi="宋体"/>
          <w:color w:val="auto"/>
          <w:sz w:val="24"/>
          <w:szCs w:val="24"/>
          <w:highlight w:val="none"/>
          <w:u w:val="single"/>
          <w:lang w:val="en-US" w:eastAsia="zh-CN"/>
        </w:rPr>
        <w:t>11</w:t>
      </w:r>
      <w:r>
        <w:rPr>
          <w:rFonts w:hint="eastAsia" w:ascii="宋体" w:hAnsi="宋体"/>
          <w:color w:val="auto"/>
          <w:sz w:val="24"/>
          <w:szCs w:val="24"/>
          <w:highlight w:val="none"/>
          <w:u w:val="single"/>
        </w:rPr>
        <w:t>）</w:t>
      </w:r>
      <w:r>
        <w:rPr>
          <w:rFonts w:hint="eastAsia" w:ascii="宋体" w:hAnsi="宋体" w:cs="Times New Roman"/>
          <w:b w:val="0"/>
          <w:bCs w:val="0"/>
          <w:color w:val="auto"/>
          <w:sz w:val="24"/>
          <w:szCs w:val="24"/>
          <w:highlight w:val="none"/>
          <w:u w:val="single"/>
        </w:rPr>
        <w:t>资格审查前，</w:t>
      </w:r>
      <w:r>
        <w:rPr>
          <w:rFonts w:hint="eastAsia" w:ascii="宋体" w:hAnsi="宋体" w:cs="宋体"/>
          <w:b/>
          <w:bCs/>
          <w:sz w:val="24"/>
          <w:szCs w:val="24"/>
          <w:highlight w:val="none"/>
          <w:u w:val="single"/>
        </w:rPr>
        <w:t>投标人须在</w:t>
      </w:r>
      <w:r>
        <w:rPr>
          <w:rFonts w:hint="eastAsia" w:ascii="宋体" w:hAnsi="宋体" w:cs="宋体"/>
          <w:b/>
          <w:bCs/>
          <w:color w:val="auto"/>
          <w:sz w:val="24"/>
          <w:szCs w:val="24"/>
          <w:highlight w:val="none"/>
          <w:u w:val="single"/>
          <w:lang w:eastAsia="zh-CN"/>
        </w:rPr>
        <w:t>广州交易集团有限公司（广州公共资源交易中心）</w:t>
      </w:r>
      <w:r>
        <w:rPr>
          <w:rFonts w:hint="eastAsia" w:ascii="宋体" w:hAnsi="宋体" w:cs="宋体"/>
          <w:b/>
          <w:bCs/>
          <w:sz w:val="24"/>
          <w:szCs w:val="24"/>
          <w:highlight w:val="none"/>
          <w:u w:val="single"/>
        </w:rPr>
        <w:t>办理信息登记等相关投标登记手续及拟担任本工程项目负责人、专职安全员须是本企业的在册人员且与</w:t>
      </w:r>
      <w:r>
        <w:rPr>
          <w:rFonts w:hint="eastAsia" w:ascii="宋体" w:hAnsi="宋体" w:cs="宋体"/>
          <w:b/>
          <w:bCs/>
          <w:color w:val="auto"/>
          <w:sz w:val="24"/>
          <w:szCs w:val="24"/>
          <w:highlight w:val="none"/>
          <w:u w:val="single"/>
          <w:lang w:eastAsia="zh-CN"/>
        </w:rPr>
        <w:t>广州交易集团有限公司（广州公共资源交易中心）</w:t>
      </w:r>
      <w:r>
        <w:rPr>
          <w:rFonts w:hint="eastAsia" w:ascii="宋体" w:hAnsi="宋体" w:cs="宋体"/>
          <w:b/>
          <w:bCs/>
          <w:sz w:val="24"/>
          <w:szCs w:val="24"/>
          <w:highlight w:val="none"/>
          <w:u w:val="single"/>
        </w:rPr>
        <w:t>办理信息登记一致。投标人须在资格审查前及时维护、更新本企业信息，及时上传相关证件，确保拟委派的所有人员、业绩等相关信息、证件等能有效且被使用，因投标人未及时维护、更新在广州交易集团有限公司(广州公共资源交易中心)内的信息，造成其资格审查不合格或不通过的，后果由投标人自行承担</w:t>
      </w:r>
      <w:r>
        <w:rPr>
          <w:rFonts w:hint="eastAsia" w:ascii="宋体" w:hAnsi="宋体" w:cs="宋体"/>
          <w:b/>
          <w:bCs/>
          <w:sz w:val="24"/>
          <w:szCs w:val="24"/>
          <w:highlight w:val="none"/>
          <w:u w:val="single"/>
          <w:lang w:eastAsia="zh-CN"/>
        </w:rPr>
        <w:t>；</w:t>
      </w:r>
    </w:p>
    <w:p w14:paraId="385440F4">
      <w:pPr>
        <w:pStyle w:val="5"/>
        <w:spacing w:after="0" w:line="360" w:lineRule="auto"/>
        <w:ind w:firstLine="480" w:firstLineChars="200"/>
        <w:rPr>
          <w:rFonts w:hint="eastAsia" w:ascii="宋体" w:hAnsi="宋体"/>
          <w:b w:val="0"/>
          <w:bCs w:val="0"/>
          <w:sz w:val="24"/>
          <w:szCs w:val="24"/>
          <w:highlight w:val="none"/>
          <w:u w:val="single"/>
        </w:rPr>
      </w:pPr>
      <w:r>
        <w:rPr>
          <w:rFonts w:hint="eastAsia" w:ascii="宋体" w:hAnsi="宋体"/>
          <w:b w:val="0"/>
          <w:bCs w:val="0"/>
          <w:sz w:val="24"/>
          <w:szCs w:val="24"/>
          <w:highlight w:val="none"/>
          <w:u w:val="single"/>
        </w:rPr>
        <w:t>（1</w:t>
      </w:r>
      <w:r>
        <w:rPr>
          <w:rFonts w:hint="eastAsia" w:ascii="宋体" w:hAnsi="宋体"/>
          <w:b w:val="0"/>
          <w:bCs w:val="0"/>
          <w:sz w:val="24"/>
          <w:szCs w:val="24"/>
          <w:highlight w:val="none"/>
          <w:u w:val="single"/>
          <w:lang w:eastAsia="zh-CN"/>
        </w:rPr>
        <w:t>2</w:t>
      </w:r>
      <w:r>
        <w:rPr>
          <w:rFonts w:hint="eastAsia" w:ascii="宋体" w:hAnsi="宋体"/>
          <w:b w:val="0"/>
          <w:bCs w:val="0"/>
          <w:sz w:val="24"/>
          <w:szCs w:val="24"/>
          <w:highlight w:val="none"/>
          <w:u w:val="single"/>
        </w:rPr>
        <w:t>）列明主办单位的联合体工作协议（采用联合体投标时需递交，</w:t>
      </w:r>
      <w:r>
        <w:rPr>
          <w:rFonts w:hint="eastAsia" w:ascii="宋体" w:hAnsi="宋体"/>
          <w:b/>
          <w:bCs/>
          <w:sz w:val="24"/>
          <w:szCs w:val="24"/>
          <w:highlight w:val="none"/>
          <w:u w:val="single"/>
        </w:rPr>
        <w:t>投标人拟任本工程项目负责人应为联合体主办方信用档案中的在册人员，</w:t>
      </w:r>
      <w:r>
        <w:rPr>
          <w:rFonts w:hint="eastAsia" w:ascii="宋体" w:hAnsi="宋体"/>
          <w:b w:val="0"/>
          <w:bCs w:val="0"/>
          <w:sz w:val="24"/>
          <w:szCs w:val="24"/>
          <w:highlight w:val="none"/>
          <w:u w:val="single"/>
        </w:rPr>
        <w:t>联合体工作协议应明确约定各方拟承担的工作和责任）；</w:t>
      </w:r>
    </w:p>
    <w:p w14:paraId="1984576D">
      <w:pPr>
        <w:pStyle w:val="5"/>
        <w:spacing w:after="0" w:line="360" w:lineRule="auto"/>
        <w:ind w:firstLine="480" w:firstLineChars="200"/>
        <w:rPr>
          <w:rFonts w:hint="eastAsia" w:ascii="宋体" w:hAnsi="宋体"/>
          <w:b w:val="0"/>
          <w:bCs w:val="0"/>
          <w:sz w:val="24"/>
          <w:szCs w:val="24"/>
          <w:highlight w:val="none"/>
          <w:u w:val="single"/>
        </w:rPr>
      </w:pPr>
      <w:r>
        <w:rPr>
          <w:rFonts w:hint="eastAsia" w:ascii="宋体" w:hAnsi="宋体"/>
          <w:b w:val="0"/>
          <w:bCs w:val="0"/>
          <w:sz w:val="24"/>
          <w:szCs w:val="24"/>
          <w:highlight w:val="none"/>
          <w:u w:val="single"/>
        </w:rPr>
        <w:t>（13）投标人认为应提交的其他资料 。</w:t>
      </w:r>
    </w:p>
    <w:p w14:paraId="1ED5C71E">
      <w:pPr>
        <w:pStyle w:val="5"/>
        <w:spacing w:line="360" w:lineRule="auto"/>
        <w:ind w:firstLine="482" w:firstLineChars="200"/>
        <w:rPr>
          <w:rFonts w:hint="eastAsia" w:ascii="宋体" w:hAnsi="宋体"/>
          <w:b/>
          <w:bCs/>
          <w:color w:val="auto"/>
          <w:sz w:val="24"/>
          <w:szCs w:val="24"/>
          <w:highlight w:val="none"/>
          <w:u w:val="single"/>
        </w:rPr>
      </w:pPr>
      <w:r>
        <w:rPr>
          <w:rFonts w:hint="eastAsia" w:ascii="宋体" w:hAnsi="宋体"/>
          <w:b/>
          <w:bCs/>
          <w:color w:val="auto"/>
          <w:sz w:val="24"/>
          <w:szCs w:val="24"/>
          <w:highlight w:val="none"/>
          <w:u w:val="single"/>
        </w:rPr>
        <w:t>注：</w:t>
      </w:r>
      <w:r>
        <w:rPr>
          <w:rFonts w:hint="eastAsia" w:ascii="宋体" w:hAnsi="宋体"/>
          <w:b/>
          <w:bCs/>
          <w:color w:val="auto"/>
          <w:sz w:val="24"/>
          <w:szCs w:val="24"/>
          <w:highlight w:val="none"/>
          <w:u w:val="single"/>
          <w:lang w:val="en-US" w:eastAsia="zh-CN"/>
        </w:rPr>
        <w:t>1.</w:t>
      </w:r>
      <w:r>
        <w:rPr>
          <w:rFonts w:hint="eastAsia" w:ascii="宋体" w:hAnsi="宋体"/>
          <w:b/>
          <w:bCs/>
          <w:color w:val="auto"/>
          <w:sz w:val="24"/>
          <w:szCs w:val="24"/>
          <w:highlight w:val="none"/>
          <w:u w:val="single"/>
        </w:rPr>
        <w:t>上述没有要求提交的资料，不作为资格审查不合格的依据。</w:t>
      </w:r>
    </w:p>
    <w:p w14:paraId="4DA0E610">
      <w:pPr>
        <w:pStyle w:val="5"/>
        <w:spacing w:line="360" w:lineRule="auto"/>
        <w:ind w:firstLine="482" w:firstLineChars="200"/>
        <w:rPr>
          <w:rFonts w:hint="eastAsia" w:ascii="宋体" w:hAnsi="宋体"/>
          <w:b/>
          <w:bCs/>
          <w:color w:val="auto"/>
          <w:sz w:val="24"/>
          <w:szCs w:val="24"/>
          <w:highlight w:val="none"/>
          <w:u w:val="single"/>
        </w:rPr>
      </w:pPr>
      <w:r>
        <w:rPr>
          <w:rFonts w:hint="eastAsia" w:ascii="宋体" w:hAnsi="宋体"/>
          <w:b/>
          <w:bCs/>
          <w:color w:val="auto"/>
          <w:sz w:val="24"/>
          <w:szCs w:val="24"/>
          <w:highlight w:val="none"/>
          <w:u w:val="single"/>
          <w:lang w:val="en-US" w:eastAsia="zh-CN"/>
        </w:rPr>
        <w:t>2</w:t>
      </w:r>
      <w:r>
        <w:rPr>
          <w:rFonts w:hint="eastAsia" w:ascii="宋体" w:hAnsi="宋体"/>
          <w:b/>
          <w:bCs/>
          <w:color w:val="auto"/>
          <w:sz w:val="24"/>
          <w:szCs w:val="24"/>
          <w:highlight w:val="none"/>
          <w:u w:val="single"/>
        </w:rPr>
        <w:t>.相关电子证书按规定需打印后手写本人签名的，应按照规定手写本人签名后再扫描提交。</w:t>
      </w:r>
    </w:p>
    <w:p w14:paraId="58B51DE0">
      <w:pPr>
        <w:pStyle w:val="5"/>
        <w:spacing w:line="360" w:lineRule="auto"/>
        <w:ind w:firstLine="482" w:firstLineChars="200"/>
        <w:rPr>
          <w:rFonts w:hint="eastAsia" w:ascii="宋体" w:hAnsi="宋体"/>
          <w:b/>
          <w:bCs/>
          <w:color w:val="auto"/>
          <w:sz w:val="24"/>
          <w:szCs w:val="24"/>
          <w:highlight w:val="none"/>
          <w:u w:val="single"/>
        </w:rPr>
      </w:pPr>
      <w:r>
        <w:rPr>
          <w:rFonts w:hint="eastAsia" w:ascii="宋体" w:hAnsi="宋体"/>
          <w:b/>
          <w:bCs/>
          <w:color w:val="auto"/>
          <w:sz w:val="24"/>
          <w:szCs w:val="24"/>
          <w:highlight w:val="none"/>
          <w:u w:val="single"/>
          <w:lang w:val="en-US" w:eastAsia="zh-CN"/>
        </w:rPr>
        <w:t>3</w:t>
      </w:r>
      <w:r>
        <w:rPr>
          <w:rFonts w:hint="eastAsia" w:ascii="宋体" w:hAnsi="宋体"/>
          <w:b/>
          <w:bCs/>
          <w:color w:val="auto"/>
          <w:sz w:val="24"/>
          <w:szCs w:val="24"/>
          <w:highlight w:val="none"/>
          <w:u w:val="single"/>
        </w:rPr>
        <w:t>.投标人在投标登记时选择了拟投入本项目的项目负责人、专职安全员，即已满足“资格审查前，投标人须在</w:t>
      </w:r>
      <w:r>
        <w:rPr>
          <w:rFonts w:hint="eastAsia" w:ascii="宋体" w:hAnsi="宋体"/>
          <w:b/>
          <w:bCs/>
          <w:color w:val="auto"/>
          <w:sz w:val="24"/>
          <w:szCs w:val="24"/>
          <w:highlight w:val="none"/>
          <w:u w:val="single"/>
          <w:lang w:eastAsia="zh-CN"/>
        </w:rPr>
        <w:t>广州交易集团有限公司（广州公共资源交易中心）</w:t>
      </w:r>
      <w:r>
        <w:rPr>
          <w:rFonts w:hint="eastAsia" w:ascii="宋体" w:hAnsi="宋体"/>
          <w:b/>
          <w:bCs/>
          <w:color w:val="auto"/>
          <w:sz w:val="24"/>
          <w:szCs w:val="24"/>
          <w:highlight w:val="none"/>
          <w:u w:val="single"/>
        </w:rPr>
        <w:t>办理信息登记等相关投标登记手续，拟担任本工程项目负责人、专职安全员须是本企业信用档案中的在册人员”的要求，投标人无需提供证明材料。</w:t>
      </w:r>
    </w:p>
    <w:p w14:paraId="6CD695B9">
      <w:pPr>
        <w:pStyle w:val="5"/>
        <w:spacing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11.2.3项目管理机构配备。</w:t>
      </w:r>
    </w:p>
    <w:p w14:paraId="19BCE599">
      <w:pPr>
        <w:pStyle w:val="5"/>
        <w:spacing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（1）本工程的施工组织机构图；</w:t>
      </w:r>
    </w:p>
    <w:p w14:paraId="180BF533">
      <w:pPr>
        <w:pStyle w:val="5"/>
        <w:spacing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（2）施工组织机构主要成员的名单及有关证明材料扫描件；</w:t>
      </w:r>
    </w:p>
    <w:p w14:paraId="37071FAB">
      <w:pPr>
        <w:pStyle w:val="5"/>
        <w:spacing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11.2.4企业资信相关证明文件；</w:t>
      </w:r>
    </w:p>
    <w:p w14:paraId="1B32B1DE">
      <w:pPr>
        <w:pStyle w:val="5"/>
        <w:spacing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11.2.5《投标函》（格式见第四章）；</w:t>
      </w:r>
    </w:p>
    <w:p w14:paraId="4FE7CA50">
      <w:pPr>
        <w:pStyle w:val="5"/>
        <w:spacing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11.2.6《响应招标文件所附施工组织设计要点的承诺书》（格式见第四章）；</w:t>
      </w:r>
    </w:p>
    <w:p w14:paraId="0179AEBA">
      <w:pPr>
        <w:pStyle w:val="5"/>
        <w:spacing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11.2.7《技术承诺函》</w:t>
      </w:r>
      <w:r>
        <w:rPr>
          <w:rFonts w:hint="eastAsia" w:ascii="宋体" w:hAnsi="宋体"/>
          <w:b/>
          <w:bCs/>
          <w:sz w:val="24"/>
          <w:szCs w:val="24"/>
          <w:highlight w:val="none"/>
          <w:u w:val="single"/>
          <w:lang w:eastAsia="zh-CN"/>
        </w:rPr>
        <w:t>、《投标人廉洁承诺书》</w:t>
      </w:r>
      <w:r>
        <w:rPr>
          <w:rFonts w:hint="eastAsia" w:ascii="宋体" w:hAnsi="宋体"/>
          <w:b/>
          <w:bCs/>
          <w:color w:val="auto"/>
          <w:sz w:val="24"/>
          <w:szCs w:val="24"/>
          <w:highlight w:val="none"/>
          <w:u w:val="single"/>
        </w:rPr>
        <w:t>（格式见第四章）；</w:t>
      </w:r>
    </w:p>
    <w:p w14:paraId="213F3BD5">
      <w:pPr>
        <w:pStyle w:val="5"/>
        <w:spacing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11.2.8《施工项目管理团队人员信息表》（格式见第四章）；</w:t>
      </w:r>
    </w:p>
    <w:p w14:paraId="7DF300C6">
      <w:pPr>
        <w:pStyle w:val="5"/>
        <w:spacing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11.2.9《承诺书》和《对投标文件编制的承诺》</w:t>
      </w:r>
      <w:r>
        <w:rPr>
          <w:rFonts w:hint="eastAsia" w:ascii="宋体" w:hAnsi="宋体"/>
          <w:b/>
          <w:bCs/>
          <w:sz w:val="24"/>
          <w:szCs w:val="24"/>
          <w:highlight w:val="none"/>
          <w:u w:val="single"/>
          <w:lang w:eastAsia="zh-CN"/>
        </w:rPr>
        <w:t>和《关于参与广州市番禺区“百千万工程”的承诺书》</w:t>
      </w:r>
      <w:r>
        <w:rPr>
          <w:rFonts w:hint="eastAsia" w:ascii="宋体" w:hAnsi="宋体"/>
          <w:b/>
          <w:bCs/>
          <w:color w:val="auto"/>
          <w:sz w:val="24"/>
          <w:szCs w:val="24"/>
          <w:highlight w:val="none"/>
          <w:u w:val="single"/>
        </w:rPr>
        <w:t>（格式见第四章）；</w:t>
      </w:r>
    </w:p>
    <w:p w14:paraId="75DA8072">
      <w:pPr>
        <w:pStyle w:val="5"/>
        <w:spacing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11.2.10 《投标人基本资料》（格式见第四章，不作为废标条款）；</w:t>
      </w:r>
    </w:p>
    <w:p w14:paraId="5EE21790">
      <w:pPr>
        <w:pStyle w:val="5"/>
        <w:spacing w:line="360" w:lineRule="auto"/>
        <w:ind w:firstLine="482" w:firstLineChars="200"/>
        <w:rPr>
          <w:rFonts w:hint="eastAsia" w:ascii="宋体" w:hAnsi="宋体" w:eastAsia="宋体"/>
          <w:b/>
          <w:bCs/>
          <w:color w:val="auto"/>
          <w:sz w:val="24"/>
          <w:szCs w:val="24"/>
          <w:highlight w:val="none"/>
          <w:u w:val="single"/>
          <w:lang w:eastAsia="zh-CN"/>
        </w:rPr>
      </w:pPr>
      <w:r>
        <w:rPr>
          <w:rFonts w:hint="eastAsia" w:ascii="宋体" w:hAnsi="宋体"/>
          <w:b/>
          <w:bCs/>
          <w:color w:val="auto"/>
          <w:sz w:val="24"/>
          <w:szCs w:val="24"/>
          <w:highlight w:val="none"/>
          <w:u w:val="single"/>
        </w:rPr>
        <w:t>11.2.11 按照招标文件要求填写的《参与编制技术标投标文件人员名单》</w:t>
      </w:r>
      <w:r>
        <w:rPr>
          <w:rFonts w:hint="eastAsia" w:ascii="宋体" w:hAnsi="宋体"/>
          <w:b/>
          <w:bCs/>
          <w:color w:val="auto"/>
          <w:sz w:val="24"/>
          <w:szCs w:val="24"/>
          <w:highlight w:val="none"/>
          <w:u w:val="single"/>
          <w:lang w:eastAsia="zh-CN"/>
        </w:rPr>
        <w:t>；</w:t>
      </w:r>
    </w:p>
    <w:p w14:paraId="696A195F">
      <w:pPr>
        <w:pStyle w:val="5"/>
        <w:spacing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11.2.12 《危险性较大的分部分项工程清单及超过一定规模的危险性较大的分部分项工程清单》（格式见第四章）；</w:t>
      </w:r>
    </w:p>
    <w:p w14:paraId="3DAD349E">
      <w:pPr>
        <w:pStyle w:val="5"/>
        <w:spacing w:line="360" w:lineRule="auto"/>
        <w:ind w:firstLine="482" w:firstLineChars="200"/>
        <w:rPr>
          <w:rFonts w:hint="eastAsia" w:ascii="宋体" w:hAnsi="宋体" w:eastAsia="宋体"/>
          <w:b/>
          <w:bCs/>
          <w:color w:val="auto"/>
          <w:sz w:val="24"/>
          <w:szCs w:val="24"/>
          <w:highlight w:val="none"/>
          <w:u w:val="single"/>
          <w:lang w:eastAsia="zh-CN"/>
        </w:rPr>
      </w:pPr>
      <w:r>
        <w:rPr>
          <w:rFonts w:hint="eastAsia" w:ascii="宋体" w:hAnsi="宋体"/>
          <w:b/>
          <w:bCs/>
          <w:color w:val="auto"/>
          <w:sz w:val="24"/>
          <w:szCs w:val="24"/>
          <w:highlight w:val="none"/>
          <w:u w:val="single"/>
        </w:rPr>
        <w:t>11.2.13《关于投标保证金的承诺》（格式见第四章）</w:t>
      </w:r>
      <w:r>
        <w:rPr>
          <w:rFonts w:hint="eastAsia" w:ascii="宋体" w:hAnsi="宋体"/>
          <w:b/>
          <w:bCs/>
          <w:color w:val="auto"/>
          <w:sz w:val="24"/>
          <w:szCs w:val="24"/>
          <w:highlight w:val="none"/>
          <w:u w:val="single"/>
          <w:lang w:eastAsia="zh-CN"/>
        </w:rPr>
        <w:t>；</w:t>
      </w:r>
    </w:p>
    <w:p w14:paraId="5FD63316">
      <w:pPr>
        <w:pStyle w:val="5"/>
        <w:spacing w:line="360" w:lineRule="auto"/>
        <w:ind w:firstLine="482" w:firstLineChars="200"/>
        <w:rPr>
          <w:rFonts w:hint="eastAsia" w:ascii="宋体" w:hAnsi="宋体"/>
          <w:b/>
          <w:bCs/>
          <w:color w:val="auto"/>
          <w:sz w:val="24"/>
          <w:szCs w:val="24"/>
          <w:highlight w:val="none"/>
          <w:u w:val="single"/>
        </w:rPr>
      </w:pPr>
      <w:r>
        <w:rPr>
          <w:rFonts w:hint="eastAsia" w:ascii="宋体" w:hAnsi="宋体" w:cs="宋体"/>
          <w:b/>
          <w:bCs/>
          <w:color w:val="auto"/>
          <w:sz w:val="24"/>
          <w:szCs w:val="24"/>
          <w:highlight w:val="none"/>
          <w:u w:val="single"/>
          <w:lang w:val="en-US" w:eastAsia="zh-CN"/>
        </w:rPr>
        <w:t>11.2.14</w:t>
      </w:r>
      <w:r>
        <w:rPr>
          <w:rFonts w:ascii="宋体" w:hAnsi="宋体" w:eastAsia="宋体" w:cs="宋体"/>
          <w:b/>
          <w:bCs/>
          <w:color w:val="auto"/>
          <w:sz w:val="24"/>
          <w:szCs w:val="24"/>
          <w:highlight w:val="none"/>
          <w:u w:val="single"/>
        </w:rPr>
        <w:t>《中小企业声明函》（如有）、</w:t>
      </w:r>
      <w:r>
        <w:rPr>
          <w:rFonts w:hint="default" w:ascii="宋体" w:hAnsi="宋体" w:eastAsia="宋体" w:cs="宋体"/>
          <w:b/>
          <w:bCs/>
          <w:color w:val="auto"/>
          <w:kern w:val="2"/>
          <w:sz w:val="24"/>
          <w:szCs w:val="24"/>
          <w:highlight w:val="none"/>
          <w:u w:val="single"/>
          <w:lang w:val="en-US" w:eastAsia="zh-CN"/>
        </w:rPr>
        <w:t>分包意向协议</w:t>
      </w:r>
      <w:r>
        <w:rPr>
          <w:rFonts w:hint="default" w:ascii="宋体" w:hAnsi="宋体" w:eastAsia="宋体" w:cs="宋体"/>
          <w:b/>
          <w:bCs/>
          <w:color w:val="auto"/>
          <w:sz w:val="24"/>
          <w:szCs w:val="24"/>
          <w:highlight w:val="none"/>
          <w:u w:val="single"/>
          <w:lang w:eastAsia="zh-CN"/>
        </w:rPr>
        <w:t>（</w:t>
      </w:r>
      <w:r>
        <w:rPr>
          <w:rFonts w:hint="default" w:ascii="宋体" w:hAnsi="宋体" w:eastAsia="宋体" w:cs="宋体"/>
          <w:b/>
          <w:bCs/>
          <w:color w:val="auto"/>
          <w:sz w:val="24"/>
          <w:szCs w:val="24"/>
          <w:highlight w:val="none"/>
          <w:u w:val="single"/>
          <w:lang w:val="en-US" w:eastAsia="zh-CN"/>
        </w:rPr>
        <w:t>如有</w:t>
      </w:r>
      <w:r>
        <w:rPr>
          <w:rFonts w:hint="default" w:ascii="宋体" w:hAnsi="宋体" w:eastAsia="宋体" w:cs="宋体"/>
          <w:b/>
          <w:bCs/>
          <w:color w:val="auto"/>
          <w:sz w:val="24"/>
          <w:szCs w:val="24"/>
          <w:highlight w:val="none"/>
          <w:u w:val="single"/>
          <w:lang w:eastAsia="zh-CN"/>
        </w:rPr>
        <w:t>）</w:t>
      </w:r>
      <w:r>
        <w:rPr>
          <w:rFonts w:hint="eastAsia" w:ascii="宋体" w:hAnsi="宋体" w:cs="宋体"/>
          <w:b/>
          <w:bCs/>
          <w:color w:val="auto"/>
          <w:sz w:val="24"/>
          <w:szCs w:val="24"/>
          <w:highlight w:val="none"/>
          <w:u w:val="single"/>
          <w:lang w:eastAsia="zh-CN"/>
        </w:rPr>
        <w:t>、</w:t>
      </w:r>
      <w:r>
        <w:rPr>
          <w:rFonts w:ascii="宋体" w:hAnsi="宋体" w:eastAsia="宋体" w:cs="宋体"/>
          <w:b/>
          <w:bCs/>
          <w:color w:val="auto"/>
          <w:sz w:val="24"/>
          <w:szCs w:val="24"/>
          <w:highlight w:val="none"/>
          <w:u w:val="single"/>
        </w:rPr>
        <w:t>监狱企业证明文件（如有）、《残疾人福利性单位声明函》（如有）（格式见第四章）；</w:t>
      </w:r>
    </w:p>
    <w:p w14:paraId="5CE3B710">
      <w:pPr>
        <w:pStyle w:val="5"/>
        <w:spacing w:line="360" w:lineRule="auto"/>
        <w:ind w:firstLine="482" w:firstLineChars="200"/>
        <w:rPr>
          <w:rFonts w:ascii="宋体" w:hAnsi="宋体"/>
          <w:color w:val="auto"/>
          <w:sz w:val="24"/>
          <w:szCs w:val="24"/>
          <w:highlight w:val="none"/>
          <w:u w:val="single"/>
        </w:rPr>
      </w:pPr>
      <w:r>
        <w:rPr>
          <w:rFonts w:hint="eastAsia" w:ascii="宋体" w:hAnsi="宋体"/>
          <w:b/>
          <w:bCs/>
          <w:color w:val="auto"/>
          <w:sz w:val="24"/>
          <w:szCs w:val="24"/>
          <w:highlight w:val="none"/>
          <w:u w:val="single"/>
        </w:rPr>
        <w:t>11.2.1</w:t>
      </w:r>
      <w:r>
        <w:rPr>
          <w:rFonts w:hint="eastAsia" w:ascii="宋体" w:hAnsi="宋体"/>
          <w:b/>
          <w:bCs/>
          <w:color w:val="auto"/>
          <w:sz w:val="24"/>
          <w:szCs w:val="24"/>
          <w:highlight w:val="none"/>
          <w:u w:val="single"/>
          <w:lang w:val="en-US" w:eastAsia="zh-CN"/>
        </w:rPr>
        <w:t>5</w:t>
      </w:r>
      <w:r>
        <w:rPr>
          <w:rFonts w:hint="eastAsia" w:ascii="宋体" w:hAnsi="宋体"/>
          <w:b/>
          <w:bCs/>
          <w:color w:val="auto"/>
          <w:sz w:val="24"/>
          <w:szCs w:val="24"/>
          <w:highlight w:val="none"/>
          <w:u w:val="single"/>
        </w:rPr>
        <w:t>其他投标人认为应该提供的资料。</w:t>
      </w:r>
    </w:p>
    <w:p w14:paraId="4C654DD5">
      <w:pPr>
        <w:pStyle w:val="5"/>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11.3 经济部分投标文件主要包括下列内容：</w:t>
      </w:r>
    </w:p>
    <w:p w14:paraId="04C3D4D7">
      <w:pPr>
        <w:pStyle w:val="5"/>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11.3.1 经济投标文件</w:t>
      </w:r>
      <w:r>
        <w:rPr>
          <w:rFonts w:hint="eastAsia" w:ascii="宋体" w:hAnsi="宋体"/>
          <w:b/>
          <w:bCs/>
          <w:color w:val="auto"/>
          <w:sz w:val="24"/>
          <w:szCs w:val="24"/>
          <w:highlight w:val="none"/>
          <w:u w:val="single"/>
        </w:rPr>
        <w:t>(按招标文件的要求填写)</w:t>
      </w:r>
      <w:r>
        <w:rPr>
          <w:rFonts w:hint="eastAsia" w:ascii="宋体" w:hAnsi="宋体"/>
          <w:color w:val="auto"/>
          <w:sz w:val="24"/>
          <w:szCs w:val="24"/>
          <w:highlight w:val="none"/>
          <w:u w:val="single"/>
        </w:rPr>
        <w:t>。</w:t>
      </w:r>
    </w:p>
    <w:p w14:paraId="67169189">
      <w:pPr>
        <w:pStyle w:val="5"/>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11.3.2投标总价。投标人必须按招标工程量清单填报价格，工程量清单的组成、格式、项目编码、项目名称、项目特征、计量单位、工程量和工程量计算规则必须与招标工程量清单一致。投标报价由投标人依据建设工程工程量清单计价规范、招标文件、招标工程量清单、设计文件、企业定额、施工现场情况和投标时拟定的施工组织设计或者施工方案，结合企业成本、市场价格以及招标文件中载明的风险内容和范围等编制</w:t>
      </w:r>
      <w:r>
        <w:rPr>
          <w:rFonts w:hint="eastAsia" w:ascii="宋体" w:hAnsi="宋体"/>
          <w:b/>
          <w:bCs/>
          <w:color w:val="auto"/>
          <w:sz w:val="24"/>
          <w:szCs w:val="24"/>
          <w:highlight w:val="none"/>
          <w:u w:val="single"/>
        </w:rPr>
        <w:t>（投标报价的工程量清单的组成、格式等按</w:t>
      </w:r>
      <w:r>
        <w:rPr>
          <w:rFonts w:hint="eastAsia" w:ascii="宋体" w:hAnsi="宋体"/>
          <w:b/>
          <w:bCs/>
          <w:color w:val="auto"/>
          <w:sz w:val="24"/>
          <w:szCs w:val="24"/>
          <w:highlight w:val="none"/>
          <w:u w:val="single"/>
          <w:lang w:eastAsia="zh-CN"/>
        </w:rPr>
        <w:t>广州交易集团有限公司（广州公共资源交易中心）</w:t>
      </w:r>
      <w:r>
        <w:rPr>
          <w:rFonts w:hint="eastAsia" w:ascii="宋体" w:hAnsi="宋体"/>
          <w:b/>
          <w:bCs/>
          <w:color w:val="auto"/>
          <w:sz w:val="24"/>
          <w:szCs w:val="24"/>
          <w:highlight w:val="none"/>
          <w:u w:val="single"/>
        </w:rPr>
        <w:t>的投标文件管理软件自动生成）</w:t>
      </w:r>
      <w:r>
        <w:rPr>
          <w:rFonts w:hint="eastAsia" w:ascii="宋体" w:hAnsi="宋体"/>
          <w:color w:val="auto"/>
          <w:sz w:val="24"/>
          <w:szCs w:val="24"/>
          <w:highlight w:val="none"/>
          <w:u w:val="single"/>
        </w:rPr>
        <w:t>。</w:t>
      </w:r>
    </w:p>
    <w:p w14:paraId="6A8AE477">
      <w:pPr>
        <w:pStyle w:val="5"/>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u w:val="single"/>
        </w:rPr>
        <w:t>11.3.3按照招标文件要求填写的《参与编制经济标投标文件人员名单》。</w:t>
      </w:r>
    </w:p>
    <w:p w14:paraId="7FB49130">
      <w:pPr>
        <w:pStyle w:val="5"/>
        <w:spacing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11.3.4 《对投标文件编制的承诺》</w:t>
      </w:r>
      <w:r>
        <w:rPr>
          <w:rFonts w:hint="eastAsia" w:ascii="宋体" w:hAnsi="宋体" w:cs="Times New Roman"/>
          <w:b/>
          <w:bCs/>
          <w:color w:val="auto"/>
          <w:sz w:val="24"/>
          <w:szCs w:val="24"/>
          <w:highlight w:val="none"/>
          <w:u w:val="single"/>
          <w:lang w:eastAsia="zh-CN"/>
        </w:rPr>
        <w:t>、</w:t>
      </w:r>
      <w:r>
        <w:rPr>
          <w:rFonts w:hint="eastAsia" w:ascii="宋体" w:hAnsi="宋体" w:eastAsia="宋体" w:cs="Times New Roman"/>
          <w:b/>
          <w:bCs/>
          <w:color w:val="auto"/>
          <w:sz w:val="24"/>
          <w:szCs w:val="24"/>
          <w:highlight w:val="none"/>
          <w:u w:val="single"/>
        </w:rPr>
        <w:t>《中小企业声明函》（如有）、</w:t>
      </w:r>
      <w:r>
        <w:rPr>
          <w:rFonts w:hint="default" w:ascii="宋体" w:hAnsi="宋体" w:eastAsia="宋体" w:cs="宋体"/>
          <w:b/>
          <w:bCs/>
          <w:color w:val="auto"/>
          <w:kern w:val="2"/>
          <w:sz w:val="24"/>
          <w:szCs w:val="24"/>
          <w:highlight w:val="none"/>
          <w:u w:val="single"/>
          <w:lang w:val="en-US" w:eastAsia="zh-CN"/>
        </w:rPr>
        <w:t>分包意向协议</w:t>
      </w:r>
      <w:r>
        <w:rPr>
          <w:rFonts w:hint="default" w:ascii="宋体" w:hAnsi="宋体" w:eastAsia="宋体" w:cs="宋体"/>
          <w:b/>
          <w:bCs/>
          <w:color w:val="auto"/>
          <w:sz w:val="24"/>
          <w:szCs w:val="24"/>
          <w:highlight w:val="none"/>
          <w:u w:val="single"/>
          <w:lang w:eastAsia="zh-CN"/>
        </w:rPr>
        <w:t>（</w:t>
      </w:r>
      <w:r>
        <w:rPr>
          <w:rFonts w:hint="default" w:ascii="宋体" w:hAnsi="宋体" w:eastAsia="宋体" w:cs="宋体"/>
          <w:b/>
          <w:bCs/>
          <w:color w:val="auto"/>
          <w:sz w:val="24"/>
          <w:szCs w:val="24"/>
          <w:highlight w:val="none"/>
          <w:u w:val="single"/>
          <w:lang w:val="en-US" w:eastAsia="zh-CN"/>
        </w:rPr>
        <w:t>如有</w:t>
      </w:r>
      <w:r>
        <w:rPr>
          <w:rFonts w:hint="default" w:ascii="宋体" w:hAnsi="宋体" w:eastAsia="宋体" w:cs="宋体"/>
          <w:b/>
          <w:bCs/>
          <w:color w:val="auto"/>
          <w:sz w:val="24"/>
          <w:szCs w:val="24"/>
          <w:highlight w:val="none"/>
          <w:u w:val="single"/>
          <w:lang w:eastAsia="zh-CN"/>
        </w:rPr>
        <w:t>）</w:t>
      </w:r>
      <w:r>
        <w:rPr>
          <w:rFonts w:hint="eastAsia" w:ascii="宋体" w:hAnsi="宋体" w:cs="宋体"/>
          <w:b/>
          <w:bCs/>
          <w:color w:val="auto"/>
          <w:sz w:val="24"/>
          <w:szCs w:val="24"/>
          <w:highlight w:val="none"/>
          <w:u w:val="single"/>
          <w:lang w:eastAsia="zh-CN"/>
        </w:rPr>
        <w:t>、</w:t>
      </w:r>
      <w:r>
        <w:rPr>
          <w:rFonts w:hint="eastAsia" w:ascii="宋体" w:hAnsi="宋体" w:eastAsia="宋体" w:cs="Times New Roman"/>
          <w:b/>
          <w:bCs/>
          <w:color w:val="auto"/>
          <w:sz w:val="24"/>
          <w:szCs w:val="24"/>
          <w:highlight w:val="none"/>
          <w:u w:val="single"/>
        </w:rPr>
        <w:t>监狱企业证明文件（如有）、《残疾人福利性单位声明函》（如有）</w:t>
      </w:r>
      <w:r>
        <w:rPr>
          <w:rFonts w:hint="eastAsia" w:ascii="宋体" w:hAnsi="宋体" w:cs="Times New Roman"/>
          <w:b/>
          <w:bCs/>
          <w:color w:val="auto"/>
          <w:sz w:val="24"/>
          <w:szCs w:val="24"/>
          <w:highlight w:val="none"/>
          <w:u w:val="single"/>
        </w:rPr>
        <w:t>。</w:t>
      </w:r>
    </w:p>
    <w:p w14:paraId="6C8A3E46">
      <w:pPr>
        <w:pStyle w:val="5"/>
        <w:spacing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11.3.5 若投标人的投标报价低于工程成本警戒价的，投标人还须提供详细的施工组织设计、单价、措施性费用、单价分析表、主要材料价格表、投标人成本分析供评标委员会评审。</w:t>
      </w:r>
    </w:p>
    <w:p w14:paraId="6DFD1C77">
      <w:pPr>
        <w:pStyle w:val="4"/>
        <w:spacing w:after="0" w:line="360" w:lineRule="auto"/>
        <w:ind w:firstLine="482" w:firstLineChars="200"/>
        <w:rPr>
          <w:rFonts w:ascii="宋体" w:hAnsi="宋体"/>
          <w:b/>
          <w:bCs/>
          <w:color w:val="auto"/>
          <w:sz w:val="24"/>
          <w:highlight w:val="none"/>
        </w:rPr>
      </w:pPr>
      <w:r>
        <w:rPr>
          <w:rFonts w:hint="eastAsia" w:ascii="宋体" w:hAnsi="宋体"/>
          <w:b/>
          <w:bCs/>
          <w:color w:val="auto"/>
          <w:sz w:val="24"/>
          <w:szCs w:val="24"/>
          <w:highlight w:val="none"/>
          <w:u w:val="single"/>
        </w:rPr>
        <w:t>11.3.6投标人应认真核对图纸并复核清单的工程量及项目，如发现工程量清单与图纸内容不符，应在招标疑问收集期间提出质疑，并向招标人提出修正意见。承包人在招标疑问收集期间未对工程量清单提出质疑，即视为承包人对本项目清单中各单一子项工程量及清单中单一子项工程金额10万元以下（不含10万元）漏项的认可，若发生清单中单一子项工程金额达10万元及以上的漏项时，承包人须委托区财政局委托评审的社会中介机构或该工程原招标代理（或预算编制）单位复核并出具工程漏项清单报告以书面形式单列提出，在工程结算时由财政评审单位审核通过后，发包人与承包人按照评审结果各承担50%的比例予以调整。对于上述漏项，承包人需在第一次图纸会审会议（合同签订后15天内召开）中提出，逾期提出，发包人将不予受理。</w:t>
      </w:r>
    </w:p>
    <w:p w14:paraId="15499DA7">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12</w:t>
      </w:r>
      <w:r>
        <w:rPr>
          <w:rFonts w:hint="eastAsia" w:ascii="宋体" w:hAnsi="宋体"/>
          <w:b/>
          <w:bCs/>
          <w:color w:val="auto"/>
          <w:sz w:val="24"/>
          <w:highlight w:val="none"/>
        </w:rPr>
        <w:t>．投标文件格式</w:t>
      </w:r>
    </w:p>
    <w:p w14:paraId="74D52B09">
      <w:pPr>
        <w:pStyle w:val="4"/>
        <w:spacing w:after="0" w:line="360" w:lineRule="auto"/>
        <w:ind w:firstLine="480" w:firstLineChars="200"/>
        <w:rPr>
          <w:rFonts w:ascii="宋体" w:hAnsi="宋体"/>
          <w:color w:val="auto"/>
          <w:sz w:val="24"/>
          <w:highlight w:val="none"/>
        </w:rPr>
      </w:pPr>
      <w:r>
        <w:rPr>
          <w:rFonts w:ascii="宋体" w:hAnsi="宋体"/>
          <w:color w:val="auto"/>
          <w:sz w:val="24"/>
          <w:highlight w:val="none"/>
        </w:rPr>
        <w:t xml:space="preserve">12.1 </w:t>
      </w:r>
      <w:r>
        <w:rPr>
          <w:rFonts w:hint="eastAsia" w:ascii="宋体" w:hAnsi="宋体"/>
          <w:color w:val="auto"/>
          <w:sz w:val="24"/>
          <w:highlight w:val="none"/>
        </w:rPr>
        <w:t>投标文件包括本须知第</w:t>
      </w:r>
      <w:r>
        <w:rPr>
          <w:rFonts w:ascii="宋体" w:hAnsi="宋体"/>
          <w:color w:val="auto"/>
          <w:sz w:val="24"/>
          <w:highlight w:val="none"/>
        </w:rPr>
        <w:t>11</w:t>
      </w:r>
      <w:r>
        <w:rPr>
          <w:rFonts w:hint="eastAsia" w:ascii="宋体" w:hAnsi="宋体"/>
          <w:color w:val="auto"/>
          <w:sz w:val="24"/>
          <w:highlight w:val="none"/>
        </w:rPr>
        <w:t>条中规定的内容，投标人提交的投标文件应当使用招标文件所提供的投标文件全部格式（表格可以按同样格式扩展）。</w:t>
      </w:r>
    </w:p>
    <w:p w14:paraId="7DC13230">
      <w:pPr>
        <w:pStyle w:val="4"/>
        <w:spacing w:after="0" w:line="360" w:lineRule="auto"/>
        <w:ind w:firstLine="480" w:firstLineChars="200"/>
        <w:rPr>
          <w:rFonts w:hint="eastAsia" w:ascii="宋体" w:hAnsi="宋体"/>
          <w:color w:val="auto"/>
          <w:sz w:val="24"/>
          <w:highlight w:val="none"/>
          <w:u w:val="single"/>
        </w:rPr>
      </w:pPr>
      <w:r>
        <w:rPr>
          <w:rFonts w:hint="eastAsia" w:ascii="宋体" w:hAnsi="宋体"/>
          <w:color w:val="auto"/>
          <w:sz w:val="24"/>
          <w:highlight w:val="none"/>
        </w:rPr>
        <w:t>12.2 投标文件全部采用电子文档，投标文件所附证书证件均为原件扫描件，并采用单位数字证书</w:t>
      </w:r>
      <w:r>
        <w:rPr>
          <w:rFonts w:hint="eastAsia" w:ascii="宋体" w:hAnsi="宋体" w:cs="宋体"/>
          <w:b/>
          <w:bCs/>
          <w:sz w:val="24"/>
          <w:szCs w:val="24"/>
          <w:highlight w:val="none"/>
          <w:u w:val="single"/>
        </w:rPr>
        <w:t>（联合体投标的，由联合体主办方采用其单位数字证书）</w:t>
      </w:r>
      <w:r>
        <w:rPr>
          <w:rFonts w:hint="eastAsia" w:ascii="宋体" w:hAnsi="宋体"/>
          <w:color w:val="auto"/>
          <w:sz w:val="24"/>
          <w:highlight w:val="none"/>
        </w:rPr>
        <w:t>，按招标文件要求在相应位置加盖电子印章。投标文件中需个人签字或盖章的，</w:t>
      </w:r>
      <w:r>
        <w:rPr>
          <w:rFonts w:hint="eastAsia" w:ascii="宋体" w:hAnsi="宋体"/>
          <w:color w:val="auto"/>
          <w:sz w:val="24"/>
          <w:highlight w:val="none"/>
          <w:u w:val="single"/>
        </w:rPr>
        <w:t>应加盖个人电子印章或</w:t>
      </w:r>
      <w:r>
        <w:rPr>
          <w:rFonts w:hint="eastAsia" w:ascii="宋体" w:hAnsi="宋体"/>
          <w:b/>
          <w:bCs/>
          <w:color w:val="auto"/>
          <w:sz w:val="24"/>
          <w:highlight w:val="none"/>
          <w:u w:val="single"/>
        </w:rPr>
        <w:t>手签或盖章</w:t>
      </w:r>
      <w:r>
        <w:rPr>
          <w:rFonts w:hint="eastAsia" w:ascii="宋体" w:hAnsi="宋体"/>
          <w:color w:val="auto"/>
          <w:sz w:val="24"/>
          <w:highlight w:val="none"/>
        </w:rPr>
        <w:t>后扫描上传。</w:t>
      </w:r>
      <w:r>
        <w:rPr>
          <w:rFonts w:hint="eastAsia" w:ascii="宋体" w:hAnsi="宋体"/>
          <w:b/>
          <w:bCs/>
          <w:color w:val="auto"/>
          <w:sz w:val="24"/>
          <w:highlight w:val="none"/>
          <w:u w:val="single"/>
        </w:rPr>
        <w:t>由广州投标文件管理专用软件系统生成的“工程量清单主表--工程量清单报价表”封面页及扉页可以仅采用单位数字证书加盖电子印章处理。</w:t>
      </w:r>
      <w:r>
        <w:rPr>
          <w:rFonts w:hint="eastAsia" w:ascii="宋体" w:hAnsi="宋体"/>
          <w:color w:val="auto"/>
          <w:sz w:val="24"/>
          <w:highlight w:val="none"/>
        </w:rPr>
        <w:t>按照交易平台关于全流程电子化项目的相关指南进行操作。</w:t>
      </w:r>
      <w:r>
        <w:rPr>
          <w:rFonts w:hint="eastAsia" w:ascii="宋体" w:hAnsi="宋体"/>
          <w:b/>
          <w:bCs/>
          <w:color w:val="auto"/>
          <w:sz w:val="24"/>
          <w:highlight w:val="none"/>
          <w:u w:val="single"/>
        </w:rPr>
        <w:t>详见：【全流程电子化项目】电子招投标操作手册（无纸化）。</w:t>
      </w:r>
    </w:p>
    <w:p w14:paraId="1C09B3A8">
      <w:pPr>
        <w:pStyle w:val="4"/>
        <w:spacing w:after="0" w:line="360" w:lineRule="auto"/>
        <w:ind w:firstLine="482" w:firstLineChars="200"/>
        <w:rPr>
          <w:rFonts w:hint="eastAsia" w:ascii="宋体" w:hAnsi="宋体"/>
          <w:color w:val="auto"/>
          <w:sz w:val="24"/>
          <w:highlight w:val="none"/>
          <w:u w:val="single"/>
        </w:rPr>
      </w:pPr>
      <w:r>
        <w:rPr>
          <w:rFonts w:hint="eastAsia" w:ascii="宋体" w:hAnsi="宋体"/>
          <w:b/>
          <w:bCs/>
          <w:color w:val="auto"/>
          <w:sz w:val="24"/>
          <w:highlight w:val="none"/>
          <w:u w:val="single"/>
        </w:rPr>
        <w:t>注释：投标文件电子文档需要投标人单位盖章的材料，投标人加盖电子印章即可，不得将投标人未对电子文档加盖实物印章作为否决投标的情形。</w:t>
      </w:r>
    </w:p>
    <w:p w14:paraId="04555EC1">
      <w:pPr>
        <w:pStyle w:val="4"/>
        <w:spacing w:after="0"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 xml:space="preserve">12.3 </w:t>
      </w:r>
      <w:r>
        <w:rPr>
          <w:rFonts w:hint="eastAsia" w:ascii="宋体" w:hAnsi="宋体"/>
          <w:bCs/>
          <w:color w:val="auto"/>
          <w:sz w:val="24"/>
          <w:szCs w:val="24"/>
          <w:highlight w:val="none"/>
        </w:rPr>
        <w:t>投标文件应按</w:t>
      </w:r>
      <w:r>
        <w:rPr>
          <w:rFonts w:hint="eastAsia" w:ascii="宋体" w:hAnsi="宋体"/>
          <w:color w:val="auto"/>
          <w:sz w:val="24"/>
          <w:highlight w:val="none"/>
        </w:rPr>
        <w:t>照交易平台关于全流程电子化项目的相关指南进行编制，详见：</w:t>
      </w:r>
      <w:r>
        <w:rPr>
          <w:rFonts w:hint="eastAsia"/>
          <w:b/>
          <w:bCs/>
          <w:color w:val="auto"/>
          <w:sz w:val="24"/>
          <w:szCs w:val="24"/>
          <w:highlight w:val="none"/>
          <w:u w:val="single"/>
          <w:lang w:eastAsia="zh-CN"/>
        </w:rPr>
        <w:t>广州交易集团有限公司（广州公共资源交易中心）</w:t>
      </w:r>
      <w:r>
        <w:rPr>
          <w:rFonts w:hint="eastAsia"/>
          <w:color w:val="auto"/>
          <w:sz w:val="24"/>
          <w:szCs w:val="24"/>
          <w:highlight w:val="none"/>
          <w:u w:val="single"/>
        </w:rPr>
        <w:t>网站</w:t>
      </w:r>
      <w:r>
        <w:rPr>
          <w:rFonts w:hint="eastAsia" w:ascii="宋体" w:hAnsi="宋体"/>
          <w:color w:val="auto"/>
          <w:sz w:val="24"/>
          <w:highlight w:val="none"/>
        </w:rPr>
        <w:t>。</w:t>
      </w:r>
    </w:p>
    <w:p w14:paraId="7EFB7AA3">
      <w:pPr>
        <w:pStyle w:val="4"/>
        <w:spacing w:after="0" w:line="360" w:lineRule="auto"/>
        <w:ind w:firstLine="480" w:firstLineChars="200"/>
        <w:rPr>
          <w:rFonts w:ascii="宋体" w:hAnsi="宋体"/>
          <w:color w:val="auto"/>
          <w:sz w:val="24"/>
          <w:highlight w:val="none"/>
        </w:rPr>
      </w:pPr>
      <w:r>
        <w:rPr>
          <w:rFonts w:hint="eastAsia" w:ascii="宋体" w:hAnsi="宋体"/>
          <w:bCs/>
          <w:color w:val="auto"/>
          <w:sz w:val="24"/>
          <w:szCs w:val="24"/>
          <w:highlight w:val="none"/>
        </w:rPr>
        <w:t>如不按上述要求编制引起系统无法检索、读取相关信息的，其后果由投标人承担。</w:t>
      </w:r>
    </w:p>
    <w:p w14:paraId="6F6C32C1">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13</w:t>
      </w:r>
      <w:r>
        <w:rPr>
          <w:rFonts w:hint="eastAsia" w:ascii="宋体" w:hAnsi="宋体"/>
          <w:b/>
          <w:bCs/>
          <w:color w:val="auto"/>
          <w:sz w:val="24"/>
          <w:highlight w:val="none"/>
        </w:rPr>
        <w:t>．投标报价及造价承包和变更结算方式</w:t>
      </w:r>
    </w:p>
    <w:p w14:paraId="7B441E13">
      <w:pPr>
        <w:pStyle w:val="4"/>
        <w:spacing w:after="0" w:line="360" w:lineRule="auto"/>
        <w:ind w:firstLine="480" w:firstLineChars="200"/>
        <w:rPr>
          <w:rFonts w:hint="eastAsia" w:ascii="宋体" w:hAnsi="宋体"/>
          <w:color w:val="auto"/>
          <w:sz w:val="24"/>
          <w:highlight w:val="none"/>
        </w:rPr>
      </w:pPr>
      <w:r>
        <w:rPr>
          <w:rFonts w:ascii="宋体" w:hAnsi="宋体"/>
          <w:color w:val="auto"/>
          <w:sz w:val="24"/>
          <w:highlight w:val="none"/>
        </w:rPr>
        <w:t xml:space="preserve">13.1 </w:t>
      </w:r>
      <w:r>
        <w:rPr>
          <w:rFonts w:hint="eastAsia" w:ascii="宋体" w:hAnsi="宋体"/>
          <w:color w:val="auto"/>
          <w:sz w:val="24"/>
          <w:highlight w:val="none"/>
        </w:rPr>
        <w:t>本工程的投标报价采用投标须知前附表第</w:t>
      </w:r>
      <w:r>
        <w:rPr>
          <w:rFonts w:ascii="宋体" w:hAnsi="宋体"/>
          <w:color w:val="auto"/>
          <w:sz w:val="24"/>
          <w:highlight w:val="none"/>
        </w:rPr>
        <w:t>1</w:t>
      </w:r>
      <w:r>
        <w:rPr>
          <w:rFonts w:hint="eastAsia" w:ascii="宋体" w:hAnsi="宋体"/>
          <w:color w:val="auto"/>
          <w:sz w:val="24"/>
          <w:highlight w:val="none"/>
          <w:lang w:val="en-US" w:eastAsia="zh-CN"/>
        </w:rPr>
        <w:t>4</w:t>
      </w:r>
      <w:r>
        <w:rPr>
          <w:rFonts w:hint="eastAsia" w:ascii="宋体" w:hAnsi="宋体"/>
          <w:color w:val="auto"/>
          <w:sz w:val="24"/>
          <w:highlight w:val="none"/>
        </w:rPr>
        <w:t>项所规定的方式。投标报价（含单价及总价）精确到“分”。</w:t>
      </w:r>
    </w:p>
    <w:p w14:paraId="3B1A612B">
      <w:pPr>
        <w:pStyle w:val="4"/>
        <w:spacing w:after="0" w:line="360" w:lineRule="auto"/>
        <w:ind w:firstLine="482" w:firstLineChars="200"/>
        <w:rPr>
          <w:rFonts w:ascii="宋体" w:hAnsi="宋体"/>
          <w:b/>
          <w:bCs/>
          <w:color w:val="auto"/>
          <w:sz w:val="24"/>
          <w:highlight w:val="none"/>
          <w:u w:val="single"/>
        </w:rPr>
      </w:pPr>
      <w:r>
        <w:rPr>
          <w:rFonts w:hint="eastAsia" w:ascii="宋体" w:hAnsi="宋体"/>
          <w:b/>
          <w:bCs/>
          <w:color w:val="auto"/>
          <w:sz w:val="24"/>
          <w:highlight w:val="none"/>
          <w:u w:val="single"/>
        </w:rPr>
        <w:t>13.1.1投标报价的计费依据：</w:t>
      </w:r>
    </w:p>
    <w:p w14:paraId="7E451C8E">
      <w:pPr>
        <w:pStyle w:val="4"/>
        <w:spacing w:after="0" w:line="360" w:lineRule="auto"/>
        <w:ind w:firstLine="482" w:firstLineChars="200"/>
        <w:rPr>
          <w:rFonts w:ascii="宋体" w:hAnsi="宋体"/>
          <w:b/>
          <w:bCs/>
          <w:color w:val="auto"/>
          <w:sz w:val="24"/>
          <w:highlight w:val="none"/>
          <w:u w:val="single"/>
        </w:rPr>
      </w:pPr>
      <w:r>
        <w:rPr>
          <w:rFonts w:hint="eastAsia" w:ascii="宋体" w:hAnsi="宋体"/>
          <w:b/>
          <w:bCs/>
          <w:color w:val="auto"/>
          <w:sz w:val="24"/>
          <w:highlight w:val="none"/>
          <w:u w:val="single"/>
        </w:rPr>
        <w:t>13.1.1.1工程计价执行《广东省建设工程计价依据（2018）》等有关规定。</w:t>
      </w:r>
    </w:p>
    <w:p w14:paraId="581FC2ED">
      <w:pPr>
        <w:pStyle w:val="4"/>
        <w:spacing w:after="0" w:line="360" w:lineRule="auto"/>
        <w:ind w:firstLine="482" w:firstLineChars="200"/>
        <w:rPr>
          <w:rFonts w:ascii="宋体" w:hAnsi="宋体"/>
          <w:b/>
          <w:bCs/>
          <w:color w:val="auto"/>
          <w:sz w:val="24"/>
          <w:highlight w:val="none"/>
          <w:u w:val="single"/>
        </w:rPr>
      </w:pPr>
      <w:r>
        <w:rPr>
          <w:rFonts w:hint="eastAsia" w:ascii="宋体" w:hAnsi="宋体"/>
          <w:b/>
          <w:bCs/>
          <w:color w:val="auto"/>
          <w:sz w:val="24"/>
          <w:highlight w:val="none"/>
          <w:u w:val="single"/>
        </w:rPr>
        <w:t>13.1.1.2材料综合价格部分、人工日工资价格及机械台班价格执行本项目概算财政评审批复所参考的同期月度有关文件。</w:t>
      </w:r>
    </w:p>
    <w:p w14:paraId="0A3D1966">
      <w:pPr>
        <w:pStyle w:val="4"/>
        <w:spacing w:after="0" w:line="360" w:lineRule="auto"/>
        <w:ind w:firstLine="482" w:firstLineChars="200"/>
        <w:rPr>
          <w:rFonts w:ascii="宋体" w:hAnsi="宋体"/>
          <w:b/>
          <w:bCs/>
          <w:color w:val="auto"/>
          <w:sz w:val="24"/>
          <w:highlight w:val="none"/>
          <w:u w:val="single"/>
        </w:rPr>
      </w:pPr>
      <w:r>
        <w:rPr>
          <w:rFonts w:hint="eastAsia" w:ascii="宋体" w:hAnsi="宋体"/>
          <w:b/>
          <w:bCs/>
          <w:color w:val="auto"/>
          <w:sz w:val="24"/>
          <w:highlight w:val="none"/>
          <w:u w:val="single"/>
        </w:rPr>
        <w:t>13.1.1.3材料价格依据：本项目概算财政评审批复所参考的同期月度广州地区建设工程常用材料税前综合信息价，不足部分参考同期《广州地区建设工程材料（设备）厂商价格信息》及市场价等有关价格文件。</w:t>
      </w:r>
    </w:p>
    <w:p w14:paraId="77C6AE06">
      <w:pPr>
        <w:pStyle w:val="4"/>
        <w:spacing w:after="0"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u w:val="single"/>
        </w:rPr>
        <w:t>13.1.1.4本项目所使用的材料、其质量档次按本招标文件所附施工合同专用条款49.9要求进行计价。</w:t>
      </w:r>
    </w:p>
    <w:p w14:paraId="4DB9AEFA">
      <w:pPr>
        <w:pStyle w:val="4"/>
        <w:spacing w:after="0" w:line="360" w:lineRule="auto"/>
        <w:ind w:firstLine="480" w:firstLineChars="200"/>
        <w:rPr>
          <w:rFonts w:ascii="宋体"/>
          <w:color w:val="auto"/>
          <w:sz w:val="24"/>
          <w:highlight w:val="none"/>
        </w:rPr>
      </w:pPr>
      <w:r>
        <w:rPr>
          <w:rFonts w:ascii="宋体" w:hAnsi="宋体"/>
          <w:color w:val="auto"/>
          <w:sz w:val="24"/>
          <w:highlight w:val="none"/>
        </w:rPr>
        <w:t>13.2</w:t>
      </w:r>
      <w:r>
        <w:rPr>
          <w:rFonts w:hint="eastAsia" w:ascii="宋体" w:hAnsi="宋体"/>
          <w:color w:val="auto"/>
          <w:sz w:val="24"/>
          <w:highlight w:val="none"/>
        </w:rPr>
        <w:t>招标人按照招标图纸制定招标工程量清单，该清单载于本招标文件第七章中，投标人按照招标人提供的招标工程量清单中列出的工程项目和工程量填报单价和合价，每一项目只允许有一个报价，任何有选择的报价将不予接受。投标人未填报单价或合价的工程项目，视为此项费用已包含在已标价工程量清单中其他项目的单价和合价之中，在实施后，此项目不得重新组价予以调整，招标人将不予支付。</w:t>
      </w:r>
    </w:p>
    <w:p w14:paraId="7976BE4B">
      <w:pPr>
        <w:pStyle w:val="4"/>
        <w:spacing w:after="0" w:line="360" w:lineRule="auto"/>
        <w:ind w:firstLine="480" w:firstLineChars="200"/>
        <w:rPr>
          <w:rFonts w:hint="eastAsia" w:ascii="宋体" w:hAnsi="宋体"/>
          <w:color w:val="auto"/>
          <w:sz w:val="24"/>
          <w:szCs w:val="24"/>
          <w:highlight w:val="none"/>
        </w:rPr>
      </w:pPr>
      <w:r>
        <w:rPr>
          <w:rFonts w:ascii="宋体" w:hAnsi="宋体"/>
          <w:color w:val="auto"/>
          <w:sz w:val="24"/>
          <w:highlight w:val="none"/>
        </w:rPr>
        <w:t>13.3</w:t>
      </w:r>
      <w:r>
        <w:rPr>
          <w:rFonts w:hint="eastAsia" w:ascii="宋体" w:hAnsi="宋体"/>
          <w:color w:val="auto"/>
          <w:sz w:val="24"/>
          <w:highlight w:val="none"/>
        </w:rPr>
        <w:t>投标人的投标报价，应是按照投标须知前附表第</w:t>
      </w:r>
      <w:r>
        <w:rPr>
          <w:rFonts w:ascii="宋体" w:hAnsi="宋体"/>
          <w:color w:val="auto"/>
          <w:sz w:val="24"/>
          <w:highlight w:val="none"/>
        </w:rPr>
        <w:t>8</w:t>
      </w:r>
      <w:r>
        <w:rPr>
          <w:rFonts w:hint="eastAsia" w:ascii="宋体" w:hAnsi="宋体"/>
          <w:color w:val="auto"/>
          <w:sz w:val="24"/>
          <w:highlight w:val="none"/>
        </w:rPr>
        <w:t>项的工期要求，在投标须知前附表第</w:t>
      </w:r>
      <w:r>
        <w:rPr>
          <w:rFonts w:ascii="宋体" w:hAnsi="宋体"/>
          <w:color w:val="auto"/>
          <w:sz w:val="24"/>
          <w:highlight w:val="none"/>
        </w:rPr>
        <w:t>3</w:t>
      </w:r>
      <w:r>
        <w:rPr>
          <w:rFonts w:hint="eastAsia" w:ascii="宋体" w:hAnsi="宋体"/>
          <w:color w:val="auto"/>
          <w:sz w:val="24"/>
          <w:highlight w:val="none"/>
        </w:rPr>
        <w:t>项的建设地点，完成投标须知前附表第</w:t>
      </w:r>
      <w:r>
        <w:rPr>
          <w:rFonts w:ascii="宋体" w:hAnsi="宋体"/>
          <w:color w:val="auto"/>
          <w:sz w:val="24"/>
          <w:highlight w:val="none"/>
        </w:rPr>
        <w:t>7</w:t>
      </w:r>
      <w:r>
        <w:rPr>
          <w:rFonts w:hint="eastAsia" w:ascii="宋体" w:hAnsi="宋体"/>
          <w:color w:val="auto"/>
          <w:sz w:val="24"/>
          <w:highlight w:val="none"/>
        </w:rPr>
        <w:t>项的招标范围内已由招标人制定的工程量清单列明工作的全部费用，包括但不限于完成工作的成本、利润、税金、技术措施费、大型机械进出场费、风险费以及政策性文件规定费用等，不得以任何理由予以重复计算。招标人提供的工程量清单或招标文件其他部分</w:t>
      </w:r>
      <w:r>
        <w:rPr>
          <w:rFonts w:hint="eastAsia" w:ascii="宋体" w:hAnsi="宋体"/>
          <w:color w:val="auto"/>
          <w:sz w:val="24"/>
          <w:szCs w:val="24"/>
          <w:highlight w:val="none"/>
        </w:rPr>
        <w:t>中有关规费、暂列金额、暂估价、绿色施工安全防护措施费等非竞争性项目明列了单价或合价的金额的，投标人应按照明列的单价或合价的金额报价，未按照规定金额报价的，由评标委员会按照招标文件规定的金额进行修正。</w:t>
      </w:r>
    </w:p>
    <w:p w14:paraId="71F0C262">
      <w:pPr>
        <w:pStyle w:val="4"/>
        <w:spacing w:after="0"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13.3.1技术措施项目费、绿色施工安全防护措施费、措施其它项目费〔包括夜间施工增加费、交通干扰工程施工增加费、赶工措施费、地下管线交叉降效费、特殊工程培训费、施工排水费、施工降水费、大型机械进出场费、泥浆池(槽)砌筑及拆除费、地上、地下设施、建筑物的临时保护设施、交通安全维护设施费、 道路交通疏导费、临时占用道路费、永久管线标志设置费、硬式扫床验收费、环境保护费、淤泥疏通费、环保报批费、施工便道、栈桥、机械浮船、工程保险费、工程保修费等费用〕、其它项目费用｛包括总承包服务费、管理配合费、材料保管费、预算包干费等费用｝、拟建工程(道路、建筑物等) 周边的房屋进行房屋鉴定费用（因施工原因引起的鉴定）费用等与工程有关的费用及保证质量、安全的各项技术措施费，由投标人自行考虑并计入投标报价。</w:t>
      </w:r>
    </w:p>
    <w:p w14:paraId="161FF4BC">
      <w:pPr>
        <w:pStyle w:val="4"/>
        <w:spacing w:after="0"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预算包干费包括:施工雨(污)水的排除、地下水的排除；因地形影响造成的场内料具二次运输；工程用水加压措施；完工清场后的垃圾外运;材料堆放场地的整理；水电安装后的补洞工料费；工程成品、半成品的保护、照顾费；施工中的临时停电停水的应急措施；基础埋深2米以内挖土方的塌方；日间照明施工增加费。</w:t>
      </w:r>
    </w:p>
    <w:p w14:paraId="5964B253">
      <w:pPr>
        <w:pStyle w:val="4"/>
        <w:spacing w:after="0"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13.3.2本次投标报价是包含施工过程风险的报价，承包人在施工过程所需的施工风险处理费用及不可预见费用在投标报价中已包含，承包人在施工过程造成附近建筑物、构筑物及现场已完成的构件破坏，由此引起的所有费用由承包人承担。</w:t>
      </w:r>
    </w:p>
    <w:p w14:paraId="1073B38C">
      <w:pPr>
        <w:pStyle w:val="4"/>
        <w:spacing w:after="0"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13.3.3凡施工图纸中未有详细注明的做法，则按国家及广东省有关的设计规范及施工验收规范进行施工，投标人在投标报价时须将些因素考虑在内。</w:t>
      </w:r>
    </w:p>
    <w:p w14:paraId="15E4F68C">
      <w:pPr>
        <w:pStyle w:val="4"/>
        <w:spacing w:after="0"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13.3.4投标人还应在本次投标报价中充分考虑由招标人另外委托的其他专业承包人（例如各种专业设备安装等非本次招标范围的工程项目）等进入现场施工的管理配合费用，并须在施工过程中在人力和机械方面给予配合和管理。</w:t>
      </w:r>
    </w:p>
    <w:p w14:paraId="794C3912">
      <w:pPr>
        <w:pStyle w:val="4"/>
        <w:spacing w:after="0"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13.3.5承包人按现行的相关规定及施工合同条款要求购买工程保险，所需费用由各投标人综合考虑在投标报价中。</w:t>
      </w:r>
    </w:p>
    <w:p w14:paraId="1B842679">
      <w:pPr>
        <w:pStyle w:val="4"/>
        <w:spacing w:after="0"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13.3.6本工程开工日期以发包人书面通知时间为准，工期需与其它标段配合，施工需与其它标段穿插进行，相关费用及工期须在投标报价中考虑，发包人不再另行增加费用及工期。</w:t>
      </w:r>
    </w:p>
    <w:p w14:paraId="66ED813B">
      <w:pPr>
        <w:pStyle w:val="4"/>
        <w:spacing w:after="0"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13.3.7招标人不提供取土点，土方的运距按15公里考虑进行计价，因运距而引起造价变化属投标风险，招标人在项目实施时对相关影响不作增减。</w:t>
      </w:r>
    </w:p>
    <w:p w14:paraId="73DDFD4C">
      <w:pPr>
        <w:pStyle w:val="4"/>
        <w:spacing w:after="0" w:line="360" w:lineRule="auto"/>
        <w:ind w:firstLine="482" w:firstLineChars="200"/>
        <w:rPr>
          <w:rFonts w:ascii="宋体" w:hAnsi="宋体"/>
          <w:b/>
          <w:bCs/>
          <w:color w:val="auto"/>
          <w:sz w:val="24"/>
          <w:szCs w:val="24"/>
          <w:highlight w:val="none"/>
          <w:u w:val="single"/>
        </w:rPr>
      </w:pPr>
      <w:r>
        <w:rPr>
          <w:rFonts w:hint="eastAsia" w:ascii="宋体" w:hAnsi="宋体"/>
          <w:b/>
          <w:bCs/>
          <w:color w:val="auto"/>
          <w:sz w:val="24"/>
          <w:szCs w:val="24"/>
          <w:highlight w:val="none"/>
          <w:u w:val="single"/>
        </w:rPr>
        <w:t>13.3.8中标人需配合由发包人委托的桩基等检测项目的检测工作，负责按检测单位要求提供水源、电源、脚手架、修建检测车辆出入便道、检测场地平整、钻芯孔回灌封闭所需的水泥等、检测用桩帽的制作、相关预埋件的埋设、结构实体检测后的恢复工作等准备、配合工作，相关费用投标人须在投标报价中考虑，发包人不再另行增加费用。</w:t>
      </w:r>
    </w:p>
    <w:p w14:paraId="2531C853">
      <w:pPr>
        <w:pStyle w:val="4"/>
        <w:spacing w:after="0" w:line="360" w:lineRule="auto"/>
        <w:ind w:firstLine="482" w:firstLineChars="200"/>
        <w:rPr>
          <w:rFonts w:hint="eastAsia" w:ascii="宋体" w:hAnsi="宋体"/>
          <w:b/>
          <w:bCs/>
          <w:color w:val="auto"/>
          <w:sz w:val="24"/>
          <w:szCs w:val="24"/>
          <w:highlight w:val="none"/>
        </w:rPr>
      </w:pPr>
      <w:r>
        <w:rPr>
          <w:rFonts w:hint="eastAsia" w:ascii="宋体" w:hAnsi="宋体"/>
          <w:b/>
          <w:bCs/>
          <w:color w:val="auto"/>
          <w:sz w:val="24"/>
          <w:szCs w:val="24"/>
          <w:highlight w:val="none"/>
          <w:u w:val="single"/>
        </w:rPr>
        <w:t>13.3.9根据《广州市城乡建设委员会印发〈关于进一步加强广州市建设工程质量检测委托管理工作方案〉的通知》（穗建质[2012]1767号）第二条规定：“新招标的建设工程，应在施工招标文件中明确建设单位为委托工程质量检测的主体，工程质量检测费用不应纳入投标总价。”因此，在编制本工程投标预算时，其他项目费中的材料检验试验费不应包含在投标报价中。</w:t>
      </w:r>
    </w:p>
    <w:p w14:paraId="1AD825AB">
      <w:pPr>
        <w:pStyle w:val="4"/>
        <w:spacing w:after="0" w:line="360" w:lineRule="auto"/>
        <w:ind w:firstLine="480" w:firstLineChars="200"/>
        <w:rPr>
          <w:rFonts w:ascii="宋体"/>
          <w:b/>
          <w:bCs/>
          <w:color w:val="auto"/>
          <w:sz w:val="24"/>
          <w:highlight w:val="none"/>
        </w:rPr>
      </w:pPr>
      <w:r>
        <w:rPr>
          <w:rFonts w:ascii="宋体" w:hAnsi="宋体"/>
          <w:b w:val="0"/>
          <w:bCs w:val="0"/>
          <w:color w:val="auto"/>
          <w:sz w:val="24"/>
          <w:highlight w:val="none"/>
        </w:rPr>
        <w:t>13.4</w:t>
      </w:r>
      <w:r>
        <w:rPr>
          <w:rFonts w:hint="eastAsia" w:ascii="宋体" w:hAnsi="宋体"/>
          <w:b w:val="0"/>
          <w:bCs w:val="0"/>
          <w:color w:val="auto"/>
          <w:sz w:val="24"/>
          <w:highlight w:val="none"/>
        </w:rPr>
        <w:t>投标人一旦中标，投标人对招标人提供的招标工程量清单中列出的工程项目所报出的综合单价，</w:t>
      </w:r>
      <w:r>
        <w:rPr>
          <w:rFonts w:hint="eastAsia" w:ascii="宋体" w:hAnsi="宋体"/>
          <w:b w:val="0"/>
          <w:bCs w:val="0"/>
          <w:color w:val="auto"/>
          <w:sz w:val="24"/>
          <w:highlight w:val="none"/>
          <w:u w:val="none"/>
        </w:rPr>
        <w:t>原则上不得变更，但涉及建设工程材料价格波动异常，超出发承包双方按以往经验所能预见与避免的范围和承担的风险的情况除外，由招标人在招标文件及合同中明确市场价格发生异常变动情况时合同价款的调整办法。因应计算的实际工程量与招标工程量清单出现偏差或因工程变更等原因导致的工程量偏差，引起相关措施项目相应发生变化时，按系数或单一总价方式计价的措施项目费，工程量增加的措施项目费调增，工程量减少的措施项目费调减。</w:t>
      </w:r>
    </w:p>
    <w:p w14:paraId="00A476AE">
      <w:pPr>
        <w:pStyle w:val="4"/>
        <w:spacing w:after="0" w:line="360" w:lineRule="auto"/>
        <w:ind w:firstLine="480" w:firstLineChars="200"/>
        <w:rPr>
          <w:rFonts w:ascii="宋体"/>
          <w:color w:val="auto"/>
          <w:sz w:val="24"/>
          <w:highlight w:val="none"/>
        </w:rPr>
      </w:pPr>
      <w:r>
        <w:rPr>
          <w:rFonts w:ascii="宋体" w:hAnsi="宋体"/>
          <w:color w:val="auto"/>
          <w:sz w:val="24"/>
          <w:highlight w:val="none"/>
        </w:rPr>
        <w:t>13.5</w:t>
      </w:r>
      <w:r>
        <w:rPr>
          <w:rFonts w:hint="eastAsia" w:ascii="宋体" w:hAnsi="宋体"/>
          <w:color w:val="auto"/>
          <w:sz w:val="24"/>
          <w:highlight w:val="none"/>
        </w:rPr>
        <w:t>工程项目实施期间和结算时，招标文件工程量清单中漏列而由监理单位和招标人现场签证确认的工程项目、原设计没有而由招标人批准设计变更产生的工程项目，视为新增项目，按以下顺序确定价格：</w:t>
      </w:r>
    </w:p>
    <w:p w14:paraId="6C2DA42F">
      <w:pPr>
        <w:pStyle w:val="4"/>
        <w:spacing w:after="0" w:line="360" w:lineRule="auto"/>
        <w:ind w:firstLine="480" w:firstLineChars="200"/>
        <w:rPr>
          <w:rFonts w:ascii="宋体"/>
          <w:color w:val="auto"/>
          <w:sz w:val="24"/>
          <w:highlight w:val="none"/>
        </w:rPr>
      </w:pPr>
      <w:r>
        <w:rPr>
          <w:rFonts w:ascii="宋体" w:hAnsi="宋体"/>
          <w:color w:val="auto"/>
          <w:sz w:val="24"/>
          <w:highlight w:val="none"/>
        </w:rPr>
        <w:t>13.5.1</w:t>
      </w:r>
      <w:r>
        <w:rPr>
          <w:rFonts w:hint="eastAsia" w:ascii="宋体" w:hAnsi="宋体"/>
          <w:color w:val="auto"/>
          <w:sz w:val="24"/>
          <w:highlight w:val="none"/>
        </w:rPr>
        <w:t>中标的投标文件工程量清单中已有相同项目的适用综合单价，则沿用；</w:t>
      </w:r>
    </w:p>
    <w:p w14:paraId="14A607A8">
      <w:pPr>
        <w:pStyle w:val="4"/>
        <w:spacing w:after="0" w:line="360" w:lineRule="auto"/>
        <w:ind w:firstLine="480" w:firstLineChars="200"/>
        <w:rPr>
          <w:rFonts w:ascii="宋体"/>
          <w:color w:val="auto"/>
          <w:sz w:val="24"/>
          <w:highlight w:val="none"/>
        </w:rPr>
      </w:pPr>
      <w:r>
        <w:rPr>
          <w:rFonts w:ascii="宋体" w:hAnsi="宋体"/>
          <w:color w:val="auto"/>
          <w:sz w:val="24"/>
          <w:highlight w:val="none"/>
        </w:rPr>
        <w:t>13.5.2</w:t>
      </w:r>
      <w:r>
        <w:rPr>
          <w:rFonts w:hint="eastAsia" w:ascii="宋体" w:hAnsi="宋体"/>
          <w:color w:val="auto"/>
          <w:sz w:val="24"/>
          <w:highlight w:val="none"/>
        </w:rPr>
        <w:t>中标的投标文件工程量清单中已有类似项目的综合单价，则按类似项目的综合单价对相应子目、消耗量、单价等进行调整换算，原管理费、利润水平不变。如中标的投标文件工程量清单中类似项目的综合单价有两个以上，则由招标人按消耗量最少、管理费和利润取费最低的优先顺序选择类似项目综合单价进行换算。如换算时出现类似项目中没有的材料单价，按广州市造价管理站同期《广州地区建设工程常用材料税前综合价格》计算，《广州地区建设工程常用材料税前综合价格》没有的材料单价，</w:t>
      </w:r>
      <w:r>
        <w:rPr>
          <w:rFonts w:hint="eastAsia" w:ascii="宋体" w:hAnsi="宋体"/>
          <w:b/>
          <w:bCs/>
          <w:color w:val="auto"/>
          <w:sz w:val="24"/>
          <w:highlight w:val="none"/>
          <w:u w:val="single"/>
        </w:rPr>
        <w:t>则参照广州市造价管理站同期《广州地区建设工程材料（设备）厂商价格信息》并进行市场询价；对《广州地区建设工程材料（设备）厂商价格信息》仍然没有的材料单价，则由承包人提出适当的材料单价，经招标人和监理单位确认后执行。详见本招标文件所附施工合同专用条款第72.工程变更事件的有关规定。</w:t>
      </w:r>
    </w:p>
    <w:p w14:paraId="302C46C0">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13.5.3 </w:t>
      </w:r>
      <w:r>
        <w:rPr>
          <w:rFonts w:hint="eastAsia" w:ascii="宋体" w:hAnsi="宋体"/>
          <w:color w:val="auto"/>
          <w:sz w:val="24"/>
          <w:highlight w:val="none"/>
        </w:rPr>
        <w:t>中标的投标文件工程量清单中没有相同项目或类似项目的，如可套取相关定额，则以相关定额为基数下浮计算单价,下浮率为中标价相对于最高投标限价的下浮率（下浮率=(最高投标限价-中标价)/ 最高投标限价）。</w:t>
      </w:r>
      <w:r>
        <w:rPr>
          <w:rFonts w:hint="eastAsia" w:ascii="宋体" w:hAnsi="宋体"/>
          <w:b/>
          <w:bCs/>
          <w:color w:val="auto"/>
          <w:sz w:val="24"/>
          <w:highlight w:val="none"/>
          <w:u w:val="single"/>
        </w:rPr>
        <w:t>材料价格按广州市造价管理站同期《广州地区建设工程常用材料税前综合价格》计算，《广州地区建设工程常用材料税前综合价格》没有的材料单价，则参照广州市造价管理站同期《广州地区建设工程材料（设备）厂商价格信息》并进行市场询价；对《广州地区建设工程材料（设备）厂商价格信息》仍然没有的材料单价，则由承包人提出适当的材料单价，经招标人和监理单位确认后执行。</w:t>
      </w:r>
    </w:p>
    <w:p w14:paraId="0153CCB8">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13.5.4 </w:t>
      </w:r>
      <w:r>
        <w:rPr>
          <w:rFonts w:hint="eastAsia" w:ascii="宋体" w:hAnsi="宋体"/>
          <w:color w:val="auto"/>
          <w:sz w:val="24"/>
          <w:highlight w:val="none"/>
        </w:rPr>
        <w:t>如相关定额没有相应子目的，其计价方式由招标人在本招标文件第三章中另行规定。未规定的，中标后双方协商约定。</w:t>
      </w:r>
    </w:p>
    <w:p w14:paraId="5C8075AA">
      <w:pPr>
        <w:pStyle w:val="4"/>
        <w:spacing w:after="0" w:line="360" w:lineRule="auto"/>
        <w:ind w:firstLine="480" w:firstLineChars="200"/>
        <w:rPr>
          <w:rFonts w:ascii="宋体"/>
          <w:color w:val="auto"/>
          <w:sz w:val="24"/>
          <w:highlight w:val="none"/>
        </w:rPr>
      </w:pPr>
      <w:r>
        <w:rPr>
          <w:rFonts w:ascii="宋体" w:hAnsi="宋体"/>
          <w:color w:val="auto"/>
          <w:sz w:val="24"/>
          <w:highlight w:val="none"/>
        </w:rPr>
        <w:t>13.6</w:t>
      </w:r>
      <w:r>
        <w:rPr>
          <w:rFonts w:hint="eastAsia" w:ascii="宋体" w:hAnsi="宋体"/>
          <w:color w:val="auto"/>
          <w:sz w:val="24"/>
          <w:highlight w:val="none"/>
        </w:rPr>
        <w:t>暂列金额、暂估价</w:t>
      </w:r>
    </w:p>
    <w:p w14:paraId="5037CFB7">
      <w:pPr>
        <w:pStyle w:val="4"/>
        <w:spacing w:after="0" w:line="360" w:lineRule="auto"/>
        <w:ind w:firstLine="480" w:firstLineChars="200"/>
        <w:rPr>
          <w:rFonts w:ascii="宋体"/>
          <w:color w:val="auto"/>
          <w:sz w:val="24"/>
          <w:highlight w:val="none"/>
        </w:rPr>
      </w:pPr>
      <w:r>
        <w:rPr>
          <w:rFonts w:ascii="宋体" w:hAnsi="宋体"/>
          <w:color w:val="auto"/>
          <w:sz w:val="24"/>
          <w:highlight w:val="none"/>
        </w:rPr>
        <w:t>13.6.1</w:t>
      </w:r>
      <w:r>
        <w:rPr>
          <w:rFonts w:hint="eastAsia" w:ascii="宋体" w:hAnsi="宋体"/>
          <w:color w:val="auto"/>
          <w:sz w:val="24"/>
          <w:highlight w:val="none"/>
        </w:rPr>
        <w:t>暂列金额指招标人在工程量清单中暂定并包括在合同价款中的一笔款项。用于施工合同签订时尚未确定或者不可预见的所需材料、设备、服务的采购，施工中可能发生的工程量变更、合同约定调整因素出现时的工程价款调整以及发生的索赔、现场签证等费用。</w:t>
      </w:r>
    </w:p>
    <w:p w14:paraId="12EC4AF3">
      <w:pPr>
        <w:pStyle w:val="4"/>
        <w:spacing w:after="0" w:line="360" w:lineRule="auto"/>
        <w:ind w:firstLine="480" w:firstLineChars="200"/>
        <w:rPr>
          <w:rFonts w:ascii="宋体"/>
          <w:color w:val="auto"/>
          <w:sz w:val="24"/>
          <w:highlight w:val="none"/>
        </w:rPr>
      </w:pPr>
      <w:r>
        <w:rPr>
          <w:rFonts w:hint="eastAsia" w:ascii="宋体" w:hAnsi="宋体"/>
          <w:color w:val="auto"/>
          <w:sz w:val="24"/>
          <w:highlight w:val="none"/>
        </w:rPr>
        <w:t>暂估价是指招标人在工程量清单中提供的用于支付必然发生但暂时不能确定价格的材料的单价以及专业工程的金额。</w:t>
      </w:r>
    </w:p>
    <w:p w14:paraId="34366408">
      <w:pPr>
        <w:pStyle w:val="4"/>
        <w:spacing w:after="0" w:line="360" w:lineRule="auto"/>
        <w:ind w:firstLine="480" w:firstLineChars="200"/>
        <w:rPr>
          <w:rFonts w:ascii="宋体"/>
          <w:color w:val="auto"/>
          <w:sz w:val="24"/>
          <w:highlight w:val="none"/>
        </w:rPr>
      </w:pPr>
      <w:r>
        <w:rPr>
          <w:rFonts w:ascii="宋体" w:hAnsi="宋体"/>
          <w:color w:val="auto"/>
          <w:sz w:val="24"/>
          <w:highlight w:val="none"/>
        </w:rPr>
        <w:t>13.6.2</w:t>
      </w:r>
      <w:r>
        <w:rPr>
          <w:rFonts w:hint="eastAsia" w:ascii="宋体" w:hAnsi="宋体"/>
          <w:color w:val="auto"/>
          <w:sz w:val="24"/>
          <w:highlight w:val="none"/>
        </w:rPr>
        <w:t>在工程实施中，暂列金额、暂估价所包含的工作范围和图纸、标准深化固定后，按照工程专业、设备、材料类别等分类汇总的金额，达到法定招标范围标准的，应由招标人同中标人联合招标，确定承包人和承包价格。</w:t>
      </w:r>
    </w:p>
    <w:p w14:paraId="2CF92CCD">
      <w:pPr>
        <w:pStyle w:val="4"/>
        <w:spacing w:after="0" w:line="360" w:lineRule="auto"/>
        <w:ind w:firstLine="480" w:firstLineChars="200"/>
        <w:rPr>
          <w:rFonts w:ascii="宋体"/>
          <w:color w:val="auto"/>
          <w:sz w:val="24"/>
          <w:highlight w:val="none"/>
        </w:rPr>
      </w:pPr>
      <w:r>
        <w:rPr>
          <w:rFonts w:ascii="宋体" w:hAnsi="宋体"/>
          <w:color w:val="auto"/>
          <w:sz w:val="24"/>
          <w:highlight w:val="none"/>
        </w:rPr>
        <w:t>13.6.3</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但适用政府采购规定的，应按照政府采购规定确定承包人和承包价格。</w:t>
      </w:r>
    </w:p>
    <w:p w14:paraId="45841A5F">
      <w:pPr>
        <w:pStyle w:val="4"/>
        <w:spacing w:after="0" w:line="360" w:lineRule="auto"/>
        <w:ind w:firstLine="480" w:firstLineChars="200"/>
        <w:rPr>
          <w:rFonts w:ascii="宋体"/>
          <w:color w:val="auto"/>
          <w:sz w:val="24"/>
          <w:highlight w:val="none"/>
        </w:rPr>
      </w:pPr>
      <w:r>
        <w:rPr>
          <w:rFonts w:ascii="宋体" w:hAnsi="宋体"/>
          <w:color w:val="auto"/>
          <w:sz w:val="24"/>
          <w:highlight w:val="none"/>
        </w:rPr>
        <w:t>13.6.4</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也不适用政府采购规定，承包人有法定的承包资格的，由承包人承包，承包人无法定的承包资格但有法定的分包权的，由承包人分包，招标人同承包人结算的价格按本投标须知</w:t>
      </w:r>
      <w:r>
        <w:rPr>
          <w:rFonts w:ascii="宋体" w:hAnsi="宋体"/>
          <w:color w:val="auto"/>
          <w:sz w:val="24"/>
          <w:highlight w:val="none"/>
        </w:rPr>
        <w:t>13.5</w:t>
      </w:r>
      <w:r>
        <w:rPr>
          <w:rFonts w:hint="eastAsia" w:ascii="宋体" w:hAnsi="宋体"/>
          <w:color w:val="auto"/>
          <w:sz w:val="24"/>
          <w:highlight w:val="none"/>
        </w:rPr>
        <w:t>款规定确定。</w:t>
      </w:r>
    </w:p>
    <w:p w14:paraId="6A83A9EC">
      <w:pPr>
        <w:pStyle w:val="4"/>
        <w:spacing w:after="0" w:line="360" w:lineRule="auto"/>
        <w:ind w:firstLine="480" w:firstLineChars="200"/>
        <w:rPr>
          <w:rFonts w:ascii="宋体"/>
          <w:color w:val="auto"/>
          <w:sz w:val="24"/>
          <w:highlight w:val="none"/>
        </w:rPr>
      </w:pPr>
      <w:r>
        <w:rPr>
          <w:rFonts w:ascii="宋体" w:hAnsi="宋体"/>
          <w:color w:val="auto"/>
          <w:sz w:val="24"/>
          <w:highlight w:val="none"/>
        </w:rPr>
        <w:t>13.6.5</w:t>
      </w:r>
      <w:r>
        <w:rPr>
          <w:rFonts w:hint="eastAsia" w:ascii="宋体" w:hAnsi="宋体"/>
          <w:color w:val="auto"/>
          <w:sz w:val="24"/>
          <w:highlight w:val="none"/>
        </w:rPr>
        <w:t>在工程实施中，暂列金额、暂估价所包含的工作范围和图纸、标准深化固定后，按照工程专业、设备、材料类别等分类汇总的金额，未达到法定招标范围标准也不适用政府采购规定，承包人既无法定的承包资格又无法定的分包权的，由招标人另行发包。</w:t>
      </w:r>
    </w:p>
    <w:p w14:paraId="24392CCD">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13.6.6 </w:t>
      </w:r>
      <w:r>
        <w:rPr>
          <w:rFonts w:hint="eastAsia" w:ascii="宋体" w:hAnsi="宋体"/>
          <w:color w:val="auto"/>
          <w:sz w:val="24"/>
          <w:highlight w:val="none"/>
        </w:rPr>
        <w:t>在工程实施中，暂列金额、暂估价所包含的工作范围由其他承包人承包的，纳入本项目承包人的管理和协调范围，由其他承包人向本项目承包人承担质量、安全、文明施工、工期责任，本项目承包人向招标人承担责任。投标人应当充分考虑此项管理和协调所发生的费用，并将其纳入招标人提供的工程量清单中的适当项目报价中。招标人将视为此项管理和协调所发生的费用已包含在其它有价款的竞争性报价内，在实施后，招标人将不予支付。</w:t>
      </w:r>
    </w:p>
    <w:p w14:paraId="53AD94DE">
      <w:pPr>
        <w:pStyle w:val="4"/>
        <w:spacing w:after="0" w:line="360" w:lineRule="auto"/>
        <w:ind w:firstLine="480" w:firstLineChars="200"/>
        <w:rPr>
          <w:rFonts w:ascii="宋体"/>
          <w:color w:val="auto"/>
          <w:sz w:val="24"/>
          <w:highlight w:val="none"/>
        </w:rPr>
      </w:pPr>
      <w:r>
        <w:rPr>
          <w:rFonts w:ascii="宋体" w:hAnsi="宋体"/>
          <w:color w:val="auto"/>
          <w:sz w:val="24"/>
          <w:highlight w:val="none"/>
        </w:rPr>
        <w:t>13.7</w:t>
      </w:r>
      <w:r>
        <w:rPr>
          <w:rFonts w:hint="eastAsia" w:ascii="宋体" w:hAnsi="宋体"/>
          <w:color w:val="auto"/>
          <w:sz w:val="24"/>
          <w:highlight w:val="none"/>
        </w:rPr>
        <w:t>投标人可先到工地踏勘以充分了解工地位置、情况、道路、储存空间、装卸限制及任何其他足以影响承包价的情况，任何因忽视或误解工地情况而导致的索赔或工期延长申请将不被批准。</w:t>
      </w:r>
    </w:p>
    <w:p w14:paraId="5138E77E">
      <w:pPr>
        <w:pStyle w:val="4"/>
        <w:spacing w:after="0" w:line="360" w:lineRule="auto"/>
        <w:ind w:firstLine="480" w:firstLineChars="200"/>
        <w:rPr>
          <w:rFonts w:ascii="宋体"/>
          <w:color w:val="auto"/>
          <w:sz w:val="24"/>
          <w:highlight w:val="none"/>
        </w:rPr>
      </w:pPr>
      <w:r>
        <w:rPr>
          <w:rFonts w:ascii="宋体" w:hAnsi="宋体"/>
          <w:color w:val="auto"/>
          <w:sz w:val="24"/>
          <w:highlight w:val="none"/>
        </w:rPr>
        <w:t>13.8</w:t>
      </w:r>
      <w:r>
        <w:rPr>
          <w:rFonts w:hint="eastAsia" w:ascii="宋体" w:hAnsi="宋体"/>
          <w:color w:val="auto"/>
          <w:sz w:val="24"/>
          <w:highlight w:val="none"/>
        </w:rPr>
        <w:t>属于承包人自行采购的主要材料、设备，招标人应当在招标文件中提出材料、设备的技术标准或者质量要求，或者提出不少于</w:t>
      </w:r>
      <w:r>
        <w:rPr>
          <w:rFonts w:ascii="宋体" w:hAnsi="宋体"/>
          <w:color w:val="auto"/>
          <w:sz w:val="24"/>
          <w:highlight w:val="none"/>
        </w:rPr>
        <w:t>3</w:t>
      </w:r>
      <w:r>
        <w:rPr>
          <w:rFonts w:hint="eastAsia" w:ascii="宋体" w:hAnsi="宋体"/>
          <w:color w:val="auto"/>
          <w:sz w:val="24"/>
          <w:highlight w:val="none"/>
        </w:rPr>
        <w:t>个同等档次品牌或分包商供投标人报价时选择</w:t>
      </w:r>
      <w:r>
        <w:rPr>
          <w:rFonts w:ascii="宋体"/>
          <w:color w:val="auto"/>
          <w:sz w:val="24"/>
          <w:highlight w:val="none"/>
        </w:rPr>
        <w:t>,</w:t>
      </w:r>
      <w:r>
        <w:rPr>
          <w:rFonts w:hint="eastAsia" w:ascii="宋体" w:hAnsi="宋体"/>
          <w:color w:val="auto"/>
          <w:sz w:val="24"/>
          <w:highlight w:val="none"/>
        </w:rPr>
        <w:t>凡招标人在招标文件中提出参考品牌的，必须在参考品牌后面加上“或相当于”字样。投标人在投标文件中应明确所选用主要材料、设备的品牌、厂家以及质量等级，并且应当符合招标文件的要求。</w:t>
      </w:r>
    </w:p>
    <w:p w14:paraId="4E5DA5C6">
      <w:pPr>
        <w:pStyle w:val="4"/>
        <w:spacing w:after="0" w:line="360" w:lineRule="auto"/>
        <w:ind w:firstLine="480" w:firstLineChars="200"/>
        <w:rPr>
          <w:rFonts w:hint="eastAsia" w:ascii="宋体"/>
          <w:color w:val="auto"/>
          <w:sz w:val="24"/>
          <w:szCs w:val="24"/>
          <w:highlight w:val="none"/>
        </w:rPr>
      </w:pPr>
      <w:r>
        <w:rPr>
          <w:rFonts w:ascii="宋体" w:hAnsi="宋体"/>
          <w:color w:val="auto"/>
          <w:sz w:val="24"/>
          <w:highlight w:val="none"/>
        </w:rPr>
        <w:t>13.9</w:t>
      </w:r>
      <w:r>
        <w:rPr>
          <w:rFonts w:hint="eastAsia" w:ascii="宋体"/>
          <w:color w:val="auto"/>
          <w:sz w:val="24"/>
          <w:szCs w:val="24"/>
          <w:highlight w:val="none"/>
        </w:rPr>
        <w:t>招标人与中标人应本着实事求是、风险共担的原则，充分考虑施工合同履行期间人工、建筑材料、机械设备价格因素的影响。对于各类钢筋、混凝土等主要材料以及人工、机械设备等，应结合合同工期、各价格因素对工程总造价的影响等，合理约定调价机制。调价机制应由招标人在招标文件及合同中明确，内容包括调价范围（含材料、机械的具体名称、工种等）、价格变动时限、幅度以及相应的合同价款调整方法。</w:t>
      </w:r>
    </w:p>
    <w:p w14:paraId="12E61E34">
      <w:pPr>
        <w:pStyle w:val="4"/>
        <w:spacing w:after="0" w:line="360" w:lineRule="auto"/>
        <w:ind w:firstLine="480" w:firstLineChars="200"/>
        <w:rPr>
          <w:rFonts w:ascii="宋体"/>
          <w:b/>
          <w:bCs/>
          <w:color w:val="auto"/>
          <w:sz w:val="24"/>
          <w:szCs w:val="24"/>
          <w:highlight w:val="none"/>
          <w:u w:val="single"/>
        </w:rPr>
      </w:pPr>
      <w:r>
        <w:rPr>
          <w:rFonts w:hint="eastAsia" w:ascii="宋体"/>
          <w:color w:val="auto"/>
          <w:sz w:val="24"/>
          <w:szCs w:val="24"/>
          <w:highlight w:val="none"/>
        </w:rPr>
        <w:t>13.10</w:t>
      </w:r>
      <w:r>
        <w:rPr>
          <w:rFonts w:hint="eastAsia" w:ascii="宋体"/>
          <w:b/>
          <w:bCs/>
          <w:color w:val="auto"/>
          <w:sz w:val="24"/>
          <w:szCs w:val="24"/>
          <w:highlight w:val="none"/>
          <w:u w:val="single"/>
        </w:rPr>
        <w:t>投标人一旦中标，中标价即为合同价，合同价款在合同条款签订后，任何一方不得擅自改变。投标人在报价时要充分考虑本工程的一切风险因素（如场地因素、地质资料和地下障碍物因素、材料设备价格因素、工程费用调整因素、外部环境影响因素等），在投标报价时作出最优和最合适、最有竞争力的报价。</w:t>
      </w:r>
    </w:p>
    <w:p w14:paraId="4604D9FC">
      <w:pPr>
        <w:pStyle w:val="4"/>
        <w:spacing w:after="0" w:line="360" w:lineRule="auto"/>
        <w:ind w:firstLine="482" w:firstLineChars="200"/>
        <w:rPr>
          <w:rFonts w:ascii="宋体"/>
          <w:b/>
          <w:bCs/>
          <w:color w:val="auto"/>
          <w:sz w:val="24"/>
          <w:szCs w:val="24"/>
          <w:highlight w:val="none"/>
          <w:u w:val="single"/>
        </w:rPr>
      </w:pPr>
      <w:r>
        <w:rPr>
          <w:rFonts w:hint="eastAsia" w:ascii="宋体"/>
          <w:b/>
          <w:bCs/>
          <w:color w:val="auto"/>
          <w:sz w:val="24"/>
          <w:szCs w:val="24"/>
          <w:highlight w:val="none"/>
          <w:u w:val="single"/>
        </w:rPr>
        <w:t>13.11工程变更详见本招标文件所附施工合同专用条款第72.工程变更事件的有关规定。</w:t>
      </w:r>
    </w:p>
    <w:p w14:paraId="2ABB5EEC">
      <w:pPr>
        <w:pStyle w:val="4"/>
        <w:spacing w:after="0" w:line="360" w:lineRule="auto"/>
        <w:ind w:firstLine="482" w:firstLineChars="200"/>
        <w:rPr>
          <w:rFonts w:hint="eastAsia" w:ascii="宋体"/>
          <w:b/>
          <w:bCs/>
          <w:color w:val="auto"/>
          <w:sz w:val="24"/>
          <w:szCs w:val="24"/>
          <w:highlight w:val="none"/>
        </w:rPr>
      </w:pPr>
      <w:r>
        <w:rPr>
          <w:rFonts w:hint="eastAsia" w:ascii="宋体"/>
          <w:b/>
          <w:bCs/>
          <w:color w:val="auto"/>
          <w:sz w:val="24"/>
          <w:szCs w:val="24"/>
          <w:highlight w:val="none"/>
          <w:u w:val="single"/>
        </w:rPr>
        <w:t>13.12工程量清单说明详见本招标文件第七章。</w:t>
      </w:r>
    </w:p>
    <w:p w14:paraId="1D6B8CC6">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14</w:t>
      </w:r>
      <w:r>
        <w:rPr>
          <w:rFonts w:hint="eastAsia" w:ascii="宋体" w:hAnsi="宋体"/>
          <w:b/>
          <w:bCs/>
          <w:color w:val="auto"/>
          <w:sz w:val="24"/>
          <w:highlight w:val="none"/>
        </w:rPr>
        <w:t>．投标货币</w:t>
      </w:r>
    </w:p>
    <w:p w14:paraId="369FC218">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14.1 </w:t>
      </w:r>
      <w:r>
        <w:rPr>
          <w:rFonts w:hint="eastAsia" w:ascii="宋体" w:hAnsi="宋体"/>
          <w:color w:val="auto"/>
          <w:sz w:val="24"/>
          <w:highlight w:val="none"/>
        </w:rPr>
        <w:t>本工程投标报价采用的币种为人民币。</w:t>
      </w:r>
    </w:p>
    <w:p w14:paraId="4EE4B12E">
      <w:pPr>
        <w:pStyle w:val="4"/>
        <w:spacing w:after="0" w:line="360" w:lineRule="auto"/>
        <w:ind w:firstLine="482" w:firstLineChars="200"/>
        <w:rPr>
          <w:rFonts w:ascii="宋体"/>
          <w:color w:val="auto"/>
          <w:sz w:val="24"/>
          <w:highlight w:val="none"/>
        </w:rPr>
      </w:pPr>
      <w:r>
        <w:rPr>
          <w:rFonts w:ascii="宋体" w:hAnsi="宋体"/>
          <w:b/>
          <w:bCs/>
          <w:color w:val="auto"/>
          <w:sz w:val="24"/>
          <w:highlight w:val="none"/>
        </w:rPr>
        <w:t>15</w:t>
      </w:r>
      <w:r>
        <w:rPr>
          <w:rFonts w:hint="eastAsia" w:ascii="宋体" w:hAnsi="宋体"/>
          <w:b/>
          <w:bCs/>
          <w:color w:val="auto"/>
          <w:sz w:val="24"/>
          <w:highlight w:val="none"/>
        </w:rPr>
        <w:t>．投标有效期</w:t>
      </w:r>
    </w:p>
    <w:p w14:paraId="1572500B">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15.1 </w:t>
      </w:r>
      <w:r>
        <w:rPr>
          <w:rFonts w:hint="eastAsia" w:ascii="宋体" w:hAnsi="宋体"/>
          <w:color w:val="auto"/>
          <w:sz w:val="24"/>
          <w:highlight w:val="none"/>
        </w:rPr>
        <w:t>投标有效期见投标须知前附表第</w:t>
      </w:r>
      <w:r>
        <w:rPr>
          <w:rFonts w:hint="eastAsia" w:ascii="宋体" w:hAnsi="宋体"/>
          <w:color w:val="auto"/>
          <w:sz w:val="24"/>
          <w:highlight w:val="none"/>
          <w:lang w:val="en-US" w:eastAsia="zh-CN"/>
        </w:rPr>
        <w:t>15</w:t>
      </w:r>
      <w:r>
        <w:rPr>
          <w:rFonts w:hint="eastAsia" w:ascii="宋体" w:hAnsi="宋体"/>
          <w:color w:val="auto"/>
          <w:sz w:val="24"/>
          <w:highlight w:val="none"/>
        </w:rPr>
        <w:t>项所规定的期限，在此期限内，凡符合本招标文件要求的投标文件均保持有效。</w:t>
      </w:r>
    </w:p>
    <w:p w14:paraId="24BB7780">
      <w:pPr>
        <w:pStyle w:val="4"/>
        <w:spacing w:after="0" w:line="360" w:lineRule="auto"/>
        <w:ind w:firstLine="480" w:firstLineChars="200"/>
        <w:rPr>
          <w:rFonts w:ascii="宋体"/>
          <w:color w:val="auto"/>
          <w:sz w:val="24"/>
          <w:highlight w:val="none"/>
        </w:rPr>
      </w:pPr>
      <w:r>
        <w:rPr>
          <w:rFonts w:ascii="宋体" w:hAnsi="宋体"/>
          <w:color w:val="auto"/>
          <w:sz w:val="24"/>
          <w:highlight w:val="none"/>
        </w:rPr>
        <w:t xml:space="preserve">15.2 </w:t>
      </w:r>
      <w:r>
        <w:rPr>
          <w:rFonts w:hint="eastAsia" w:ascii="宋体" w:hAnsi="宋体"/>
          <w:color w:val="auto"/>
          <w:sz w:val="24"/>
          <w:highlight w:val="none"/>
        </w:rPr>
        <w:t>在特殊情况下，招标人在原定投标有效期内，可以根据需要以书面形式向投标人提出延长投标有效期的要求，对此要求投标人须以书面形式予以答复。投标人可以拒绝招标人这种要求，而不影响退还其投标保证金。同意延长投标有效期的投标人既不能要求也不允许修改其投标文件，但需要相应的延长投标保证金的有效期，在延长的投标有效期内，本须知第</w:t>
      </w:r>
      <w:r>
        <w:rPr>
          <w:rFonts w:ascii="宋体" w:hAnsi="宋体"/>
          <w:color w:val="auto"/>
          <w:sz w:val="24"/>
          <w:highlight w:val="none"/>
        </w:rPr>
        <w:t>16</w:t>
      </w:r>
      <w:r>
        <w:rPr>
          <w:rFonts w:hint="eastAsia" w:ascii="宋体" w:hAnsi="宋体"/>
          <w:color w:val="auto"/>
          <w:sz w:val="24"/>
          <w:highlight w:val="none"/>
        </w:rPr>
        <w:t>条关于投标保证金的退还与不予退还的规定仍然适用。</w:t>
      </w:r>
    </w:p>
    <w:p w14:paraId="794DA32A">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16</w:t>
      </w:r>
      <w:r>
        <w:rPr>
          <w:rFonts w:hint="eastAsia" w:ascii="宋体" w:hAnsi="宋体"/>
          <w:b/>
          <w:bCs/>
          <w:color w:val="auto"/>
          <w:sz w:val="24"/>
          <w:highlight w:val="none"/>
        </w:rPr>
        <w:t>．投标保证金</w:t>
      </w:r>
    </w:p>
    <w:p w14:paraId="67D3EA9C">
      <w:pPr>
        <w:pStyle w:val="4"/>
        <w:spacing w:after="0" w:line="360" w:lineRule="auto"/>
        <w:ind w:firstLine="482" w:firstLineChars="200"/>
        <w:rPr>
          <w:rFonts w:ascii="宋体" w:hAnsi="宋体"/>
          <w:b/>
          <w:bCs/>
          <w:color w:val="auto"/>
          <w:sz w:val="24"/>
          <w:highlight w:val="none"/>
          <w:u w:val="single"/>
        </w:rPr>
      </w:pPr>
      <w:r>
        <w:rPr>
          <w:rFonts w:hint="eastAsia" w:ascii="宋体" w:hAnsi="宋体"/>
          <w:b/>
          <w:bCs/>
          <w:color w:val="auto"/>
          <w:sz w:val="24"/>
          <w:highlight w:val="none"/>
          <w:u w:val="single"/>
        </w:rPr>
        <w:t>16.1本项目免收投标保证金，投标人提供《关于投标保证金的承诺》（详见第四章投标文件格式）。</w:t>
      </w:r>
    </w:p>
    <w:p w14:paraId="0B0304DA">
      <w:pPr>
        <w:pStyle w:val="4"/>
        <w:spacing w:after="0" w:line="360" w:lineRule="auto"/>
        <w:ind w:firstLine="482" w:firstLineChars="200"/>
        <w:rPr>
          <w:rFonts w:ascii="宋体" w:hAnsi="宋体"/>
          <w:b/>
          <w:bCs/>
          <w:color w:val="auto"/>
          <w:sz w:val="24"/>
          <w:highlight w:val="none"/>
          <w:u w:val="single"/>
        </w:rPr>
      </w:pPr>
      <w:r>
        <w:rPr>
          <w:rFonts w:hint="eastAsia" w:ascii="宋体" w:hAnsi="宋体"/>
          <w:b/>
          <w:bCs/>
          <w:color w:val="auto"/>
          <w:sz w:val="24"/>
          <w:highlight w:val="none"/>
          <w:u w:val="single"/>
        </w:rPr>
        <w:t>16.2对于投标人已提供《关于投标保证金的承诺》，若投标人存在16.4条款所列情形，该投标人应在发现存在16.4条款所列情形之日起5个工作日内按投标须知前附表第1</w:t>
      </w:r>
      <w:r>
        <w:rPr>
          <w:rFonts w:hint="eastAsia" w:ascii="宋体" w:hAnsi="宋体"/>
          <w:b/>
          <w:bCs/>
          <w:color w:val="auto"/>
          <w:sz w:val="24"/>
          <w:highlight w:val="none"/>
          <w:u w:val="single"/>
          <w:lang w:val="en-US" w:eastAsia="zh-CN"/>
        </w:rPr>
        <w:t>6</w:t>
      </w:r>
      <w:r>
        <w:rPr>
          <w:rFonts w:hint="eastAsia" w:ascii="宋体" w:hAnsi="宋体"/>
          <w:b/>
          <w:bCs/>
          <w:color w:val="auto"/>
          <w:sz w:val="24"/>
          <w:highlight w:val="none"/>
          <w:u w:val="single"/>
        </w:rPr>
        <w:t>项所述金额补交投标保证金。若未按要求补交投标保证金的将暂停其参与招标人后续工程投标，直至完成补交手续为止。</w:t>
      </w:r>
    </w:p>
    <w:p w14:paraId="0557ABA4">
      <w:pPr>
        <w:pStyle w:val="4"/>
        <w:spacing w:after="0" w:line="360" w:lineRule="auto"/>
        <w:ind w:firstLine="482" w:firstLineChars="200"/>
        <w:rPr>
          <w:rFonts w:ascii="宋体" w:hAnsi="宋体"/>
          <w:b/>
          <w:bCs/>
          <w:color w:val="auto"/>
          <w:sz w:val="24"/>
          <w:highlight w:val="none"/>
          <w:u w:val="single"/>
        </w:rPr>
      </w:pPr>
      <w:r>
        <w:rPr>
          <w:rFonts w:hint="eastAsia" w:ascii="宋体" w:hAnsi="宋体"/>
          <w:b/>
          <w:bCs/>
          <w:color w:val="auto"/>
          <w:sz w:val="24"/>
          <w:highlight w:val="none"/>
          <w:u w:val="single"/>
        </w:rPr>
        <w:t>16.3开标时投标人没有按招标文件要求提交《关于投标保证金的承诺》的投标人，视为未按要求提供投标保证金。</w:t>
      </w:r>
    </w:p>
    <w:p w14:paraId="04FF25DF">
      <w:pPr>
        <w:pStyle w:val="4"/>
        <w:spacing w:after="0" w:line="360" w:lineRule="auto"/>
        <w:ind w:firstLine="482" w:firstLineChars="200"/>
        <w:rPr>
          <w:rFonts w:ascii="宋体" w:hAnsi="宋体"/>
          <w:b/>
          <w:bCs/>
          <w:color w:val="auto"/>
          <w:sz w:val="24"/>
          <w:highlight w:val="none"/>
          <w:u w:val="single"/>
        </w:rPr>
      </w:pPr>
      <w:r>
        <w:rPr>
          <w:rFonts w:hint="eastAsia" w:ascii="宋体" w:hAnsi="宋体"/>
          <w:b/>
          <w:bCs/>
          <w:color w:val="auto"/>
          <w:sz w:val="24"/>
          <w:highlight w:val="none"/>
          <w:u w:val="single"/>
        </w:rPr>
        <w:t>16.4如有下列情况之一的，招标人可以不予退还投标保证金（是否退还投标保证金由招标人在招标文件中规定）：</w:t>
      </w:r>
    </w:p>
    <w:p w14:paraId="27215719">
      <w:pPr>
        <w:pStyle w:val="4"/>
        <w:spacing w:after="0" w:line="360" w:lineRule="auto"/>
        <w:ind w:firstLine="482" w:firstLineChars="200"/>
        <w:rPr>
          <w:rFonts w:ascii="宋体" w:hAnsi="宋体"/>
          <w:b/>
          <w:bCs/>
          <w:color w:val="auto"/>
          <w:sz w:val="24"/>
          <w:highlight w:val="none"/>
          <w:u w:val="single"/>
        </w:rPr>
      </w:pPr>
      <w:r>
        <w:rPr>
          <w:rFonts w:hint="eastAsia" w:ascii="宋体" w:hAnsi="宋体"/>
          <w:b/>
          <w:bCs/>
          <w:color w:val="auto"/>
          <w:sz w:val="24"/>
          <w:highlight w:val="none"/>
          <w:u w:val="single"/>
        </w:rPr>
        <w:t>16.4.1因投标人原因造成投标文件未解密的；</w:t>
      </w:r>
    </w:p>
    <w:p w14:paraId="7CE593CE">
      <w:pPr>
        <w:pStyle w:val="4"/>
        <w:spacing w:after="0" w:line="360" w:lineRule="auto"/>
        <w:ind w:firstLine="482" w:firstLineChars="200"/>
        <w:rPr>
          <w:rFonts w:ascii="宋体" w:hAnsi="宋体"/>
          <w:b/>
          <w:bCs/>
          <w:color w:val="auto"/>
          <w:sz w:val="24"/>
          <w:highlight w:val="none"/>
          <w:u w:val="single"/>
        </w:rPr>
      </w:pPr>
      <w:r>
        <w:rPr>
          <w:rFonts w:hint="eastAsia" w:ascii="宋体" w:hAnsi="宋体"/>
          <w:b/>
          <w:bCs/>
          <w:color w:val="auto"/>
          <w:sz w:val="24"/>
          <w:highlight w:val="none"/>
          <w:u w:val="single"/>
        </w:rPr>
        <w:t>16.4.2投标人在投标有效期内撤销投标文件；</w:t>
      </w:r>
    </w:p>
    <w:p w14:paraId="6938F0F8">
      <w:pPr>
        <w:pStyle w:val="4"/>
        <w:spacing w:after="0" w:line="360" w:lineRule="auto"/>
        <w:ind w:firstLine="482" w:firstLineChars="200"/>
        <w:rPr>
          <w:rFonts w:ascii="宋体" w:hAnsi="宋体"/>
          <w:b/>
          <w:bCs/>
          <w:color w:val="auto"/>
          <w:sz w:val="24"/>
          <w:highlight w:val="none"/>
          <w:u w:val="single"/>
        </w:rPr>
      </w:pPr>
      <w:r>
        <w:rPr>
          <w:rFonts w:hint="eastAsia" w:ascii="宋体" w:hAnsi="宋体"/>
          <w:b/>
          <w:bCs/>
          <w:color w:val="auto"/>
          <w:sz w:val="24"/>
          <w:highlight w:val="none"/>
          <w:u w:val="single"/>
        </w:rPr>
        <w:t>16.4.3中标人未能在规定期限内按要求提交履约担保；</w:t>
      </w:r>
    </w:p>
    <w:p w14:paraId="77FA444E">
      <w:pPr>
        <w:spacing w:line="360" w:lineRule="auto"/>
        <w:ind w:firstLine="482" w:firstLineChars="200"/>
        <w:rPr>
          <w:rFonts w:ascii="宋体" w:hAnsi="宋体"/>
          <w:b/>
          <w:bCs/>
          <w:color w:val="auto"/>
          <w:sz w:val="24"/>
          <w:highlight w:val="none"/>
        </w:rPr>
      </w:pPr>
      <w:r>
        <w:rPr>
          <w:rFonts w:hint="eastAsia" w:ascii="宋体" w:hAnsi="宋体"/>
          <w:b/>
          <w:bCs/>
          <w:color w:val="auto"/>
          <w:sz w:val="24"/>
          <w:highlight w:val="none"/>
          <w:u w:val="single"/>
        </w:rPr>
        <w:t>16.4.4中标人未能在规定期限内签署合同协议。</w:t>
      </w:r>
    </w:p>
    <w:p w14:paraId="48AEB19E">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17</w:t>
      </w:r>
      <w:r>
        <w:rPr>
          <w:rFonts w:hint="eastAsia" w:ascii="宋体" w:hAnsi="宋体"/>
          <w:b/>
          <w:bCs/>
          <w:color w:val="auto"/>
          <w:sz w:val="24"/>
          <w:highlight w:val="none"/>
        </w:rPr>
        <w:t>．投标文件的签署</w:t>
      </w:r>
    </w:p>
    <w:p w14:paraId="0D4F1855">
      <w:pPr>
        <w:spacing w:line="360" w:lineRule="auto"/>
        <w:ind w:firstLine="480" w:firstLineChars="200"/>
        <w:rPr>
          <w:rFonts w:hint="eastAsia" w:ascii="宋体" w:hAnsi="宋体"/>
          <w:b/>
          <w:bCs/>
          <w:color w:val="auto"/>
          <w:sz w:val="24"/>
          <w:highlight w:val="none"/>
        </w:rPr>
      </w:pPr>
      <w:r>
        <w:rPr>
          <w:rFonts w:ascii="宋体" w:hAnsi="宋体"/>
          <w:color w:val="auto"/>
          <w:sz w:val="24"/>
          <w:highlight w:val="none"/>
        </w:rPr>
        <w:t>17.1</w:t>
      </w:r>
      <w:r>
        <w:rPr>
          <w:rFonts w:hint="eastAsia" w:ascii="宋体" w:hAnsi="宋体"/>
          <w:color w:val="auto"/>
          <w:sz w:val="24"/>
          <w:highlight w:val="none"/>
        </w:rPr>
        <w:t>投标人应采用单位数字证书</w:t>
      </w:r>
      <w:r>
        <w:rPr>
          <w:rFonts w:hint="eastAsia" w:ascii="宋体" w:hAnsi="宋体"/>
          <w:b/>
          <w:bCs/>
          <w:sz w:val="24"/>
          <w:szCs w:val="24"/>
          <w:highlight w:val="none"/>
          <w:u w:val="single"/>
        </w:rPr>
        <w:t>（联合体投标的，由联合体主办方采用其单位数字证书）</w:t>
      </w:r>
      <w:r>
        <w:rPr>
          <w:rFonts w:hint="eastAsia" w:ascii="宋体" w:hAnsi="宋体"/>
          <w:color w:val="auto"/>
          <w:sz w:val="24"/>
          <w:highlight w:val="none"/>
        </w:rPr>
        <w:t>，按招标文件要求在相应位置加盖电子印章。投标文件中需个人签字或盖章的，应</w:t>
      </w:r>
      <w:r>
        <w:rPr>
          <w:rFonts w:hint="eastAsia" w:ascii="宋体" w:hAnsi="宋体"/>
          <w:color w:val="auto"/>
          <w:sz w:val="24"/>
          <w:highlight w:val="none"/>
          <w:u w:val="single"/>
        </w:rPr>
        <w:t>加盖个人电子印章或</w:t>
      </w:r>
      <w:r>
        <w:rPr>
          <w:rFonts w:hint="eastAsia" w:ascii="宋体" w:hAnsi="宋体"/>
          <w:b/>
          <w:bCs/>
          <w:color w:val="auto"/>
          <w:sz w:val="24"/>
          <w:highlight w:val="none"/>
          <w:u w:val="single"/>
        </w:rPr>
        <w:t>手签或盖章</w:t>
      </w:r>
      <w:r>
        <w:rPr>
          <w:rFonts w:hint="eastAsia" w:ascii="宋体" w:hAnsi="宋体"/>
          <w:color w:val="auto"/>
          <w:sz w:val="24"/>
          <w:highlight w:val="none"/>
        </w:rPr>
        <w:t>后扫描上传。</w:t>
      </w:r>
      <w:r>
        <w:rPr>
          <w:rFonts w:hint="eastAsia" w:ascii="宋体" w:hAnsi="宋体"/>
          <w:b/>
          <w:bCs/>
          <w:color w:val="auto"/>
          <w:sz w:val="24"/>
          <w:highlight w:val="none"/>
          <w:u w:val="single"/>
        </w:rPr>
        <w:t>由广州投标文件管理专用软件系统生成的“工程量清单主表--工程量清单报价表”封面页及扉页可以仅采用单位数字证书加盖电子印章处理。</w:t>
      </w:r>
      <w:r>
        <w:rPr>
          <w:rFonts w:hint="eastAsia" w:ascii="宋体" w:hAnsi="宋体"/>
          <w:color w:val="auto"/>
          <w:sz w:val="24"/>
          <w:highlight w:val="none"/>
        </w:rPr>
        <w:t>按照交易平台关于全流程电子化项目的相关指南进行操作。详见：</w:t>
      </w:r>
      <w:r>
        <w:rPr>
          <w:rFonts w:hint="eastAsia" w:ascii="宋体" w:hAnsi="宋体"/>
          <w:b/>
          <w:bCs/>
          <w:color w:val="auto"/>
          <w:sz w:val="24"/>
          <w:highlight w:val="none"/>
          <w:u w:val="single"/>
        </w:rPr>
        <w:t>【全流程电子化项目】电子招投标操作手册（无纸化）</w:t>
      </w:r>
      <w:r>
        <w:rPr>
          <w:rFonts w:hint="eastAsia" w:ascii="宋体" w:hAnsi="宋体"/>
          <w:b/>
          <w:bCs/>
          <w:color w:val="auto"/>
          <w:sz w:val="24"/>
          <w:highlight w:val="none"/>
        </w:rPr>
        <w:t>。</w:t>
      </w:r>
    </w:p>
    <w:p w14:paraId="27882DB4">
      <w:pPr>
        <w:pBdr>
          <w:top w:val="none" w:color="auto" w:sz="0" w:space="0"/>
          <w:left w:val="none" w:color="auto" w:sz="0" w:space="0"/>
          <w:bottom w:val="none" w:color="auto" w:sz="0" w:space="0"/>
          <w:right w:val="none" w:color="auto" w:sz="0" w:space="0"/>
          <w:between w:val="none" w:color="auto" w:sz="0" w:space="0"/>
        </w:pBdr>
        <w:spacing w:line="360" w:lineRule="auto"/>
        <w:ind w:firstLine="482" w:firstLineChars="200"/>
        <w:rPr>
          <w:rFonts w:hint="eastAsia" w:ascii="宋体" w:hAnsi="宋体"/>
          <w:b/>
          <w:bCs/>
          <w:sz w:val="24"/>
          <w:szCs w:val="24"/>
          <w:highlight w:val="none"/>
          <w:u w:val="single"/>
        </w:rPr>
      </w:pPr>
      <w:r>
        <w:rPr>
          <w:rFonts w:hint="eastAsia" w:ascii="宋体" w:hAnsi="宋体"/>
          <w:b/>
          <w:bCs/>
          <w:sz w:val="24"/>
          <w:szCs w:val="24"/>
          <w:highlight w:val="none"/>
          <w:u w:val="single"/>
        </w:rPr>
        <w:t>17.2联合体投标的，除《联合体工作协议》需联合体各方分别按要求进行签字、盖章外，投标文件内容及落款中的“投标人”应填写联合体各方的单位全称【格式表示为：（主）A公司全称（成）B公司全称】，可由主办方签字、盖章。</w:t>
      </w:r>
    </w:p>
    <w:p w14:paraId="5AFD7F8A">
      <w:pPr>
        <w:spacing w:line="360" w:lineRule="auto"/>
        <w:ind w:firstLine="482" w:firstLineChars="200"/>
        <w:rPr>
          <w:rFonts w:ascii="宋体" w:hAnsi="宋体"/>
          <w:color w:val="auto"/>
          <w:sz w:val="24"/>
          <w:highlight w:val="none"/>
        </w:rPr>
      </w:pPr>
      <w:r>
        <w:rPr>
          <w:rFonts w:hint="eastAsia" w:ascii="宋体" w:hAnsi="宋体"/>
          <w:b/>
          <w:bCs/>
          <w:color w:val="auto"/>
          <w:sz w:val="24"/>
          <w:highlight w:val="none"/>
          <w:u w:val="single"/>
        </w:rPr>
        <w:t>17.</w:t>
      </w:r>
      <w:r>
        <w:rPr>
          <w:rFonts w:hint="eastAsia" w:ascii="宋体" w:hAnsi="宋体"/>
          <w:b/>
          <w:bCs/>
          <w:color w:val="auto"/>
          <w:sz w:val="24"/>
          <w:highlight w:val="none"/>
          <w:u w:val="single"/>
          <w:lang w:val="en-US" w:eastAsia="zh-CN"/>
        </w:rPr>
        <w:t>3</w:t>
      </w:r>
      <w:r>
        <w:rPr>
          <w:rFonts w:hint="eastAsia" w:ascii="宋体" w:hAnsi="宋体"/>
          <w:b/>
          <w:bCs/>
          <w:color w:val="auto"/>
          <w:sz w:val="24"/>
          <w:highlight w:val="none"/>
          <w:u w:val="single"/>
        </w:rPr>
        <w:t>发放中标通知书后3个工作天内投标人需到招标人处，在招标人、招标代理、投标人三方共同见证下，将在</w:t>
      </w:r>
      <w:r>
        <w:rPr>
          <w:rFonts w:hint="eastAsia" w:ascii="宋体" w:hAnsi="宋体"/>
          <w:b/>
          <w:bCs/>
          <w:color w:val="auto"/>
          <w:sz w:val="24"/>
          <w:highlight w:val="none"/>
          <w:u w:val="single"/>
          <w:lang w:eastAsia="zh-CN"/>
        </w:rPr>
        <w:t>广州交易集团有限公司（广州公共资源交易中心）</w:t>
      </w:r>
      <w:r>
        <w:rPr>
          <w:rFonts w:hint="eastAsia" w:ascii="宋体" w:hAnsi="宋体"/>
          <w:b/>
          <w:bCs/>
          <w:color w:val="auto"/>
          <w:sz w:val="24"/>
          <w:highlight w:val="none"/>
          <w:u w:val="single"/>
        </w:rPr>
        <w:t>网站下载的投标文件打印(其中的预算文件需转换成《建设工程工程量清单计价规范》规定的格式)，并三方签名确认，投标人加盖公章，然后再复印4套，合共5套投标文件提供给招标人，相关费用由投标人支付。</w:t>
      </w:r>
    </w:p>
    <w:p w14:paraId="595AC0C4">
      <w:pPr>
        <w:pStyle w:val="7"/>
        <w:bidi w:val="0"/>
        <w:rPr>
          <w:color w:val="auto"/>
          <w:highlight w:val="none"/>
        </w:rPr>
      </w:pPr>
      <w:bookmarkStart w:id="42" w:name="_Toc21525496"/>
      <w:bookmarkStart w:id="43" w:name="_Toc32530"/>
      <w:bookmarkStart w:id="44" w:name="_Toc2272552"/>
      <w:bookmarkStart w:id="45" w:name="_Toc16518"/>
      <w:bookmarkStart w:id="46" w:name="_Toc4944"/>
      <w:bookmarkStart w:id="47" w:name="_Toc29520"/>
      <w:r>
        <w:rPr>
          <w:rFonts w:hint="eastAsia"/>
          <w:color w:val="auto"/>
          <w:highlight w:val="none"/>
        </w:rPr>
        <w:t>（四）投标文件的提交</w:t>
      </w:r>
      <w:bookmarkEnd w:id="42"/>
      <w:bookmarkEnd w:id="43"/>
      <w:bookmarkEnd w:id="44"/>
      <w:bookmarkEnd w:id="45"/>
      <w:bookmarkEnd w:id="46"/>
      <w:bookmarkEnd w:id="47"/>
    </w:p>
    <w:p w14:paraId="3DE7598A">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18</w:t>
      </w:r>
      <w:r>
        <w:rPr>
          <w:rFonts w:hint="eastAsia" w:ascii="宋体" w:hAnsi="宋体"/>
          <w:b/>
          <w:bCs/>
          <w:color w:val="auto"/>
          <w:sz w:val="24"/>
          <w:highlight w:val="none"/>
        </w:rPr>
        <w:t>．</w:t>
      </w:r>
      <w:r>
        <w:rPr>
          <w:rFonts w:hint="eastAsia"/>
          <w:b/>
          <w:color w:val="auto"/>
          <w:sz w:val="24"/>
          <w:szCs w:val="24"/>
          <w:highlight w:val="none"/>
        </w:rPr>
        <w:t>投标文件的密封和标记</w:t>
      </w:r>
    </w:p>
    <w:p w14:paraId="4DFAF16F">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8</w:t>
      </w:r>
      <w:r>
        <w:rPr>
          <w:rFonts w:ascii="宋体" w:hAnsi="宋体"/>
          <w:bCs/>
          <w:color w:val="auto"/>
          <w:sz w:val="24"/>
          <w:highlight w:val="none"/>
        </w:rPr>
        <w:t>.1</w:t>
      </w:r>
      <w:r>
        <w:rPr>
          <w:rFonts w:hint="eastAsia" w:ascii="宋体" w:hAnsi="宋体"/>
          <w:bCs/>
          <w:color w:val="auto"/>
          <w:sz w:val="24"/>
          <w:highlight w:val="none"/>
        </w:rPr>
        <w:t>递交的电子投标文件</w:t>
      </w:r>
      <w:r>
        <w:rPr>
          <w:rFonts w:hint="eastAsia" w:ascii="宋体" w:hAnsi="宋体"/>
          <w:b/>
          <w:bCs w:val="0"/>
          <w:color w:val="auto"/>
          <w:sz w:val="24"/>
          <w:highlight w:val="none"/>
          <w:u w:val="single"/>
          <w:lang w:eastAsia="zh-CN"/>
        </w:rPr>
        <w:t>（评标部分和定标部分）</w:t>
      </w:r>
      <w:r>
        <w:rPr>
          <w:rFonts w:hint="eastAsia" w:ascii="宋体" w:hAnsi="宋体"/>
          <w:bCs/>
          <w:color w:val="auto"/>
          <w:sz w:val="24"/>
          <w:highlight w:val="none"/>
        </w:rPr>
        <w:t>（不含备用光盘）必须进行加密。按照交易平台关于</w:t>
      </w:r>
      <w:r>
        <w:rPr>
          <w:rFonts w:hint="eastAsia"/>
          <w:color w:val="auto"/>
          <w:sz w:val="24"/>
          <w:szCs w:val="24"/>
          <w:highlight w:val="none"/>
        </w:rPr>
        <w:t>全流程电子化项目的相关指南进行操作。详见：</w:t>
      </w:r>
      <w:r>
        <w:rPr>
          <w:rFonts w:hint="eastAsia" w:ascii="宋体" w:hAnsi="宋体" w:cs="宋体"/>
          <w:b/>
          <w:bCs/>
          <w:sz w:val="24"/>
          <w:szCs w:val="24"/>
          <w:highlight w:val="none"/>
          <w:u w:val="single"/>
        </w:rPr>
        <w:t>【全流程电子化项目】电子招投标操作手册（无纸化）</w:t>
      </w:r>
      <w:r>
        <w:rPr>
          <w:rFonts w:hint="eastAsia"/>
          <w:color w:val="auto"/>
          <w:sz w:val="24"/>
          <w:szCs w:val="24"/>
          <w:highlight w:val="none"/>
          <w:u w:val="single"/>
        </w:rPr>
        <w:t>网站</w:t>
      </w:r>
      <w:r>
        <w:rPr>
          <w:rFonts w:hint="eastAsia"/>
          <w:color w:val="auto"/>
          <w:sz w:val="24"/>
          <w:szCs w:val="24"/>
          <w:highlight w:val="none"/>
        </w:rPr>
        <w:t>。</w:t>
      </w:r>
    </w:p>
    <w:p w14:paraId="220E1AB2">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8</w:t>
      </w:r>
      <w:r>
        <w:rPr>
          <w:rFonts w:ascii="宋体" w:hAnsi="宋体"/>
          <w:bCs/>
          <w:color w:val="auto"/>
          <w:sz w:val="24"/>
          <w:highlight w:val="none"/>
        </w:rPr>
        <w:t>.2</w:t>
      </w:r>
      <w:r>
        <w:rPr>
          <w:rFonts w:ascii="宋体"/>
          <w:bCs/>
          <w:color w:val="auto"/>
          <w:sz w:val="24"/>
          <w:highlight w:val="none"/>
        </w:rPr>
        <w:t xml:space="preserve"> </w:t>
      </w:r>
      <w:r>
        <w:rPr>
          <w:rFonts w:hint="eastAsia" w:ascii="宋体"/>
          <w:bCs/>
          <w:color w:val="auto"/>
          <w:sz w:val="24"/>
          <w:highlight w:val="none"/>
        </w:rPr>
        <w:t>未按要求加密的投标文件</w:t>
      </w:r>
      <w:r>
        <w:rPr>
          <w:rFonts w:hint="eastAsia" w:ascii="宋体" w:hAnsi="宋体"/>
          <w:b/>
          <w:bCs w:val="0"/>
          <w:color w:val="auto"/>
          <w:sz w:val="24"/>
          <w:highlight w:val="none"/>
          <w:u w:val="single"/>
          <w:lang w:eastAsia="zh-CN"/>
        </w:rPr>
        <w:t>（评标部分和定标部分）</w:t>
      </w:r>
      <w:r>
        <w:rPr>
          <w:rFonts w:hint="eastAsia" w:ascii="宋体"/>
          <w:bCs/>
          <w:color w:val="auto"/>
          <w:sz w:val="24"/>
          <w:highlight w:val="none"/>
        </w:rPr>
        <w:t>，</w:t>
      </w:r>
      <w:r>
        <w:rPr>
          <w:rFonts w:hint="eastAsia"/>
          <w:b/>
          <w:bCs/>
          <w:color w:val="auto"/>
          <w:sz w:val="24"/>
          <w:szCs w:val="24"/>
          <w:highlight w:val="none"/>
          <w:u w:val="single"/>
          <w:lang w:eastAsia="zh-CN"/>
        </w:rPr>
        <w:t>广州交易集团有限公司（广州公共资源交易中心）</w:t>
      </w:r>
      <w:r>
        <w:rPr>
          <w:rFonts w:hint="eastAsia"/>
          <w:color w:val="auto"/>
          <w:sz w:val="24"/>
          <w:szCs w:val="24"/>
          <w:highlight w:val="none"/>
          <w:u w:val="single"/>
        </w:rPr>
        <w:t>网站</w:t>
      </w:r>
      <w:r>
        <w:rPr>
          <w:rFonts w:hint="eastAsia" w:ascii="宋体" w:hAnsi="宋体"/>
          <w:color w:val="auto"/>
          <w:sz w:val="24"/>
          <w:szCs w:val="24"/>
          <w:highlight w:val="none"/>
        </w:rPr>
        <w:t>交易平台</w:t>
      </w:r>
      <w:r>
        <w:rPr>
          <w:rFonts w:hint="eastAsia" w:ascii="宋体"/>
          <w:bCs/>
          <w:color w:val="auto"/>
          <w:sz w:val="24"/>
          <w:highlight w:val="none"/>
        </w:rPr>
        <w:t>将予以拒收。</w:t>
      </w:r>
    </w:p>
    <w:p w14:paraId="6B5D62DE">
      <w:pPr>
        <w:spacing w:line="360" w:lineRule="auto"/>
        <w:ind w:firstLine="482" w:firstLineChars="200"/>
        <w:rPr>
          <w:rFonts w:ascii="宋体"/>
          <w:b/>
          <w:bCs/>
          <w:color w:val="auto"/>
          <w:sz w:val="24"/>
          <w:highlight w:val="none"/>
        </w:rPr>
      </w:pPr>
      <w:r>
        <w:rPr>
          <w:rFonts w:ascii="宋体" w:hAnsi="宋体"/>
          <w:b/>
          <w:bCs/>
          <w:color w:val="auto"/>
          <w:sz w:val="24"/>
          <w:highlight w:val="none"/>
        </w:rPr>
        <w:t>19</w:t>
      </w:r>
      <w:r>
        <w:rPr>
          <w:rFonts w:hint="eastAsia" w:ascii="宋体" w:hAnsi="宋体"/>
          <w:b/>
          <w:bCs/>
          <w:color w:val="auto"/>
          <w:sz w:val="24"/>
          <w:highlight w:val="none"/>
        </w:rPr>
        <w:t>．投标文件的递交和接收</w:t>
      </w:r>
    </w:p>
    <w:p w14:paraId="187A7B05">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1投标人通过</w:t>
      </w:r>
      <w:r>
        <w:rPr>
          <w:rFonts w:hint="eastAsia"/>
          <w:b/>
          <w:bCs/>
          <w:color w:val="auto"/>
          <w:sz w:val="24"/>
          <w:szCs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hAnsi="宋体"/>
          <w:color w:val="auto"/>
          <w:sz w:val="24"/>
          <w:highlight w:val="none"/>
        </w:rPr>
        <w:t>递交电子投标文件</w:t>
      </w:r>
      <w:r>
        <w:rPr>
          <w:rFonts w:hint="eastAsia" w:ascii="宋体" w:hAnsi="宋体"/>
          <w:b/>
          <w:bCs w:val="0"/>
          <w:color w:val="auto"/>
          <w:sz w:val="24"/>
          <w:highlight w:val="none"/>
          <w:u w:val="single"/>
          <w:lang w:eastAsia="zh-CN"/>
        </w:rPr>
        <w:t>（评标部分和定标部分）</w:t>
      </w:r>
      <w:r>
        <w:rPr>
          <w:rFonts w:hint="eastAsia" w:ascii="宋体" w:hAnsi="宋体"/>
          <w:color w:val="auto"/>
          <w:sz w:val="24"/>
          <w:highlight w:val="none"/>
        </w:rPr>
        <w:t>。</w:t>
      </w:r>
    </w:p>
    <w:p w14:paraId="5391E3CC">
      <w:pPr>
        <w:spacing w:line="360" w:lineRule="auto"/>
        <w:ind w:firstLine="480" w:firstLineChars="200"/>
        <w:rPr>
          <w:rFonts w:ascii="宋体"/>
          <w:bCs/>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2投标人完成电子</w:t>
      </w:r>
      <w:r>
        <w:rPr>
          <w:rFonts w:hint="eastAsia" w:ascii="宋体" w:hAnsi="宋体"/>
          <w:color w:val="auto"/>
          <w:sz w:val="24"/>
          <w:highlight w:val="none"/>
        </w:rPr>
        <w:t>投标文件</w:t>
      </w:r>
      <w:r>
        <w:rPr>
          <w:rFonts w:hint="eastAsia" w:ascii="宋体" w:hAnsi="宋体"/>
          <w:b/>
          <w:bCs w:val="0"/>
          <w:color w:val="auto"/>
          <w:sz w:val="24"/>
          <w:highlight w:val="none"/>
          <w:u w:val="single"/>
          <w:lang w:eastAsia="zh-CN"/>
        </w:rPr>
        <w:t>（评标部分和定标部分）</w:t>
      </w:r>
      <w:r>
        <w:rPr>
          <w:rFonts w:hint="eastAsia" w:ascii="宋体" w:hAnsi="宋体"/>
          <w:bCs/>
          <w:color w:val="auto"/>
          <w:sz w:val="24"/>
          <w:highlight w:val="none"/>
        </w:rPr>
        <w:t>上传后，</w:t>
      </w:r>
      <w:r>
        <w:rPr>
          <w:rFonts w:hint="eastAsia"/>
          <w:b/>
          <w:bCs/>
          <w:color w:val="auto"/>
          <w:sz w:val="24"/>
          <w:szCs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hAnsi="宋体"/>
          <w:color w:val="auto"/>
          <w:sz w:val="24"/>
          <w:highlight w:val="none"/>
        </w:rPr>
        <w:t>即时向投标人发出递交回执通知。递交时间以递交回执通知载明的传输完成时间为准。</w:t>
      </w:r>
    </w:p>
    <w:p w14:paraId="5D726D04">
      <w:pPr>
        <w:spacing w:line="360" w:lineRule="auto"/>
        <w:ind w:firstLine="480" w:firstLineChars="200"/>
        <w:rPr>
          <w:rFonts w:ascii="宋体" w:hAnsi="宋体"/>
          <w:color w:val="auto"/>
          <w:sz w:val="24"/>
          <w:highlight w:val="none"/>
        </w:rPr>
      </w:pPr>
      <w:r>
        <w:rPr>
          <w:rFonts w:ascii="宋体" w:hAnsi="宋体"/>
          <w:bCs/>
          <w:color w:val="auto"/>
          <w:sz w:val="24"/>
          <w:highlight w:val="none"/>
        </w:rPr>
        <w:t>1</w:t>
      </w:r>
      <w:r>
        <w:rPr>
          <w:rFonts w:hint="eastAsia" w:ascii="宋体" w:hAnsi="宋体"/>
          <w:bCs/>
          <w:color w:val="auto"/>
          <w:sz w:val="24"/>
          <w:highlight w:val="none"/>
        </w:rPr>
        <w:t>9</w:t>
      </w:r>
      <w:r>
        <w:rPr>
          <w:rFonts w:ascii="宋体" w:hAnsi="宋体"/>
          <w:bCs/>
          <w:color w:val="auto"/>
          <w:sz w:val="24"/>
          <w:highlight w:val="none"/>
        </w:rPr>
        <w:t>.</w:t>
      </w:r>
      <w:r>
        <w:rPr>
          <w:rFonts w:hint="eastAsia" w:ascii="宋体" w:hAnsi="宋体"/>
          <w:bCs/>
          <w:color w:val="auto"/>
          <w:sz w:val="24"/>
          <w:highlight w:val="none"/>
        </w:rPr>
        <w:t>3</w:t>
      </w:r>
      <w:r>
        <w:rPr>
          <w:rFonts w:hint="eastAsia"/>
          <w:bCs/>
          <w:color w:val="auto"/>
          <w:sz w:val="24"/>
          <w:szCs w:val="24"/>
          <w:highlight w:val="none"/>
        </w:rPr>
        <w:t>逾期送达的</w:t>
      </w:r>
      <w:r>
        <w:rPr>
          <w:rFonts w:hint="eastAsia" w:ascii="宋体" w:hAnsi="宋体"/>
          <w:bCs/>
          <w:color w:val="auto"/>
          <w:sz w:val="24"/>
          <w:highlight w:val="none"/>
        </w:rPr>
        <w:t>电子投标文件</w:t>
      </w:r>
      <w:r>
        <w:rPr>
          <w:rFonts w:hint="eastAsia" w:ascii="宋体" w:hAnsi="宋体"/>
          <w:b/>
          <w:bCs w:val="0"/>
          <w:color w:val="auto"/>
          <w:sz w:val="24"/>
          <w:highlight w:val="none"/>
          <w:u w:val="single"/>
          <w:lang w:eastAsia="zh-CN"/>
        </w:rPr>
        <w:t>（评标部分和定标部分）</w:t>
      </w:r>
      <w:r>
        <w:rPr>
          <w:rFonts w:hint="eastAsia" w:ascii="宋体" w:hAnsi="宋体"/>
          <w:bCs/>
          <w:color w:val="auto"/>
          <w:sz w:val="24"/>
          <w:highlight w:val="none"/>
        </w:rPr>
        <w:t>，</w:t>
      </w:r>
      <w:r>
        <w:rPr>
          <w:rFonts w:hint="eastAsia"/>
          <w:b/>
          <w:bCs/>
          <w:color w:val="auto"/>
          <w:sz w:val="24"/>
          <w:szCs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hAnsi="宋体"/>
          <w:color w:val="auto"/>
          <w:sz w:val="24"/>
          <w:highlight w:val="none"/>
        </w:rPr>
        <w:t>将予以拒收。</w:t>
      </w:r>
    </w:p>
    <w:p w14:paraId="25FDFE95">
      <w:pPr>
        <w:spacing w:line="360" w:lineRule="auto"/>
        <w:ind w:firstLine="480" w:firstLineChars="200"/>
        <w:rPr>
          <w:rFonts w:ascii="宋体" w:hAnsi="宋体"/>
          <w:color w:val="auto"/>
          <w:sz w:val="24"/>
          <w:highlight w:val="none"/>
        </w:rPr>
      </w:pPr>
      <w:r>
        <w:rPr>
          <w:rFonts w:ascii="宋体" w:hAnsi="宋体"/>
          <w:color w:val="auto"/>
          <w:sz w:val="24"/>
          <w:highlight w:val="none"/>
        </w:rPr>
        <w:t>19.</w:t>
      </w:r>
      <w:r>
        <w:rPr>
          <w:rFonts w:hint="eastAsia" w:ascii="宋体" w:hAnsi="宋体"/>
          <w:color w:val="auto"/>
          <w:sz w:val="24"/>
          <w:highlight w:val="none"/>
        </w:rPr>
        <w:t>4</w:t>
      </w:r>
      <w:r>
        <w:rPr>
          <w:rFonts w:ascii="宋体" w:hAnsi="宋体"/>
          <w:color w:val="auto"/>
          <w:sz w:val="24"/>
          <w:highlight w:val="none"/>
        </w:rPr>
        <w:t xml:space="preserve"> </w:t>
      </w:r>
      <w:r>
        <w:rPr>
          <w:rFonts w:hint="eastAsia" w:ascii="宋体" w:hAnsi="宋体"/>
          <w:color w:val="auto"/>
          <w:sz w:val="24"/>
          <w:szCs w:val="24"/>
          <w:highlight w:val="none"/>
        </w:rPr>
        <w:t>投标截止前，</w:t>
      </w:r>
      <w:r>
        <w:rPr>
          <w:rFonts w:hint="eastAsia"/>
          <w:color w:val="auto"/>
          <w:sz w:val="24"/>
          <w:szCs w:val="24"/>
          <w:highlight w:val="none"/>
        </w:rPr>
        <w:t>招标人拒绝接收符合条件的投标文件，投标人可向招标投标监督机构投诉。</w:t>
      </w:r>
    </w:p>
    <w:p w14:paraId="2D18760F">
      <w:pPr>
        <w:spacing w:line="360" w:lineRule="auto"/>
        <w:ind w:firstLine="482" w:firstLineChars="200"/>
        <w:rPr>
          <w:rFonts w:ascii="宋体"/>
          <w:b/>
          <w:bCs/>
          <w:color w:val="auto"/>
          <w:sz w:val="24"/>
          <w:highlight w:val="none"/>
        </w:rPr>
      </w:pPr>
      <w:r>
        <w:rPr>
          <w:rFonts w:ascii="宋体" w:hAnsi="宋体"/>
          <w:b/>
          <w:bCs/>
          <w:color w:val="auto"/>
          <w:sz w:val="24"/>
          <w:highlight w:val="none"/>
        </w:rPr>
        <w:t>20</w:t>
      </w:r>
      <w:r>
        <w:rPr>
          <w:rFonts w:hint="eastAsia" w:ascii="宋体" w:hAnsi="宋体"/>
          <w:b/>
          <w:bCs/>
          <w:color w:val="auto"/>
          <w:sz w:val="24"/>
          <w:highlight w:val="none"/>
        </w:rPr>
        <w:t>．投标文件提交的截止时间</w:t>
      </w:r>
    </w:p>
    <w:p w14:paraId="0D34A197">
      <w:pPr>
        <w:spacing w:line="360" w:lineRule="auto"/>
        <w:ind w:firstLine="480" w:firstLineChars="200"/>
        <w:rPr>
          <w:rFonts w:ascii="宋体"/>
          <w:b/>
          <w:bCs/>
          <w:color w:val="auto"/>
          <w:sz w:val="24"/>
          <w:highlight w:val="none"/>
        </w:rPr>
      </w:pPr>
      <w:r>
        <w:rPr>
          <w:rFonts w:ascii="宋体" w:hAnsi="宋体"/>
          <w:color w:val="auto"/>
          <w:sz w:val="24"/>
          <w:highlight w:val="none"/>
        </w:rPr>
        <w:t>20.1</w:t>
      </w:r>
      <w:r>
        <w:rPr>
          <w:rFonts w:hint="eastAsia" w:ascii="宋体" w:hAnsi="宋体"/>
          <w:color w:val="auto"/>
          <w:sz w:val="24"/>
          <w:highlight w:val="none"/>
        </w:rPr>
        <w:t>投标人应在投标须知前附表第</w:t>
      </w:r>
      <w:r>
        <w:rPr>
          <w:rFonts w:hint="eastAsia" w:ascii="宋体" w:hAnsi="宋体"/>
          <w:color w:val="auto"/>
          <w:sz w:val="24"/>
          <w:highlight w:val="none"/>
          <w:lang w:val="en-US" w:eastAsia="zh-CN"/>
        </w:rPr>
        <w:t>17</w:t>
      </w:r>
      <w:r>
        <w:rPr>
          <w:rFonts w:hint="eastAsia" w:ascii="宋体" w:hAnsi="宋体"/>
          <w:color w:val="auto"/>
          <w:sz w:val="24"/>
          <w:highlight w:val="none"/>
        </w:rPr>
        <w:t>项所述的时间前提交投标文件。</w:t>
      </w:r>
    </w:p>
    <w:p w14:paraId="5679E337">
      <w:pPr>
        <w:spacing w:line="360" w:lineRule="auto"/>
        <w:ind w:firstLine="480" w:firstLineChars="200"/>
        <w:rPr>
          <w:rFonts w:ascii="宋体"/>
          <w:color w:val="auto"/>
          <w:sz w:val="24"/>
          <w:highlight w:val="none"/>
        </w:rPr>
      </w:pPr>
      <w:r>
        <w:rPr>
          <w:rFonts w:ascii="宋体" w:hAnsi="宋体"/>
          <w:color w:val="auto"/>
          <w:sz w:val="24"/>
          <w:highlight w:val="none"/>
        </w:rPr>
        <w:t>20.2</w:t>
      </w:r>
      <w:r>
        <w:rPr>
          <w:rFonts w:hint="eastAsia" w:ascii="宋体" w:hAnsi="宋体"/>
          <w:color w:val="auto"/>
          <w:sz w:val="24"/>
          <w:highlight w:val="none"/>
        </w:rPr>
        <w:t>招标人可按本须知第</w:t>
      </w:r>
      <w:r>
        <w:rPr>
          <w:rFonts w:ascii="宋体" w:hAnsi="宋体"/>
          <w:color w:val="auto"/>
          <w:sz w:val="24"/>
          <w:highlight w:val="none"/>
        </w:rPr>
        <w:t>9</w:t>
      </w:r>
      <w:r>
        <w:rPr>
          <w:rFonts w:hint="eastAsia" w:ascii="宋体" w:hAnsi="宋体"/>
          <w:color w:val="auto"/>
          <w:sz w:val="24"/>
          <w:highlight w:val="none"/>
        </w:rPr>
        <w:t>条规定以招标文件修改的方式，酌情延长提交投标文件的截止时间。在此情况下，投标人的所有权利和义务以及投标人受制约的截止时间，均以延长后新的投标截止时间为准。</w:t>
      </w:r>
    </w:p>
    <w:p w14:paraId="0F333A83">
      <w:pPr>
        <w:spacing w:line="360" w:lineRule="auto"/>
        <w:ind w:firstLine="480" w:firstLineChars="200"/>
        <w:rPr>
          <w:rFonts w:ascii="宋体"/>
          <w:color w:val="auto"/>
          <w:sz w:val="24"/>
          <w:highlight w:val="none"/>
        </w:rPr>
      </w:pPr>
      <w:r>
        <w:rPr>
          <w:rFonts w:ascii="宋体" w:hAnsi="宋体"/>
          <w:color w:val="auto"/>
          <w:sz w:val="24"/>
          <w:highlight w:val="none"/>
        </w:rPr>
        <w:t xml:space="preserve">20.3 </w:t>
      </w:r>
      <w:r>
        <w:rPr>
          <w:rFonts w:hint="eastAsia" w:ascii="宋体" w:hAnsi="宋体"/>
          <w:color w:val="auto"/>
          <w:sz w:val="24"/>
          <w:highlight w:val="none"/>
        </w:rPr>
        <w:t>到投标截止时间止，招标人收到的投标文件少于3家的，招标人将重新组织招标</w:t>
      </w:r>
      <w:r>
        <w:rPr>
          <w:rFonts w:hint="eastAsia" w:ascii="宋体" w:hAnsi="宋体"/>
          <w:color w:val="auto"/>
          <w:sz w:val="24"/>
          <w:szCs w:val="24"/>
          <w:highlight w:val="none"/>
        </w:rPr>
        <w:t>（当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w:t>
      </w:r>
      <w:r>
        <w:rPr>
          <w:rFonts w:hint="eastAsia" w:ascii="宋体" w:hAnsi="宋体"/>
          <w:color w:val="auto"/>
          <w:sz w:val="24"/>
          <w:szCs w:val="24"/>
          <w:highlight w:val="none"/>
        </w:rPr>
        <w:t>2家，则重新组织招标）</w:t>
      </w:r>
      <w:r>
        <w:rPr>
          <w:rFonts w:hint="eastAsia" w:ascii="宋体" w:hAnsi="宋体"/>
          <w:color w:val="auto"/>
          <w:sz w:val="24"/>
          <w:highlight w:val="none"/>
        </w:rPr>
        <w:t>。</w:t>
      </w:r>
    </w:p>
    <w:p w14:paraId="4C5FDAA0">
      <w:pPr>
        <w:spacing w:line="360" w:lineRule="auto"/>
        <w:ind w:firstLine="482" w:firstLineChars="200"/>
        <w:rPr>
          <w:rFonts w:ascii="宋体"/>
          <w:b/>
          <w:bCs/>
          <w:color w:val="auto"/>
          <w:sz w:val="24"/>
          <w:highlight w:val="none"/>
        </w:rPr>
      </w:pPr>
      <w:r>
        <w:rPr>
          <w:rFonts w:ascii="宋体" w:hAnsi="宋体"/>
          <w:b/>
          <w:bCs/>
          <w:color w:val="auto"/>
          <w:sz w:val="24"/>
          <w:highlight w:val="none"/>
        </w:rPr>
        <w:t>21</w:t>
      </w:r>
      <w:r>
        <w:rPr>
          <w:rFonts w:hint="eastAsia" w:ascii="宋体" w:hAnsi="宋体"/>
          <w:b/>
          <w:bCs/>
          <w:color w:val="auto"/>
          <w:sz w:val="24"/>
          <w:highlight w:val="none"/>
        </w:rPr>
        <w:t>．迟交的投标文件</w:t>
      </w:r>
    </w:p>
    <w:p w14:paraId="415EAB92">
      <w:pPr>
        <w:spacing w:line="360" w:lineRule="auto"/>
        <w:ind w:firstLine="480" w:firstLineChars="200"/>
        <w:rPr>
          <w:rFonts w:ascii="宋体"/>
          <w:color w:val="auto"/>
          <w:sz w:val="24"/>
          <w:highlight w:val="none"/>
        </w:rPr>
      </w:pPr>
      <w:r>
        <w:rPr>
          <w:rFonts w:ascii="宋体" w:hAnsi="宋体"/>
          <w:color w:val="auto"/>
          <w:sz w:val="24"/>
          <w:highlight w:val="none"/>
        </w:rPr>
        <w:t xml:space="preserve">21.1 </w:t>
      </w:r>
      <w:r>
        <w:rPr>
          <w:rFonts w:hint="eastAsia" w:ascii="宋体" w:hAnsi="宋体"/>
          <w:color w:val="auto"/>
          <w:sz w:val="24"/>
          <w:highlight w:val="none"/>
        </w:rPr>
        <w:t>本须知前附表第</w:t>
      </w:r>
      <w:r>
        <w:rPr>
          <w:rFonts w:hint="eastAsia" w:ascii="宋体" w:hAnsi="宋体"/>
          <w:color w:val="auto"/>
          <w:sz w:val="24"/>
          <w:highlight w:val="none"/>
          <w:lang w:val="en-US" w:eastAsia="zh-CN"/>
        </w:rPr>
        <w:t>17</w:t>
      </w:r>
      <w:r>
        <w:rPr>
          <w:rFonts w:hint="eastAsia" w:ascii="宋体" w:hAnsi="宋体"/>
          <w:color w:val="auto"/>
          <w:sz w:val="24"/>
          <w:highlight w:val="none"/>
        </w:rPr>
        <w:t>项规定的投标截止时间</w:t>
      </w:r>
      <w:r>
        <w:rPr>
          <w:rFonts w:hint="eastAsia"/>
          <w:bCs/>
          <w:color w:val="auto"/>
          <w:sz w:val="24"/>
          <w:szCs w:val="24"/>
          <w:highlight w:val="none"/>
        </w:rPr>
        <w:t>后送达的</w:t>
      </w:r>
      <w:r>
        <w:rPr>
          <w:rFonts w:hint="eastAsia" w:ascii="宋体" w:hAnsi="宋体"/>
          <w:bCs/>
          <w:color w:val="auto"/>
          <w:sz w:val="24"/>
          <w:highlight w:val="none"/>
        </w:rPr>
        <w:t>电子投标文件，</w:t>
      </w:r>
      <w:r>
        <w:rPr>
          <w:rFonts w:hint="eastAsia"/>
          <w:b/>
          <w:bCs/>
          <w:color w:val="auto"/>
          <w:sz w:val="24"/>
          <w:szCs w:val="24"/>
          <w:highlight w:val="none"/>
          <w:u w:val="single"/>
          <w:lang w:eastAsia="zh-CN"/>
        </w:rPr>
        <w:t>广州交易集团有限公司（广州公共资源交易中心）</w:t>
      </w:r>
      <w:r>
        <w:rPr>
          <w:rFonts w:hint="eastAsia" w:ascii="宋体" w:hAnsi="宋体"/>
          <w:color w:val="auto"/>
          <w:sz w:val="24"/>
          <w:szCs w:val="24"/>
          <w:highlight w:val="none"/>
        </w:rPr>
        <w:t>交易平台</w:t>
      </w:r>
      <w:r>
        <w:rPr>
          <w:rFonts w:hint="eastAsia" w:ascii="宋体" w:hAnsi="宋体"/>
          <w:color w:val="auto"/>
          <w:sz w:val="24"/>
          <w:highlight w:val="none"/>
        </w:rPr>
        <w:t>将予以拒收。</w:t>
      </w:r>
    </w:p>
    <w:p w14:paraId="61426359">
      <w:pPr>
        <w:spacing w:line="360" w:lineRule="auto"/>
        <w:ind w:firstLine="482" w:firstLineChars="200"/>
        <w:rPr>
          <w:rFonts w:ascii="宋体"/>
          <w:b/>
          <w:bCs/>
          <w:color w:val="auto"/>
          <w:sz w:val="24"/>
          <w:highlight w:val="none"/>
        </w:rPr>
      </w:pPr>
      <w:r>
        <w:rPr>
          <w:rFonts w:ascii="宋体" w:hAnsi="宋体"/>
          <w:b/>
          <w:bCs/>
          <w:color w:val="auto"/>
          <w:sz w:val="24"/>
          <w:highlight w:val="none"/>
        </w:rPr>
        <w:t>22</w:t>
      </w:r>
      <w:r>
        <w:rPr>
          <w:rFonts w:hint="eastAsia" w:ascii="宋体" w:hAnsi="宋体"/>
          <w:b/>
          <w:bCs/>
          <w:color w:val="auto"/>
          <w:sz w:val="24"/>
          <w:highlight w:val="none"/>
        </w:rPr>
        <w:t>．投标文件的修改与撤回</w:t>
      </w:r>
    </w:p>
    <w:p w14:paraId="24F5CBF4">
      <w:pPr>
        <w:spacing w:line="360" w:lineRule="auto"/>
        <w:ind w:firstLine="480" w:firstLineChars="200"/>
        <w:rPr>
          <w:rFonts w:ascii="宋体"/>
          <w:color w:val="auto"/>
          <w:sz w:val="24"/>
          <w:highlight w:val="none"/>
        </w:rPr>
      </w:pPr>
      <w:r>
        <w:rPr>
          <w:rFonts w:ascii="宋体" w:hAnsi="宋体"/>
          <w:color w:val="auto"/>
          <w:sz w:val="24"/>
          <w:highlight w:val="none"/>
        </w:rPr>
        <w:t>22.1</w:t>
      </w:r>
      <w:r>
        <w:rPr>
          <w:rFonts w:hint="eastAsia" w:ascii="宋体" w:hAnsi="宋体"/>
          <w:color w:val="auto"/>
          <w:sz w:val="24"/>
          <w:highlight w:val="none"/>
        </w:rPr>
        <w:t>在规定的投标截止时间前，投标人可以修改或撤回已递交的投标文件，但应以书面形式通知招标人。</w:t>
      </w:r>
    </w:p>
    <w:p w14:paraId="7E1E015F">
      <w:pPr>
        <w:spacing w:line="360" w:lineRule="auto"/>
        <w:ind w:firstLine="480" w:firstLineChars="200"/>
        <w:rPr>
          <w:color w:val="auto"/>
          <w:sz w:val="24"/>
          <w:szCs w:val="24"/>
          <w:highlight w:val="none"/>
        </w:rPr>
      </w:pPr>
      <w:r>
        <w:rPr>
          <w:rFonts w:ascii="宋体" w:hAnsi="宋体"/>
          <w:color w:val="auto"/>
          <w:sz w:val="24"/>
          <w:szCs w:val="24"/>
          <w:highlight w:val="none"/>
        </w:rPr>
        <w:t>22.2</w:t>
      </w:r>
      <w:r>
        <w:rPr>
          <w:color w:val="auto"/>
          <w:sz w:val="24"/>
          <w:szCs w:val="24"/>
          <w:highlight w:val="none"/>
        </w:rPr>
        <w:t>投标人修改或撤回已递交</w:t>
      </w:r>
      <w:r>
        <w:rPr>
          <w:rFonts w:hint="eastAsia"/>
          <w:color w:val="auto"/>
          <w:sz w:val="24"/>
          <w:szCs w:val="24"/>
          <w:highlight w:val="none"/>
        </w:rPr>
        <w:t>的</w:t>
      </w:r>
      <w:r>
        <w:rPr>
          <w:color w:val="auto"/>
          <w:sz w:val="24"/>
          <w:szCs w:val="24"/>
          <w:highlight w:val="none"/>
        </w:rPr>
        <w:t>投标文件</w:t>
      </w:r>
      <w:r>
        <w:rPr>
          <w:rFonts w:hint="eastAsia"/>
          <w:color w:val="auto"/>
          <w:sz w:val="24"/>
          <w:szCs w:val="24"/>
          <w:highlight w:val="none"/>
        </w:rPr>
        <w:t>，需在</w:t>
      </w:r>
      <w:r>
        <w:rPr>
          <w:rFonts w:hint="eastAsia" w:ascii="宋体" w:hAnsi="宋体"/>
          <w:color w:val="auto"/>
          <w:sz w:val="24"/>
          <w:highlight w:val="none"/>
        </w:rPr>
        <w:t>交易平台发出修改或撤回</w:t>
      </w:r>
      <w:r>
        <w:rPr>
          <w:color w:val="auto"/>
          <w:sz w:val="24"/>
          <w:szCs w:val="24"/>
          <w:highlight w:val="none"/>
        </w:rPr>
        <w:t>通知，</w:t>
      </w:r>
      <w:r>
        <w:rPr>
          <w:rFonts w:hint="eastAsia"/>
          <w:color w:val="auto"/>
          <w:sz w:val="24"/>
          <w:szCs w:val="24"/>
          <w:highlight w:val="none"/>
        </w:rPr>
        <w:t>并按</w:t>
      </w:r>
      <w:r>
        <w:rPr>
          <w:color w:val="auto"/>
          <w:sz w:val="24"/>
          <w:szCs w:val="24"/>
          <w:highlight w:val="none"/>
        </w:rPr>
        <w:t>要求加盖电子印章。</w:t>
      </w:r>
      <w:r>
        <w:rPr>
          <w:bCs/>
          <w:iCs/>
          <w:color w:val="auto"/>
          <w:sz w:val="24"/>
          <w:szCs w:val="24"/>
          <w:highlight w:val="none"/>
        </w:rPr>
        <w:t>电子招标投标交易平台收到通知后，</w:t>
      </w:r>
      <w:r>
        <w:rPr>
          <w:color w:val="auto"/>
          <w:sz w:val="24"/>
          <w:szCs w:val="24"/>
          <w:highlight w:val="none"/>
        </w:rPr>
        <w:t>即时向投标人发出确认回执通知。</w:t>
      </w:r>
    </w:p>
    <w:p w14:paraId="6ADFABB2">
      <w:pPr>
        <w:spacing w:line="360" w:lineRule="auto"/>
        <w:ind w:firstLine="480" w:firstLineChars="200"/>
        <w:rPr>
          <w:color w:val="auto"/>
          <w:sz w:val="24"/>
          <w:szCs w:val="24"/>
          <w:highlight w:val="none"/>
        </w:rPr>
      </w:pPr>
      <w:r>
        <w:rPr>
          <w:rFonts w:hint="eastAsia" w:ascii="宋体" w:hAnsi="宋体"/>
          <w:color w:val="auto"/>
          <w:sz w:val="24"/>
          <w:szCs w:val="24"/>
          <w:highlight w:val="none"/>
        </w:rPr>
        <w:t>22.3</w:t>
      </w:r>
      <w:r>
        <w:rPr>
          <w:rFonts w:hint="eastAsia"/>
          <w:color w:val="auto"/>
          <w:sz w:val="24"/>
          <w:szCs w:val="24"/>
          <w:highlight w:val="none"/>
        </w:rPr>
        <w:t>修改后再次递交的</w:t>
      </w:r>
      <w:r>
        <w:rPr>
          <w:rFonts w:hint="eastAsia"/>
          <w:bCs/>
          <w:iCs/>
          <w:color w:val="auto"/>
          <w:sz w:val="24"/>
          <w:szCs w:val="24"/>
          <w:highlight w:val="none"/>
        </w:rPr>
        <w:t>，按19点的规</w:t>
      </w:r>
      <w:r>
        <w:rPr>
          <w:rFonts w:hint="eastAsia"/>
          <w:color w:val="auto"/>
          <w:sz w:val="24"/>
          <w:szCs w:val="24"/>
          <w:highlight w:val="none"/>
        </w:rPr>
        <w:t>定执行。</w:t>
      </w:r>
    </w:p>
    <w:p w14:paraId="6EAAAAE3">
      <w:pPr>
        <w:spacing w:line="360" w:lineRule="auto"/>
        <w:ind w:firstLine="480" w:firstLineChars="200"/>
        <w:rPr>
          <w:rFonts w:ascii="宋体" w:hAnsi="宋体"/>
          <w:color w:val="auto"/>
          <w:sz w:val="24"/>
          <w:highlight w:val="none"/>
        </w:rPr>
      </w:pPr>
      <w:r>
        <w:rPr>
          <w:rFonts w:ascii="宋体" w:hAnsi="宋体"/>
          <w:color w:val="auto"/>
          <w:sz w:val="24"/>
          <w:highlight w:val="none"/>
        </w:rPr>
        <w:t>22.</w:t>
      </w:r>
      <w:r>
        <w:rPr>
          <w:rFonts w:hint="eastAsia" w:ascii="宋体" w:hAnsi="宋体"/>
          <w:color w:val="auto"/>
          <w:sz w:val="24"/>
          <w:highlight w:val="none"/>
        </w:rPr>
        <w:t>4</w:t>
      </w:r>
      <w:r>
        <w:rPr>
          <w:rFonts w:ascii="宋体" w:hAnsi="宋体"/>
          <w:color w:val="auto"/>
          <w:sz w:val="24"/>
          <w:highlight w:val="none"/>
        </w:rPr>
        <w:t xml:space="preserve"> </w:t>
      </w:r>
      <w:r>
        <w:rPr>
          <w:rFonts w:hint="eastAsia" w:ascii="宋体" w:hAnsi="宋体"/>
          <w:color w:val="auto"/>
          <w:sz w:val="24"/>
          <w:highlight w:val="none"/>
        </w:rPr>
        <w:t>在投标截止时间之后，投标人不得补充、修改和更换投标文件。</w:t>
      </w:r>
    </w:p>
    <w:p w14:paraId="6D6F5A00">
      <w:pPr>
        <w:pStyle w:val="7"/>
        <w:spacing w:before="156" w:after="156"/>
        <w:rPr>
          <w:color w:val="auto"/>
          <w:highlight w:val="none"/>
        </w:rPr>
      </w:pPr>
      <w:bookmarkStart w:id="48" w:name="_Toc19334"/>
      <w:bookmarkStart w:id="49" w:name="_Toc2272553"/>
      <w:bookmarkStart w:id="50" w:name="_Toc28853"/>
      <w:bookmarkStart w:id="51" w:name="_Toc21525497"/>
      <w:bookmarkStart w:id="52" w:name="_Toc301"/>
      <w:bookmarkStart w:id="53" w:name="_Toc6026"/>
      <w:r>
        <w:rPr>
          <w:rFonts w:hint="eastAsia"/>
          <w:color w:val="auto"/>
          <w:highlight w:val="none"/>
        </w:rPr>
        <w:t>（五）开标、评标、定标及合同签定</w:t>
      </w:r>
      <w:bookmarkEnd w:id="48"/>
      <w:bookmarkEnd w:id="49"/>
      <w:bookmarkEnd w:id="50"/>
      <w:bookmarkEnd w:id="51"/>
      <w:bookmarkEnd w:id="52"/>
      <w:bookmarkEnd w:id="53"/>
    </w:p>
    <w:p w14:paraId="63055767">
      <w:pPr>
        <w:spacing w:line="360" w:lineRule="auto"/>
        <w:ind w:firstLine="482" w:firstLineChars="200"/>
        <w:rPr>
          <w:rFonts w:ascii="宋体"/>
          <w:b/>
          <w:bCs/>
          <w:color w:val="auto"/>
          <w:sz w:val="24"/>
          <w:highlight w:val="none"/>
        </w:rPr>
      </w:pPr>
      <w:r>
        <w:rPr>
          <w:rFonts w:ascii="宋体" w:hAnsi="宋体"/>
          <w:b/>
          <w:bCs/>
          <w:color w:val="auto"/>
          <w:sz w:val="24"/>
          <w:highlight w:val="none"/>
        </w:rPr>
        <w:t>23</w:t>
      </w:r>
      <w:r>
        <w:rPr>
          <w:rFonts w:hint="eastAsia" w:ascii="宋体" w:hAnsi="宋体"/>
          <w:b/>
          <w:bCs/>
          <w:color w:val="auto"/>
          <w:sz w:val="24"/>
          <w:highlight w:val="none"/>
        </w:rPr>
        <w:t>、开标。</w:t>
      </w:r>
    </w:p>
    <w:p w14:paraId="22B33AC5">
      <w:pPr>
        <w:spacing w:line="360" w:lineRule="auto"/>
        <w:ind w:firstLine="480" w:firstLineChars="200"/>
        <w:rPr>
          <w:rFonts w:ascii="宋体"/>
          <w:color w:val="auto"/>
          <w:sz w:val="24"/>
          <w:highlight w:val="none"/>
        </w:rPr>
      </w:pPr>
      <w:r>
        <w:rPr>
          <w:rFonts w:hint="eastAsia" w:ascii="宋体" w:hAnsi="宋体"/>
          <w:color w:val="auto"/>
          <w:sz w:val="24"/>
          <w:highlight w:val="none"/>
        </w:rPr>
        <w:t>详见第二章开标、评标及定标办法</w:t>
      </w:r>
    </w:p>
    <w:p w14:paraId="2A92C521">
      <w:pPr>
        <w:spacing w:line="360" w:lineRule="auto"/>
        <w:ind w:firstLine="482" w:firstLineChars="200"/>
        <w:rPr>
          <w:rFonts w:ascii="宋体"/>
          <w:b/>
          <w:bCs/>
          <w:color w:val="auto"/>
          <w:sz w:val="24"/>
          <w:highlight w:val="none"/>
        </w:rPr>
      </w:pPr>
      <w:r>
        <w:rPr>
          <w:rFonts w:ascii="宋体" w:hAnsi="宋体"/>
          <w:b/>
          <w:bCs/>
          <w:color w:val="auto"/>
          <w:sz w:val="24"/>
          <w:highlight w:val="none"/>
        </w:rPr>
        <w:t>24</w:t>
      </w:r>
      <w:r>
        <w:rPr>
          <w:rFonts w:hint="eastAsia" w:ascii="宋体" w:hAnsi="宋体"/>
          <w:b/>
          <w:bCs/>
          <w:color w:val="auto"/>
          <w:sz w:val="24"/>
          <w:highlight w:val="none"/>
        </w:rPr>
        <w:t>．评标过程的保密</w:t>
      </w:r>
    </w:p>
    <w:p w14:paraId="6CA175FC">
      <w:pPr>
        <w:spacing w:line="360" w:lineRule="auto"/>
        <w:ind w:firstLine="480" w:firstLineChars="200"/>
        <w:rPr>
          <w:rFonts w:ascii="宋体"/>
          <w:color w:val="auto"/>
          <w:sz w:val="24"/>
          <w:highlight w:val="none"/>
        </w:rPr>
      </w:pPr>
      <w:r>
        <w:rPr>
          <w:rFonts w:ascii="宋体" w:hAnsi="宋体"/>
          <w:color w:val="auto"/>
          <w:sz w:val="24"/>
          <w:highlight w:val="none"/>
        </w:rPr>
        <w:t xml:space="preserve">24.1 </w:t>
      </w:r>
      <w:r>
        <w:rPr>
          <w:rFonts w:hint="eastAsia" w:ascii="宋体" w:hAnsi="宋体"/>
          <w:color w:val="auto"/>
          <w:sz w:val="24"/>
          <w:highlight w:val="none"/>
        </w:rPr>
        <w:t>开标后，直至</w:t>
      </w:r>
      <w:r>
        <w:rPr>
          <w:rFonts w:hint="eastAsia" w:ascii="宋体" w:hAnsi="宋体" w:cs="宋体"/>
          <w:b/>
          <w:bCs/>
          <w:sz w:val="24"/>
          <w:szCs w:val="24"/>
          <w:highlight w:val="none"/>
          <w:u w:val="single"/>
        </w:rPr>
        <w:t>合格的中标候选人</w:t>
      </w:r>
      <w:r>
        <w:rPr>
          <w:rFonts w:hint="eastAsia" w:ascii="宋体" w:hAnsi="宋体"/>
          <w:color w:val="auto"/>
          <w:sz w:val="24"/>
          <w:highlight w:val="none"/>
        </w:rPr>
        <w:t>为止，凡属于对投标文件的审查、澄清、评价和比较有关的资料以及</w:t>
      </w:r>
      <w:r>
        <w:rPr>
          <w:rFonts w:hint="eastAsia" w:ascii="宋体" w:hAnsi="宋体" w:cs="宋体"/>
          <w:b/>
          <w:bCs/>
          <w:sz w:val="24"/>
          <w:szCs w:val="24"/>
          <w:highlight w:val="none"/>
          <w:u w:val="single"/>
        </w:rPr>
        <w:t>合格的</w:t>
      </w:r>
      <w:r>
        <w:rPr>
          <w:rFonts w:hint="eastAsia" w:ascii="宋体" w:hAnsi="宋体"/>
          <w:color w:val="auto"/>
          <w:sz w:val="24"/>
          <w:highlight w:val="none"/>
        </w:rPr>
        <w:t>中标候选人的推荐情况，与评标有关的其他任何情况均严格保密。</w:t>
      </w:r>
    </w:p>
    <w:p w14:paraId="7561687A">
      <w:pPr>
        <w:spacing w:line="360" w:lineRule="auto"/>
        <w:ind w:firstLine="480" w:firstLineChars="200"/>
        <w:rPr>
          <w:rFonts w:ascii="宋体"/>
          <w:color w:val="auto"/>
          <w:sz w:val="24"/>
          <w:highlight w:val="none"/>
        </w:rPr>
      </w:pPr>
      <w:r>
        <w:rPr>
          <w:rFonts w:ascii="宋体" w:hAnsi="宋体"/>
          <w:color w:val="auto"/>
          <w:sz w:val="24"/>
          <w:highlight w:val="none"/>
        </w:rPr>
        <w:t xml:space="preserve">24.2 </w:t>
      </w:r>
      <w:r>
        <w:rPr>
          <w:rFonts w:hint="eastAsia" w:ascii="宋体" w:hAnsi="宋体"/>
          <w:color w:val="auto"/>
          <w:sz w:val="24"/>
          <w:highlight w:val="none"/>
        </w:rPr>
        <w:t>在投标文件的评审和比较、</w:t>
      </w:r>
      <w:r>
        <w:rPr>
          <w:rFonts w:hint="eastAsia" w:ascii="宋体" w:hAnsi="宋体" w:cs="Times New Roman"/>
          <w:b w:val="0"/>
          <w:bCs w:val="0"/>
          <w:color w:val="auto"/>
          <w:sz w:val="24"/>
          <w:szCs w:val="22"/>
          <w:highlight w:val="none"/>
          <w:u w:val="none"/>
        </w:rPr>
        <w:t>合格的</w:t>
      </w:r>
      <w:r>
        <w:rPr>
          <w:rFonts w:hint="eastAsia" w:ascii="宋体" w:hAnsi="宋体"/>
          <w:color w:val="auto"/>
          <w:sz w:val="24"/>
          <w:highlight w:val="none"/>
        </w:rPr>
        <w:t>中标候选人推荐</w:t>
      </w:r>
      <w:r>
        <w:rPr>
          <w:rFonts w:hint="eastAsia" w:ascii="宋体" w:hAnsi="宋体" w:cs="Times New Roman"/>
          <w:b w:val="0"/>
          <w:bCs w:val="0"/>
          <w:color w:val="auto"/>
          <w:sz w:val="24"/>
          <w:szCs w:val="22"/>
          <w:highlight w:val="none"/>
          <w:u w:val="none"/>
        </w:rPr>
        <w:t>[不排序，按统一社会信用代码后4位（除校验码外）大小排位，如统一社会信用代码后4位出现字母情况的，字母以“0”进行代替大小排位；如出现后4位（除校验码外）大小一致的，则随机排位。若为联合体投标，指联合体主办方。]、定标</w:t>
      </w:r>
      <w:r>
        <w:rPr>
          <w:rFonts w:hint="eastAsia" w:ascii="宋体" w:hAnsi="宋体"/>
          <w:color w:val="auto"/>
          <w:sz w:val="24"/>
          <w:highlight w:val="none"/>
        </w:rPr>
        <w:t>以及授予合同的过程中，投标人向招标人和评标委员会</w:t>
      </w:r>
      <w:r>
        <w:rPr>
          <w:rFonts w:hint="eastAsia" w:ascii="宋体" w:hAnsi="宋体" w:cs="Times New Roman"/>
          <w:b w:val="0"/>
          <w:bCs w:val="0"/>
          <w:color w:val="auto"/>
          <w:sz w:val="24"/>
          <w:szCs w:val="22"/>
          <w:highlight w:val="none"/>
          <w:u w:val="none"/>
        </w:rPr>
        <w:t>和定标委员会</w:t>
      </w:r>
      <w:r>
        <w:rPr>
          <w:rFonts w:hint="eastAsia" w:ascii="宋体" w:hAnsi="宋体"/>
          <w:color w:val="auto"/>
          <w:sz w:val="24"/>
          <w:highlight w:val="none"/>
        </w:rPr>
        <w:t>施加不公正影响的任何行为，都将会导致其投标被拒绝。</w:t>
      </w:r>
    </w:p>
    <w:p w14:paraId="64E8A4DC">
      <w:pPr>
        <w:spacing w:line="360" w:lineRule="auto"/>
        <w:ind w:firstLine="482" w:firstLineChars="200"/>
        <w:rPr>
          <w:rFonts w:ascii="宋体"/>
          <w:b/>
          <w:bCs/>
          <w:color w:val="auto"/>
          <w:sz w:val="24"/>
          <w:highlight w:val="none"/>
        </w:rPr>
      </w:pPr>
      <w:r>
        <w:rPr>
          <w:rFonts w:ascii="宋体" w:hAnsi="宋体"/>
          <w:b/>
          <w:bCs/>
          <w:color w:val="auto"/>
          <w:sz w:val="24"/>
          <w:highlight w:val="none"/>
        </w:rPr>
        <w:t>25</w:t>
      </w:r>
      <w:r>
        <w:rPr>
          <w:rFonts w:hint="eastAsia" w:ascii="宋体" w:hAnsi="宋体"/>
          <w:b/>
          <w:bCs/>
          <w:color w:val="auto"/>
          <w:sz w:val="24"/>
          <w:highlight w:val="none"/>
        </w:rPr>
        <w:t>．投标文件的澄清，计算错误的修正</w:t>
      </w:r>
    </w:p>
    <w:p w14:paraId="5412105D">
      <w:pPr>
        <w:spacing w:line="360" w:lineRule="auto"/>
        <w:ind w:firstLine="480" w:firstLineChars="200"/>
        <w:rPr>
          <w:rFonts w:ascii="宋体"/>
          <w:color w:val="auto"/>
          <w:sz w:val="24"/>
          <w:highlight w:val="none"/>
        </w:rPr>
      </w:pPr>
      <w:r>
        <w:rPr>
          <w:rFonts w:hint="eastAsia" w:ascii="宋体" w:hAnsi="宋体"/>
          <w:color w:val="auto"/>
          <w:sz w:val="24"/>
          <w:highlight w:val="none"/>
        </w:rPr>
        <w:t>详见招标文件第二章开标、评标及定标办法</w:t>
      </w:r>
    </w:p>
    <w:p w14:paraId="6D9802BC">
      <w:pPr>
        <w:spacing w:line="360" w:lineRule="auto"/>
        <w:ind w:firstLine="482" w:firstLineChars="200"/>
        <w:rPr>
          <w:rFonts w:ascii="宋体"/>
          <w:b/>
          <w:bCs/>
          <w:color w:val="auto"/>
          <w:sz w:val="24"/>
          <w:highlight w:val="none"/>
        </w:rPr>
      </w:pPr>
      <w:r>
        <w:rPr>
          <w:rFonts w:ascii="宋体" w:hAnsi="宋体"/>
          <w:b/>
          <w:bCs/>
          <w:color w:val="auto"/>
          <w:sz w:val="24"/>
          <w:highlight w:val="none"/>
        </w:rPr>
        <w:t>26</w:t>
      </w:r>
      <w:r>
        <w:rPr>
          <w:rFonts w:hint="eastAsia" w:ascii="宋体" w:hAnsi="宋体"/>
          <w:b/>
          <w:bCs/>
          <w:color w:val="auto"/>
          <w:sz w:val="24"/>
          <w:highlight w:val="none"/>
        </w:rPr>
        <w:t>．投标文件的评审、比较和否决</w:t>
      </w:r>
    </w:p>
    <w:p w14:paraId="621D65C5">
      <w:pPr>
        <w:spacing w:line="360" w:lineRule="auto"/>
        <w:ind w:firstLine="480" w:firstLineChars="200"/>
        <w:rPr>
          <w:rFonts w:ascii="宋体"/>
          <w:bCs/>
          <w:color w:val="auto"/>
          <w:sz w:val="24"/>
          <w:szCs w:val="24"/>
          <w:highlight w:val="none"/>
        </w:rPr>
      </w:pPr>
      <w:r>
        <w:rPr>
          <w:rFonts w:hint="eastAsia" w:ascii="宋体" w:hAnsi="宋体"/>
          <w:color w:val="auto"/>
          <w:sz w:val="24"/>
          <w:highlight w:val="none"/>
        </w:rPr>
        <w:t>详见招标文件第二章开标、评标及定标办法。</w:t>
      </w:r>
    </w:p>
    <w:p w14:paraId="4BDA11CC">
      <w:pPr>
        <w:numPr>
          <w:ilvl w:val="0"/>
          <w:numId w:val="7"/>
        </w:numPr>
        <w:spacing w:line="360" w:lineRule="auto"/>
        <w:ind w:firstLine="482" w:firstLineChars="200"/>
        <w:rPr>
          <w:rFonts w:hint="eastAsia" w:ascii="宋体" w:hAnsi="宋体"/>
          <w:b/>
          <w:bCs/>
          <w:color w:val="auto"/>
          <w:sz w:val="24"/>
          <w:highlight w:val="none"/>
          <w:lang w:eastAsia="zh-CN"/>
        </w:rPr>
      </w:pPr>
      <w:r>
        <w:rPr>
          <w:rFonts w:hint="eastAsia" w:ascii="宋体" w:hAnsi="宋体"/>
          <w:b/>
          <w:bCs/>
          <w:color w:val="auto"/>
          <w:sz w:val="24"/>
          <w:highlight w:val="none"/>
          <w:lang w:eastAsia="zh-CN"/>
        </w:rPr>
        <w:t>定标</w:t>
      </w:r>
    </w:p>
    <w:p w14:paraId="764462AA">
      <w:pPr>
        <w:pStyle w:val="21"/>
        <w:spacing w:line="360" w:lineRule="auto"/>
        <w:ind w:firstLine="480" w:firstLineChars="200"/>
        <w:rPr>
          <w:rFonts w:hint="eastAsia" w:hAnsi="宋体"/>
          <w:b/>
          <w:bCs/>
          <w:color w:val="auto"/>
          <w:sz w:val="24"/>
          <w:szCs w:val="22"/>
          <w:highlight w:val="none"/>
          <w:u w:val="single"/>
          <w:lang w:val="en-US" w:eastAsia="zh-CN"/>
        </w:rPr>
      </w:pPr>
      <w:r>
        <w:rPr>
          <w:rFonts w:hint="eastAsia" w:ascii="宋体" w:hAnsi="宋体" w:eastAsia="宋体" w:cs="Times New Roman"/>
          <w:b w:val="0"/>
          <w:bCs w:val="0"/>
          <w:color w:val="auto"/>
          <w:kern w:val="2"/>
          <w:sz w:val="24"/>
          <w:szCs w:val="22"/>
          <w:highlight w:val="none"/>
          <w:u w:val="none"/>
          <w:lang w:val="en-US" w:eastAsia="zh-CN" w:bidi="ar-SA"/>
        </w:rPr>
        <w:t>27.1</w:t>
      </w:r>
      <w:r>
        <w:rPr>
          <w:rFonts w:hint="eastAsia" w:ascii="宋体" w:hAnsi="宋体" w:eastAsia="宋体" w:cs="Times New Roman"/>
          <w:b/>
          <w:bCs/>
          <w:color w:val="auto"/>
          <w:kern w:val="2"/>
          <w:sz w:val="24"/>
          <w:szCs w:val="22"/>
          <w:highlight w:val="none"/>
          <w:u w:val="single"/>
          <w:lang w:val="en-US" w:eastAsia="zh-CN" w:bidi="ar-SA"/>
        </w:rPr>
        <w:t>采用评定分离方式确定中标人的，按照投标人须知前附表第</w:t>
      </w:r>
      <w:r>
        <w:rPr>
          <w:rFonts w:hint="eastAsia" w:hAnsi="宋体" w:cs="Times New Roman"/>
          <w:b/>
          <w:bCs/>
          <w:color w:val="auto"/>
          <w:kern w:val="2"/>
          <w:sz w:val="24"/>
          <w:szCs w:val="22"/>
          <w:highlight w:val="none"/>
          <w:u w:val="single"/>
          <w:lang w:val="en-US" w:eastAsia="zh-CN" w:bidi="ar-SA"/>
        </w:rPr>
        <w:t>2</w:t>
      </w:r>
      <w:r>
        <w:rPr>
          <w:rFonts w:hint="eastAsia" w:ascii="宋体" w:hAnsi="宋体" w:eastAsia="宋体" w:cs="Times New Roman"/>
          <w:b/>
          <w:bCs/>
          <w:color w:val="auto"/>
          <w:kern w:val="2"/>
          <w:sz w:val="24"/>
          <w:szCs w:val="22"/>
          <w:highlight w:val="none"/>
          <w:u w:val="single"/>
          <w:lang w:val="en-US" w:eastAsia="zh-CN" w:bidi="ar-SA"/>
        </w:rPr>
        <w:t>0项的规定，定标委员会由招标人组建，依法确定中标人。</w:t>
      </w:r>
    </w:p>
    <w:p w14:paraId="205AB389">
      <w:pPr>
        <w:numPr>
          <w:ilvl w:val="0"/>
          <w:numId w:val="7"/>
        </w:numPr>
        <w:spacing w:line="360" w:lineRule="auto"/>
        <w:ind w:firstLine="482" w:firstLineChars="200"/>
        <w:rPr>
          <w:rFonts w:ascii="宋体"/>
          <w:b/>
          <w:bCs/>
          <w:color w:val="auto"/>
          <w:sz w:val="24"/>
          <w:highlight w:val="none"/>
        </w:rPr>
      </w:pPr>
      <w:r>
        <w:rPr>
          <w:rFonts w:hint="eastAsia" w:ascii="宋体" w:hAnsi="宋体"/>
          <w:b/>
          <w:bCs/>
          <w:color w:val="auto"/>
          <w:sz w:val="24"/>
          <w:highlight w:val="none"/>
        </w:rPr>
        <w:t>中标通知书</w:t>
      </w:r>
    </w:p>
    <w:p w14:paraId="4F10F612">
      <w:pPr>
        <w:spacing w:line="360" w:lineRule="auto"/>
        <w:ind w:firstLine="480" w:firstLineChars="200"/>
        <w:rPr>
          <w:rFonts w:hint="eastAsia" w:ascii="宋体" w:hAnsi="宋体"/>
          <w:color w:val="auto"/>
          <w:sz w:val="24"/>
          <w:highlight w:val="none"/>
          <w:u w:val="single"/>
          <w:lang w:eastAsia="zh-CN"/>
        </w:rPr>
      </w:pPr>
      <w:r>
        <w:rPr>
          <w:rFonts w:hint="eastAsia" w:ascii="宋体" w:hAnsi="宋体"/>
          <w:color w:val="auto"/>
          <w:sz w:val="24"/>
          <w:highlight w:val="none"/>
          <w:lang w:val="en-US" w:eastAsia="zh-CN"/>
        </w:rPr>
        <w:t>28</w:t>
      </w:r>
      <w:r>
        <w:rPr>
          <w:rFonts w:hint="eastAsia" w:ascii="宋体" w:hAnsi="宋体"/>
          <w:color w:val="auto"/>
          <w:sz w:val="24"/>
          <w:highlight w:val="none"/>
        </w:rPr>
        <w:t>.1招标人将在</w:t>
      </w:r>
      <w:r>
        <w:rPr>
          <w:rFonts w:hint="eastAsia" w:ascii="宋体" w:hAnsi="宋体"/>
          <w:b/>
          <w:bCs/>
          <w:color w:val="auto"/>
          <w:sz w:val="24"/>
          <w:highlight w:val="none"/>
          <w:u w:val="single"/>
          <w:lang w:eastAsia="zh-CN"/>
        </w:rPr>
        <w:t>广州交易集团有限公司（广州公共资源交易中心）</w:t>
      </w:r>
      <w:r>
        <w:rPr>
          <w:rFonts w:hint="eastAsia" w:ascii="宋体" w:hAnsi="宋体"/>
          <w:color w:val="auto"/>
          <w:sz w:val="24"/>
          <w:highlight w:val="none"/>
        </w:rPr>
        <w:t>交易平台、广东省招标投标监管网和中国招标投标公共服务平台公示</w:t>
      </w:r>
      <w:r>
        <w:rPr>
          <w:rFonts w:hint="eastAsia" w:ascii="宋体" w:hAnsi="宋体"/>
          <w:b/>
          <w:bCs/>
          <w:color w:val="auto"/>
          <w:sz w:val="24"/>
          <w:szCs w:val="24"/>
          <w:highlight w:val="none"/>
          <w:u w:val="single"/>
          <w:lang w:val="en-US" w:eastAsia="zh-CN"/>
        </w:rPr>
        <w:t>合格的</w:t>
      </w:r>
      <w:r>
        <w:rPr>
          <w:rFonts w:hint="eastAsia" w:ascii="宋体" w:hAnsi="宋体"/>
          <w:color w:val="auto"/>
          <w:sz w:val="24"/>
          <w:highlight w:val="none"/>
        </w:rPr>
        <w:t>中标候选人，公示期为三天</w:t>
      </w:r>
      <w:r>
        <w:rPr>
          <w:rFonts w:hint="eastAsia" w:ascii="宋体" w:hAnsi="宋体"/>
          <w:color w:val="auto"/>
          <w:sz w:val="24"/>
          <w:highlight w:val="none"/>
          <w:lang w:eastAsia="zh-CN"/>
        </w:rPr>
        <w:t>（最后一天应为工作日）</w:t>
      </w:r>
      <w:r>
        <w:rPr>
          <w:rFonts w:hint="eastAsia" w:ascii="宋体" w:hAnsi="宋体"/>
          <w:color w:val="auto"/>
          <w:sz w:val="24"/>
          <w:highlight w:val="none"/>
        </w:rPr>
        <w:t>。投标人或其他利害关系人对评标结果有异议的，应当在</w:t>
      </w:r>
      <w:r>
        <w:rPr>
          <w:rFonts w:hint="eastAsia" w:ascii="宋体" w:hAnsi="宋体"/>
          <w:b/>
          <w:bCs/>
          <w:color w:val="auto"/>
          <w:sz w:val="24"/>
          <w:szCs w:val="24"/>
          <w:highlight w:val="none"/>
          <w:u w:val="single"/>
          <w:lang w:val="en-US" w:eastAsia="zh-CN"/>
        </w:rPr>
        <w:t>合格的</w:t>
      </w:r>
      <w:r>
        <w:rPr>
          <w:rFonts w:hint="eastAsia" w:ascii="宋体" w:hAnsi="宋体"/>
          <w:color w:val="auto"/>
          <w:sz w:val="24"/>
          <w:highlight w:val="none"/>
        </w:rPr>
        <w:t>中标候选人公示期间提出，通过</w:t>
      </w:r>
      <w:r>
        <w:rPr>
          <w:rFonts w:hint="eastAsia" w:ascii="宋体" w:hAnsi="宋体"/>
          <w:color w:val="auto"/>
          <w:sz w:val="24"/>
          <w:highlight w:val="none"/>
          <w:lang w:eastAsia="zh-CN"/>
        </w:rPr>
        <w:t>电子交易系统向招标人</w:t>
      </w:r>
      <w:r>
        <w:rPr>
          <w:rFonts w:hint="eastAsia" w:ascii="宋体" w:hAnsi="宋体"/>
          <w:color w:val="auto"/>
          <w:sz w:val="24"/>
          <w:highlight w:val="none"/>
        </w:rPr>
        <w:t>提出异议</w:t>
      </w:r>
      <w:r>
        <w:rPr>
          <w:rFonts w:hint="eastAsia" w:ascii="宋体" w:hAnsi="宋体"/>
          <w:color w:val="auto"/>
          <w:sz w:val="24"/>
          <w:highlight w:val="none"/>
          <w:lang w:eastAsia="zh-CN"/>
        </w:rPr>
        <w:t>，</w:t>
      </w:r>
      <w:r>
        <w:rPr>
          <w:rFonts w:hint="eastAsia" w:ascii="宋体" w:hAnsi="宋体"/>
          <w:color w:val="auto"/>
          <w:sz w:val="24"/>
          <w:highlight w:val="none"/>
        </w:rPr>
        <w:t>招标人也应通过交易平台答复线上提交的异议</w:t>
      </w:r>
      <w:r>
        <w:rPr>
          <w:rFonts w:hint="eastAsia" w:ascii="宋体" w:hAnsi="宋体"/>
          <w:color w:val="auto"/>
          <w:sz w:val="24"/>
          <w:highlight w:val="none"/>
          <w:lang w:eastAsia="zh-CN"/>
        </w:rPr>
        <w:t>，</w:t>
      </w:r>
      <w:r>
        <w:rPr>
          <w:rFonts w:hint="eastAsia" w:ascii="宋体" w:hAnsi="宋体"/>
          <w:color w:val="auto"/>
          <w:sz w:val="24"/>
          <w:highlight w:val="none"/>
        </w:rPr>
        <w:t>具体按照</w:t>
      </w:r>
      <w:r>
        <w:rPr>
          <w:rFonts w:hint="eastAsia" w:ascii="宋体" w:hAnsi="宋体"/>
          <w:color w:val="auto"/>
          <w:sz w:val="24"/>
          <w:highlight w:val="none"/>
          <w:lang w:eastAsia="zh-CN"/>
        </w:rPr>
        <w:t>电子招标投标</w:t>
      </w:r>
      <w:r>
        <w:rPr>
          <w:rFonts w:hint="eastAsia" w:ascii="宋体" w:hAnsi="宋体"/>
          <w:color w:val="auto"/>
          <w:sz w:val="24"/>
          <w:highlight w:val="none"/>
        </w:rPr>
        <w:t>交易平台相关指南进行操作。作出答复前，应当暂停招标投标活动。</w:t>
      </w:r>
      <w:r>
        <w:rPr>
          <w:rFonts w:hint="eastAsia" w:ascii="宋体" w:hAnsi="宋体"/>
          <w:color w:val="auto"/>
          <w:sz w:val="24"/>
          <w:highlight w:val="none"/>
          <w:u w:val="single"/>
          <w:lang w:eastAsia="zh-CN"/>
        </w:rPr>
        <w:t>投标人提出异议时需</w:t>
      </w:r>
      <w:r>
        <w:rPr>
          <w:rFonts w:hint="eastAsia" w:ascii="宋体" w:hAnsi="宋体"/>
          <w:color w:val="auto"/>
          <w:sz w:val="24"/>
          <w:highlight w:val="none"/>
          <w:u w:val="single"/>
          <w:lang w:val="en-US" w:eastAsia="zh-CN"/>
        </w:rPr>
        <w:t>在线提交</w:t>
      </w:r>
      <w:r>
        <w:rPr>
          <w:rFonts w:hint="eastAsia" w:ascii="宋体" w:hAnsi="宋体"/>
          <w:color w:val="auto"/>
          <w:sz w:val="24"/>
          <w:highlight w:val="none"/>
          <w:u w:val="single"/>
          <w:lang w:eastAsia="zh-CN"/>
        </w:rPr>
        <w:t>书面的异议书（异议书应清晰表述异议事项、依据、线索、请求或主张、有效的联系方式等）并附法定代表人证明书、有效的授权委托书、被授权人的有效身份证明。</w:t>
      </w:r>
    </w:p>
    <w:p w14:paraId="55BCFC79">
      <w:pPr>
        <w:spacing w:line="360" w:lineRule="auto"/>
        <w:ind w:firstLine="482" w:firstLineChars="200"/>
        <w:rPr>
          <w:rFonts w:hint="eastAsia" w:ascii="宋体" w:hAnsi="宋体"/>
          <w:b/>
          <w:bCs/>
          <w:color w:val="auto"/>
          <w:sz w:val="24"/>
          <w:highlight w:val="none"/>
          <w:u w:val="single"/>
          <w:lang w:eastAsia="zh-CN"/>
        </w:rPr>
      </w:pPr>
      <w:r>
        <w:rPr>
          <w:rFonts w:hint="eastAsia" w:ascii="宋体" w:hAnsi="宋体"/>
          <w:b/>
          <w:bCs/>
          <w:color w:val="auto"/>
          <w:sz w:val="24"/>
          <w:highlight w:val="none"/>
          <w:u w:val="single"/>
        </w:rPr>
        <w:t>中标单位的法定代表人或授权委托代理人和项目经理必须在中标公示期满之日起3个工作日内，持个人身份证原件、单位公章印鉴、营业执照、资质证书、项目主要管理人员个人身份证原件和资格证（或岗位证）以及在中标单位购买的近1个月的社保证明原件、复印件（加盖中标单位公章）到建设（或代建）单位进行身份核查备案。经核查，确认与投标文件一致的，方可签订施工合同。若身份核查发现与投标文件不一致的，中标无效。逾期不办理的，视为自动放弃中标资格，</w:t>
      </w:r>
      <w:r>
        <w:rPr>
          <w:rFonts w:hint="eastAsia" w:ascii="宋体" w:hAnsi="宋体" w:cs="宋体"/>
          <w:b/>
          <w:bCs w:val="0"/>
          <w:color w:val="auto"/>
          <w:sz w:val="24"/>
          <w:szCs w:val="24"/>
          <w:highlight w:val="none"/>
          <w:u w:val="single"/>
          <w:lang w:val="en-US" w:eastAsia="zh-CN"/>
        </w:rPr>
        <w:t>招标人可以重新招标或由原定标委员会根据原定标办法从其他合格的中标候选人中重新票决确定中标人并公示。</w:t>
      </w:r>
    </w:p>
    <w:p w14:paraId="61959641">
      <w:pPr>
        <w:spacing w:line="360" w:lineRule="auto"/>
        <w:ind w:firstLine="480" w:firstLineChars="200"/>
        <w:rPr>
          <w:rFonts w:ascii="仿宋_GB2312" w:hAnsi="宋体" w:eastAsia="仿宋_GB2312"/>
          <w:color w:val="auto"/>
          <w:sz w:val="24"/>
          <w:highlight w:val="none"/>
        </w:rPr>
      </w:pPr>
      <w:r>
        <w:rPr>
          <w:rFonts w:hint="eastAsia" w:ascii="宋体" w:hAnsi="宋体"/>
          <w:color w:val="auto"/>
          <w:sz w:val="24"/>
          <w:highlight w:val="none"/>
          <w:lang w:val="en-US" w:eastAsia="zh-CN"/>
        </w:rPr>
        <w:t>28</w:t>
      </w:r>
      <w:r>
        <w:rPr>
          <w:rFonts w:ascii="宋体" w:hAnsi="宋体"/>
          <w:color w:val="auto"/>
          <w:sz w:val="24"/>
          <w:highlight w:val="none"/>
        </w:rPr>
        <w:t>.2</w:t>
      </w:r>
      <w:r>
        <w:rPr>
          <w:rFonts w:hint="eastAsia" w:ascii="宋体" w:hAnsi="宋体"/>
          <w:color w:val="auto"/>
          <w:sz w:val="24"/>
          <w:highlight w:val="none"/>
        </w:rPr>
        <w:t>招标人应当自确定中标人后，向招标投标监管机构提交招标投标情况的书面报告。</w:t>
      </w:r>
    </w:p>
    <w:p w14:paraId="68206BB5">
      <w:pPr>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28</w:t>
      </w:r>
      <w:r>
        <w:rPr>
          <w:rFonts w:ascii="宋体" w:hAnsi="宋体"/>
          <w:color w:val="auto"/>
          <w:sz w:val="24"/>
          <w:highlight w:val="none"/>
        </w:rPr>
        <w:t>.3</w:t>
      </w:r>
      <w:r>
        <w:rPr>
          <w:rFonts w:hint="eastAsia" w:ascii="宋体" w:hAnsi="宋体"/>
          <w:color w:val="auto"/>
          <w:sz w:val="24"/>
          <w:highlight w:val="none"/>
        </w:rPr>
        <w:t>中标人必须在收到中标通知书后</w:t>
      </w:r>
      <w:r>
        <w:rPr>
          <w:rFonts w:ascii="宋体" w:hAnsi="宋体"/>
          <w:color w:val="auto"/>
          <w:sz w:val="24"/>
          <w:highlight w:val="none"/>
        </w:rPr>
        <w:t>24</w:t>
      </w:r>
      <w:r>
        <w:rPr>
          <w:rFonts w:hint="eastAsia" w:ascii="宋体" w:hAnsi="宋体"/>
          <w:color w:val="auto"/>
          <w:sz w:val="24"/>
          <w:highlight w:val="none"/>
        </w:rPr>
        <w:t>小时之内以书面形式回复招标人，确认收到。</w:t>
      </w:r>
    </w:p>
    <w:p w14:paraId="259CFCF0">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lang w:val="en-US" w:eastAsia="zh-CN"/>
        </w:rPr>
        <w:t>28</w:t>
      </w:r>
      <w:r>
        <w:rPr>
          <w:rFonts w:hint="eastAsia" w:ascii="宋体" w:hAnsi="宋体"/>
          <w:color w:val="auto"/>
          <w:sz w:val="24"/>
          <w:highlight w:val="none"/>
        </w:rPr>
        <w:t>.4在产生</w:t>
      </w:r>
      <w:r>
        <w:rPr>
          <w:rFonts w:hint="eastAsia" w:ascii="宋体" w:hAnsi="宋体"/>
          <w:b/>
          <w:bCs/>
          <w:color w:val="auto"/>
          <w:sz w:val="24"/>
          <w:szCs w:val="24"/>
          <w:highlight w:val="none"/>
          <w:u w:val="single"/>
          <w:lang w:val="en-US" w:eastAsia="zh-CN"/>
        </w:rPr>
        <w:t>合格的</w:t>
      </w:r>
      <w:r>
        <w:rPr>
          <w:rFonts w:hint="eastAsia" w:ascii="宋体" w:hAnsi="宋体"/>
          <w:color w:val="auto"/>
          <w:sz w:val="24"/>
          <w:highlight w:val="none"/>
        </w:rPr>
        <w:t>中标候选人后，招标人将</w:t>
      </w:r>
      <w:r>
        <w:rPr>
          <w:rFonts w:hint="eastAsia" w:ascii="宋体" w:hAnsi="宋体"/>
          <w:b/>
          <w:bCs/>
          <w:color w:val="auto"/>
          <w:sz w:val="24"/>
          <w:szCs w:val="24"/>
          <w:highlight w:val="none"/>
          <w:u w:val="single"/>
          <w:lang w:val="en-US" w:eastAsia="zh-CN"/>
        </w:rPr>
        <w:t>合格的</w:t>
      </w:r>
      <w:r>
        <w:rPr>
          <w:rFonts w:hint="eastAsia" w:ascii="宋体" w:hAnsi="宋体"/>
          <w:color w:val="auto"/>
          <w:sz w:val="24"/>
          <w:highlight w:val="none"/>
        </w:rPr>
        <w:t>中标候选人的投标文件商务部分文件的所有内容（包括人员、业绩、奖项等资料）在</w:t>
      </w:r>
      <w:r>
        <w:rPr>
          <w:rFonts w:hint="eastAsia" w:ascii="宋体" w:hAnsi="宋体"/>
          <w:b/>
          <w:bCs/>
          <w:color w:val="auto"/>
          <w:sz w:val="24"/>
          <w:highlight w:val="none"/>
          <w:u w:val="single"/>
          <w:lang w:eastAsia="zh-CN"/>
        </w:rPr>
        <w:t>广州交易集团有限公司（广州公共资源交易中心）</w:t>
      </w:r>
      <w:r>
        <w:rPr>
          <w:rFonts w:hint="eastAsia" w:ascii="宋体" w:hAnsi="宋体"/>
          <w:color w:val="auto"/>
          <w:sz w:val="24"/>
          <w:highlight w:val="none"/>
        </w:rPr>
        <w:t>交易平台和广东省招标投标监管网公开。</w:t>
      </w:r>
    </w:p>
    <w:p w14:paraId="5A695620">
      <w:pPr>
        <w:spacing w:line="360" w:lineRule="auto"/>
        <w:ind w:firstLine="480" w:firstLineChars="200"/>
        <w:rPr>
          <w:rFonts w:ascii="宋体" w:hAnsi="宋体"/>
          <w:color w:val="auto"/>
          <w:sz w:val="24"/>
          <w:highlight w:val="none"/>
          <w:u w:val="single"/>
        </w:rPr>
      </w:pPr>
      <w:r>
        <w:rPr>
          <w:rFonts w:hint="eastAsia" w:ascii="宋体" w:hAnsi="宋体" w:cs="Times New Roman"/>
          <w:color w:val="auto"/>
          <w:sz w:val="24"/>
          <w:highlight w:val="none"/>
          <w:lang w:val="en-US" w:eastAsia="zh-CN"/>
        </w:rPr>
        <w:t>28</w:t>
      </w:r>
      <w:r>
        <w:rPr>
          <w:rFonts w:hint="eastAsia" w:ascii="宋体" w:hAnsi="宋体" w:eastAsia="宋体" w:cs="Times New Roman"/>
          <w:color w:val="auto"/>
          <w:sz w:val="24"/>
          <w:highlight w:val="none"/>
          <w:lang w:val="en-US" w:eastAsia="zh-CN"/>
        </w:rPr>
        <w:t>.5</w:t>
      </w:r>
      <w:r>
        <w:rPr>
          <w:rFonts w:hint="eastAsia" w:ascii="宋体" w:hAnsi="宋体"/>
          <w:b/>
          <w:bCs/>
          <w:sz w:val="24"/>
          <w:szCs w:val="24"/>
          <w:highlight w:val="none"/>
          <w:u w:val="single"/>
        </w:rPr>
        <w:t>在广州交易集团有限公司（广州公共资源交易中心）交易平台发布中标通知书之日起，即视为中标人确认收到中标通知书。</w:t>
      </w:r>
      <w:r>
        <w:rPr>
          <w:rFonts w:hint="eastAsia" w:ascii="宋体" w:hAnsi="宋体"/>
          <w:b/>
          <w:bCs/>
          <w:color w:val="auto"/>
          <w:sz w:val="24"/>
          <w:highlight w:val="none"/>
          <w:u w:val="single"/>
        </w:rPr>
        <w:t>中标人必须由其委托代理人携带身份证及法人授权委托证明按招标人通知的时间和地点领取纸质图纸。中标人领取纸质图纸后必须与招标人在网上发布的电子版图纸进行核对，如有不符须于收到纸质图纸后五个工作日内将问题以书面形式向招标人提出；如纸质图纸和电子版图纸核对无误，中标人须于领取纸质图纸后五个工作日内在其中一套图纸上每页盖公章确认连同经盖公章的图纸确认函一并送回给招标人，表明中标人认同纸质图纸中内容与投标时的电子版图纸内容一致。</w:t>
      </w:r>
    </w:p>
    <w:p w14:paraId="34EB0D03">
      <w:pPr>
        <w:spacing w:line="360" w:lineRule="auto"/>
        <w:ind w:firstLine="480" w:firstLineChars="200"/>
        <w:rPr>
          <w:rFonts w:hint="eastAsia" w:ascii="宋体" w:hAnsi="宋体" w:eastAsia="宋体" w:cs="Times New Roman"/>
          <w:color w:val="auto"/>
          <w:sz w:val="24"/>
          <w:highlight w:val="none"/>
          <w:lang w:eastAsia="zh-CN"/>
        </w:rPr>
      </w:pPr>
      <w:r>
        <w:rPr>
          <w:rFonts w:hint="eastAsia" w:ascii="宋体" w:hAnsi="宋体"/>
          <w:color w:val="auto"/>
          <w:sz w:val="24"/>
          <w:highlight w:val="none"/>
          <w:u w:val="single"/>
        </w:rPr>
        <w:t>2</w:t>
      </w:r>
      <w:r>
        <w:rPr>
          <w:rFonts w:hint="eastAsia" w:ascii="宋体" w:hAnsi="宋体"/>
          <w:color w:val="auto"/>
          <w:sz w:val="24"/>
          <w:highlight w:val="none"/>
          <w:u w:val="single"/>
          <w:lang w:val="en-US" w:eastAsia="zh-CN"/>
        </w:rPr>
        <w:t>8</w:t>
      </w:r>
      <w:r>
        <w:rPr>
          <w:rFonts w:hint="eastAsia" w:ascii="宋体" w:hAnsi="宋体"/>
          <w:color w:val="auto"/>
          <w:sz w:val="24"/>
          <w:highlight w:val="none"/>
          <w:u w:val="single"/>
        </w:rPr>
        <w:t xml:space="preserve">.6 </w:t>
      </w:r>
      <w:r>
        <w:rPr>
          <w:rFonts w:hint="eastAsia" w:ascii="宋体" w:hAnsi="宋体"/>
          <w:b/>
          <w:bCs/>
          <w:color w:val="auto"/>
          <w:sz w:val="24"/>
          <w:highlight w:val="none"/>
          <w:u w:val="single"/>
        </w:rPr>
        <w:t>招标人或招标代理机构将在</w:t>
      </w:r>
      <w:r>
        <w:rPr>
          <w:rFonts w:hint="eastAsia" w:ascii="宋体" w:hAnsi="宋体"/>
          <w:b/>
          <w:bCs/>
          <w:color w:val="auto"/>
          <w:sz w:val="24"/>
          <w:szCs w:val="24"/>
          <w:highlight w:val="none"/>
          <w:u w:val="single"/>
        </w:rPr>
        <w:t>中标</w:t>
      </w:r>
      <w:r>
        <w:rPr>
          <w:rFonts w:hint="eastAsia" w:ascii="宋体" w:hAnsi="宋体"/>
          <w:b/>
          <w:bCs/>
          <w:color w:val="auto"/>
          <w:sz w:val="24"/>
          <w:szCs w:val="24"/>
          <w:highlight w:val="none"/>
          <w:u w:val="single"/>
          <w:lang w:val="en-US" w:eastAsia="zh-CN"/>
        </w:rPr>
        <w:t>结果</w:t>
      </w:r>
      <w:r>
        <w:rPr>
          <w:rFonts w:hint="eastAsia" w:ascii="宋体" w:hAnsi="宋体"/>
          <w:b/>
          <w:bCs/>
          <w:color w:val="auto"/>
          <w:sz w:val="24"/>
          <w:szCs w:val="24"/>
          <w:highlight w:val="none"/>
          <w:u w:val="single"/>
        </w:rPr>
        <w:t>公示</w:t>
      </w:r>
      <w:r>
        <w:rPr>
          <w:rFonts w:hint="eastAsia" w:ascii="宋体" w:hAnsi="宋体"/>
          <w:b/>
          <w:bCs/>
          <w:color w:val="auto"/>
          <w:sz w:val="24"/>
          <w:highlight w:val="none"/>
          <w:u w:val="single"/>
        </w:rPr>
        <w:t>结束后对</w:t>
      </w:r>
      <w:r>
        <w:rPr>
          <w:rFonts w:hint="eastAsia" w:ascii="宋体" w:hAnsi="宋体"/>
          <w:b/>
          <w:bCs/>
          <w:color w:val="auto"/>
          <w:sz w:val="24"/>
          <w:szCs w:val="24"/>
          <w:highlight w:val="none"/>
          <w:u w:val="single"/>
        </w:rPr>
        <w:t>中标人</w:t>
      </w:r>
      <w:r>
        <w:rPr>
          <w:rFonts w:hint="eastAsia" w:ascii="宋体" w:hAnsi="宋体"/>
          <w:b/>
          <w:bCs/>
          <w:color w:val="auto"/>
          <w:sz w:val="24"/>
          <w:highlight w:val="none"/>
          <w:u w:val="single"/>
        </w:rPr>
        <w:t>的企业资质证书有效期进行复核，如果</w:t>
      </w:r>
      <w:r>
        <w:rPr>
          <w:rFonts w:hint="eastAsia" w:ascii="宋体" w:hAnsi="宋体"/>
          <w:b/>
          <w:bCs/>
          <w:color w:val="auto"/>
          <w:sz w:val="24"/>
          <w:szCs w:val="24"/>
          <w:highlight w:val="none"/>
          <w:u w:val="single"/>
        </w:rPr>
        <w:t>中标人</w:t>
      </w:r>
      <w:r>
        <w:rPr>
          <w:rFonts w:hint="eastAsia" w:ascii="宋体" w:hAnsi="宋体"/>
          <w:b/>
          <w:bCs/>
          <w:color w:val="auto"/>
          <w:sz w:val="24"/>
          <w:highlight w:val="none"/>
          <w:u w:val="single"/>
        </w:rPr>
        <w:t>在</w:t>
      </w:r>
      <w:r>
        <w:rPr>
          <w:rFonts w:hint="eastAsia" w:ascii="宋体" w:hAnsi="宋体"/>
          <w:b/>
          <w:bCs/>
          <w:color w:val="auto"/>
          <w:sz w:val="24"/>
          <w:szCs w:val="24"/>
          <w:highlight w:val="none"/>
          <w:u w:val="single"/>
        </w:rPr>
        <w:t>中标</w:t>
      </w:r>
      <w:r>
        <w:rPr>
          <w:rFonts w:hint="eastAsia" w:ascii="宋体" w:hAnsi="宋体"/>
          <w:b/>
          <w:bCs/>
          <w:color w:val="auto"/>
          <w:sz w:val="24"/>
          <w:szCs w:val="24"/>
          <w:highlight w:val="none"/>
          <w:u w:val="single"/>
          <w:lang w:val="en-US" w:eastAsia="zh-CN"/>
        </w:rPr>
        <w:t>结果</w:t>
      </w:r>
      <w:r>
        <w:rPr>
          <w:rFonts w:hint="eastAsia" w:ascii="宋体" w:hAnsi="宋体"/>
          <w:b/>
          <w:bCs/>
          <w:color w:val="auto"/>
          <w:sz w:val="24"/>
          <w:szCs w:val="24"/>
          <w:highlight w:val="none"/>
          <w:u w:val="single"/>
        </w:rPr>
        <w:t>公示</w:t>
      </w:r>
      <w:r>
        <w:rPr>
          <w:rFonts w:hint="eastAsia" w:ascii="宋体" w:hAnsi="宋体"/>
          <w:b/>
          <w:bCs/>
          <w:color w:val="auto"/>
          <w:sz w:val="24"/>
          <w:highlight w:val="none"/>
          <w:u w:val="single"/>
        </w:rPr>
        <w:t>结束后7天内尚未取得资质有效期延续核准的，</w:t>
      </w:r>
      <w:r>
        <w:rPr>
          <w:rFonts w:hint="eastAsia" w:ascii="宋体" w:hAnsi="宋体"/>
          <w:b/>
          <w:bCs/>
          <w:color w:val="auto"/>
          <w:sz w:val="24"/>
          <w:szCs w:val="24"/>
          <w:highlight w:val="none"/>
          <w:u w:val="single"/>
        </w:rPr>
        <w:t>招标人有权取消其中标人资格或解除合同，</w:t>
      </w:r>
      <w:r>
        <w:rPr>
          <w:rFonts w:hint="eastAsia" w:ascii="宋体" w:hAnsi="宋体" w:cs="宋体"/>
          <w:b/>
          <w:bCs/>
          <w:color w:val="auto"/>
          <w:sz w:val="24"/>
          <w:szCs w:val="24"/>
          <w:highlight w:val="none"/>
          <w:u w:val="single"/>
          <w:lang w:val="en-US" w:eastAsia="zh-CN"/>
        </w:rPr>
        <w:t>招标人可以重新招标或由原定标委员会根据原定标办法从其他合格的中标候选人中重新票决确定中标人并公示。</w:t>
      </w:r>
    </w:p>
    <w:p w14:paraId="520A52F1">
      <w:pPr>
        <w:spacing w:line="360" w:lineRule="auto"/>
        <w:ind w:firstLine="482" w:firstLineChars="200"/>
        <w:rPr>
          <w:rFonts w:ascii="宋体"/>
          <w:b/>
          <w:bCs/>
          <w:color w:val="auto"/>
          <w:sz w:val="24"/>
          <w:highlight w:val="none"/>
        </w:rPr>
      </w:pPr>
      <w:r>
        <w:rPr>
          <w:rFonts w:hint="eastAsia" w:ascii="宋体" w:hAnsi="宋体"/>
          <w:b/>
          <w:bCs/>
          <w:color w:val="auto"/>
          <w:sz w:val="24"/>
          <w:highlight w:val="none"/>
          <w:lang w:val="en-US" w:eastAsia="zh-CN"/>
        </w:rPr>
        <w:t>29</w:t>
      </w:r>
      <w:r>
        <w:rPr>
          <w:rFonts w:hint="eastAsia" w:ascii="宋体" w:hAnsi="宋体"/>
          <w:b/>
          <w:bCs/>
          <w:color w:val="auto"/>
          <w:sz w:val="24"/>
          <w:highlight w:val="none"/>
        </w:rPr>
        <w:t>．合同协议书的签订</w:t>
      </w:r>
    </w:p>
    <w:p w14:paraId="3EF8D7DD">
      <w:pPr>
        <w:spacing w:line="360" w:lineRule="auto"/>
        <w:ind w:firstLine="480" w:firstLineChars="200"/>
        <w:rPr>
          <w:rFonts w:ascii="宋体" w:hAnsi="宋体"/>
          <w:b/>
          <w:bCs/>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val="en-US" w:eastAsia="zh-CN"/>
        </w:rPr>
        <w:t>9</w:t>
      </w:r>
      <w:r>
        <w:rPr>
          <w:rFonts w:hint="eastAsia" w:ascii="宋体" w:hAnsi="宋体"/>
          <w:color w:val="auto"/>
          <w:sz w:val="24"/>
          <w:highlight w:val="none"/>
        </w:rPr>
        <w:t>.1 招标人与中标人将于中标通知书发出之日起</w:t>
      </w:r>
      <w:r>
        <w:rPr>
          <w:rFonts w:hint="eastAsia" w:ascii="宋体" w:hAnsi="宋体"/>
          <w:b/>
          <w:bCs/>
          <w:color w:val="auto"/>
          <w:sz w:val="24"/>
          <w:highlight w:val="none"/>
          <w:u w:val="single"/>
        </w:rPr>
        <w:t>18个日历天</w:t>
      </w:r>
      <w:r>
        <w:rPr>
          <w:rFonts w:hint="eastAsia" w:ascii="宋体" w:hAnsi="宋体"/>
          <w:color w:val="auto"/>
          <w:sz w:val="24"/>
          <w:highlight w:val="none"/>
        </w:rPr>
        <w:t>内，按照招标文件和中标人的投标文件商定和签订合同，招标人和中标人不得再行订立背离合同实质性内容的其他协议。</w:t>
      </w:r>
      <w:r>
        <w:rPr>
          <w:rFonts w:hint="eastAsia" w:ascii="宋体" w:hAnsi="宋体"/>
          <w:b/>
          <w:bCs/>
          <w:color w:val="auto"/>
          <w:sz w:val="24"/>
          <w:highlight w:val="none"/>
          <w:u w:val="single"/>
        </w:rPr>
        <w:t>施工合同价在5000万元以上的，书面合同应由招标人和中标人双方法定代表人当面签署。</w:t>
      </w:r>
    </w:p>
    <w:p w14:paraId="75F8388E">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val="en-US" w:eastAsia="zh-CN"/>
        </w:rPr>
        <w:t>9</w:t>
      </w:r>
      <w:r>
        <w:rPr>
          <w:rFonts w:hint="eastAsia" w:ascii="宋体" w:hAnsi="宋体"/>
          <w:color w:val="auto"/>
          <w:sz w:val="24"/>
          <w:highlight w:val="none"/>
        </w:rPr>
        <w:t>.2中标通知书发出之日起</w:t>
      </w:r>
      <w:r>
        <w:rPr>
          <w:rFonts w:hint="eastAsia" w:ascii="宋体" w:hAnsi="宋体"/>
          <w:b/>
          <w:bCs/>
          <w:color w:val="auto"/>
          <w:sz w:val="24"/>
          <w:highlight w:val="none"/>
          <w:u w:val="single"/>
        </w:rPr>
        <w:t>18个日历天</w:t>
      </w:r>
      <w:r>
        <w:rPr>
          <w:rFonts w:hint="eastAsia" w:ascii="宋体" w:hAnsi="宋体"/>
          <w:color w:val="auto"/>
          <w:sz w:val="24"/>
          <w:highlight w:val="none"/>
        </w:rPr>
        <w:t>后，中标人未按上款的规定与招标人订立合同，招标人</w:t>
      </w:r>
      <w:r>
        <w:rPr>
          <w:rFonts w:hint="eastAsia" w:ascii="宋体" w:hAnsi="宋体"/>
          <w:b/>
          <w:bCs/>
          <w:color w:val="auto"/>
          <w:sz w:val="24"/>
          <w:highlight w:val="none"/>
          <w:u w:val="single"/>
        </w:rPr>
        <w:t>有权</w:t>
      </w:r>
      <w:r>
        <w:rPr>
          <w:rFonts w:hint="eastAsia" w:ascii="宋体" w:hAnsi="宋体"/>
          <w:color w:val="auto"/>
          <w:sz w:val="24"/>
          <w:highlight w:val="none"/>
        </w:rPr>
        <w:t>解除中标通知书，原中标人的</w:t>
      </w:r>
      <w:r>
        <w:rPr>
          <w:rFonts w:hint="eastAsia" w:ascii="宋体" w:hAnsi="宋体"/>
          <w:b/>
          <w:bCs/>
          <w:sz w:val="24"/>
          <w:szCs w:val="24"/>
          <w:highlight w:val="none"/>
          <w:u w:val="single"/>
        </w:rPr>
        <w:t>补交的投标保证金</w:t>
      </w:r>
      <w:r>
        <w:rPr>
          <w:rFonts w:hint="eastAsia" w:ascii="宋体" w:hAnsi="宋体"/>
          <w:color w:val="auto"/>
          <w:sz w:val="24"/>
          <w:highlight w:val="none"/>
        </w:rPr>
        <w:t>不予退还，且依法承担相应法律责任，</w:t>
      </w:r>
      <w:r>
        <w:rPr>
          <w:rFonts w:hint="eastAsia" w:ascii="宋体" w:hAnsi="宋体" w:cs="宋体"/>
          <w:b/>
          <w:bCs w:val="0"/>
          <w:color w:val="auto"/>
          <w:sz w:val="24"/>
          <w:szCs w:val="24"/>
          <w:highlight w:val="none"/>
          <w:u w:val="single"/>
          <w:lang w:val="en-US" w:eastAsia="zh-CN"/>
        </w:rPr>
        <w:t>招标人可以重新招标或由原定标委员会根据原定标办法从其他合格的中标候选人中重新票决确定中标人并公示</w:t>
      </w:r>
      <w:r>
        <w:rPr>
          <w:rFonts w:hint="eastAsia" w:ascii="宋体" w:hAnsi="宋体"/>
          <w:color w:val="auto"/>
          <w:sz w:val="24"/>
          <w:highlight w:val="none"/>
          <w:u w:val="single"/>
        </w:rPr>
        <w:t>。</w:t>
      </w:r>
      <w:r>
        <w:rPr>
          <w:rFonts w:hint="eastAsia" w:ascii="宋体" w:hAnsi="宋体"/>
          <w:color w:val="auto"/>
          <w:sz w:val="24"/>
          <w:highlight w:val="none"/>
        </w:rPr>
        <w:t>原中标人给招标人造成的损失超过</w:t>
      </w:r>
      <w:r>
        <w:rPr>
          <w:rFonts w:hint="eastAsia" w:ascii="宋体" w:hAnsi="宋体"/>
          <w:b/>
          <w:bCs/>
          <w:sz w:val="24"/>
          <w:szCs w:val="24"/>
          <w:highlight w:val="none"/>
          <w:u w:val="single"/>
        </w:rPr>
        <w:t>补交的投标保证金</w:t>
      </w:r>
      <w:r>
        <w:rPr>
          <w:rFonts w:hint="eastAsia" w:ascii="宋体" w:hAnsi="宋体"/>
          <w:color w:val="auto"/>
          <w:sz w:val="24"/>
          <w:highlight w:val="none"/>
        </w:rPr>
        <w:t>数额的，还应当对超过部分予以赔偿。原中标人有异议的，可以向人民法院起诉。</w:t>
      </w:r>
    </w:p>
    <w:p w14:paraId="179822CD">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w:t>
      </w:r>
      <w:r>
        <w:rPr>
          <w:rFonts w:hint="eastAsia" w:ascii="宋体" w:hAnsi="宋体"/>
          <w:color w:val="auto"/>
          <w:sz w:val="24"/>
          <w:highlight w:val="none"/>
          <w:lang w:val="en-US" w:eastAsia="zh-CN"/>
        </w:rPr>
        <w:t>9</w:t>
      </w:r>
      <w:r>
        <w:rPr>
          <w:rFonts w:hint="eastAsia" w:ascii="宋体" w:hAnsi="宋体"/>
          <w:color w:val="auto"/>
          <w:sz w:val="24"/>
          <w:highlight w:val="none"/>
        </w:rPr>
        <w:t>.3</w:t>
      </w:r>
      <w:r>
        <w:rPr>
          <w:rFonts w:hint="eastAsia" w:ascii="宋体" w:hAnsi="宋体"/>
          <w:b/>
          <w:bCs/>
          <w:color w:val="auto"/>
          <w:sz w:val="24"/>
          <w:highlight w:val="none"/>
          <w:u w:val="single"/>
        </w:rPr>
        <w:t>根据《番禺区基建办工程项目银行专户管理办法》（番基建办规章【2019】10号）规定，中标人在施工合同签订前需按相关规定设立本工程的银行专户</w:t>
      </w:r>
      <w:r>
        <w:rPr>
          <w:rFonts w:hint="eastAsia" w:ascii="宋体" w:hAnsi="宋体"/>
          <w:color w:val="auto"/>
          <w:sz w:val="24"/>
          <w:highlight w:val="none"/>
        </w:rPr>
        <w:t>，未经招标人同意，中标人在投标过程中使用的银行名称及帐号至完成竣工结算不得变更，</w:t>
      </w:r>
      <w:r>
        <w:rPr>
          <w:rFonts w:hint="eastAsia" w:ascii="宋体" w:hAnsi="宋体"/>
          <w:b/>
          <w:bCs/>
          <w:color w:val="auto"/>
          <w:sz w:val="24"/>
          <w:highlight w:val="none"/>
          <w:u w:val="single"/>
        </w:rPr>
        <w:t>若中标人违反上述约定的，招标人有权停止工程款项的拔付及至解除合同</w:t>
      </w:r>
      <w:r>
        <w:rPr>
          <w:rFonts w:hint="eastAsia" w:ascii="宋体" w:hAnsi="宋体"/>
          <w:color w:val="auto"/>
          <w:sz w:val="24"/>
          <w:highlight w:val="none"/>
        </w:rPr>
        <w:t>，由此造成的一切责任由中标人承担。</w:t>
      </w:r>
    </w:p>
    <w:p w14:paraId="4534920B">
      <w:pPr>
        <w:spacing w:line="360" w:lineRule="auto"/>
        <w:ind w:firstLine="480" w:firstLineChars="200"/>
        <w:rPr>
          <w:rFonts w:hint="eastAsia" w:ascii="宋体" w:hAnsi="宋体"/>
          <w:b/>
          <w:bCs/>
          <w:color w:val="auto"/>
          <w:sz w:val="24"/>
          <w:highlight w:val="none"/>
          <w:u w:val="single"/>
        </w:rPr>
      </w:pPr>
      <w:r>
        <w:rPr>
          <w:rFonts w:hint="eastAsia" w:ascii="宋体" w:hAnsi="宋体"/>
          <w:color w:val="auto"/>
          <w:sz w:val="24"/>
          <w:highlight w:val="none"/>
        </w:rPr>
        <w:t>2</w:t>
      </w:r>
      <w:r>
        <w:rPr>
          <w:rFonts w:hint="eastAsia" w:ascii="宋体" w:hAnsi="宋体"/>
          <w:color w:val="auto"/>
          <w:sz w:val="24"/>
          <w:highlight w:val="none"/>
          <w:lang w:val="en-US" w:eastAsia="zh-CN"/>
        </w:rPr>
        <w:t>9</w:t>
      </w:r>
      <w:r>
        <w:rPr>
          <w:rFonts w:hint="eastAsia" w:ascii="宋体" w:hAnsi="宋体"/>
          <w:color w:val="auto"/>
          <w:sz w:val="24"/>
          <w:highlight w:val="none"/>
        </w:rPr>
        <w:t>.4</w:t>
      </w:r>
      <w:r>
        <w:rPr>
          <w:rFonts w:hint="eastAsia" w:ascii="宋体" w:hAnsi="宋体"/>
          <w:b/>
          <w:bCs/>
          <w:color w:val="auto"/>
          <w:sz w:val="24"/>
          <w:highlight w:val="none"/>
          <w:u w:val="single"/>
        </w:rPr>
        <w:t>中标人须以工程项目为单位，在商业银行设立建设领域工人工资支付专用帐户用于支付工人工资。具体执行及管理办法参照《广州市住房和城乡建设局关于印发广州市建筑施工实名制管理办法的通知(2020)》（穗建规字〔2020〕18号）、《广州市住房和城乡建设局、广州市人力资源和社会保障局、广州市交通运输局等关于印发广州市建设领域工人工资支付分账管理实施细则的通知》（穗建规字〔2020〕37号）。</w:t>
      </w:r>
    </w:p>
    <w:p w14:paraId="35A40811">
      <w:pPr>
        <w:spacing w:line="360" w:lineRule="auto"/>
        <w:ind w:firstLine="482" w:firstLineChars="200"/>
        <w:rPr>
          <w:rFonts w:hint="default" w:ascii="宋体" w:hAnsi="宋体" w:eastAsia="宋体"/>
          <w:b/>
          <w:bCs/>
          <w:color w:val="auto"/>
          <w:sz w:val="24"/>
          <w:highlight w:val="none"/>
          <w:u w:val="single"/>
          <w:lang w:val="en-US" w:eastAsia="zh-CN"/>
        </w:rPr>
      </w:pPr>
      <w:r>
        <w:rPr>
          <w:rFonts w:hint="eastAsia" w:ascii="宋体" w:hAnsi="宋体"/>
          <w:b/>
          <w:bCs/>
          <w:color w:val="auto"/>
          <w:sz w:val="24"/>
          <w:highlight w:val="none"/>
          <w:u w:val="single"/>
          <w:lang w:val="en-US" w:eastAsia="zh-CN"/>
        </w:rPr>
        <w:t>29.5招标人和中标人应当自中标通知书发出之日起三十日内通过电子招标投标文件交易平台在线签订合同。</w:t>
      </w:r>
    </w:p>
    <w:p w14:paraId="1B195F57">
      <w:pPr>
        <w:spacing w:line="360" w:lineRule="auto"/>
        <w:ind w:firstLine="482" w:firstLineChars="200"/>
        <w:rPr>
          <w:rFonts w:ascii="宋体"/>
          <w:b/>
          <w:bCs/>
          <w:color w:val="auto"/>
          <w:sz w:val="24"/>
          <w:highlight w:val="none"/>
        </w:rPr>
      </w:pPr>
      <w:r>
        <w:rPr>
          <w:rFonts w:hint="eastAsia" w:ascii="宋体" w:hAnsi="宋体"/>
          <w:b/>
          <w:bCs/>
          <w:color w:val="auto"/>
          <w:sz w:val="24"/>
          <w:highlight w:val="none"/>
          <w:lang w:val="en-US" w:eastAsia="zh-CN"/>
        </w:rPr>
        <w:t>30</w:t>
      </w:r>
      <w:r>
        <w:rPr>
          <w:rFonts w:hint="eastAsia" w:ascii="宋体" w:hAnsi="宋体"/>
          <w:b/>
          <w:bCs/>
          <w:color w:val="auto"/>
          <w:sz w:val="24"/>
          <w:highlight w:val="none"/>
        </w:rPr>
        <w:t>．履约担保</w:t>
      </w:r>
    </w:p>
    <w:p w14:paraId="3F9D7609">
      <w:pPr>
        <w:snapToGrid w:val="0"/>
        <w:spacing w:line="360" w:lineRule="auto"/>
        <w:ind w:firstLine="480" w:firstLineChars="200"/>
        <w:rPr>
          <w:rFonts w:ascii="宋体" w:hAnsi="宋体"/>
          <w:b/>
          <w:bCs/>
          <w:color w:val="auto"/>
          <w:sz w:val="24"/>
          <w:highlight w:val="none"/>
          <w:u w:val="single"/>
        </w:rPr>
      </w:pPr>
      <w:r>
        <w:rPr>
          <w:rFonts w:hint="eastAsia" w:ascii="宋体" w:hAnsi="宋体"/>
          <w:color w:val="auto"/>
          <w:sz w:val="24"/>
          <w:highlight w:val="none"/>
          <w:lang w:val="en-US" w:eastAsia="zh-CN"/>
        </w:rPr>
        <w:t>30</w:t>
      </w:r>
      <w:r>
        <w:rPr>
          <w:rFonts w:ascii="宋体" w:hAnsi="宋体"/>
          <w:color w:val="auto"/>
          <w:sz w:val="24"/>
          <w:highlight w:val="none"/>
        </w:rPr>
        <w:t>.1</w:t>
      </w:r>
      <w:r>
        <w:rPr>
          <w:rFonts w:hint="eastAsia" w:ascii="宋体" w:hAnsi="宋体"/>
          <w:color w:val="auto"/>
          <w:sz w:val="24"/>
          <w:highlight w:val="none"/>
        </w:rPr>
        <w:t>在收到中标通知书后的</w:t>
      </w:r>
      <w:r>
        <w:rPr>
          <w:rFonts w:hint="eastAsia" w:ascii="宋体" w:hAnsi="宋体"/>
          <w:b/>
          <w:bCs/>
          <w:color w:val="auto"/>
          <w:sz w:val="24"/>
          <w:highlight w:val="none"/>
          <w:u w:val="single"/>
        </w:rPr>
        <w:t>15个日历天</w:t>
      </w:r>
      <w:r>
        <w:rPr>
          <w:rFonts w:hint="eastAsia" w:ascii="宋体" w:hAnsi="宋体"/>
          <w:color w:val="auto"/>
          <w:sz w:val="24"/>
          <w:highlight w:val="none"/>
        </w:rPr>
        <w:t>内，中标人应按本须知前附表第</w:t>
      </w:r>
      <w:r>
        <w:rPr>
          <w:rFonts w:hint="eastAsia" w:ascii="宋体" w:hAnsi="宋体"/>
          <w:b/>
          <w:bCs/>
          <w:color w:val="auto"/>
          <w:sz w:val="24"/>
          <w:highlight w:val="none"/>
          <w:u w:val="single"/>
        </w:rPr>
        <w:t>2</w:t>
      </w:r>
      <w:r>
        <w:rPr>
          <w:rFonts w:hint="eastAsia" w:ascii="宋体" w:hAnsi="宋体"/>
          <w:b/>
          <w:bCs/>
          <w:color w:val="auto"/>
          <w:sz w:val="24"/>
          <w:highlight w:val="none"/>
          <w:u w:val="single"/>
          <w:lang w:val="en-US" w:eastAsia="zh-CN"/>
        </w:rPr>
        <w:t>1</w:t>
      </w:r>
      <w:r>
        <w:rPr>
          <w:rFonts w:hint="eastAsia" w:ascii="宋体" w:hAnsi="宋体"/>
          <w:color w:val="auto"/>
          <w:sz w:val="24"/>
          <w:highlight w:val="none"/>
        </w:rPr>
        <w:t>项的规定向招标人递交履约担保；</w:t>
      </w:r>
      <w:r>
        <w:rPr>
          <w:rFonts w:hint="eastAsia" w:ascii="宋体" w:hAnsi="宋体"/>
          <w:b/>
          <w:bCs/>
          <w:color w:val="auto"/>
          <w:sz w:val="24"/>
          <w:highlight w:val="none"/>
          <w:u w:val="single"/>
        </w:rPr>
        <w:t>履约担保缴交方式一：从中标人开户银行帐户中转帐或汇款到招标人以下三个银行帐户﹙收款单位：广州市番禺区基本建设投资管理中心，银行帐号一：3602070119200076312，开户银行：工商银行广州番禺平康支行；银行帐号二：44001531416059000078，开户银行：中国建设银行番禺东区支行；银行帐号三：391160100100059844，开户银行：兴业银行番禺支行﹚中的任一个帐户内。</w:t>
      </w:r>
    </w:p>
    <w:p w14:paraId="54357154">
      <w:pPr>
        <w:snapToGrid w:val="0"/>
        <w:spacing w:line="360" w:lineRule="auto"/>
        <w:ind w:firstLine="482" w:firstLineChars="200"/>
        <w:rPr>
          <w:rFonts w:ascii="宋体" w:hAnsi="宋体"/>
          <w:b/>
          <w:bCs/>
          <w:color w:val="auto"/>
          <w:sz w:val="24"/>
          <w:highlight w:val="none"/>
          <w:u w:val="single"/>
        </w:rPr>
      </w:pPr>
      <w:r>
        <w:rPr>
          <w:rFonts w:hint="eastAsia" w:ascii="宋体" w:hAnsi="宋体"/>
          <w:b/>
          <w:bCs/>
          <w:color w:val="auto"/>
          <w:sz w:val="24"/>
          <w:highlight w:val="none"/>
          <w:u w:val="single"/>
        </w:rPr>
        <w:t>方式二：中标人按本合同附件中的格式3向发包人提供保证额为中标价款的10%(若中标人为中小企业，则为5%)的履约保证金银行保函，该银行保函应由在中国注册的银行开具。</w:t>
      </w:r>
    </w:p>
    <w:p w14:paraId="4B247680">
      <w:pPr>
        <w:snapToGrid w:val="0"/>
        <w:spacing w:line="360" w:lineRule="auto"/>
        <w:ind w:firstLine="480" w:firstLineChars="200"/>
        <w:rPr>
          <w:rFonts w:ascii="宋体"/>
          <w:color w:val="auto"/>
          <w:sz w:val="24"/>
          <w:highlight w:val="none"/>
        </w:rPr>
      </w:pPr>
      <w:r>
        <w:rPr>
          <w:rFonts w:hint="eastAsia" w:ascii="宋体" w:hAnsi="宋体"/>
          <w:color w:val="auto"/>
          <w:sz w:val="24"/>
          <w:highlight w:val="none"/>
          <w:lang w:val="en-US" w:eastAsia="zh-CN"/>
        </w:rPr>
        <w:t>30</w:t>
      </w:r>
      <w:r>
        <w:rPr>
          <w:rFonts w:hint="eastAsia" w:ascii="宋体" w:hAnsi="宋体"/>
          <w:color w:val="auto"/>
          <w:sz w:val="24"/>
          <w:highlight w:val="none"/>
        </w:rPr>
        <w:t>.2中标通知书发出之日起</w:t>
      </w:r>
      <w:r>
        <w:rPr>
          <w:rFonts w:hint="eastAsia" w:ascii="宋体" w:hAnsi="宋体"/>
          <w:b/>
          <w:bCs/>
          <w:color w:val="auto"/>
          <w:sz w:val="24"/>
          <w:highlight w:val="none"/>
          <w:u w:val="single"/>
        </w:rPr>
        <w:t>15个日历天</w:t>
      </w:r>
      <w:r>
        <w:rPr>
          <w:rFonts w:hint="eastAsia" w:ascii="宋体" w:hAnsi="宋体"/>
          <w:color w:val="auto"/>
          <w:sz w:val="24"/>
          <w:highlight w:val="none"/>
          <w:u w:val="none"/>
        </w:rPr>
        <w:t>内</w:t>
      </w:r>
      <w:r>
        <w:rPr>
          <w:rFonts w:hint="eastAsia" w:ascii="宋体" w:hAnsi="宋体"/>
          <w:color w:val="auto"/>
          <w:sz w:val="24"/>
          <w:highlight w:val="none"/>
        </w:rPr>
        <w:t>，中标人未按上款的规定递交履约担保</w:t>
      </w:r>
      <w:r>
        <w:rPr>
          <w:rFonts w:hint="eastAsia" w:ascii="宋体" w:hAnsi="宋体"/>
          <w:b/>
          <w:bCs/>
          <w:color w:val="auto"/>
          <w:sz w:val="24"/>
          <w:highlight w:val="none"/>
          <w:u w:val="single"/>
        </w:rPr>
        <w:t>且未征得招标人同意延期缴交的</w:t>
      </w:r>
      <w:r>
        <w:rPr>
          <w:rFonts w:hint="eastAsia" w:ascii="宋体" w:hAnsi="宋体"/>
          <w:color w:val="auto"/>
          <w:sz w:val="24"/>
          <w:highlight w:val="none"/>
        </w:rPr>
        <w:t>，招标人将解除中标通知书，原中标人</w:t>
      </w:r>
      <w:r>
        <w:rPr>
          <w:rFonts w:hint="eastAsia" w:ascii="宋体" w:hAnsi="宋体" w:cs="宋体"/>
          <w:b/>
          <w:bCs/>
          <w:sz w:val="24"/>
          <w:szCs w:val="24"/>
          <w:highlight w:val="none"/>
          <w:u w:val="single"/>
        </w:rPr>
        <w:t>补交的投标保证金</w:t>
      </w:r>
      <w:r>
        <w:rPr>
          <w:rFonts w:hint="eastAsia" w:ascii="宋体" w:hAnsi="宋体"/>
          <w:color w:val="auto"/>
          <w:sz w:val="24"/>
          <w:highlight w:val="none"/>
        </w:rPr>
        <w:t>不予退还，且依法承担相应法律责任。原中标人给招标人造成的损失超过</w:t>
      </w:r>
      <w:r>
        <w:rPr>
          <w:rFonts w:hint="eastAsia" w:ascii="宋体" w:hAnsi="宋体" w:cs="宋体"/>
          <w:b/>
          <w:bCs/>
          <w:sz w:val="24"/>
          <w:szCs w:val="24"/>
          <w:highlight w:val="none"/>
          <w:u w:val="single"/>
        </w:rPr>
        <w:t>补交的投标保证金</w:t>
      </w:r>
      <w:r>
        <w:rPr>
          <w:rFonts w:hint="eastAsia" w:ascii="宋体" w:hAnsi="宋体"/>
          <w:color w:val="auto"/>
          <w:sz w:val="24"/>
          <w:highlight w:val="none"/>
        </w:rPr>
        <w:t>数额的，还应当对超过部分予以赔偿。原中标人有异议的，可以向人民法院起诉。</w:t>
      </w:r>
    </w:p>
    <w:p w14:paraId="0FF0A0F8">
      <w:pPr>
        <w:spacing w:line="360" w:lineRule="auto"/>
        <w:ind w:firstLine="482" w:firstLineChars="200"/>
        <w:rPr>
          <w:rFonts w:ascii="宋体"/>
          <w:b/>
          <w:bCs/>
          <w:color w:val="auto"/>
          <w:sz w:val="24"/>
          <w:highlight w:val="none"/>
        </w:rPr>
      </w:pPr>
      <w:r>
        <w:rPr>
          <w:rFonts w:ascii="宋体" w:hAnsi="宋体"/>
          <w:b/>
          <w:bCs/>
          <w:color w:val="auto"/>
          <w:sz w:val="24"/>
          <w:highlight w:val="none"/>
        </w:rPr>
        <w:t>3</w:t>
      </w:r>
      <w:r>
        <w:rPr>
          <w:rFonts w:hint="eastAsia" w:ascii="宋体" w:hAnsi="宋体"/>
          <w:b/>
          <w:bCs/>
          <w:color w:val="auto"/>
          <w:sz w:val="24"/>
          <w:highlight w:val="none"/>
          <w:lang w:val="en-US" w:eastAsia="zh-CN"/>
        </w:rPr>
        <w:t>1</w:t>
      </w:r>
      <w:r>
        <w:rPr>
          <w:rFonts w:hint="eastAsia" w:ascii="宋体" w:hAnsi="宋体"/>
          <w:b/>
          <w:bCs/>
          <w:color w:val="auto"/>
          <w:sz w:val="24"/>
          <w:highlight w:val="none"/>
        </w:rPr>
        <w:t>．合同生效</w:t>
      </w:r>
    </w:p>
    <w:p w14:paraId="08A366C3">
      <w:pPr>
        <w:spacing w:line="360" w:lineRule="auto"/>
        <w:ind w:firstLine="480" w:firstLineChars="200"/>
        <w:rPr>
          <w:rFonts w:ascii="宋体"/>
          <w:color w:val="auto"/>
          <w:sz w:val="24"/>
          <w:highlight w:val="none"/>
        </w:rPr>
      </w:pPr>
      <w:r>
        <w:rPr>
          <w:rFonts w:ascii="宋体" w:hAnsi="宋体"/>
          <w:color w:val="auto"/>
          <w:sz w:val="24"/>
          <w:highlight w:val="none"/>
        </w:rPr>
        <w:t>3</w:t>
      </w:r>
      <w:r>
        <w:rPr>
          <w:rFonts w:hint="eastAsia" w:ascii="宋体" w:hAnsi="宋体"/>
          <w:color w:val="auto"/>
          <w:sz w:val="24"/>
          <w:highlight w:val="none"/>
          <w:lang w:val="en-US" w:eastAsia="zh-CN"/>
        </w:rPr>
        <w:t>1</w:t>
      </w:r>
      <w:r>
        <w:rPr>
          <w:rFonts w:ascii="宋体" w:hAnsi="宋体"/>
          <w:color w:val="auto"/>
          <w:sz w:val="24"/>
          <w:highlight w:val="none"/>
        </w:rPr>
        <w:t>.1</w:t>
      </w:r>
      <w:r>
        <w:rPr>
          <w:rFonts w:hint="eastAsia" w:ascii="宋体" w:hAnsi="宋体"/>
          <w:color w:val="auto"/>
          <w:sz w:val="24"/>
          <w:highlight w:val="none"/>
        </w:rPr>
        <w:t>在合同双方全权代表在合同协议书上签字，并分别加盖双方单位的公章后，合同正式生效。</w:t>
      </w:r>
    </w:p>
    <w:p w14:paraId="28888A99">
      <w:pPr>
        <w:numPr>
          <w:ilvl w:val="0"/>
          <w:numId w:val="8"/>
        </w:numPr>
        <w:spacing w:line="360" w:lineRule="auto"/>
        <w:ind w:firstLine="482" w:firstLineChars="200"/>
        <w:rPr>
          <w:rFonts w:hint="eastAsia" w:ascii="宋体" w:hAnsi="宋体"/>
          <w:b/>
          <w:bCs/>
          <w:color w:val="auto"/>
          <w:sz w:val="24"/>
          <w:highlight w:val="none"/>
          <w:lang w:eastAsia="zh-CN"/>
        </w:rPr>
      </w:pPr>
      <w:r>
        <w:rPr>
          <w:rFonts w:hint="eastAsia" w:ascii="宋体" w:hAnsi="宋体"/>
          <w:b/>
          <w:bCs/>
          <w:color w:val="auto"/>
          <w:sz w:val="24"/>
          <w:highlight w:val="none"/>
          <w:lang w:eastAsia="zh-CN"/>
        </w:rPr>
        <w:t>专业分包</w:t>
      </w:r>
    </w:p>
    <w:p w14:paraId="25A0AF68">
      <w:pPr>
        <w:snapToGrid w:val="0"/>
        <w:spacing w:line="360" w:lineRule="auto"/>
        <w:ind w:firstLine="480" w:firstLineChars="200"/>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32.1投标人拟在中标后将中标项目的非主体、非关键性施工工作进行分包的，应符合投标须知前附表规定的分包内容、分包金额和资质要求等限制性条件，除投标人须知前附表规定的非主体、非关键性施工工作分包外，其他工作不得分包。</w:t>
      </w:r>
    </w:p>
    <w:p w14:paraId="76309C03">
      <w:pPr>
        <w:pStyle w:val="21"/>
        <w:spacing w:line="360" w:lineRule="auto"/>
        <w:rPr>
          <w:rFonts w:hint="default"/>
          <w:color w:val="auto"/>
          <w:highlight w:val="none"/>
          <w:lang w:val="en-US" w:eastAsia="zh-CN"/>
        </w:rPr>
      </w:pPr>
      <w:r>
        <w:rPr>
          <w:rFonts w:hint="eastAsia" w:ascii="宋体" w:hAnsi="宋体" w:eastAsia="宋体" w:cs="Times New Roman"/>
          <w:color w:val="auto"/>
          <w:sz w:val="24"/>
          <w:highlight w:val="none"/>
          <w:lang w:val="en-US" w:eastAsia="zh-CN"/>
        </w:rPr>
        <w:t xml:space="preserve">    32.2中标人不得向他人转让中标项目，接受分包的人不得再次分包。中标人应当就分包项目向招标人负责，接受分包的人就分包项目承担连带责任。</w:t>
      </w:r>
    </w:p>
    <w:p w14:paraId="2798C18F">
      <w:pPr>
        <w:pStyle w:val="4"/>
        <w:spacing w:after="0" w:line="360" w:lineRule="auto"/>
        <w:ind w:firstLine="482" w:firstLineChars="200"/>
        <w:rPr>
          <w:rFonts w:ascii="宋体"/>
          <w:b/>
          <w:bCs/>
          <w:color w:val="auto"/>
          <w:sz w:val="24"/>
          <w:highlight w:val="none"/>
        </w:rPr>
      </w:pPr>
      <w:r>
        <w:rPr>
          <w:rFonts w:ascii="宋体" w:hAnsi="宋体"/>
          <w:b/>
          <w:bCs/>
          <w:color w:val="auto"/>
          <w:sz w:val="24"/>
          <w:highlight w:val="none"/>
        </w:rPr>
        <w:t>3</w:t>
      </w:r>
      <w:r>
        <w:rPr>
          <w:rFonts w:hint="eastAsia" w:ascii="宋体" w:hAnsi="宋体"/>
          <w:b/>
          <w:bCs/>
          <w:color w:val="auto"/>
          <w:sz w:val="24"/>
          <w:highlight w:val="none"/>
          <w:lang w:val="en-US" w:eastAsia="zh-CN"/>
        </w:rPr>
        <w:t>3</w:t>
      </w:r>
      <w:r>
        <w:rPr>
          <w:rFonts w:hint="eastAsia" w:ascii="宋体" w:hAnsi="宋体"/>
          <w:b/>
          <w:bCs/>
          <w:color w:val="auto"/>
          <w:sz w:val="24"/>
          <w:highlight w:val="none"/>
        </w:rPr>
        <w:t>．腐败与欺诈行为</w:t>
      </w:r>
    </w:p>
    <w:p w14:paraId="6EF2DE49">
      <w:pPr>
        <w:pStyle w:val="4"/>
        <w:spacing w:after="0" w:line="360" w:lineRule="auto"/>
        <w:ind w:firstLine="480" w:firstLineChars="200"/>
        <w:rPr>
          <w:rFonts w:ascii="宋体"/>
          <w:color w:val="auto"/>
          <w:sz w:val="24"/>
          <w:highlight w:val="none"/>
        </w:rPr>
      </w:pPr>
      <w:r>
        <w:rPr>
          <w:rFonts w:hint="eastAsia" w:ascii="宋体" w:hAnsi="宋体"/>
          <w:color w:val="auto"/>
          <w:sz w:val="24"/>
          <w:highlight w:val="none"/>
        </w:rPr>
        <w:t>在招标和合同实施期间，招标人要求投标人和承包人遵守最高的道德标准。</w:t>
      </w:r>
    </w:p>
    <w:p w14:paraId="79E7CB39">
      <w:pPr>
        <w:pStyle w:val="4"/>
        <w:spacing w:after="0" w:line="360" w:lineRule="auto"/>
        <w:ind w:firstLine="480" w:firstLineChars="200"/>
        <w:rPr>
          <w:rFonts w:ascii="宋体"/>
          <w:color w:val="auto"/>
          <w:sz w:val="24"/>
          <w:highlight w:val="none"/>
        </w:rPr>
      </w:pPr>
      <w:r>
        <w:rPr>
          <w:rFonts w:ascii="宋体" w:hAnsi="宋体"/>
          <w:color w:val="auto"/>
          <w:sz w:val="24"/>
          <w:highlight w:val="none"/>
        </w:rPr>
        <w:t>3</w:t>
      </w:r>
      <w:r>
        <w:rPr>
          <w:rFonts w:hint="eastAsia" w:ascii="宋体" w:hAnsi="宋体"/>
          <w:color w:val="auto"/>
          <w:sz w:val="24"/>
          <w:highlight w:val="none"/>
          <w:lang w:val="en-US" w:eastAsia="zh-CN"/>
        </w:rPr>
        <w:t>3.</w:t>
      </w:r>
      <w:r>
        <w:rPr>
          <w:rFonts w:ascii="宋体" w:hAnsi="宋体"/>
          <w:color w:val="auto"/>
          <w:sz w:val="24"/>
          <w:highlight w:val="none"/>
        </w:rPr>
        <w:t>1</w:t>
      </w:r>
      <w:r>
        <w:rPr>
          <w:rFonts w:hint="eastAsia" w:ascii="宋体" w:hAnsi="宋体"/>
          <w:color w:val="auto"/>
          <w:sz w:val="24"/>
          <w:highlight w:val="none"/>
        </w:rPr>
        <w:t>对本条款的规定，特定义如下词汇：</w:t>
      </w:r>
    </w:p>
    <w:p w14:paraId="1A3C53A5">
      <w:pPr>
        <w:pStyle w:val="4"/>
        <w:spacing w:after="0" w:line="360" w:lineRule="auto"/>
        <w:ind w:firstLine="480" w:firstLineChars="200"/>
        <w:rPr>
          <w:rFonts w:ascii="宋体"/>
          <w:color w:val="auto"/>
          <w:sz w:val="24"/>
          <w:highlight w:val="none"/>
        </w:rPr>
      </w:pPr>
      <w:r>
        <w:rPr>
          <w:rFonts w:hint="eastAsia" w:ascii="宋体" w:hAnsi="宋体"/>
          <w:color w:val="auto"/>
          <w:sz w:val="24"/>
          <w:highlight w:val="none"/>
        </w:rPr>
        <w:t>“腐败行为”是指在招标或合同执行期间，通过提供、给予、接受或索要任何有价值的东西，从而影响招标人有关人员工作的行为；</w:t>
      </w:r>
    </w:p>
    <w:p w14:paraId="51247F11">
      <w:pPr>
        <w:pStyle w:val="4"/>
        <w:spacing w:after="0" w:line="360" w:lineRule="auto"/>
        <w:ind w:firstLine="480" w:firstLineChars="200"/>
        <w:rPr>
          <w:rFonts w:ascii="宋体"/>
          <w:color w:val="auto"/>
          <w:sz w:val="24"/>
          <w:highlight w:val="none"/>
        </w:rPr>
      </w:pPr>
      <w:r>
        <w:rPr>
          <w:rFonts w:hint="eastAsia" w:ascii="宋体" w:hAnsi="宋体"/>
          <w:color w:val="auto"/>
          <w:sz w:val="24"/>
          <w:highlight w:val="none"/>
        </w:rPr>
        <w:t>“欺诈行为”是指通过提供伪证影响招标或合同执行，从而损害招标人利益的行为；也包括投标人之间串通（在提交投标文件之前或之后），人为地使招标过程失去竞争性，从而使招标人无法从公开的自由竞争中获得利益的行为。</w:t>
      </w:r>
    </w:p>
    <w:p w14:paraId="60947738">
      <w:pPr>
        <w:pStyle w:val="4"/>
        <w:spacing w:after="0" w:line="360" w:lineRule="auto"/>
        <w:ind w:firstLine="480" w:firstLineChars="200"/>
        <w:rPr>
          <w:rFonts w:ascii="宋体" w:hAnsi="宋体"/>
          <w:color w:val="auto"/>
          <w:sz w:val="24"/>
          <w:highlight w:val="none"/>
        </w:rPr>
      </w:pPr>
      <w:r>
        <w:rPr>
          <w:rFonts w:ascii="宋体" w:hAnsi="宋体"/>
          <w:color w:val="auto"/>
          <w:sz w:val="24"/>
          <w:highlight w:val="none"/>
        </w:rPr>
        <w:t>3</w:t>
      </w:r>
      <w:r>
        <w:rPr>
          <w:rFonts w:hint="eastAsia" w:ascii="宋体" w:hAnsi="宋体"/>
          <w:color w:val="auto"/>
          <w:sz w:val="24"/>
          <w:highlight w:val="none"/>
          <w:lang w:val="en-US" w:eastAsia="zh-CN"/>
        </w:rPr>
        <w:t>3.</w:t>
      </w:r>
      <w:r>
        <w:rPr>
          <w:rFonts w:ascii="宋体" w:hAnsi="宋体"/>
          <w:color w:val="auto"/>
          <w:sz w:val="24"/>
          <w:highlight w:val="none"/>
        </w:rPr>
        <w:t>2</w:t>
      </w:r>
      <w:r>
        <w:rPr>
          <w:rFonts w:hint="eastAsia" w:ascii="宋体" w:hAnsi="宋体"/>
          <w:color w:val="auto"/>
          <w:sz w:val="24"/>
          <w:highlight w:val="none"/>
        </w:rPr>
        <w:t>如果投标人被认定在本招标竞争中有腐败或欺诈行为，则会被取消投标资格。</w:t>
      </w:r>
    </w:p>
    <w:p w14:paraId="2BE3AF43">
      <w:pPr>
        <w:pStyle w:val="4"/>
        <w:spacing w:after="0" w:line="360" w:lineRule="auto"/>
        <w:ind w:firstLine="480" w:firstLineChars="200"/>
        <w:rPr>
          <w:rFonts w:hint="eastAsia" w:ascii="宋体"/>
          <w:color w:val="auto"/>
          <w:sz w:val="24"/>
          <w:highlight w:val="none"/>
        </w:rPr>
      </w:pPr>
      <w:r>
        <w:rPr>
          <w:rFonts w:hint="eastAsia" w:ascii="宋体"/>
          <w:color w:val="auto"/>
          <w:sz w:val="24"/>
          <w:highlight w:val="none"/>
        </w:rPr>
        <w:t>3</w:t>
      </w:r>
      <w:r>
        <w:rPr>
          <w:rFonts w:hint="eastAsia" w:ascii="宋体"/>
          <w:color w:val="auto"/>
          <w:sz w:val="24"/>
          <w:highlight w:val="none"/>
          <w:lang w:val="en-US" w:eastAsia="zh-CN"/>
        </w:rPr>
        <w:t>3.</w:t>
      </w:r>
      <w:r>
        <w:rPr>
          <w:rFonts w:hint="eastAsia" w:ascii="宋体"/>
          <w:color w:val="auto"/>
          <w:sz w:val="24"/>
          <w:highlight w:val="none"/>
        </w:rPr>
        <w:t>3投标人如在本项目中存在串通投标、弄虚作假骗取中标、行贿情形的，中标无效，行政监督部门将对其违法行为进行政处罚。</w:t>
      </w:r>
    </w:p>
    <w:p w14:paraId="290FB382">
      <w:pPr>
        <w:numPr>
          <w:ilvl w:val="0"/>
          <w:numId w:val="0"/>
        </w:numPr>
        <w:spacing w:line="360" w:lineRule="auto"/>
        <w:ind w:firstLine="482" w:firstLineChars="200"/>
        <w:rPr>
          <w:rFonts w:hint="eastAsia" w:ascii="宋体" w:hAnsi="宋体"/>
          <w:b/>
          <w:bCs/>
          <w:color w:val="auto"/>
          <w:sz w:val="24"/>
          <w:highlight w:val="none"/>
        </w:rPr>
      </w:pPr>
      <w:r>
        <w:rPr>
          <w:rFonts w:hint="eastAsia" w:ascii="宋体" w:hAnsi="宋体"/>
          <w:b/>
          <w:bCs/>
          <w:color w:val="auto"/>
          <w:sz w:val="24"/>
          <w:highlight w:val="none"/>
          <w:lang w:val="en-US" w:eastAsia="zh-CN"/>
        </w:rPr>
        <w:t>34.</w:t>
      </w:r>
      <w:r>
        <w:rPr>
          <w:rFonts w:hint="eastAsia" w:ascii="宋体" w:hAnsi="宋体"/>
          <w:b/>
          <w:bCs/>
          <w:color w:val="auto"/>
          <w:sz w:val="24"/>
          <w:highlight w:val="none"/>
        </w:rPr>
        <w:t>其它费用</w:t>
      </w:r>
    </w:p>
    <w:p w14:paraId="5BC68EE8">
      <w:pPr>
        <w:numPr>
          <w:ilvl w:val="0"/>
          <w:numId w:val="0"/>
        </w:numPr>
        <w:spacing w:line="360" w:lineRule="auto"/>
        <w:ind w:firstLine="482" w:firstLineChars="200"/>
        <w:rPr>
          <w:rFonts w:hint="eastAsia" w:ascii="宋体" w:hAnsi="宋体" w:eastAsia="宋体"/>
          <w:b/>
          <w:bCs/>
          <w:color w:val="auto"/>
          <w:sz w:val="24"/>
          <w:highlight w:val="none"/>
          <w:u w:val="single"/>
          <w:lang w:eastAsia="zh-CN"/>
        </w:rPr>
      </w:pPr>
      <w:r>
        <w:rPr>
          <w:rFonts w:hint="eastAsia" w:ascii="宋体" w:hAnsi="宋体"/>
          <w:b/>
          <w:bCs/>
          <w:color w:val="auto"/>
          <w:sz w:val="24"/>
          <w:highlight w:val="none"/>
          <w:u w:val="single"/>
        </w:rPr>
        <w:t>中标人代缴公共资源交易服务费，其费用包含在中标人投标报价中，由</w:t>
      </w:r>
      <w:r>
        <w:rPr>
          <w:rFonts w:hint="eastAsia" w:ascii="宋体" w:hAnsi="宋体"/>
          <w:b/>
          <w:bCs/>
          <w:color w:val="auto"/>
          <w:sz w:val="24"/>
          <w:highlight w:val="none"/>
          <w:u w:val="single"/>
          <w:lang w:eastAsia="zh-CN"/>
        </w:rPr>
        <w:t>广州交易集团有限公司（广州公共资源交易中心）</w:t>
      </w:r>
      <w:r>
        <w:rPr>
          <w:rFonts w:hint="eastAsia" w:ascii="宋体" w:hAnsi="宋体"/>
          <w:b/>
          <w:bCs/>
          <w:color w:val="auto"/>
          <w:sz w:val="24"/>
          <w:highlight w:val="none"/>
          <w:u w:val="single"/>
        </w:rPr>
        <w:t>向中标人开具增值税发票</w:t>
      </w:r>
      <w:r>
        <w:rPr>
          <w:rFonts w:hint="eastAsia" w:ascii="宋体" w:hAnsi="宋体"/>
          <w:b/>
          <w:bCs/>
          <w:color w:val="auto"/>
          <w:sz w:val="24"/>
          <w:highlight w:val="none"/>
          <w:u w:val="single"/>
          <w:lang w:eastAsia="zh-CN"/>
        </w:rPr>
        <w:t>。</w:t>
      </w:r>
    </w:p>
    <w:p w14:paraId="06AACCCB">
      <w:pPr>
        <w:rPr>
          <w:rFonts w:hint="eastAsia"/>
          <w:color w:val="auto"/>
          <w:highlight w:val="none"/>
        </w:rPr>
      </w:pPr>
      <w:bookmarkStart w:id="54" w:name="_Toc20528"/>
      <w:bookmarkStart w:id="55" w:name="_Toc21525498"/>
      <w:bookmarkStart w:id="56" w:name="_Toc17683"/>
      <w:bookmarkStart w:id="57" w:name="_Toc32047"/>
      <w:bookmarkStart w:id="58" w:name="_Toc2272554"/>
      <w:bookmarkStart w:id="59" w:name="_Toc2483"/>
      <w:r>
        <w:rPr>
          <w:rFonts w:hint="eastAsia"/>
          <w:color w:val="auto"/>
          <w:highlight w:val="none"/>
        </w:rPr>
        <w:br w:type="page"/>
      </w:r>
    </w:p>
    <w:p w14:paraId="12D0D0E2">
      <w:pPr>
        <w:pStyle w:val="2"/>
        <w:rPr>
          <w:color w:val="auto"/>
          <w:highlight w:val="none"/>
        </w:rPr>
      </w:pPr>
      <w:r>
        <w:rPr>
          <w:rFonts w:hint="eastAsia"/>
          <w:color w:val="auto"/>
          <w:highlight w:val="none"/>
        </w:rPr>
        <w:t>第二章</w:t>
      </w:r>
      <w:r>
        <w:rPr>
          <w:color w:val="auto"/>
          <w:highlight w:val="none"/>
        </w:rPr>
        <w:t xml:space="preserve">  </w:t>
      </w:r>
      <w:r>
        <w:rPr>
          <w:rFonts w:hint="eastAsia"/>
          <w:color w:val="auto"/>
          <w:highlight w:val="none"/>
        </w:rPr>
        <w:t>开标、评标及定标办法</w:t>
      </w:r>
      <w:bookmarkEnd w:id="54"/>
      <w:bookmarkEnd w:id="55"/>
      <w:bookmarkEnd w:id="56"/>
      <w:bookmarkEnd w:id="57"/>
      <w:bookmarkEnd w:id="58"/>
      <w:bookmarkEnd w:id="59"/>
    </w:p>
    <w:p w14:paraId="2246A448">
      <w:pPr>
        <w:pStyle w:val="6"/>
        <w:bidi w:val="0"/>
        <w:rPr>
          <w:color w:val="auto"/>
          <w:highlight w:val="none"/>
        </w:rPr>
      </w:pPr>
      <w:bookmarkStart w:id="60" w:name="_Toc29698"/>
      <w:bookmarkStart w:id="61" w:name="_Toc21525499"/>
      <w:bookmarkStart w:id="62" w:name="_Toc15032"/>
      <w:bookmarkStart w:id="63" w:name="_Toc28311"/>
      <w:bookmarkStart w:id="64" w:name="_Toc2272555"/>
      <w:bookmarkStart w:id="65" w:name="_Toc24867"/>
      <w:r>
        <w:rPr>
          <w:rFonts w:hint="eastAsia"/>
          <w:color w:val="auto"/>
          <w:highlight w:val="none"/>
        </w:rPr>
        <w:t>一、开标、评标及定标办法修改表</w:t>
      </w:r>
      <w:bookmarkEnd w:id="60"/>
      <w:bookmarkEnd w:id="61"/>
      <w:bookmarkEnd w:id="62"/>
      <w:bookmarkEnd w:id="63"/>
      <w:bookmarkEnd w:id="64"/>
      <w:bookmarkEnd w:id="65"/>
    </w:p>
    <w:p w14:paraId="6F2D053D">
      <w:pPr>
        <w:pStyle w:val="4"/>
        <w:spacing w:after="0" w:line="360" w:lineRule="auto"/>
        <w:rPr>
          <w:b/>
          <w:color w:val="auto"/>
          <w:sz w:val="21"/>
          <w:szCs w:val="21"/>
          <w:highlight w:val="none"/>
        </w:rPr>
      </w:pPr>
      <w:r>
        <w:rPr>
          <w:rFonts w:hint="eastAsia"/>
          <w:b/>
          <w:color w:val="auto"/>
          <w:szCs w:val="21"/>
          <w:highlight w:val="none"/>
        </w:rPr>
        <w:t>声明：本</w:t>
      </w:r>
      <w:r>
        <w:rPr>
          <w:rFonts w:hint="eastAsia"/>
          <w:b/>
          <w:color w:val="auto"/>
          <w:highlight w:val="none"/>
        </w:rPr>
        <w:t>开标、评标及定标办法使用</w:t>
      </w:r>
      <w:r>
        <w:rPr>
          <w:rFonts w:hint="eastAsia"/>
          <w:b/>
          <w:color w:val="auto"/>
          <w:highlight w:val="none"/>
          <w:lang w:eastAsia="zh-CN"/>
        </w:rPr>
        <w:t>GZJTZB202</w:t>
      </w:r>
      <w:r>
        <w:rPr>
          <w:rFonts w:hint="eastAsia"/>
          <w:b/>
          <w:color w:val="auto"/>
          <w:highlight w:val="none"/>
          <w:lang w:val="en-US" w:eastAsia="zh-CN"/>
        </w:rPr>
        <w:t>5</w:t>
      </w:r>
      <w:r>
        <w:rPr>
          <w:rFonts w:hint="eastAsia"/>
          <w:b/>
          <w:color w:val="auto"/>
          <w:highlight w:val="none"/>
          <w:lang w:eastAsia="zh-CN"/>
        </w:rPr>
        <w:t>-3</w:t>
      </w:r>
      <w:r>
        <w:rPr>
          <w:rFonts w:hint="eastAsia"/>
          <w:b/>
          <w:color w:val="auto"/>
          <w:highlight w:val="none"/>
        </w:rPr>
        <w:t>招标文件范本的开标、评标及定标办法通用条款，与该通用条款不同之处，均在本表中列明，并以现文为准，原</w:t>
      </w:r>
      <w:r>
        <w:rPr>
          <w:rFonts w:hint="eastAsia"/>
          <w:b/>
          <w:color w:val="auto"/>
          <w:szCs w:val="21"/>
          <w:highlight w:val="none"/>
        </w:rPr>
        <w:t>文不再有效。</w:t>
      </w:r>
      <w:r>
        <w:rPr>
          <w:rFonts w:hint="eastAsia" w:ascii="宋体" w:hAnsi="宋体"/>
          <w:b w:val="0"/>
          <w:bCs/>
          <w:color w:val="auto"/>
          <w:sz w:val="21"/>
          <w:szCs w:val="21"/>
          <w:highlight w:val="none"/>
          <w:lang w:eastAsia="zh-CN"/>
        </w:rPr>
        <w:t>（注：招标人按《开标、评标及定标办法修改表》修改的内容对应修改通用条款，属于删除的采用“</w:t>
      </w:r>
      <w:r>
        <w:rPr>
          <w:rFonts w:hint="eastAsia" w:ascii="宋体" w:hAnsi="宋体"/>
          <w:b w:val="0"/>
          <w:bCs/>
          <w:strike/>
          <w:dstrike w:val="0"/>
          <w:color w:val="auto"/>
          <w:sz w:val="21"/>
          <w:szCs w:val="21"/>
          <w:highlight w:val="none"/>
          <w:lang w:val="en-US" w:eastAsia="zh-CN"/>
        </w:rPr>
        <w:t xml:space="preserve">   </w:t>
      </w:r>
      <w:r>
        <w:rPr>
          <w:rFonts w:hint="eastAsia" w:ascii="宋体" w:hAnsi="宋体"/>
          <w:b w:val="0"/>
          <w:bCs/>
          <w:strike w:val="0"/>
          <w:dstrike w:val="0"/>
          <w:color w:val="auto"/>
          <w:sz w:val="21"/>
          <w:szCs w:val="21"/>
          <w:highlight w:val="none"/>
          <w:lang w:val="en-US" w:eastAsia="zh-CN"/>
        </w:rPr>
        <w:t>”表示，</w:t>
      </w:r>
      <w:r>
        <w:rPr>
          <w:rFonts w:hint="eastAsia" w:ascii="宋体" w:hAnsi="宋体"/>
          <w:b w:val="0"/>
          <w:bCs/>
          <w:color w:val="auto"/>
          <w:sz w:val="21"/>
          <w:szCs w:val="21"/>
          <w:highlight w:val="none"/>
          <w:lang w:eastAsia="zh-CN"/>
        </w:rPr>
        <w:t>如“</w:t>
      </w:r>
      <w:r>
        <w:rPr>
          <w:rFonts w:hint="eastAsia" w:ascii="宋体" w:hAnsi="宋体"/>
          <w:b w:val="0"/>
          <w:bCs/>
          <w:strike/>
          <w:dstrike w:val="0"/>
          <w:color w:val="auto"/>
          <w:sz w:val="21"/>
          <w:szCs w:val="21"/>
          <w:highlight w:val="none"/>
          <w:u w:val="none"/>
          <w:lang w:eastAsia="zh-CN"/>
        </w:rPr>
        <w:t>删除</w:t>
      </w:r>
      <w:r>
        <w:rPr>
          <w:rFonts w:hint="eastAsia" w:ascii="宋体" w:hAnsi="宋体"/>
          <w:b w:val="0"/>
          <w:bCs/>
          <w:color w:val="auto"/>
          <w:sz w:val="21"/>
          <w:szCs w:val="21"/>
          <w:highlight w:val="none"/>
          <w:lang w:eastAsia="zh-CN"/>
        </w:rPr>
        <w:t>”；属于新增、修改的内容，用</w:t>
      </w:r>
      <w:r>
        <w:rPr>
          <w:rFonts w:hint="eastAsia" w:ascii="宋体" w:hAnsi="宋体"/>
          <w:b/>
          <w:bCs w:val="0"/>
          <w:color w:val="auto"/>
          <w:sz w:val="21"/>
          <w:szCs w:val="21"/>
          <w:highlight w:val="none"/>
          <w:lang w:eastAsia="zh-CN"/>
        </w:rPr>
        <w:t>黑色加粗</w:t>
      </w:r>
      <w:r>
        <w:rPr>
          <w:rFonts w:hint="eastAsia" w:ascii="宋体" w:hAnsi="宋体"/>
          <w:b w:val="0"/>
          <w:bCs/>
          <w:color w:val="auto"/>
          <w:sz w:val="21"/>
          <w:szCs w:val="21"/>
          <w:highlight w:val="none"/>
          <w:lang w:eastAsia="zh-CN"/>
        </w:rPr>
        <w:t>字体显示</w:t>
      </w:r>
      <w:r>
        <w:rPr>
          <w:rFonts w:hint="eastAsia" w:ascii="宋体" w:hAnsi="宋体"/>
          <w:b w:val="0"/>
          <w:bCs/>
          <w:color w:val="auto"/>
          <w:sz w:val="21"/>
          <w:szCs w:val="21"/>
          <w:highlight w:val="none"/>
          <w:lang w:val="en-US" w:eastAsia="zh-CN"/>
        </w:rPr>
        <w:t>,并加注下划线，如“</w:t>
      </w:r>
      <w:r>
        <w:rPr>
          <w:rFonts w:hint="eastAsia" w:ascii="宋体" w:hAnsi="宋体"/>
          <w:b/>
          <w:bCs w:val="0"/>
          <w:color w:val="auto"/>
          <w:sz w:val="21"/>
          <w:szCs w:val="21"/>
          <w:highlight w:val="none"/>
          <w:u w:val="single"/>
          <w:lang w:val="en-US" w:eastAsia="zh-CN"/>
        </w:rPr>
        <w:t>新增修改</w:t>
      </w:r>
      <w:r>
        <w:rPr>
          <w:rFonts w:hint="eastAsia" w:ascii="宋体" w:hAnsi="宋体"/>
          <w:b w:val="0"/>
          <w:bCs/>
          <w:color w:val="auto"/>
          <w:sz w:val="21"/>
          <w:szCs w:val="21"/>
          <w:highlight w:val="none"/>
          <w:lang w:val="en-US" w:eastAsia="zh-CN"/>
        </w:rPr>
        <w:t>”</w:t>
      </w:r>
      <w:r>
        <w:rPr>
          <w:rFonts w:hint="eastAsia" w:ascii="宋体" w:hAnsi="宋体"/>
          <w:b w:val="0"/>
          <w:bCs/>
          <w:color w:val="auto"/>
          <w:sz w:val="21"/>
          <w:szCs w:val="21"/>
          <w:highlight w:val="none"/>
          <w:lang w:eastAsia="zh-CN"/>
        </w:rPr>
        <w:t>。）</w:t>
      </w:r>
    </w:p>
    <w:p w14:paraId="54B330AD">
      <w:pPr>
        <w:spacing w:line="360" w:lineRule="auto"/>
        <w:ind w:firstLine="472" w:firstLineChars="224"/>
        <w:rPr>
          <w:b/>
          <w:color w:val="auto"/>
          <w:szCs w:val="21"/>
          <w:highlight w:val="none"/>
        </w:rPr>
      </w:pPr>
      <w:r>
        <w:rPr>
          <w:rFonts w:hint="eastAsia"/>
          <w:b/>
          <w:color w:val="auto"/>
          <w:szCs w:val="21"/>
          <w:highlight w:val="none"/>
        </w:rPr>
        <w:t>条款号：可选办法一</w:t>
      </w:r>
      <w:r>
        <w:rPr>
          <w:b/>
          <w:color w:val="auto"/>
          <w:szCs w:val="21"/>
          <w:highlight w:val="none"/>
        </w:rPr>
        <w:t xml:space="preserve">             </w:t>
      </w:r>
      <w:r>
        <w:rPr>
          <w:rFonts w:hint="eastAsia"/>
          <w:b/>
          <w:color w:val="auto"/>
          <w:szCs w:val="21"/>
          <w:highlight w:val="none"/>
        </w:rPr>
        <w:t>修改类型：删除</w:t>
      </w:r>
    </w:p>
    <w:p w14:paraId="73DB0D2C">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可选办法一（适合综合评分法一，技术标与经济标先后分别开启）</w:t>
      </w:r>
    </w:p>
    <w:p w14:paraId="5EE2BD3A">
      <w:pPr>
        <w:spacing w:line="360" w:lineRule="auto"/>
        <w:ind w:firstLine="472" w:firstLineChars="224"/>
        <w:rPr>
          <w:b/>
          <w:color w:val="auto"/>
          <w:szCs w:val="21"/>
          <w:highlight w:val="none"/>
        </w:rPr>
      </w:pPr>
      <w:r>
        <w:rPr>
          <w:rFonts w:hint="eastAsia"/>
          <w:b/>
          <w:color w:val="auto"/>
          <w:szCs w:val="21"/>
          <w:highlight w:val="none"/>
        </w:rPr>
        <w:t>条款号：可选办法二</w:t>
      </w:r>
      <w:r>
        <w:rPr>
          <w:b/>
          <w:color w:val="auto"/>
          <w:szCs w:val="21"/>
          <w:highlight w:val="none"/>
        </w:rPr>
        <w:t xml:space="preserve">             </w:t>
      </w:r>
      <w:r>
        <w:rPr>
          <w:rFonts w:hint="eastAsia"/>
          <w:b/>
          <w:color w:val="auto"/>
          <w:szCs w:val="21"/>
          <w:highlight w:val="none"/>
        </w:rPr>
        <w:t>修改类型：删除</w:t>
      </w:r>
    </w:p>
    <w:p w14:paraId="77ED6E2F">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可选办法二（适合综合评分法一，技术标与经济标同时开启）</w:t>
      </w:r>
    </w:p>
    <w:p w14:paraId="0EE49D0A">
      <w:pPr>
        <w:spacing w:line="360" w:lineRule="auto"/>
        <w:ind w:firstLine="472" w:firstLineChars="224"/>
        <w:rPr>
          <w:b/>
          <w:color w:val="auto"/>
          <w:szCs w:val="21"/>
          <w:highlight w:val="none"/>
        </w:rPr>
      </w:pPr>
      <w:r>
        <w:rPr>
          <w:rFonts w:hint="eastAsia"/>
          <w:b/>
          <w:color w:val="auto"/>
          <w:szCs w:val="21"/>
          <w:highlight w:val="none"/>
        </w:rPr>
        <w:t>条款号：可选办法三</w:t>
      </w:r>
      <w:r>
        <w:rPr>
          <w:b/>
          <w:color w:val="auto"/>
          <w:szCs w:val="21"/>
          <w:highlight w:val="none"/>
        </w:rPr>
        <w:t xml:space="preserve">             </w:t>
      </w:r>
      <w:r>
        <w:rPr>
          <w:rFonts w:hint="eastAsia"/>
          <w:b/>
          <w:color w:val="auto"/>
          <w:szCs w:val="21"/>
          <w:highlight w:val="none"/>
        </w:rPr>
        <w:t>修改类型：删除</w:t>
      </w:r>
    </w:p>
    <w:p w14:paraId="5E197BE0">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可选办法三</w:t>
      </w:r>
    </w:p>
    <w:p w14:paraId="569B3619">
      <w:pPr>
        <w:spacing w:line="360" w:lineRule="auto"/>
        <w:ind w:firstLine="472" w:firstLineChars="224"/>
        <w:rPr>
          <w:b/>
          <w:color w:val="auto"/>
          <w:szCs w:val="21"/>
          <w:highlight w:val="none"/>
        </w:rPr>
      </w:pPr>
      <w:r>
        <w:rPr>
          <w:rFonts w:hint="eastAsia"/>
          <w:b/>
          <w:color w:val="auto"/>
          <w:szCs w:val="21"/>
          <w:highlight w:val="none"/>
        </w:rPr>
        <w:t>条款号：可选办法四</w:t>
      </w:r>
      <w:r>
        <w:rPr>
          <w:b/>
          <w:color w:val="auto"/>
          <w:szCs w:val="21"/>
          <w:highlight w:val="none"/>
        </w:rPr>
        <w:t xml:space="preserve">             </w:t>
      </w:r>
      <w:r>
        <w:rPr>
          <w:rFonts w:hint="eastAsia"/>
          <w:b/>
          <w:color w:val="auto"/>
          <w:szCs w:val="21"/>
          <w:highlight w:val="none"/>
        </w:rPr>
        <w:t>修改类型：删除</w:t>
      </w:r>
    </w:p>
    <w:p w14:paraId="21C4E92B">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可选办法四（适合综合评分法二，技术标与经济标同时开启）</w:t>
      </w:r>
    </w:p>
    <w:p w14:paraId="6DE5F1CB">
      <w:pPr>
        <w:spacing w:line="360" w:lineRule="auto"/>
        <w:ind w:firstLine="472" w:firstLineChars="224"/>
        <w:rPr>
          <w:b/>
          <w:color w:val="auto"/>
          <w:szCs w:val="21"/>
          <w:highlight w:val="none"/>
        </w:rPr>
      </w:pPr>
      <w:r>
        <w:rPr>
          <w:rFonts w:hint="eastAsia"/>
          <w:b/>
          <w:color w:val="auto"/>
          <w:szCs w:val="21"/>
          <w:highlight w:val="none"/>
        </w:rPr>
        <w:t>条款号：可选办法五</w:t>
      </w:r>
      <w:r>
        <w:rPr>
          <w:b/>
          <w:color w:val="auto"/>
          <w:szCs w:val="21"/>
          <w:highlight w:val="none"/>
        </w:rPr>
        <w:t xml:space="preserve">             </w:t>
      </w:r>
      <w:r>
        <w:rPr>
          <w:rFonts w:hint="eastAsia"/>
          <w:b/>
          <w:color w:val="auto"/>
          <w:szCs w:val="21"/>
          <w:highlight w:val="none"/>
        </w:rPr>
        <w:t>修改类型：删除</w:t>
      </w:r>
    </w:p>
    <w:p w14:paraId="0F6A3C99">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可选办法五（适合综合评分法三，技术标与经济标先后分别开启）</w:t>
      </w:r>
    </w:p>
    <w:p w14:paraId="0D1A4DFA">
      <w:pPr>
        <w:spacing w:line="360" w:lineRule="auto"/>
        <w:ind w:firstLine="472" w:firstLineChars="224"/>
        <w:rPr>
          <w:b/>
          <w:color w:val="auto"/>
          <w:szCs w:val="21"/>
          <w:highlight w:val="none"/>
        </w:rPr>
      </w:pPr>
      <w:r>
        <w:rPr>
          <w:rFonts w:hint="eastAsia"/>
          <w:b/>
          <w:color w:val="auto"/>
          <w:szCs w:val="21"/>
          <w:highlight w:val="none"/>
        </w:rPr>
        <w:t>条款号：可选办法六</w:t>
      </w:r>
      <w:r>
        <w:rPr>
          <w:b/>
          <w:color w:val="auto"/>
          <w:szCs w:val="21"/>
          <w:highlight w:val="none"/>
        </w:rPr>
        <w:t xml:space="preserve">             </w:t>
      </w:r>
      <w:r>
        <w:rPr>
          <w:rFonts w:hint="eastAsia"/>
          <w:b/>
          <w:color w:val="auto"/>
          <w:szCs w:val="21"/>
          <w:highlight w:val="none"/>
        </w:rPr>
        <w:t>修改类型：删除</w:t>
      </w:r>
    </w:p>
    <w:p w14:paraId="19ECA906">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可选办法六（适合综合评分法三，技术标与经济标同时开启）</w:t>
      </w:r>
    </w:p>
    <w:p w14:paraId="0BACC67F">
      <w:pPr>
        <w:spacing w:line="360" w:lineRule="auto"/>
        <w:ind w:firstLine="472" w:firstLineChars="224"/>
        <w:rPr>
          <w:b/>
          <w:color w:val="auto"/>
          <w:szCs w:val="21"/>
          <w:highlight w:val="none"/>
        </w:rPr>
      </w:pPr>
      <w:r>
        <w:rPr>
          <w:rFonts w:hint="eastAsia"/>
          <w:b/>
          <w:color w:val="auto"/>
          <w:szCs w:val="21"/>
          <w:highlight w:val="none"/>
        </w:rPr>
        <w:t>条款号：可选办法</w:t>
      </w:r>
      <w:r>
        <w:rPr>
          <w:rFonts w:hint="eastAsia" w:ascii="宋体" w:hAnsi="宋体"/>
          <w:color w:val="auto"/>
          <w:sz w:val="24"/>
          <w:szCs w:val="24"/>
          <w:highlight w:val="none"/>
        </w:rPr>
        <w:t xml:space="preserve">八             </w:t>
      </w:r>
      <w:r>
        <w:rPr>
          <w:rFonts w:hint="eastAsia"/>
          <w:b/>
          <w:color w:val="auto"/>
          <w:szCs w:val="21"/>
          <w:highlight w:val="none"/>
        </w:rPr>
        <w:t>修改类型：删除</w:t>
      </w:r>
    </w:p>
    <w:p w14:paraId="4484E98D">
      <w:pPr>
        <w:pBdr>
          <w:bottom w:val="single" w:color="auto" w:sz="6" w:space="1"/>
        </w:pBdr>
        <w:spacing w:line="360" w:lineRule="auto"/>
        <w:ind w:firstLine="472" w:firstLineChars="224"/>
        <w:rPr>
          <w:b/>
          <w:color w:val="auto"/>
          <w:szCs w:val="21"/>
          <w:highlight w:val="none"/>
        </w:rPr>
      </w:pPr>
      <w:r>
        <w:rPr>
          <w:rFonts w:hint="eastAsia"/>
          <w:b/>
          <w:color w:val="auto"/>
          <w:szCs w:val="21"/>
          <w:highlight w:val="none"/>
        </w:rPr>
        <w:t>原文：</w:t>
      </w:r>
      <w:r>
        <w:rPr>
          <w:rFonts w:hint="eastAsia"/>
          <w:color w:val="auto"/>
          <w:szCs w:val="21"/>
          <w:highlight w:val="none"/>
        </w:rPr>
        <w:t>可选办法八（适合经评审的最低投标价法，技术标与经济标同时开启）</w:t>
      </w:r>
    </w:p>
    <w:p w14:paraId="78EDEE7A">
      <w:pPr>
        <w:spacing w:line="360" w:lineRule="auto"/>
        <w:ind w:firstLine="472" w:firstLineChars="224"/>
        <w:rPr>
          <w:b/>
          <w:color w:val="auto"/>
          <w:szCs w:val="21"/>
          <w:highlight w:val="none"/>
        </w:rPr>
      </w:pPr>
      <w:r>
        <w:rPr>
          <w:rFonts w:hint="eastAsia"/>
          <w:b/>
          <w:color w:val="auto"/>
          <w:szCs w:val="21"/>
          <w:highlight w:val="none"/>
        </w:rPr>
        <w:t>条款号：可选办法</w:t>
      </w:r>
      <w:r>
        <w:rPr>
          <w:rFonts w:hint="eastAsia" w:ascii="宋体" w:hAnsi="宋体"/>
          <w:color w:val="auto"/>
          <w:sz w:val="24"/>
          <w:szCs w:val="24"/>
          <w:highlight w:val="none"/>
          <w:lang w:eastAsia="zh-CN"/>
        </w:rPr>
        <w:t>九</w:t>
      </w:r>
      <w:r>
        <w:rPr>
          <w:rFonts w:hint="eastAsia" w:ascii="宋体" w:hAnsi="宋体"/>
          <w:color w:val="auto"/>
          <w:sz w:val="24"/>
          <w:szCs w:val="24"/>
          <w:highlight w:val="none"/>
        </w:rPr>
        <w:t xml:space="preserve">            </w:t>
      </w:r>
      <w:r>
        <w:rPr>
          <w:rFonts w:hint="eastAsia"/>
          <w:b/>
          <w:color w:val="auto"/>
          <w:szCs w:val="21"/>
          <w:highlight w:val="none"/>
        </w:rPr>
        <w:t>修改类型：删除</w:t>
      </w:r>
    </w:p>
    <w:p w14:paraId="70916F67">
      <w:pPr>
        <w:pBdr>
          <w:bottom w:val="single" w:color="auto" w:sz="6" w:space="1"/>
        </w:pBdr>
        <w:spacing w:line="360" w:lineRule="auto"/>
        <w:ind w:firstLine="472" w:firstLineChars="224"/>
        <w:rPr>
          <w:rFonts w:hint="eastAsia"/>
          <w:color w:val="auto"/>
          <w:szCs w:val="21"/>
          <w:highlight w:val="none"/>
        </w:rPr>
      </w:pPr>
      <w:r>
        <w:rPr>
          <w:rFonts w:hint="eastAsia"/>
          <w:b/>
          <w:color w:val="auto"/>
          <w:szCs w:val="21"/>
          <w:highlight w:val="none"/>
        </w:rPr>
        <w:t>原文：</w:t>
      </w:r>
      <w:r>
        <w:rPr>
          <w:rFonts w:hint="eastAsia"/>
          <w:b w:val="0"/>
          <w:bCs w:val="0"/>
          <w:color w:val="auto"/>
          <w:sz w:val="21"/>
          <w:szCs w:val="21"/>
          <w:highlight w:val="none"/>
          <w:lang w:eastAsia="zh-CN"/>
        </w:rPr>
        <w:t>可选办法九（适用于规模较小的一般项目）</w:t>
      </w:r>
    </w:p>
    <w:p w14:paraId="76B16C22">
      <w:pPr>
        <w:spacing w:line="360" w:lineRule="auto"/>
        <w:ind w:firstLine="472" w:firstLineChars="224"/>
        <w:rPr>
          <w:rFonts w:hint="eastAsia" w:ascii="宋体" w:hAnsi="宋体" w:eastAsia="宋体"/>
          <w:color w:val="auto"/>
          <w:sz w:val="24"/>
          <w:szCs w:val="24"/>
          <w:highlight w:val="none"/>
          <w:lang w:eastAsia="zh-CN"/>
        </w:rPr>
      </w:pPr>
      <w:r>
        <w:rPr>
          <w:rFonts w:hint="eastAsia"/>
          <w:b/>
          <w:color w:val="auto"/>
          <w:szCs w:val="21"/>
          <w:highlight w:val="none"/>
        </w:rPr>
        <w:t>条款</w:t>
      </w:r>
      <w:r>
        <w:rPr>
          <w:rFonts w:hint="eastAsia" w:ascii="宋体" w:hAnsi="宋体"/>
          <w:b/>
          <w:bCs/>
          <w:color w:val="auto"/>
          <w:sz w:val="21"/>
          <w:szCs w:val="21"/>
          <w:highlight w:val="none"/>
        </w:rPr>
        <w:t>号</w:t>
      </w:r>
      <w:r>
        <w:rPr>
          <w:rFonts w:hint="eastAsia" w:ascii="宋体" w:hAnsi="宋体"/>
          <w:color w:val="auto"/>
          <w:szCs w:val="21"/>
          <w:highlight w:val="none"/>
        </w:rPr>
        <w:t>：</w:t>
      </w:r>
      <w:r>
        <w:rPr>
          <w:rFonts w:hint="eastAsia" w:ascii="宋体" w:hAnsi="宋体"/>
          <w:color w:val="auto"/>
          <w:szCs w:val="21"/>
          <w:highlight w:val="none"/>
          <w:lang w:val="en-US" w:eastAsia="zh-CN"/>
        </w:rPr>
        <w:t>35.10-35.12</w:t>
      </w:r>
      <w:r>
        <w:rPr>
          <w:rFonts w:hint="eastAsia" w:ascii="宋体" w:hAnsi="宋体"/>
          <w:color w:val="auto"/>
          <w:szCs w:val="21"/>
          <w:highlight w:val="none"/>
        </w:rPr>
        <w:t xml:space="preserve"> </w:t>
      </w:r>
      <w:r>
        <w:rPr>
          <w:rFonts w:hint="eastAsia" w:ascii="宋体" w:hAnsi="宋体"/>
          <w:color w:val="auto"/>
          <w:sz w:val="24"/>
          <w:szCs w:val="24"/>
          <w:highlight w:val="none"/>
        </w:rPr>
        <w:t xml:space="preserve">  </w:t>
      </w:r>
      <w:r>
        <w:rPr>
          <w:b/>
          <w:color w:val="auto"/>
          <w:szCs w:val="21"/>
          <w:highlight w:val="none"/>
        </w:rPr>
        <w:t xml:space="preserve">       </w:t>
      </w:r>
      <w:r>
        <w:rPr>
          <w:rFonts w:hint="eastAsia"/>
          <w:b/>
          <w:color w:val="auto"/>
          <w:szCs w:val="21"/>
          <w:highlight w:val="none"/>
        </w:rPr>
        <w:t>修改类型：</w:t>
      </w:r>
      <w:r>
        <w:rPr>
          <w:rFonts w:hint="eastAsia"/>
          <w:b/>
          <w:color w:val="auto"/>
          <w:szCs w:val="21"/>
          <w:highlight w:val="none"/>
          <w:lang w:eastAsia="zh-CN"/>
        </w:rPr>
        <w:t>增加</w:t>
      </w:r>
    </w:p>
    <w:p w14:paraId="52DAE41A">
      <w:pPr>
        <w:pBdr>
          <w:bottom w:val="single" w:color="auto" w:sz="6" w:space="1"/>
        </w:pBdr>
        <w:spacing w:line="360" w:lineRule="auto"/>
        <w:ind w:firstLine="472" w:firstLineChars="224"/>
        <w:rPr>
          <w:rFonts w:hint="eastAsia" w:ascii="宋体" w:hAnsi="宋体" w:eastAsia="宋体" w:cs="宋体"/>
          <w:b/>
          <w:bCs/>
          <w:color w:val="auto"/>
          <w:sz w:val="21"/>
          <w:szCs w:val="21"/>
          <w:highlight w:val="none"/>
          <w:u w:val="single"/>
          <w:lang w:eastAsia="zh-CN"/>
        </w:rPr>
      </w:pPr>
      <w:r>
        <w:rPr>
          <w:rFonts w:hint="eastAsia" w:ascii="宋体" w:hAnsi="宋体" w:cs="宋体"/>
          <w:b/>
          <w:color w:val="auto"/>
          <w:szCs w:val="21"/>
          <w:highlight w:val="none"/>
          <w:lang w:eastAsia="zh-CN"/>
        </w:rPr>
        <w:t>现文：</w:t>
      </w:r>
      <w:r>
        <w:rPr>
          <w:rFonts w:hint="eastAsia" w:ascii="宋体" w:hAnsi="宋体" w:cs="宋体"/>
          <w:b/>
          <w:bCs/>
          <w:color w:val="auto"/>
          <w:sz w:val="21"/>
          <w:szCs w:val="21"/>
          <w:highlight w:val="none"/>
          <w:u w:val="single"/>
        </w:rPr>
        <w:t>35.</w:t>
      </w:r>
      <w:r>
        <w:rPr>
          <w:rFonts w:hint="eastAsia" w:ascii="宋体" w:hAnsi="宋体" w:cs="宋体"/>
          <w:b/>
          <w:bCs/>
          <w:color w:val="auto"/>
          <w:sz w:val="21"/>
          <w:szCs w:val="21"/>
          <w:highlight w:val="none"/>
          <w:u w:val="single"/>
          <w:lang w:val="en-US" w:eastAsia="zh-CN"/>
        </w:rPr>
        <w:t>10</w:t>
      </w:r>
      <w:r>
        <w:rPr>
          <w:rFonts w:hint="eastAsia" w:ascii="宋体" w:hAnsi="宋体" w:cs="宋体"/>
          <w:b/>
          <w:bCs/>
          <w:color w:val="auto"/>
          <w:sz w:val="21"/>
          <w:szCs w:val="21"/>
          <w:highlight w:val="none"/>
          <w:u w:val="single"/>
        </w:rPr>
        <w:t>《财政部 工业和信息化部关于印发〈政府采购促进中小企业发展管理办法〉的通知》（财库〔2020〕46号）</w:t>
      </w:r>
      <w:r>
        <w:rPr>
          <w:rFonts w:hint="eastAsia" w:ascii="宋体" w:hAnsi="宋体" w:cs="宋体"/>
          <w:b/>
          <w:bCs/>
          <w:color w:val="auto"/>
          <w:sz w:val="21"/>
          <w:szCs w:val="21"/>
          <w:highlight w:val="none"/>
          <w:u w:val="single"/>
          <w:lang w:eastAsia="zh-CN"/>
        </w:rPr>
        <w:t>；</w:t>
      </w:r>
    </w:p>
    <w:p w14:paraId="62BEF12C">
      <w:pPr>
        <w:pBdr>
          <w:bottom w:val="single" w:color="auto" w:sz="6" w:space="1"/>
        </w:pBdr>
        <w:spacing w:line="360" w:lineRule="auto"/>
        <w:ind w:firstLine="472" w:firstLineChars="224"/>
        <w:rPr>
          <w:rFonts w:hint="eastAsia" w:ascii="宋体" w:hAnsi="宋体" w:cs="宋体"/>
          <w:b/>
          <w:bCs/>
          <w:color w:val="auto"/>
          <w:sz w:val="21"/>
          <w:szCs w:val="21"/>
          <w:highlight w:val="none"/>
          <w:u w:val="single"/>
          <w:lang w:eastAsia="zh-CN"/>
        </w:rPr>
      </w:pPr>
      <w:r>
        <w:rPr>
          <w:rFonts w:hint="eastAsia" w:ascii="宋体" w:hAnsi="宋体" w:cs="宋体"/>
          <w:b/>
          <w:bCs/>
          <w:color w:val="auto"/>
          <w:sz w:val="21"/>
          <w:szCs w:val="21"/>
          <w:highlight w:val="none"/>
          <w:u w:val="single"/>
        </w:rPr>
        <w:t>35.</w:t>
      </w:r>
      <w:r>
        <w:rPr>
          <w:rFonts w:hint="eastAsia" w:ascii="宋体" w:hAnsi="宋体" w:cs="宋体"/>
          <w:b/>
          <w:bCs/>
          <w:color w:val="auto"/>
          <w:sz w:val="21"/>
          <w:szCs w:val="21"/>
          <w:highlight w:val="none"/>
          <w:u w:val="single"/>
          <w:lang w:val="en-US" w:eastAsia="zh-CN"/>
        </w:rPr>
        <w:t>11</w:t>
      </w:r>
      <w:r>
        <w:rPr>
          <w:rFonts w:hint="eastAsia" w:ascii="宋体" w:hAnsi="宋体" w:cs="宋体"/>
          <w:b/>
          <w:bCs/>
          <w:color w:val="auto"/>
          <w:sz w:val="21"/>
          <w:szCs w:val="21"/>
          <w:highlight w:val="none"/>
          <w:u w:val="single"/>
        </w:rPr>
        <w:t>《广东省政府采购促进中小企业发展实施细则（试行）》</w:t>
      </w:r>
      <w:r>
        <w:rPr>
          <w:rFonts w:hint="eastAsia" w:ascii="宋体" w:hAnsi="宋体" w:cs="宋体"/>
          <w:b/>
          <w:bCs/>
          <w:color w:val="auto"/>
          <w:sz w:val="21"/>
          <w:szCs w:val="21"/>
          <w:highlight w:val="none"/>
          <w:u w:val="single"/>
          <w:lang w:eastAsia="zh-CN"/>
        </w:rPr>
        <w:t>；</w:t>
      </w:r>
    </w:p>
    <w:p w14:paraId="3866A50D">
      <w:pPr>
        <w:pBdr>
          <w:bottom w:val="single" w:color="auto" w:sz="6" w:space="1"/>
        </w:pBdr>
        <w:spacing w:line="360" w:lineRule="auto"/>
        <w:ind w:firstLine="472" w:firstLineChars="224"/>
        <w:rPr>
          <w:rFonts w:hint="eastAsia" w:ascii="宋体" w:hAnsi="宋体" w:cs="宋体"/>
          <w:b/>
          <w:bCs/>
          <w:color w:val="auto"/>
          <w:sz w:val="21"/>
          <w:szCs w:val="21"/>
          <w:highlight w:val="none"/>
          <w:u w:val="single"/>
        </w:rPr>
      </w:pPr>
      <w:r>
        <w:rPr>
          <w:rFonts w:hint="eastAsia" w:ascii="宋体" w:hAnsi="宋体" w:cs="宋体"/>
          <w:b/>
          <w:bCs/>
          <w:color w:val="auto"/>
          <w:sz w:val="21"/>
          <w:szCs w:val="21"/>
          <w:highlight w:val="none"/>
          <w:u w:val="single"/>
        </w:rPr>
        <w:t>35.1</w:t>
      </w:r>
      <w:r>
        <w:rPr>
          <w:rFonts w:hint="eastAsia" w:ascii="宋体" w:hAnsi="宋体" w:cs="宋体"/>
          <w:b/>
          <w:bCs/>
          <w:color w:val="auto"/>
          <w:sz w:val="21"/>
          <w:szCs w:val="21"/>
          <w:highlight w:val="none"/>
          <w:u w:val="single"/>
          <w:lang w:val="en-US" w:eastAsia="zh-CN"/>
        </w:rPr>
        <w:t>2</w:t>
      </w:r>
      <w:r>
        <w:rPr>
          <w:rFonts w:hint="eastAsia" w:ascii="宋体" w:hAnsi="宋体" w:cs="宋体"/>
          <w:b/>
          <w:bCs/>
          <w:color w:val="auto"/>
          <w:sz w:val="21"/>
          <w:szCs w:val="21"/>
          <w:highlight w:val="none"/>
          <w:u w:val="single"/>
        </w:rPr>
        <w:t>《广州市财政局 广州市工业和信息化局转发广东省财政厅 广东省发展和改革委员会 广东省工业和信息化厅 广东省地方金融监督管理局关于印发&lt;广东省政府采购促进中小企业发展实施细则（试行）&gt;的通知》（穗财采〔2023〕8号）；</w:t>
      </w:r>
    </w:p>
    <w:p w14:paraId="5D39BF50">
      <w:pPr>
        <w:spacing w:line="360" w:lineRule="auto"/>
        <w:ind w:firstLine="472" w:firstLineChars="224"/>
        <w:rPr>
          <w:rFonts w:ascii="宋体" w:hAnsi="宋体" w:cs="宋体"/>
          <w:b/>
          <w:szCs w:val="21"/>
          <w:highlight w:val="none"/>
        </w:rPr>
      </w:pPr>
      <w:r>
        <w:rPr>
          <w:rFonts w:hint="eastAsia" w:ascii="宋体" w:hAnsi="宋体" w:cs="宋体"/>
          <w:b/>
          <w:szCs w:val="21"/>
          <w:highlight w:val="none"/>
        </w:rPr>
        <w:t>条款号：</w:t>
      </w:r>
      <w:r>
        <w:rPr>
          <w:rFonts w:hint="eastAsia" w:ascii="宋体" w:hAnsi="宋体" w:cs="宋体"/>
          <w:b w:val="0"/>
          <w:bCs/>
          <w:szCs w:val="21"/>
          <w:highlight w:val="none"/>
        </w:rPr>
        <w:t>36.3</w:t>
      </w:r>
      <w:r>
        <w:rPr>
          <w:rFonts w:hint="eastAsia" w:ascii="宋体" w:hAnsi="宋体" w:cs="宋体"/>
          <w:b/>
          <w:szCs w:val="21"/>
          <w:highlight w:val="none"/>
        </w:rPr>
        <w:t xml:space="preserve">                修改类型：删除</w:t>
      </w:r>
    </w:p>
    <w:p w14:paraId="67A6A15D">
      <w:pPr>
        <w:pBdr>
          <w:bottom w:val="single" w:color="auto" w:sz="4" w:space="1"/>
        </w:pBdr>
        <w:spacing w:line="360" w:lineRule="auto"/>
        <w:ind w:firstLine="472" w:firstLineChars="224"/>
        <w:rPr>
          <w:rFonts w:ascii="宋体" w:hAnsi="宋体" w:cs="宋体"/>
          <w:szCs w:val="21"/>
          <w:highlight w:val="none"/>
        </w:rPr>
      </w:pPr>
      <w:r>
        <w:rPr>
          <w:rFonts w:hint="eastAsia" w:ascii="宋体" w:hAnsi="宋体" w:cs="宋体"/>
          <w:b/>
          <w:szCs w:val="21"/>
          <w:highlight w:val="none"/>
        </w:rPr>
        <w:t>原文：</w:t>
      </w:r>
      <w:r>
        <w:rPr>
          <w:rFonts w:hint="eastAsia" w:ascii="宋体" w:hAnsi="宋体" w:cs="宋体"/>
          <w:szCs w:val="21"/>
          <w:highlight w:val="none"/>
        </w:rPr>
        <w:t>36.3根据投标须知前附表第19项，如需抽取某一种评标办法供评标时使用的，可在开标时（唱标工作完成后）抽取。首先对招标文件中约定的若干种评标方法进行编号，再随机抽取某一编号，该编号所对应的评标办法供评标时使用。</w:t>
      </w:r>
    </w:p>
    <w:p w14:paraId="1C65301F">
      <w:pPr>
        <w:spacing w:line="360" w:lineRule="auto"/>
        <w:ind w:firstLine="472" w:firstLineChars="224"/>
        <w:rPr>
          <w:rFonts w:hint="eastAsia" w:ascii="宋体" w:hAnsi="宋体" w:cs="宋体"/>
          <w:color w:val="auto"/>
          <w:sz w:val="24"/>
          <w:szCs w:val="24"/>
          <w:highlight w:val="none"/>
        </w:rPr>
      </w:pPr>
      <w:r>
        <w:rPr>
          <w:rFonts w:hint="eastAsia" w:ascii="宋体" w:hAnsi="宋体" w:cs="宋体"/>
          <w:b/>
          <w:color w:val="auto"/>
          <w:szCs w:val="21"/>
          <w:highlight w:val="none"/>
        </w:rPr>
        <w:t>条款</w:t>
      </w:r>
      <w:r>
        <w:rPr>
          <w:rFonts w:hint="eastAsia" w:ascii="宋体" w:hAnsi="宋体" w:cs="宋体"/>
          <w:b/>
          <w:bCs/>
          <w:color w:val="auto"/>
          <w:sz w:val="21"/>
          <w:szCs w:val="21"/>
          <w:highlight w:val="none"/>
        </w:rPr>
        <w:t>号</w:t>
      </w:r>
      <w:r>
        <w:rPr>
          <w:rFonts w:hint="eastAsia" w:ascii="宋体" w:hAnsi="宋体" w:cs="宋体"/>
          <w:b/>
          <w:bCs/>
          <w:color w:val="auto"/>
          <w:szCs w:val="21"/>
          <w:highlight w:val="none"/>
        </w:rPr>
        <w:t>：</w:t>
      </w:r>
      <w:r>
        <w:rPr>
          <w:rFonts w:hint="eastAsia" w:ascii="宋体" w:hAnsi="宋体" w:cs="宋体"/>
          <w:b/>
          <w:bCs/>
          <w:color w:val="auto"/>
          <w:szCs w:val="21"/>
          <w:highlight w:val="none"/>
          <w:lang w:val="en-US" w:eastAsia="zh-CN"/>
        </w:rPr>
        <w:t>36.5.1</w:t>
      </w:r>
      <w:r>
        <w:rPr>
          <w:rFonts w:hint="eastAsia" w:ascii="宋体" w:hAnsi="宋体" w:cs="宋体"/>
          <w:color w:val="auto"/>
          <w:szCs w:val="21"/>
          <w:highlight w:val="none"/>
        </w:rPr>
        <w:t xml:space="preserve">  </w:t>
      </w:r>
      <w:r>
        <w:rPr>
          <w:rFonts w:hint="eastAsia" w:ascii="宋体" w:hAnsi="宋体" w:cs="宋体"/>
          <w:color w:val="auto"/>
          <w:sz w:val="24"/>
          <w:szCs w:val="24"/>
          <w:highlight w:val="none"/>
        </w:rPr>
        <w:t xml:space="preserve">  </w:t>
      </w:r>
      <w:r>
        <w:rPr>
          <w:rFonts w:hint="eastAsia" w:ascii="宋体" w:hAnsi="宋体" w:cs="宋体"/>
          <w:b/>
          <w:color w:val="auto"/>
          <w:szCs w:val="21"/>
          <w:highlight w:val="none"/>
        </w:rPr>
        <w:t xml:space="preserve">       修改类型：修改</w:t>
      </w:r>
    </w:p>
    <w:p w14:paraId="0A079551">
      <w:pPr>
        <w:spacing w:line="360" w:lineRule="auto"/>
        <w:ind w:firstLine="422" w:firstLineChars="200"/>
        <w:rPr>
          <w:rFonts w:hint="eastAsia" w:ascii="宋体" w:hAnsi="宋体" w:cs="宋体"/>
          <w:color w:val="auto"/>
          <w:sz w:val="24"/>
          <w:szCs w:val="24"/>
          <w:highlight w:val="none"/>
        </w:rPr>
      </w:pPr>
      <w:r>
        <w:rPr>
          <w:rFonts w:hint="eastAsia" w:ascii="宋体" w:hAnsi="宋体" w:cs="宋体"/>
          <w:b/>
          <w:bCs/>
          <w:color w:val="auto"/>
          <w:szCs w:val="21"/>
          <w:highlight w:val="none"/>
        </w:rPr>
        <w:t>原文：</w:t>
      </w:r>
      <w:r>
        <w:rPr>
          <w:rFonts w:hint="eastAsia" w:ascii="宋体" w:hAnsi="宋体" w:cs="宋体"/>
          <w:color w:val="auto"/>
          <w:szCs w:val="21"/>
          <w:highlight w:val="none"/>
        </w:rPr>
        <w:t>36.5.1在投标截止时间后</w:t>
      </w:r>
      <w:r>
        <w:rPr>
          <w:rFonts w:hint="eastAsia" w:ascii="宋体" w:hAnsi="宋体" w:cs="宋体"/>
          <w:color w:val="auto"/>
          <w:szCs w:val="21"/>
          <w:highlight w:val="none"/>
          <w:lang w:val="en-US" w:eastAsia="zh-CN"/>
        </w:rPr>
        <w:t>一个小时内</w:t>
      </w:r>
      <w:r>
        <w:rPr>
          <w:rFonts w:hint="eastAsia" w:ascii="宋体" w:hAnsi="宋体" w:cs="宋体"/>
          <w:color w:val="auto"/>
          <w:szCs w:val="21"/>
          <w:highlight w:val="none"/>
        </w:rPr>
        <w:t>，投标人通过交易平台对已递交的电子投标文件进行解密。投标人完成解密后，再由招标人进行解密。解密完成后，公布招标项目名称、投标人名称、投标保证金的递交情况、投标报价、工期及其他内容；</w:t>
      </w:r>
    </w:p>
    <w:p w14:paraId="290D3FAC">
      <w:pPr>
        <w:pBdr>
          <w:bottom w:val="single" w:color="auto" w:sz="6" w:space="1"/>
        </w:pBdr>
        <w:spacing w:line="360" w:lineRule="auto"/>
        <w:ind w:firstLine="472" w:firstLineChars="224"/>
        <w:rPr>
          <w:rFonts w:hint="eastAsia" w:ascii="宋体" w:hAnsi="宋体" w:eastAsia="宋体" w:cs="宋体"/>
          <w:color w:val="auto"/>
          <w:szCs w:val="21"/>
          <w:highlight w:val="none"/>
        </w:rPr>
      </w:pPr>
      <w:r>
        <w:rPr>
          <w:rFonts w:hint="eastAsia" w:ascii="宋体" w:hAnsi="宋体" w:cs="宋体"/>
          <w:b/>
          <w:bCs/>
          <w:color w:val="auto"/>
          <w:szCs w:val="21"/>
          <w:highlight w:val="none"/>
        </w:rPr>
        <w:t>现文：</w:t>
      </w:r>
      <w:r>
        <w:rPr>
          <w:rFonts w:hint="eastAsia" w:ascii="宋体" w:hAnsi="宋体" w:cs="宋体"/>
          <w:color w:val="auto"/>
          <w:szCs w:val="21"/>
          <w:highlight w:val="none"/>
        </w:rPr>
        <w:t>36.5.1</w:t>
      </w:r>
      <w:r>
        <w:rPr>
          <w:rFonts w:hint="eastAsia" w:ascii="宋体" w:hAnsi="宋体" w:eastAsia="宋体" w:cs="宋体"/>
          <w:color w:val="auto"/>
          <w:szCs w:val="21"/>
          <w:highlight w:val="none"/>
        </w:rPr>
        <w:t>在投标截止时间后</w:t>
      </w:r>
      <w:r>
        <w:rPr>
          <w:rFonts w:hint="eastAsia" w:ascii="宋体" w:hAnsi="宋体" w:eastAsia="宋体" w:cs="宋体"/>
          <w:color w:val="auto"/>
          <w:szCs w:val="21"/>
          <w:highlight w:val="none"/>
          <w:lang w:val="en-US" w:eastAsia="zh-CN"/>
        </w:rPr>
        <w:t>一个小时内</w:t>
      </w:r>
      <w:r>
        <w:rPr>
          <w:rFonts w:hint="eastAsia" w:ascii="宋体" w:hAnsi="宋体" w:eastAsia="宋体" w:cs="宋体"/>
          <w:color w:val="auto"/>
          <w:szCs w:val="21"/>
          <w:highlight w:val="none"/>
        </w:rPr>
        <w:t>，投标人通过交易平台对已递交的电子投标文件进行解密。投标人完成解密后，再由招标人</w:t>
      </w:r>
      <w:r>
        <w:rPr>
          <w:rFonts w:hint="eastAsia" w:ascii="宋体" w:hAnsi="宋体" w:cs="宋体"/>
          <w:b/>
          <w:bCs/>
          <w:szCs w:val="21"/>
          <w:highlight w:val="none"/>
          <w:u w:val="single"/>
        </w:rPr>
        <w:t>或招标代理</w:t>
      </w:r>
      <w:r>
        <w:rPr>
          <w:rFonts w:hint="eastAsia" w:ascii="宋体" w:hAnsi="宋体" w:eastAsia="宋体" w:cs="宋体"/>
          <w:color w:val="auto"/>
          <w:szCs w:val="21"/>
          <w:highlight w:val="none"/>
        </w:rPr>
        <w:t>进行解密。解密完成后，公布招标项目名称、投标人名称、</w:t>
      </w:r>
      <w:r>
        <w:rPr>
          <w:rFonts w:hint="eastAsia" w:ascii="宋体" w:hAnsi="宋体" w:eastAsia="宋体" w:cs="宋体"/>
          <w:b/>
          <w:bCs/>
          <w:strike/>
          <w:color w:val="auto"/>
          <w:szCs w:val="21"/>
          <w:highlight w:val="none"/>
          <w:u w:val="single"/>
        </w:rPr>
        <w:t>投标保证金的递交情况、</w:t>
      </w:r>
      <w:r>
        <w:rPr>
          <w:rFonts w:hint="eastAsia" w:ascii="宋体" w:hAnsi="宋体" w:eastAsia="宋体" w:cs="宋体"/>
          <w:color w:val="auto"/>
          <w:szCs w:val="21"/>
          <w:highlight w:val="none"/>
        </w:rPr>
        <w:t>投标报价、工期及其他内容；</w:t>
      </w:r>
    </w:p>
    <w:p w14:paraId="2FAB4A65">
      <w:pPr>
        <w:pBdr>
          <w:bottom w:val="none" w:color="auto" w:sz="0" w:space="0"/>
        </w:pBdr>
        <w:spacing w:line="360" w:lineRule="auto"/>
        <w:ind w:firstLine="472" w:firstLineChars="224"/>
        <w:rPr>
          <w:rFonts w:ascii="宋体" w:hAnsi="宋体" w:cs="宋体"/>
          <w:b/>
          <w:szCs w:val="21"/>
          <w:highlight w:val="none"/>
        </w:rPr>
      </w:pPr>
      <w:r>
        <w:rPr>
          <w:rFonts w:hint="eastAsia" w:ascii="宋体" w:hAnsi="宋体" w:cs="宋体"/>
          <w:b/>
          <w:szCs w:val="21"/>
          <w:highlight w:val="none"/>
        </w:rPr>
        <w:t>条款号：</w:t>
      </w:r>
      <w:r>
        <w:rPr>
          <w:rFonts w:hint="eastAsia" w:ascii="宋体" w:hAnsi="宋体" w:cs="宋体"/>
          <w:b/>
          <w:bCs w:val="0"/>
          <w:szCs w:val="21"/>
          <w:highlight w:val="none"/>
        </w:rPr>
        <w:t>36.5.</w:t>
      </w:r>
      <w:r>
        <w:rPr>
          <w:rFonts w:hint="eastAsia" w:ascii="宋体" w:hAnsi="宋体" w:cs="宋体"/>
          <w:b/>
          <w:bCs w:val="0"/>
          <w:szCs w:val="21"/>
          <w:highlight w:val="none"/>
          <w:lang w:val="en-US" w:eastAsia="zh-CN"/>
        </w:rPr>
        <w:t>2</w:t>
      </w:r>
      <w:r>
        <w:rPr>
          <w:rFonts w:hint="eastAsia" w:ascii="宋体" w:hAnsi="宋体" w:cs="宋体"/>
          <w:b w:val="0"/>
          <w:bCs/>
          <w:szCs w:val="21"/>
          <w:highlight w:val="none"/>
        </w:rPr>
        <w:t xml:space="preserve"> </w:t>
      </w:r>
      <w:r>
        <w:rPr>
          <w:rFonts w:hint="eastAsia" w:ascii="宋体" w:hAnsi="宋体" w:cs="宋体"/>
          <w:b/>
          <w:szCs w:val="21"/>
          <w:highlight w:val="none"/>
        </w:rPr>
        <w:t xml:space="preserve">            修改类型：修改</w:t>
      </w:r>
    </w:p>
    <w:p w14:paraId="51D01FBB">
      <w:pPr>
        <w:pBdr>
          <w:bottom w:val="none" w:color="auto" w:sz="0" w:space="0"/>
        </w:pBdr>
        <w:spacing w:line="360" w:lineRule="auto"/>
        <w:ind w:firstLine="472" w:firstLineChars="224"/>
        <w:rPr>
          <w:rFonts w:hint="eastAsia" w:ascii="宋体" w:hAnsi="宋体"/>
          <w:color w:val="auto"/>
          <w:sz w:val="21"/>
          <w:szCs w:val="21"/>
          <w:highlight w:val="none"/>
        </w:rPr>
      </w:pPr>
      <w:r>
        <w:rPr>
          <w:rFonts w:hint="eastAsia" w:ascii="宋体" w:hAnsi="宋体" w:cs="宋体"/>
          <w:b/>
          <w:szCs w:val="21"/>
          <w:highlight w:val="none"/>
        </w:rPr>
        <w:t>原文：</w:t>
      </w:r>
      <w:r>
        <w:rPr>
          <w:rFonts w:hint="eastAsia" w:ascii="宋体" w:hAnsi="宋体"/>
          <w:color w:val="auto"/>
          <w:sz w:val="21"/>
          <w:szCs w:val="21"/>
          <w:highlight w:val="none"/>
        </w:rPr>
        <w:t>36.5.2备用光盘的读取按投标须知前附表第3</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项的规定执行；</w:t>
      </w:r>
    </w:p>
    <w:p w14:paraId="6F9E53D6">
      <w:pPr>
        <w:pBdr>
          <w:bottom w:val="single" w:color="auto" w:sz="4" w:space="0"/>
        </w:pBdr>
        <w:spacing w:line="360" w:lineRule="auto"/>
        <w:ind w:firstLine="472" w:firstLineChars="224"/>
        <w:rPr>
          <w:rFonts w:hint="eastAsia" w:ascii="宋体" w:hAnsi="宋体"/>
          <w:color w:val="auto"/>
          <w:sz w:val="21"/>
          <w:szCs w:val="21"/>
          <w:highlight w:val="none"/>
        </w:rPr>
      </w:pPr>
      <w:r>
        <w:rPr>
          <w:rFonts w:hint="eastAsia" w:ascii="宋体" w:hAnsi="宋体" w:cs="宋体"/>
          <w:b/>
          <w:szCs w:val="21"/>
          <w:highlight w:val="none"/>
        </w:rPr>
        <w:t>现文：</w:t>
      </w:r>
      <w:r>
        <w:rPr>
          <w:rFonts w:hint="eastAsia" w:ascii="宋体" w:hAnsi="宋体"/>
          <w:color w:val="auto"/>
          <w:sz w:val="21"/>
          <w:szCs w:val="21"/>
          <w:highlight w:val="none"/>
        </w:rPr>
        <w:t>36.5.2备用光盘的读取按投标须知前附表第</w:t>
      </w:r>
      <w:r>
        <w:rPr>
          <w:rFonts w:hint="eastAsia" w:ascii="宋体" w:hAnsi="宋体"/>
          <w:b/>
          <w:bCs/>
          <w:color w:val="auto"/>
          <w:sz w:val="21"/>
          <w:szCs w:val="21"/>
          <w:highlight w:val="none"/>
          <w:u w:val="single"/>
        </w:rPr>
        <w:t>3</w:t>
      </w:r>
      <w:r>
        <w:rPr>
          <w:rFonts w:hint="eastAsia" w:ascii="宋体" w:hAnsi="宋体"/>
          <w:b/>
          <w:bCs/>
          <w:color w:val="auto"/>
          <w:sz w:val="21"/>
          <w:szCs w:val="21"/>
          <w:highlight w:val="none"/>
          <w:u w:val="single"/>
          <w:lang w:val="en-US" w:eastAsia="zh-CN"/>
        </w:rPr>
        <w:t>2</w:t>
      </w:r>
      <w:r>
        <w:rPr>
          <w:rFonts w:hint="eastAsia" w:ascii="宋体" w:hAnsi="宋体"/>
          <w:color w:val="auto"/>
          <w:sz w:val="21"/>
          <w:szCs w:val="21"/>
          <w:highlight w:val="none"/>
        </w:rPr>
        <w:t>项的规定执行；</w:t>
      </w:r>
    </w:p>
    <w:p w14:paraId="64B98DA3">
      <w:pPr>
        <w:pBdr>
          <w:bottom w:val="none" w:color="auto" w:sz="0" w:space="0"/>
        </w:pBdr>
        <w:spacing w:line="360" w:lineRule="auto"/>
        <w:ind w:firstLine="472" w:firstLineChars="224"/>
        <w:rPr>
          <w:rFonts w:ascii="宋体" w:hAnsi="宋体" w:cs="宋体"/>
          <w:b/>
          <w:szCs w:val="21"/>
          <w:highlight w:val="none"/>
        </w:rPr>
      </w:pPr>
      <w:r>
        <w:rPr>
          <w:rFonts w:hint="eastAsia" w:ascii="宋体" w:hAnsi="宋体" w:cs="宋体"/>
          <w:b/>
          <w:szCs w:val="21"/>
          <w:highlight w:val="none"/>
        </w:rPr>
        <w:t>条款号：</w:t>
      </w:r>
      <w:r>
        <w:rPr>
          <w:rFonts w:hint="eastAsia" w:ascii="宋体" w:hAnsi="宋体" w:cs="宋体"/>
          <w:b/>
          <w:bCs w:val="0"/>
          <w:szCs w:val="21"/>
          <w:highlight w:val="none"/>
        </w:rPr>
        <w:t>3</w:t>
      </w:r>
      <w:r>
        <w:rPr>
          <w:rFonts w:hint="eastAsia" w:ascii="宋体" w:hAnsi="宋体" w:cs="宋体"/>
          <w:b/>
          <w:bCs w:val="0"/>
          <w:szCs w:val="21"/>
          <w:highlight w:val="none"/>
          <w:lang w:val="en-US" w:eastAsia="zh-CN"/>
        </w:rPr>
        <w:t>7</w:t>
      </w:r>
      <w:r>
        <w:rPr>
          <w:rFonts w:hint="eastAsia" w:ascii="宋体" w:hAnsi="宋体" w:cs="宋体"/>
          <w:b/>
          <w:bCs w:val="0"/>
          <w:szCs w:val="21"/>
          <w:highlight w:val="none"/>
        </w:rPr>
        <w:t>.</w:t>
      </w:r>
      <w:r>
        <w:rPr>
          <w:rFonts w:hint="eastAsia" w:ascii="宋体" w:hAnsi="宋体" w:cs="宋体"/>
          <w:b/>
          <w:bCs w:val="0"/>
          <w:szCs w:val="21"/>
          <w:highlight w:val="none"/>
          <w:lang w:val="en-US" w:eastAsia="zh-CN"/>
        </w:rPr>
        <w:t>1</w:t>
      </w:r>
      <w:r>
        <w:rPr>
          <w:rFonts w:hint="eastAsia" w:ascii="宋体" w:hAnsi="宋体" w:cs="宋体"/>
          <w:b w:val="0"/>
          <w:bCs/>
          <w:szCs w:val="21"/>
          <w:highlight w:val="none"/>
        </w:rPr>
        <w:t xml:space="preserve"> </w:t>
      </w:r>
      <w:r>
        <w:rPr>
          <w:rFonts w:hint="eastAsia" w:ascii="宋体" w:hAnsi="宋体" w:cs="宋体"/>
          <w:b/>
          <w:szCs w:val="21"/>
          <w:highlight w:val="none"/>
        </w:rPr>
        <w:t xml:space="preserve">            </w:t>
      </w:r>
      <w:r>
        <w:rPr>
          <w:rFonts w:hint="eastAsia" w:ascii="宋体" w:hAnsi="宋体" w:cs="宋体"/>
          <w:b/>
          <w:szCs w:val="21"/>
          <w:highlight w:val="none"/>
          <w:lang w:val="en-US" w:eastAsia="zh-CN"/>
        </w:rPr>
        <w:t xml:space="preserve"> </w:t>
      </w:r>
      <w:r>
        <w:rPr>
          <w:rFonts w:hint="eastAsia" w:ascii="宋体" w:hAnsi="宋体" w:cs="宋体"/>
          <w:b/>
          <w:szCs w:val="21"/>
          <w:highlight w:val="none"/>
        </w:rPr>
        <w:t>修改类型：修改</w:t>
      </w:r>
    </w:p>
    <w:p w14:paraId="226447A5">
      <w:pPr>
        <w:pBdr>
          <w:top w:val="none" w:color="auto" w:sz="0" w:space="0"/>
          <w:left w:val="none" w:color="auto" w:sz="0" w:space="0"/>
          <w:bottom w:val="none" w:color="auto" w:sz="0" w:space="0"/>
          <w:right w:val="none" w:color="auto" w:sz="0" w:space="0"/>
          <w:between w:val="none" w:color="auto" w:sz="0" w:space="0"/>
        </w:pBdr>
        <w:spacing w:line="360" w:lineRule="auto"/>
        <w:ind w:firstLine="422" w:firstLineChars="200"/>
        <w:rPr>
          <w:rFonts w:hint="eastAsia" w:ascii="宋体" w:hAnsi="宋体"/>
          <w:color w:val="auto"/>
          <w:sz w:val="21"/>
          <w:szCs w:val="21"/>
          <w:highlight w:val="none"/>
        </w:rPr>
      </w:pPr>
      <w:r>
        <w:rPr>
          <w:rFonts w:hint="eastAsia" w:ascii="宋体" w:hAnsi="宋体" w:cs="宋体"/>
          <w:b/>
          <w:szCs w:val="21"/>
          <w:highlight w:val="none"/>
        </w:rPr>
        <w:t>原文：</w:t>
      </w:r>
      <w:r>
        <w:rPr>
          <w:rFonts w:ascii="宋体" w:hAnsi="宋体"/>
          <w:color w:val="auto"/>
          <w:sz w:val="21"/>
          <w:szCs w:val="21"/>
          <w:highlight w:val="none"/>
        </w:rPr>
        <w:t>37.1</w:t>
      </w:r>
      <w:r>
        <w:rPr>
          <w:rFonts w:hint="eastAsia" w:ascii="宋体" w:hAnsi="宋体"/>
          <w:color w:val="auto"/>
          <w:sz w:val="21"/>
          <w:szCs w:val="21"/>
          <w:highlight w:val="none"/>
        </w:rPr>
        <w:t>评标由招标人依法组建的评标委员会负责。评标委员会由有关技术、经济等方面的专家和招标人代表组成，专家</w:t>
      </w:r>
      <w:r>
        <w:rPr>
          <w:rFonts w:hint="eastAsia" w:ascii="宋体" w:hAnsi="宋体"/>
          <w:color w:val="auto"/>
          <w:sz w:val="21"/>
          <w:szCs w:val="21"/>
          <w:highlight w:val="none"/>
          <w:lang w:eastAsia="zh-CN"/>
        </w:rPr>
        <w:t>从广东省综合评标评审</w:t>
      </w:r>
      <w:r>
        <w:rPr>
          <w:rFonts w:hint="eastAsia" w:ascii="宋体" w:hAnsi="宋体"/>
          <w:color w:val="auto"/>
          <w:sz w:val="21"/>
          <w:szCs w:val="21"/>
          <w:highlight w:val="none"/>
        </w:rPr>
        <w:t>专家库中抽取或按远程异地评标专家抽取相关规定组建。评标委员会成员人数以及技术、经济等方面专家的确定方式见投标人须知前附表</w:t>
      </w:r>
      <w:r>
        <w:rPr>
          <w:rFonts w:hint="eastAsia" w:ascii="宋体" w:hAnsi="宋体"/>
          <w:color w:val="auto"/>
          <w:sz w:val="21"/>
          <w:szCs w:val="21"/>
          <w:highlight w:val="none"/>
          <w:lang w:eastAsia="zh-CN"/>
        </w:rPr>
        <w:t>第</w:t>
      </w:r>
      <w:r>
        <w:rPr>
          <w:rFonts w:hint="eastAsia" w:ascii="宋体" w:hAnsi="宋体"/>
          <w:color w:val="auto"/>
          <w:sz w:val="21"/>
          <w:szCs w:val="21"/>
          <w:highlight w:val="none"/>
          <w:lang w:val="en-US" w:eastAsia="zh-CN"/>
        </w:rPr>
        <w:t>30项</w:t>
      </w:r>
      <w:r>
        <w:rPr>
          <w:rFonts w:hint="eastAsia" w:ascii="宋体" w:hAnsi="宋体"/>
          <w:color w:val="auto"/>
          <w:sz w:val="21"/>
          <w:szCs w:val="21"/>
          <w:highlight w:val="none"/>
        </w:rPr>
        <w:t>。</w:t>
      </w:r>
    </w:p>
    <w:p w14:paraId="0052A12E">
      <w:pPr>
        <w:pBdr>
          <w:top w:val="none" w:color="auto" w:sz="0" w:space="0"/>
          <w:left w:val="none" w:color="auto" w:sz="0" w:space="0"/>
          <w:bottom w:val="single" w:color="auto" w:sz="4" w:space="0"/>
          <w:right w:val="none" w:color="auto" w:sz="0" w:space="0"/>
          <w:between w:val="none" w:color="auto" w:sz="0" w:space="0"/>
        </w:pBdr>
        <w:spacing w:line="360" w:lineRule="auto"/>
        <w:ind w:firstLine="472" w:firstLineChars="224"/>
        <w:rPr>
          <w:rFonts w:hint="eastAsia"/>
          <w:b/>
          <w:strike w:val="0"/>
          <w:color w:val="auto"/>
          <w:szCs w:val="21"/>
          <w:highlight w:val="none"/>
        </w:rPr>
      </w:pPr>
      <w:r>
        <w:rPr>
          <w:rFonts w:hint="eastAsia" w:ascii="宋体" w:hAnsi="宋体" w:cs="宋体"/>
          <w:b/>
          <w:szCs w:val="21"/>
          <w:highlight w:val="none"/>
        </w:rPr>
        <w:t>现文：</w:t>
      </w:r>
      <w:r>
        <w:rPr>
          <w:rFonts w:ascii="宋体" w:hAnsi="宋体"/>
          <w:color w:val="auto"/>
          <w:sz w:val="21"/>
          <w:szCs w:val="21"/>
          <w:highlight w:val="none"/>
        </w:rPr>
        <w:t>37.1</w:t>
      </w:r>
      <w:r>
        <w:rPr>
          <w:rFonts w:hint="eastAsia" w:ascii="宋体" w:hAnsi="宋体"/>
          <w:color w:val="auto"/>
          <w:sz w:val="21"/>
          <w:szCs w:val="21"/>
          <w:highlight w:val="none"/>
        </w:rPr>
        <w:t>评标由招标人依法组建的评标委员会负责。评标委员会由有关技术、经济等方面的专家和招标人代表组成，专家</w:t>
      </w:r>
      <w:r>
        <w:rPr>
          <w:rFonts w:hint="eastAsia" w:ascii="宋体" w:hAnsi="宋体"/>
          <w:color w:val="auto"/>
          <w:sz w:val="21"/>
          <w:szCs w:val="21"/>
          <w:highlight w:val="none"/>
          <w:lang w:eastAsia="zh-CN"/>
        </w:rPr>
        <w:t>从广东省综合评标评审</w:t>
      </w:r>
      <w:r>
        <w:rPr>
          <w:rFonts w:hint="eastAsia" w:ascii="宋体" w:hAnsi="宋体"/>
          <w:color w:val="auto"/>
          <w:sz w:val="21"/>
          <w:szCs w:val="21"/>
          <w:highlight w:val="none"/>
        </w:rPr>
        <w:t>专家库中抽取或按远程异地评标专家抽取相关规定组建。评标委员会成员人数以及技术、经济等方面专家的确定方式见投标人须知前附表</w:t>
      </w:r>
      <w:r>
        <w:rPr>
          <w:rFonts w:hint="eastAsia" w:ascii="宋体" w:hAnsi="宋体"/>
          <w:color w:val="auto"/>
          <w:sz w:val="21"/>
          <w:szCs w:val="21"/>
          <w:highlight w:val="none"/>
          <w:lang w:eastAsia="zh-CN"/>
        </w:rPr>
        <w:t>第</w:t>
      </w:r>
      <w:r>
        <w:rPr>
          <w:rFonts w:hint="eastAsia" w:ascii="宋体" w:hAnsi="宋体"/>
          <w:b/>
          <w:bCs/>
          <w:color w:val="auto"/>
          <w:sz w:val="21"/>
          <w:szCs w:val="21"/>
          <w:highlight w:val="none"/>
          <w:u w:val="single"/>
          <w:lang w:val="en-US" w:eastAsia="zh-CN"/>
        </w:rPr>
        <w:t>28</w:t>
      </w:r>
      <w:r>
        <w:rPr>
          <w:rFonts w:hint="eastAsia" w:ascii="宋体" w:hAnsi="宋体"/>
          <w:color w:val="auto"/>
          <w:sz w:val="21"/>
          <w:szCs w:val="21"/>
          <w:highlight w:val="none"/>
          <w:lang w:val="en-US" w:eastAsia="zh-CN"/>
        </w:rPr>
        <w:t>项</w:t>
      </w:r>
      <w:r>
        <w:rPr>
          <w:rFonts w:hint="eastAsia" w:ascii="宋体" w:hAnsi="宋体"/>
          <w:color w:val="auto"/>
          <w:sz w:val="21"/>
          <w:szCs w:val="21"/>
          <w:highlight w:val="none"/>
        </w:rPr>
        <w:t>。</w:t>
      </w:r>
    </w:p>
    <w:p w14:paraId="434B7615">
      <w:pPr>
        <w:pBdr>
          <w:top w:val="none" w:color="auto" w:sz="0" w:space="0"/>
          <w:left w:val="none" w:color="auto" w:sz="0" w:space="0"/>
          <w:bottom w:val="none" w:color="auto" w:sz="0" w:space="1"/>
          <w:right w:val="none" w:color="auto" w:sz="0" w:space="0"/>
          <w:between w:val="none" w:color="auto" w:sz="0" w:space="0"/>
        </w:pBdr>
        <w:spacing w:line="360" w:lineRule="auto"/>
        <w:ind w:firstLine="472" w:firstLineChars="224"/>
        <w:rPr>
          <w:rFonts w:hint="eastAsia" w:ascii="宋体" w:hAnsi="宋体" w:eastAsia="宋体"/>
          <w:strike w:val="0"/>
          <w:color w:val="auto"/>
          <w:sz w:val="24"/>
          <w:szCs w:val="24"/>
          <w:highlight w:val="none"/>
          <w:lang w:eastAsia="zh-CN"/>
        </w:rPr>
      </w:pPr>
      <w:r>
        <w:rPr>
          <w:rFonts w:hint="eastAsia"/>
          <w:b/>
          <w:strike w:val="0"/>
          <w:color w:val="auto"/>
          <w:szCs w:val="21"/>
          <w:highlight w:val="none"/>
        </w:rPr>
        <w:t>条款</w:t>
      </w:r>
      <w:r>
        <w:rPr>
          <w:rFonts w:hint="eastAsia" w:ascii="宋体" w:hAnsi="宋体"/>
          <w:b/>
          <w:bCs/>
          <w:strike w:val="0"/>
          <w:color w:val="auto"/>
          <w:sz w:val="21"/>
          <w:szCs w:val="21"/>
          <w:highlight w:val="none"/>
        </w:rPr>
        <w:t>号</w:t>
      </w:r>
      <w:r>
        <w:rPr>
          <w:rFonts w:hint="eastAsia" w:ascii="宋体" w:hAnsi="宋体"/>
          <w:strike w:val="0"/>
          <w:color w:val="auto"/>
          <w:szCs w:val="21"/>
          <w:highlight w:val="none"/>
        </w:rPr>
        <w:t>：</w:t>
      </w:r>
      <w:r>
        <w:rPr>
          <w:rFonts w:hint="eastAsia" w:ascii="宋体" w:hAnsi="宋体"/>
          <w:b/>
          <w:bCs/>
          <w:strike w:val="0"/>
          <w:color w:val="auto"/>
          <w:szCs w:val="21"/>
          <w:highlight w:val="none"/>
        </w:rPr>
        <w:t xml:space="preserve">37.1.1 </w:t>
      </w:r>
      <w:r>
        <w:rPr>
          <w:rFonts w:hint="eastAsia" w:ascii="宋体" w:hAnsi="宋体"/>
          <w:strike w:val="0"/>
          <w:color w:val="auto"/>
          <w:szCs w:val="21"/>
          <w:highlight w:val="none"/>
        </w:rPr>
        <w:t xml:space="preserve"> </w:t>
      </w:r>
      <w:r>
        <w:rPr>
          <w:rFonts w:hint="eastAsia" w:ascii="宋体" w:hAnsi="宋体"/>
          <w:strike w:val="0"/>
          <w:color w:val="auto"/>
          <w:sz w:val="24"/>
          <w:szCs w:val="24"/>
          <w:highlight w:val="none"/>
        </w:rPr>
        <w:t xml:space="preserve">  </w:t>
      </w:r>
      <w:r>
        <w:rPr>
          <w:b/>
          <w:strike w:val="0"/>
          <w:color w:val="auto"/>
          <w:szCs w:val="21"/>
          <w:highlight w:val="none"/>
        </w:rPr>
        <w:t xml:space="preserve">       </w:t>
      </w:r>
      <w:r>
        <w:rPr>
          <w:rFonts w:hint="eastAsia"/>
          <w:b/>
          <w:strike w:val="0"/>
          <w:color w:val="auto"/>
          <w:szCs w:val="21"/>
          <w:highlight w:val="none"/>
          <w:lang w:val="en-US" w:eastAsia="zh-CN"/>
        </w:rPr>
        <w:t xml:space="preserve"> </w:t>
      </w:r>
      <w:r>
        <w:rPr>
          <w:rFonts w:hint="eastAsia"/>
          <w:b/>
          <w:strike w:val="0"/>
          <w:color w:val="auto"/>
          <w:szCs w:val="21"/>
          <w:highlight w:val="none"/>
        </w:rPr>
        <w:t>修改类型：</w:t>
      </w:r>
      <w:r>
        <w:rPr>
          <w:rFonts w:hint="eastAsia"/>
          <w:b/>
          <w:strike w:val="0"/>
          <w:color w:val="auto"/>
          <w:szCs w:val="21"/>
          <w:highlight w:val="none"/>
          <w:lang w:val="en-US" w:eastAsia="zh-CN"/>
        </w:rPr>
        <w:t>增加</w:t>
      </w:r>
    </w:p>
    <w:p w14:paraId="43EDB626">
      <w:pPr>
        <w:pBdr>
          <w:bottom w:val="single" w:color="auto" w:sz="4" w:space="0"/>
        </w:pBdr>
        <w:spacing w:line="360" w:lineRule="auto"/>
        <w:ind w:firstLine="422" w:firstLineChars="200"/>
        <w:rPr>
          <w:rFonts w:ascii="宋体" w:hAnsi="宋体" w:cs="宋体"/>
          <w:b/>
          <w:strike w:val="0"/>
          <w:szCs w:val="21"/>
          <w:highlight w:val="none"/>
        </w:rPr>
      </w:pPr>
      <w:r>
        <w:rPr>
          <w:rFonts w:hint="eastAsia" w:ascii="宋体" w:hAnsi="宋体" w:cs="宋体"/>
          <w:b/>
          <w:strike w:val="0"/>
          <w:szCs w:val="21"/>
          <w:highlight w:val="none"/>
          <w:lang w:val="en-US" w:eastAsia="zh-CN"/>
        </w:rPr>
        <w:t>原文：</w:t>
      </w:r>
      <w:r>
        <w:rPr>
          <w:rFonts w:hint="eastAsia" w:ascii="宋体" w:hAnsi="宋体" w:cs="宋体"/>
          <w:b/>
          <w:strike w:val="0"/>
          <w:szCs w:val="21"/>
          <w:highlight w:val="none"/>
          <w:u w:val="single"/>
          <w:lang w:val="en-US" w:eastAsia="zh-CN"/>
        </w:rPr>
        <w:t>37.1.1</w:t>
      </w:r>
      <w:r>
        <w:rPr>
          <w:rFonts w:ascii="宋体" w:hAnsi="宋体" w:cs="宋体"/>
          <w:b/>
          <w:strike w:val="0"/>
          <w:szCs w:val="21"/>
          <w:highlight w:val="none"/>
          <w:u w:val="single"/>
        </w:rPr>
        <w:t>评标委员会</w:t>
      </w:r>
      <w:r>
        <w:rPr>
          <w:rFonts w:hint="eastAsia" w:ascii="宋体" w:hAnsi="宋体" w:cs="宋体"/>
          <w:b/>
          <w:strike w:val="0"/>
          <w:szCs w:val="21"/>
          <w:highlight w:val="none"/>
          <w:u w:val="single"/>
        </w:rPr>
        <w:t>在开始评标前，应了解评标专家</w:t>
      </w:r>
      <w:r>
        <w:rPr>
          <w:rFonts w:ascii="宋体" w:hAnsi="宋体" w:cs="宋体"/>
          <w:b/>
          <w:strike w:val="0"/>
          <w:szCs w:val="21"/>
          <w:highlight w:val="none"/>
          <w:u w:val="single"/>
        </w:rPr>
        <w:t>的职责及守则</w:t>
      </w:r>
      <w:r>
        <w:rPr>
          <w:rFonts w:hint="eastAsia" w:ascii="宋体" w:hAnsi="宋体" w:cs="宋体"/>
          <w:b/>
          <w:strike w:val="0"/>
          <w:szCs w:val="21"/>
          <w:highlight w:val="none"/>
          <w:u w:val="single"/>
        </w:rPr>
        <w:t>，认真</w:t>
      </w:r>
      <w:r>
        <w:rPr>
          <w:rFonts w:hint="eastAsia" w:ascii="宋体" w:hAnsi="宋体" w:cs="宋体"/>
          <w:b/>
          <w:strike w:val="0"/>
          <w:szCs w:val="21"/>
          <w:highlight w:val="none"/>
          <w:u w:val="single"/>
          <w:lang w:val="en-US" w:eastAsia="zh-CN"/>
        </w:rPr>
        <w:t>阅读招标公告附件五</w:t>
      </w:r>
      <w:r>
        <w:rPr>
          <w:rFonts w:ascii="宋体" w:hAnsi="宋体" w:cs="宋体"/>
          <w:b/>
          <w:strike w:val="0"/>
          <w:szCs w:val="21"/>
          <w:highlight w:val="none"/>
          <w:u w:val="single"/>
        </w:rPr>
        <w:t>《</w:t>
      </w:r>
      <w:r>
        <w:rPr>
          <w:rFonts w:hint="eastAsia" w:ascii="宋体" w:hAnsi="宋体" w:cs="宋体"/>
          <w:b/>
          <w:strike w:val="0"/>
          <w:szCs w:val="21"/>
          <w:highlight w:val="none"/>
          <w:u w:val="single"/>
        </w:rPr>
        <w:t>评标委员会成员声明》的内容并签名，签字后方可进行评标。</w:t>
      </w:r>
    </w:p>
    <w:p w14:paraId="2B8BB156">
      <w:pPr>
        <w:spacing w:line="360" w:lineRule="auto"/>
        <w:ind w:firstLine="472" w:firstLineChars="224"/>
        <w:rPr>
          <w:rFonts w:hint="eastAsia" w:ascii="宋体" w:hAnsi="宋体" w:cs="宋体"/>
          <w:b/>
          <w:color w:val="auto"/>
          <w:szCs w:val="21"/>
          <w:highlight w:val="none"/>
        </w:rPr>
      </w:pPr>
      <w:r>
        <w:rPr>
          <w:rFonts w:hint="eastAsia" w:ascii="宋体" w:hAnsi="宋体" w:cs="宋体"/>
          <w:b/>
          <w:color w:val="auto"/>
          <w:szCs w:val="21"/>
          <w:highlight w:val="none"/>
        </w:rPr>
        <w:t>条款号：37.</w:t>
      </w:r>
      <w:r>
        <w:rPr>
          <w:rFonts w:hint="eastAsia" w:ascii="宋体" w:hAnsi="宋体" w:cs="宋体"/>
          <w:b/>
          <w:color w:val="auto"/>
          <w:szCs w:val="21"/>
          <w:highlight w:val="none"/>
          <w:lang w:val="en-US" w:eastAsia="zh-CN"/>
        </w:rPr>
        <w:t>3</w:t>
      </w:r>
      <w:r>
        <w:rPr>
          <w:rFonts w:hint="eastAsia" w:ascii="宋体" w:hAnsi="宋体" w:cs="宋体"/>
          <w:b/>
          <w:color w:val="auto"/>
          <w:szCs w:val="21"/>
          <w:highlight w:val="none"/>
        </w:rPr>
        <w:t>.2             修改类型：修改</w:t>
      </w:r>
    </w:p>
    <w:p w14:paraId="7758F8FC">
      <w:pPr>
        <w:pBdr>
          <w:top w:val="none" w:color="auto" w:sz="0" w:space="0"/>
          <w:left w:val="none" w:color="auto" w:sz="0" w:space="0"/>
          <w:bottom w:val="none" w:color="auto" w:sz="0" w:space="0"/>
          <w:right w:val="none" w:color="auto" w:sz="0" w:space="0"/>
          <w:between w:val="none" w:color="auto" w:sz="0" w:space="0"/>
        </w:pBdr>
        <w:spacing w:line="360" w:lineRule="auto"/>
        <w:ind w:firstLine="472" w:firstLineChars="224"/>
        <w:rPr>
          <w:rFonts w:hint="eastAsia"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37.</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.2向招标人报告评审意见，推荐合格的中标候选人。</w:t>
      </w:r>
    </w:p>
    <w:p w14:paraId="6C4DF632">
      <w:pPr>
        <w:pBdr>
          <w:bottom w:val="single" w:color="auto" w:sz="4" w:space="0"/>
        </w:pBdr>
        <w:spacing w:line="360" w:lineRule="auto"/>
        <w:ind w:firstLine="422" w:firstLineChars="200"/>
        <w:rPr>
          <w:rFonts w:hint="eastAsia" w:ascii="宋体" w:hAnsi="宋体" w:cs="Times New Roman"/>
          <w:b/>
          <w:bCs/>
          <w:color w:val="auto"/>
          <w:sz w:val="21"/>
          <w:szCs w:val="21"/>
          <w:highlight w:val="none"/>
          <w:u w:val="single"/>
        </w:rPr>
      </w:pPr>
      <w:r>
        <w:rPr>
          <w:rFonts w:hint="eastAsia" w:ascii="宋体" w:hAnsi="宋体" w:cs="宋体"/>
          <w:b/>
          <w:color w:val="auto"/>
          <w:szCs w:val="21"/>
          <w:highlight w:val="none"/>
        </w:rPr>
        <w:t>现文：</w:t>
      </w:r>
      <w:r>
        <w:rPr>
          <w:rFonts w:ascii="宋体" w:hAnsi="宋体"/>
          <w:color w:val="auto"/>
          <w:sz w:val="21"/>
          <w:szCs w:val="21"/>
          <w:highlight w:val="none"/>
          <w:u w:val="none"/>
        </w:rPr>
        <w:t>37.</w:t>
      </w:r>
      <w:r>
        <w:rPr>
          <w:rFonts w:hint="eastAsia" w:ascii="宋体" w:hAnsi="宋体"/>
          <w:color w:val="auto"/>
          <w:sz w:val="21"/>
          <w:szCs w:val="21"/>
          <w:highlight w:val="none"/>
          <w:u w:val="none"/>
          <w:lang w:val="en-US" w:eastAsia="zh-CN"/>
        </w:rPr>
        <w:t>3</w:t>
      </w:r>
      <w:r>
        <w:rPr>
          <w:rFonts w:ascii="宋体" w:hAnsi="宋体"/>
          <w:color w:val="auto"/>
          <w:sz w:val="21"/>
          <w:szCs w:val="21"/>
          <w:highlight w:val="none"/>
          <w:u w:val="none"/>
        </w:rPr>
        <w:t>.2</w:t>
      </w:r>
      <w:r>
        <w:rPr>
          <w:rFonts w:hint="eastAsia" w:ascii="宋体" w:hAnsi="宋体"/>
          <w:color w:val="auto"/>
          <w:sz w:val="21"/>
          <w:szCs w:val="21"/>
          <w:highlight w:val="none"/>
        </w:rPr>
        <w:t>向招标人报告评审意见，</w:t>
      </w:r>
      <w:r>
        <w:rPr>
          <w:rFonts w:hint="eastAsia" w:ascii="宋体" w:hAnsi="宋体"/>
          <w:b/>
          <w:bCs/>
          <w:sz w:val="21"/>
          <w:szCs w:val="21"/>
          <w:highlight w:val="none"/>
          <w:u w:val="single"/>
        </w:rPr>
        <w:t>评标委员会按综合得分从高到低进行排序（综合得分相同的则名次并列占用名次），推荐排序位于前10名次不排序的入围定标阶段的候选人进入定标阶段（若前10名次的候选人中存在综合得分相同的，则综合得分相同的所有前10名次的候选人均进入定标阶段，若前10名次的家数大于等于3家且小于等于10家的，则取全部候选人进入定标阶段）。候选人入围</w:t>
      </w:r>
      <w:r>
        <w:rPr>
          <w:rFonts w:hint="eastAsia" w:ascii="宋体" w:hAnsi="宋体" w:cs="Times New Roman"/>
          <w:b/>
          <w:bCs/>
          <w:color w:val="auto"/>
          <w:sz w:val="21"/>
          <w:szCs w:val="21"/>
          <w:highlight w:val="none"/>
          <w:u w:val="single"/>
        </w:rPr>
        <w:t>定标阶段后将按其统一社会信用代码后4 位（除校验码外）大小排位，不排序，如统一社会信用代码后4位出现字母情况的，字母以“0”进行代替大小排位；如出现后4位（除校验码外）大小一致的，则随机排位。若为联合体投标，指联合体主办方。</w:t>
      </w:r>
    </w:p>
    <w:p w14:paraId="0EEBDAC6">
      <w:pPr>
        <w:pBdr>
          <w:top w:val="none" w:color="auto" w:sz="0" w:space="0"/>
          <w:left w:val="none" w:color="auto" w:sz="0" w:space="0"/>
          <w:bottom w:val="none" w:color="auto" w:sz="0" w:space="1"/>
          <w:right w:val="none" w:color="auto" w:sz="0" w:space="0"/>
          <w:between w:val="none" w:color="auto" w:sz="0" w:space="0"/>
        </w:pBdr>
        <w:spacing w:line="360" w:lineRule="auto"/>
        <w:ind w:firstLine="472" w:firstLineChars="224"/>
        <w:rPr>
          <w:rFonts w:hint="eastAsia" w:ascii="宋体" w:hAnsi="宋体" w:cs="宋体"/>
          <w:b/>
          <w:color w:val="auto"/>
          <w:szCs w:val="21"/>
          <w:highlight w:val="none"/>
        </w:rPr>
      </w:pPr>
      <w:r>
        <w:rPr>
          <w:rFonts w:hint="eastAsia" w:ascii="宋体" w:hAnsi="宋体" w:cs="宋体"/>
          <w:b/>
          <w:color w:val="auto"/>
          <w:szCs w:val="21"/>
          <w:highlight w:val="none"/>
        </w:rPr>
        <w:t>条款号：37.</w:t>
      </w:r>
      <w:r>
        <w:rPr>
          <w:rFonts w:hint="eastAsia" w:ascii="宋体" w:hAnsi="宋体" w:cs="宋体"/>
          <w:b/>
          <w:color w:val="auto"/>
          <w:szCs w:val="21"/>
          <w:highlight w:val="none"/>
          <w:lang w:val="en-US" w:eastAsia="zh-CN"/>
        </w:rPr>
        <w:t>6</w:t>
      </w:r>
      <w:r>
        <w:rPr>
          <w:rFonts w:hint="eastAsia" w:ascii="宋体" w:hAnsi="宋体" w:cs="宋体"/>
          <w:b/>
          <w:color w:val="auto"/>
          <w:szCs w:val="21"/>
          <w:highlight w:val="none"/>
        </w:rPr>
        <w:t xml:space="preserve">             修改类型：修改</w:t>
      </w:r>
    </w:p>
    <w:p w14:paraId="7DD0A5B2">
      <w:pPr>
        <w:pBdr>
          <w:top w:val="none" w:color="auto" w:sz="0" w:space="0"/>
          <w:left w:val="none" w:color="auto" w:sz="0" w:space="0"/>
          <w:bottom w:val="none" w:color="auto" w:sz="0" w:space="1"/>
          <w:right w:val="none" w:color="auto" w:sz="0" w:space="0"/>
          <w:between w:val="none" w:color="auto" w:sz="0" w:space="0"/>
        </w:pBdr>
        <w:spacing w:line="360" w:lineRule="auto"/>
        <w:ind w:firstLine="472" w:firstLineChars="224"/>
        <w:rPr>
          <w:rFonts w:hint="eastAsia"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37.</w:t>
      </w:r>
      <w:r>
        <w:rPr>
          <w:rFonts w:hint="eastAsia" w:ascii="宋体" w:hAnsi="宋体" w:cs="宋体"/>
          <w:color w:val="auto"/>
          <w:szCs w:val="21"/>
          <w:highlight w:val="none"/>
          <w:lang w:val="en-US" w:eastAsia="zh-CN"/>
        </w:rPr>
        <w:t>6</w:t>
      </w:r>
      <w:r>
        <w:rPr>
          <w:rFonts w:hint="eastAsia" w:ascii="宋体" w:hAnsi="宋体" w:cs="宋体"/>
          <w:color w:val="auto"/>
          <w:szCs w:val="21"/>
          <w:highlight w:val="none"/>
        </w:rPr>
        <w:t xml:space="preserve"> </w:t>
      </w:r>
      <w:r>
        <w:rPr>
          <w:rFonts w:hint="eastAsia" w:ascii="宋体" w:hAnsi="宋体" w:cs="宋体"/>
          <w:color w:val="auto"/>
          <w:sz w:val="21"/>
          <w:szCs w:val="21"/>
          <w:highlight w:val="none"/>
        </w:rPr>
        <w:t>评标委员会按照第</w:t>
      </w:r>
      <w:r>
        <w:rPr>
          <w:rFonts w:hint="eastAsia" w:ascii="宋体" w:hAnsi="宋体" w:cs="宋体"/>
          <w:color w:val="auto"/>
          <w:sz w:val="21"/>
          <w:szCs w:val="21"/>
          <w:highlight w:val="none"/>
          <w:lang w:eastAsia="zh-CN"/>
        </w:rPr>
        <w:t>二</w:t>
      </w:r>
      <w:r>
        <w:rPr>
          <w:rFonts w:hint="eastAsia" w:ascii="宋体" w:hAnsi="宋体" w:cs="宋体"/>
          <w:color w:val="auto"/>
          <w:sz w:val="21"/>
          <w:szCs w:val="21"/>
          <w:highlight w:val="none"/>
        </w:rPr>
        <w:t>章“</w:t>
      </w:r>
      <w:r>
        <w:rPr>
          <w:rFonts w:hint="eastAsia" w:ascii="宋体" w:hAnsi="宋体" w:cs="宋体"/>
          <w:color w:val="auto"/>
          <w:sz w:val="21"/>
          <w:szCs w:val="21"/>
          <w:highlight w:val="none"/>
          <w:lang w:eastAsia="zh-CN"/>
        </w:rPr>
        <w:t>开标、</w:t>
      </w:r>
      <w:r>
        <w:rPr>
          <w:rFonts w:hint="eastAsia" w:ascii="宋体" w:hAnsi="宋体" w:cs="宋体"/>
          <w:color w:val="auto"/>
          <w:sz w:val="21"/>
          <w:szCs w:val="21"/>
          <w:highlight w:val="none"/>
        </w:rPr>
        <w:t>评标</w:t>
      </w:r>
      <w:r>
        <w:rPr>
          <w:rFonts w:hint="eastAsia" w:ascii="宋体" w:hAnsi="宋体" w:cs="宋体"/>
          <w:color w:val="auto"/>
          <w:sz w:val="21"/>
          <w:szCs w:val="21"/>
          <w:highlight w:val="none"/>
          <w:lang w:eastAsia="zh-CN"/>
        </w:rPr>
        <w:t>及定标</w:t>
      </w:r>
      <w:r>
        <w:rPr>
          <w:rFonts w:hint="eastAsia" w:ascii="宋体" w:hAnsi="宋体" w:cs="宋体"/>
          <w:color w:val="auto"/>
          <w:sz w:val="21"/>
          <w:szCs w:val="21"/>
          <w:highlight w:val="none"/>
        </w:rPr>
        <w:t>办法”规定的方法、评审因素、标准和程序对投标文件进行评审。第三章“</w:t>
      </w:r>
      <w:r>
        <w:rPr>
          <w:rFonts w:hint="eastAsia" w:ascii="宋体" w:hAnsi="宋体" w:cs="宋体"/>
          <w:color w:val="auto"/>
          <w:sz w:val="21"/>
          <w:szCs w:val="21"/>
          <w:highlight w:val="none"/>
          <w:lang w:eastAsia="zh-CN"/>
        </w:rPr>
        <w:t>开标、</w:t>
      </w:r>
      <w:r>
        <w:rPr>
          <w:rFonts w:hint="eastAsia" w:ascii="宋体" w:hAnsi="宋体" w:cs="宋体"/>
          <w:color w:val="auto"/>
          <w:sz w:val="21"/>
          <w:szCs w:val="21"/>
          <w:highlight w:val="none"/>
        </w:rPr>
        <w:t>评标</w:t>
      </w:r>
      <w:r>
        <w:rPr>
          <w:rFonts w:hint="eastAsia" w:ascii="宋体" w:hAnsi="宋体" w:cs="宋体"/>
          <w:color w:val="auto"/>
          <w:sz w:val="21"/>
          <w:szCs w:val="21"/>
          <w:highlight w:val="none"/>
          <w:lang w:eastAsia="zh-CN"/>
        </w:rPr>
        <w:t>及定标</w:t>
      </w:r>
      <w:r>
        <w:rPr>
          <w:rFonts w:hint="eastAsia" w:ascii="宋体" w:hAnsi="宋体" w:cs="宋体"/>
          <w:color w:val="auto"/>
          <w:sz w:val="21"/>
          <w:szCs w:val="21"/>
          <w:highlight w:val="none"/>
        </w:rPr>
        <w:t>办法”没有规定的方法、评审因素和标准，不作为评标依据</w:t>
      </w:r>
      <w:r>
        <w:rPr>
          <w:rFonts w:hint="eastAsia" w:ascii="宋体" w:hAnsi="宋体" w:cs="宋体"/>
          <w:color w:val="auto"/>
          <w:sz w:val="21"/>
          <w:szCs w:val="21"/>
          <w:highlight w:val="none"/>
          <w:lang w:eastAsia="zh-CN"/>
        </w:rPr>
        <w:t>。</w:t>
      </w:r>
    </w:p>
    <w:p w14:paraId="109E56CA">
      <w:pPr>
        <w:pBdr>
          <w:bottom w:val="single" w:color="auto" w:sz="6" w:space="1"/>
        </w:pBdr>
        <w:spacing w:line="360" w:lineRule="auto"/>
        <w:ind w:firstLine="472" w:firstLineChars="224"/>
        <w:rPr>
          <w:rFonts w:hint="eastAsia" w:ascii="宋体" w:hAnsi="宋体" w:cs="宋体"/>
          <w:color w:val="auto"/>
          <w:sz w:val="21"/>
          <w:szCs w:val="21"/>
          <w:highlight w:val="none"/>
          <w:u w:val="single"/>
        </w:rPr>
      </w:pPr>
      <w:r>
        <w:rPr>
          <w:rFonts w:hint="eastAsia" w:ascii="宋体" w:hAnsi="宋体" w:cs="宋体"/>
          <w:b/>
          <w:color w:val="auto"/>
          <w:szCs w:val="21"/>
          <w:highlight w:val="none"/>
        </w:rPr>
        <w:t>现文：</w:t>
      </w:r>
      <w:r>
        <w:rPr>
          <w:rFonts w:hint="eastAsia" w:ascii="宋体" w:hAnsi="宋体" w:cs="宋体"/>
          <w:color w:val="auto"/>
          <w:szCs w:val="21"/>
          <w:highlight w:val="none"/>
          <w:u w:val="none"/>
        </w:rPr>
        <w:t>37.</w:t>
      </w:r>
      <w:r>
        <w:rPr>
          <w:rFonts w:hint="eastAsia" w:ascii="宋体" w:hAnsi="宋体" w:cs="宋体"/>
          <w:color w:val="auto"/>
          <w:szCs w:val="21"/>
          <w:highlight w:val="none"/>
          <w:u w:val="none"/>
          <w:lang w:val="en-US" w:eastAsia="zh-CN"/>
        </w:rPr>
        <w:t>6</w:t>
      </w:r>
      <w:r>
        <w:rPr>
          <w:rFonts w:hint="eastAsia" w:ascii="宋体" w:hAnsi="宋体" w:cs="宋体"/>
          <w:color w:val="auto"/>
          <w:szCs w:val="21"/>
          <w:highlight w:val="none"/>
          <w:u w:val="none"/>
        </w:rPr>
        <w:t xml:space="preserve"> </w:t>
      </w:r>
      <w:r>
        <w:rPr>
          <w:rFonts w:hint="eastAsia" w:ascii="宋体" w:hAnsi="宋体"/>
          <w:color w:val="auto"/>
          <w:sz w:val="21"/>
          <w:szCs w:val="21"/>
          <w:highlight w:val="none"/>
        </w:rPr>
        <w:t>评标结束后，</w:t>
      </w:r>
      <w:r>
        <w:rPr>
          <w:rFonts w:hint="eastAsia" w:ascii="宋体" w:hAnsi="宋体"/>
          <w:b/>
          <w:bCs/>
          <w:sz w:val="21"/>
          <w:szCs w:val="21"/>
          <w:highlight w:val="none"/>
          <w:u w:val="single"/>
        </w:rPr>
        <w:t>评标委员会递交评标报告，并按综合得分从高到低进行排序（综合得分相同的则名次并列占用名次），推荐排序位于前10名次不排序的入围定标阶段的候选人进入定标阶段（若前10名次的候选人中存在综合得分相同的，则综合得分相同的所有前10名次的候选人均进入定标阶段，若前10名次的家数大于等于3家且小于等于10家的，则取全部候选人进入定标阶段）。</w:t>
      </w:r>
      <w:r>
        <w:rPr>
          <w:rFonts w:hint="eastAsia" w:ascii="宋体" w:hAnsi="宋体" w:cs="Times New Roman"/>
          <w:b/>
          <w:bCs/>
          <w:color w:val="auto"/>
          <w:sz w:val="21"/>
          <w:szCs w:val="21"/>
          <w:highlight w:val="none"/>
          <w:u w:val="single"/>
        </w:rPr>
        <w:t xml:space="preserve"> </w:t>
      </w:r>
      <w:r>
        <w:rPr>
          <w:rFonts w:hint="eastAsia" w:ascii="宋体" w:hAnsi="宋体"/>
          <w:b/>
          <w:bCs/>
          <w:sz w:val="21"/>
          <w:szCs w:val="21"/>
          <w:highlight w:val="none"/>
          <w:u w:val="single"/>
        </w:rPr>
        <w:t>候选人入围</w:t>
      </w:r>
      <w:r>
        <w:rPr>
          <w:rFonts w:hint="eastAsia" w:ascii="宋体" w:hAnsi="宋体" w:cs="Times New Roman"/>
          <w:b/>
          <w:bCs/>
          <w:color w:val="auto"/>
          <w:sz w:val="21"/>
          <w:szCs w:val="21"/>
          <w:highlight w:val="none"/>
          <w:u w:val="single"/>
        </w:rPr>
        <w:t>定标阶段后将按其统一社会信用代码后4 位（除校验码外）大小排位，不排序，如统一社会信用代码后4位出现字母情况的，字母以“0”进行代替大小排位；如出现后4位（除校验码外）大小一致的，则随机排位。若为联合体投标，指联合体主办方。</w:t>
      </w:r>
    </w:p>
    <w:p w14:paraId="12CA9643">
      <w:pPr>
        <w:spacing w:line="360" w:lineRule="auto"/>
        <w:ind w:firstLine="472" w:firstLineChars="224"/>
        <w:rPr>
          <w:rFonts w:hint="eastAsia" w:ascii="宋体" w:hAnsi="宋体" w:cs="宋体"/>
          <w:color w:val="auto"/>
          <w:sz w:val="24"/>
          <w:szCs w:val="24"/>
          <w:highlight w:val="none"/>
        </w:rPr>
      </w:pPr>
      <w:r>
        <w:rPr>
          <w:rFonts w:hint="eastAsia" w:ascii="宋体" w:hAnsi="宋体" w:cs="宋体"/>
          <w:b/>
          <w:color w:val="auto"/>
          <w:szCs w:val="21"/>
          <w:highlight w:val="none"/>
        </w:rPr>
        <w:t>条款</w:t>
      </w:r>
      <w:r>
        <w:rPr>
          <w:rFonts w:hint="eastAsia" w:ascii="宋体" w:hAnsi="宋体" w:cs="宋体"/>
          <w:b/>
          <w:bCs/>
          <w:color w:val="auto"/>
          <w:sz w:val="21"/>
          <w:szCs w:val="21"/>
          <w:highlight w:val="none"/>
        </w:rPr>
        <w:t>号</w:t>
      </w:r>
      <w:r>
        <w:rPr>
          <w:rFonts w:hint="eastAsia" w:ascii="宋体" w:hAnsi="宋体" w:cs="宋体"/>
          <w:b/>
          <w:bCs/>
          <w:color w:val="auto"/>
          <w:szCs w:val="21"/>
          <w:highlight w:val="none"/>
        </w:rPr>
        <w:t xml:space="preserve">：38.5 </w:t>
      </w:r>
      <w:r>
        <w:rPr>
          <w:rFonts w:hint="eastAsia" w:ascii="宋体" w:hAnsi="宋体" w:cs="宋体"/>
          <w:color w:val="auto"/>
          <w:szCs w:val="21"/>
          <w:highlight w:val="none"/>
        </w:rPr>
        <w:t xml:space="preserve"> </w:t>
      </w:r>
      <w:r>
        <w:rPr>
          <w:rFonts w:hint="eastAsia" w:ascii="宋体" w:hAnsi="宋体" w:cs="宋体"/>
          <w:color w:val="auto"/>
          <w:sz w:val="24"/>
          <w:szCs w:val="24"/>
          <w:highlight w:val="none"/>
        </w:rPr>
        <w:t xml:space="preserve">  </w:t>
      </w:r>
      <w:r>
        <w:rPr>
          <w:rFonts w:hint="eastAsia" w:ascii="宋体" w:hAnsi="宋体" w:cs="宋体"/>
          <w:b/>
          <w:color w:val="auto"/>
          <w:szCs w:val="21"/>
          <w:highlight w:val="none"/>
        </w:rPr>
        <w:t xml:space="preserve">       修改类型：修改</w:t>
      </w:r>
    </w:p>
    <w:p w14:paraId="47DAB4B5">
      <w:pPr>
        <w:spacing w:line="360" w:lineRule="auto"/>
        <w:ind w:firstLine="422" w:firstLineChars="200"/>
        <w:rPr>
          <w:rFonts w:hint="eastAsia" w:ascii="宋体" w:hAnsi="宋体" w:cs="宋体"/>
          <w:color w:val="auto"/>
          <w:sz w:val="24"/>
          <w:szCs w:val="24"/>
          <w:highlight w:val="none"/>
        </w:rPr>
      </w:pPr>
      <w:r>
        <w:rPr>
          <w:rFonts w:hint="eastAsia" w:ascii="宋体" w:hAnsi="宋体" w:cs="宋体"/>
          <w:b/>
          <w:bCs/>
          <w:color w:val="auto"/>
          <w:szCs w:val="21"/>
          <w:highlight w:val="none"/>
        </w:rPr>
        <w:t>原文：</w:t>
      </w:r>
      <w:r>
        <w:rPr>
          <w:rFonts w:hint="eastAsia" w:ascii="宋体" w:hAnsi="宋体" w:cs="宋体"/>
          <w:color w:val="auto"/>
          <w:szCs w:val="21"/>
          <w:highlight w:val="none"/>
        </w:rPr>
        <w:t>38.5投标人如在本项目中存在串通投标、弄虚作假、行贿情形且在评标过程中未被发现的，该投标不改变本项目评标结果排序，其中标无效。招标人按照《中华人民共和国招标投标法实施条例》第五十五条的规定依次确定中标人或重新招标。</w:t>
      </w:r>
    </w:p>
    <w:p w14:paraId="2091F993">
      <w:pPr>
        <w:pBdr>
          <w:bottom w:val="single" w:color="auto" w:sz="6" w:space="1"/>
        </w:pBdr>
        <w:spacing w:line="360" w:lineRule="auto"/>
        <w:ind w:firstLine="472" w:firstLineChars="224"/>
        <w:rPr>
          <w:rFonts w:hint="eastAsia" w:ascii="宋体" w:hAnsi="宋体" w:cs="宋体"/>
          <w:b/>
          <w:bCs w:val="0"/>
          <w:color w:val="auto"/>
          <w:szCs w:val="21"/>
          <w:highlight w:val="none"/>
          <w:u w:val="single"/>
        </w:rPr>
      </w:pPr>
      <w:r>
        <w:rPr>
          <w:rFonts w:hint="eastAsia" w:ascii="宋体" w:hAnsi="宋体" w:cs="宋体"/>
          <w:b/>
          <w:bCs/>
          <w:color w:val="auto"/>
          <w:szCs w:val="21"/>
          <w:highlight w:val="none"/>
        </w:rPr>
        <w:t>现文：</w:t>
      </w:r>
      <w:r>
        <w:rPr>
          <w:rFonts w:hint="eastAsia" w:ascii="宋体" w:hAnsi="宋体" w:cs="宋体"/>
          <w:bCs/>
          <w:color w:val="auto"/>
          <w:szCs w:val="21"/>
          <w:highlight w:val="none"/>
        </w:rPr>
        <w:t>38.5</w:t>
      </w:r>
      <w:r>
        <w:rPr>
          <w:rFonts w:hint="eastAsia" w:ascii="宋体" w:hAnsi="宋体" w:cs="宋体"/>
          <w:b/>
          <w:bCs w:val="0"/>
          <w:color w:val="auto"/>
          <w:szCs w:val="21"/>
          <w:highlight w:val="none"/>
          <w:u w:val="single"/>
        </w:rPr>
        <w:t>依法必须进行招标的项目，除中标人以外的其他投标人存在串通投标、弄虚作假、行贿情形且在评标过程中未被发现的，视为对中标结果没有造成实质性影响，招标人可以依法继续开展招标活动。</w:t>
      </w:r>
    </w:p>
    <w:p w14:paraId="729F2AF9">
      <w:pPr>
        <w:spacing w:line="360" w:lineRule="auto"/>
        <w:ind w:firstLine="472" w:firstLineChars="224"/>
        <w:rPr>
          <w:rFonts w:hint="eastAsia" w:ascii="宋体" w:hAnsi="宋体" w:cs="宋体"/>
          <w:b/>
          <w:color w:val="auto"/>
          <w:szCs w:val="21"/>
          <w:highlight w:val="none"/>
        </w:rPr>
      </w:pPr>
      <w:r>
        <w:rPr>
          <w:rFonts w:hint="eastAsia" w:ascii="宋体" w:hAnsi="宋体" w:cs="宋体"/>
          <w:b/>
          <w:color w:val="auto"/>
          <w:szCs w:val="21"/>
          <w:highlight w:val="none"/>
        </w:rPr>
        <w:t>条款号：39             修改类型：修改</w:t>
      </w:r>
    </w:p>
    <w:p w14:paraId="51910226">
      <w:pPr>
        <w:spacing w:line="360" w:lineRule="auto"/>
        <w:ind w:firstLine="422" w:firstLineChars="200"/>
        <w:rPr>
          <w:rFonts w:hint="eastAsia" w:ascii="宋体" w:hAnsi="宋体" w:cs="宋体"/>
          <w:color w:val="auto"/>
          <w:sz w:val="21"/>
          <w:szCs w:val="21"/>
          <w:highlight w:val="none"/>
        </w:rPr>
      </w:pPr>
      <w:r>
        <w:rPr>
          <w:rFonts w:hint="eastAsia" w:ascii="宋体" w:hAnsi="宋体" w:cs="宋体"/>
          <w:b/>
          <w:bCs/>
          <w:color w:val="auto"/>
          <w:sz w:val="21"/>
          <w:szCs w:val="21"/>
          <w:highlight w:val="none"/>
          <w:lang w:eastAsia="zh-CN"/>
        </w:rPr>
        <w:t>原文：</w:t>
      </w:r>
      <w:r>
        <w:rPr>
          <w:rFonts w:hint="eastAsia" w:ascii="宋体" w:hAnsi="宋体" w:cs="宋体"/>
          <w:color w:val="auto"/>
          <w:sz w:val="21"/>
          <w:szCs w:val="21"/>
          <w:highlight w:val="none"/>
        </w:rPr>
        <w:t>39．定标</w:t>
      </w:r>
    </w:p>
    <w:p w14:paraId="06313810">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39.1 招标人根据评标委员会递交的评标报告，最终审定中标人。</w:t>
      </w:r>
    </w:p>
    <w:p w14:paraId="1CA60EF8">
      <w:pPr>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39.2 依法必须进行公开招标的项目，招标人应当确定排名第一的中标候选人为中标人</w:t>
      </w:r>
      <w:r>
        <w:rPr>
          <w:rFonts w:hint="eastAsia" w:ascii="宋体" w:hAnsi="宋体" w:cs="宋体"/>
          <w:color w:val="auto"/>
          <w:sz w:val="21"/>
          <w:szCs w:val="21"/>
          <w:highlight w:val="none"/>
          <w:lang w:eastAsia="zh-CN"/>
        </w:rPr>
        <w:t>。采用评定分离方式确定中标人的从其规定。若发现委派的项目负责人已在其他在建项目中任职，不符合任职数量规定时，招标人可以确定排名第二的中标候选人为中标人。</w:t>
      </w:r>
    </w:p>
    <w:p w14:paraId="36A2B884">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39.3排名第一的中标候选人放弃中标、或因不可抗力提出不能履行合同，或者招标文件规定应当提交履约担保而在规定的期限内未能提交的，</w:t>
      </w:r>
      <w:r>
        <w:rPr>
          <w:rFonts w:hint="eastAsia" w:ascii="宋体" w:hAnsi="宋体" w:cs="宋体"/>
          <w:color w:val="auto"/>
          <w:sz w:val="21"/>
          <w:szCs w:val="21"/>
          <w:highlight w:val="none"/>
          <w:lang w:eastAsia="zh-CN"/>
        </w:rPr>
        <w:t>或经核查发现委派的项目负责人已在其他在建项目中任职，不符合任职数量规定时，</w:t>
      </w:r>
      <w:r>
        <w:rPr>
          <w:rFonts w:hint="eastAsia" w:ascii="宋体" w:hAnsi="宋体" w:cs="宋体"/>
          <w:color w:val="auto"/>
          <w:sz w:val="21"/>
          <w:szCs w:val="21"/>
          <w:highlight w:val="none"/>
        </w:rPr>
        <w:t>招标人可以确定排名第二的中标候选人为中标人。</w:t>
      </w:r>
    </w:p>
    <w:p w14:paraId="7C53E158">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39.4排名第二的中标候选人出现前款所列的情形的，招标人可以确定排名第三的中标候选人为中标人。以此类推，如所有中标候选人均出现前款所列的情形，为招标失败，招标人</w:t>
      </w:r>
      <w:r>
        <w:rPr>
          <w:rFonts w:hint="eastAsia" w:ascii="宋体" w:hAnsi="宋体" w:cs="宋体"/>
          <w:color w:val="auto"/>
          <w:sz w:val="21"/>
          <w:szCs w:val="21"/>
          <w:highlight w:val="none"/>
          <w:lang w:eastAsia="zh-CN"/>
        </w:rPr>
        <w:t>依法重新招标</w:t>
      </w:r>
      <w:r>
        <w:rPr>
          <w:rFonts w:hint="eastAsia" w:ascii="宋体" w:hAnsi="宋体" w:cs="宋体"/>
          <w:color w:val="auto"/>
          <w:sz w:val="21"/>
          <w:szCs w:val="21"/>
          <w:highlight w:val="none"/>
        </w:rPr>
        <w:t>。</w:t>
      </w:r>
    </w:p>
    <w:p w14:paraId="6EECF1B3">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39.5 重新评标的，评标信息（含业绩、奖项等）仍以投标截止时投标人的信息为准。因特殊原因需要延长投标有效期，投标人拒绝延长投标有效期的，仍参与评标，但不被推荐为中标候选人。</w:t>
      </w:r>
    </w:p>
    <w:p w14:paraId="0C94CBD4">
      <w:pPr>
        <w:spacing w:line="360" w:lineRule="auto"/>
        <w:ind w:firstLine="420" w:firstLineChars="200"/>
        <w:rPr>
          <w:rFonts w:hint="eastAsia" w:ascii="宋体" w:hAnsi="宋体" w:cs="宋体"/>
          <w:color w:val="auto"/>
          <w:sz w:val="21"/>
          <w:szCs w:val="21"/>
          <w:highlight w:val="none"/>
        </w:rPr>
      </w:pPr>
      <w:r>
        <w:rPr>
          <w:rFonts w:hint="eastAsia" w:ascii="宋体" w:hAnsi="宋体" w:eastAsia="宋体" w:cs="宋体"/>
          <w:color w:val="auto"/>
          <w:kern w:val="2"/>
          <w:sz w:val="21"/>
          <w:szCs w:val="21"/>
          <w:highlight w:val="none"/>
          <w:lang w:val="en-US" w:eastAsia="zh-CN" w:bidi="ar-SA"/>
        </w:rPr>
        <w:t>39.6有效投标不足3个的，评标委员会应当对投标是否明显缺乏竞争和是否需要否决全部投标进行充分论证，并在评标报告中记载论证过程和结果</w:t>
      </w:r>
      <w:r>
        <w:rPr>
          <w:rFonts w:hint="eastAsia" w:ascii="宋体" w:hAnsi="宋体" w:cs="宋体"/>
          <w:color w:val="auto"/>
          <w:sz w:val="21"/>
          <w:szCs w:val="21"/>
          <w:highlight w:val="none"/>
        </w:rPr>
        <w:t>。</w:t>
      </w:r>
    </w:p>
    <w:p w14:paraId="50E79375">
      <w:pPr>
        <w:pBdr>
          <w:top w:val="none" w:color="auto" w:sz="0" w:space="0"/>
          <w:left w:val="none" w:color="auto" w:sz="0" w:space="0"/>
          <w:bottom w:val="none" w:color="auto" w:sz="0" w:space="1"/>
          <w:right w:val="none" w:color="auto" w:sz="0" w:space="0"/>
          <w:between w:val="none" w:color="auto" w:sz="0" w:space="0"/>
        </w:pBdr>
        <w:spacing w:line="360" w:lineRule="auto"/>
        <w:ind w:firstLine="470" w:firstLineChars="224"/>
        <w:rPr>
          <w:rFonts w:hint="eastAsia" w:ascii="宋体" w:hAnsi="宋体" w:cs="宋体"/>
          <w:bCs/>
          <w:color w:val="auto"/>
          <w:szCs w:val="21"/>
          <w:highlight w:val="none"/>
          <w:u w:val="single"/>
        </w:rPr>
      </w:pPr>
      <w:r>
        <w:rPr>
          <w:rFonts w:hint="eastAsia" w:ascii="宋体" w:hAnsi="宋体" w:cs="宋体"/>
          <w:color w:val="auto"/>
          <w:sz w:val="21"/>
          <w:szCs w:val="21"/>
          <w:highlight w:val="none"/>
          <w:lang w:val="en-US" w:eastAsia="zh-CN"/>
        </w:rPr>
        <w:t xml:space="preserve">    </w:t>
      </w:r>
      <w:r>
        <w:rPr>
          <w:rFonts w:hint="eastAsia" w:ascii="宋体" w:hAnsi="宋体" w:eastAsia="宋体" w:cs="宋体"/>
          <w:color w:val="auto"/>
          <w:sz w:val="21"/>
          <w:szCs w:val="21"/>
          <w:highlight w:val="none"/>
          <w:lang w:val="en-US" w:eastAsia="zh-CN"/>
        </w:rPr>
        <w:t>注：采用评定分离方式的，招标人应在招标文件中明确定标方式。</w:t>
      </w:r>
    </w:p>
    <w:p w14:paraId="2E348278">
      <w:pPr>
        <w:spacing w:line="360" w:lineRule="auto"/>
        <w:ind w:firstLine="422" w:firstLineChars="200"/>
        <w:rPr>
          <w:rFonts w:hint="eastAsia" w:ascii="宋体" w:hAnsi="宋体" w:cs="宋体"/>
          <w:color w:val="auto"/>
          <w:sz w:val="21"/>
          <w:szCs w:val="21"/>
          <w:highlight w:val="none"/>
        </w:rPr>
      </w:pPr>
      <w:r>
        <w:rPr>
          <w:rFonts w:hint="eastAsia" w:ascii="宋体" w:hAnsi="宋体" w:cs="宋体"/>
          <w:b/>
          <w:bCs w:val="0"/>
          <w:color w:val="auto"/>
          <w:szCs w:val="21"/>
          <w:highlight w:val="none"/>
          <w:u w:val="none"/>
          <w:lang w:eastAsia="zh-CN"/>
        </w:rPr>
        <w:t>现文：</w:t>
      </w:r>
      <w:r>
        <w:rPr>
          <w:rFonts w:hint="eastAsia" w:ascii="宋体" w:hAnsi="宋体" w:cs="宋体"/>
          <w:color w:val="auto"/>
          <w:sz w:val="21"/>
          <w:szCs w:val="21"/>
          <w:highlight w:val="none"/>
        </w:rPr>
        <w:t>39．定标</w:t>
      </w:r>
    </w:p>
    <w:p w14:paraId="0BF1113C">
      <w:pPr>
        <w:spacing w:line="360" w:lineRule="auto"/>
        <w:ind w:firstLine="420" w:firstLineChars="200"/>
        <w:rPr>
          <w:rFonts w:ascii="宋体" w:hAnsi="宋体" w:cs="宋体"/>
          <w:szCs w:val="21"/>
          <w:highlight w:val="none"/>
          <w:u w:val="single"/>
        </w:rPr>
      </w:pPr>
      <w:r>
        <w:rPr>
          <w:rFonts w:hint="eastAsia" w:ascii="宋体" w:hAnsi="宋体" w:cs="宋体"/>
          <w:szCs w:val="21"/>
          <w:highlight w:val="none"/>
        </w:rPr>
        <w:t>39.1 招标人</w:t>
      </w:r>
      <w:r>
        <w:rPr>
          <w:rFonts w:hint="eastAsia" w:ascii="宋体" w:hAnsi="宋体" w:cs="宋体"/>
          <w:szCs w:val="21"/>
          <w:highlight w:val="none"/>
          <w:u w:val="single"/>
        </w:rPr>
        <w:t>组建定标委员会，</w:t>
      </w:r>
      <w:r>
        <w:rPr>
          <w:rFonts w:hint="eastAsia" w:ascii="宋体" w:hAnsi="宋体" w:cs="宋体"/>
          <w:szCs w:val="21"/>
          <w:highlight w:val="none"/>
        </w:rPr>
        <w:t>根据定标委员会递交的</w:t>
      </w:r>
      <w:r>
        <w:rPr>
          <w:rFonts w:hint="eastAsia" w:ascii="宋体" w:hAnsi="宋体" w:cs="宋体"/>
          <w:szCs w:val="21"/>
          <w:highlight w:val="none"/>
          <w:u w:val="single"/>
        </w:rPr>
        <w:t>定</w:t>
      </w:r>
      <w:r>
        <w:rPr>
          <w:rFonts w:hint="eastAsia" w:ascii="宋体" w:hAnsi="宋体" w:cs="宋体"/>
          <w:szCs w:val="21"/>
          <w:highlight w:val="none"/>
        </w:rPr>
        <w:t>标报告，最终审定</w:t>
      </w:r>
      <w:r>
        <w:rPr>
          <w:rFonts w:hint="eastAsia" w:ascii="宋体" w:hAnsi="宋体" w:cs="宋体"/>
          <w:szCs w:val="21"/>
          <w:highlight w:val="none"/>
          <w:u w:val="single"/>
        </w:rPr>
        <w:t>1个中标候选人</w:t>
      </w:r>
      <w:r>
        <w:rPr>
          <w:rFonts w:hint="eastAsia" w:ascii="宋体" w:hAnsi="宋体" w:cs="宋体"/>
          <w:szCs w:val="21"/>
          <w:highlight w:val="none"/>
        </w:rPr>
        <w:t>。</w:t>
      </w:r>
    </w:p>
    <w:p w14:paraId="07A88E27">
      <w:pPr>
        <w:spacing w:line="360" w:lineRule="auto"/>
        <w:ind w:firstLine="420" w:firstLineChars="200"/>
        <w:rPr>
          <w:rFonts w:ascii="宋体" w:hAnsi="宋体" w:cs="宋体"/>
          <w:szCs w:val="21"/>
          <w:highlight w:val="none"/>
        </w:rPr>
      </w:pPr>
      <w:r>
        <w:rPr>
          <w:rFonts w:hint="eastAsia" w:ascii="宋体" w:hAnsi="宋体" w:cs="宋体"/>
          <w:szCs w:val="21"/>
          <w:highlight w:val="none"/>
        </w:rPr>
        <w:t>39.2 依法必须进行公开招标的项目，招标人应当</w:t>
      </w:r>
      <w:r>
        <w:rPr>
          <w:rFonts w:hint="eastAsia" w:ascii="宋体" w:hAnsi="宋体" w:cs="宋体"/>
          <w:szCs w:val="21"/>
          <w:highlight w:val="none"/>
          <w:u w:val="single"/>
        </w:rPr>
        <w:t>根据定标报告</w:t>
      </w:r>
      <w:r>
        <w:rPr>
          <w:rFonts w:hint="eastAsia" w:ascii="宋体" w:hAnsi="宋体" w:cs="宋体"/>
          <w:szCs w:val="21"/>
          <w:highlight w:val="none"/>
        </w:rPr>
        <w:t>确定</w:t>
      </w:r>
      <w:r>
        <w:rPr>
          <w:rFonts w:hint="eastAsia" w:ascii="宋体" w:hAnsi="宋体" w:cs="宋体"/>
          <w:szCs w:val="21"/>
          <w:highlight w:val="none"/>
          <w:u w:val="single"/>
        </w:rPr>
        <w:t>中标候选人</w:t>
      </w:r>
      <w:r>
        <w:rPr>
          <w:rFonts w:hint="eastAsia" w:ascii="宋体" w:hAnsi="宋体" w:cs="宋体"/>
          <w:szCs w:val="21"/>
          <w:highlight w:val="none"/>
        </w:rPr>
        <w:t>为中标人。</w:t>
      </w:r>
    </w:p>
    <w:p w14:paraId="454F1D84">
      <w:pPr>
        <w:spacing w:line="460" w:lineRule="exact"/>
        <w:ind w:firstLine="411" w:firstLineChars="196"/>
        <w:rPr>
          <w:rFonts w:ascii="宋体" w:hAnsi="宋体" w:cs="宋体"/>
          <w:szCs w:val="21"/>
          <w:highlight w:val="none"/>
        </w:rPr>
      </w:pPr>
      <w:r>
        <w:rPr>
          <w:rFonts w:hint="eastAsia" w:ascii="宋体" w:hAnsi="宋体" w:cs="宋体"/>
          <w:szCs w:val="21"/>
          <w:highlight w:val="none"/>
        </w:rPr>
        <w:t>39.3</w:t>
      </w:r>
      <w:r>
        <w:rPr>
          <w:rFonts w:hint="eastAsia" w:ascii="宋体" w:hAnsi="宋体" w:cs="宋体"/>
          <w:szCs w:val="21"/>
          <w:highlight w:val="none"/>
          <w:u w:val="single"/>
        </w:rPr>
        <w:t>如中标人放弃中标、或因不可抗力提出不能履行合同，或者招标文件规定应当提交履约担保而在规定的期限内未能提交的，或经核查发现委派的项目负责人已在其他在建项目中担任</w:t>
      </w:r>
      <w:r>
        <w:rPr>
          <w:rFonts w:hint="eastAsia" w:ascii="宋体" w:hAnsi="宋体" w:cs="宋体"/>
          <w:szCs w:val="21"/>
          <w:highlight w:val="none"/>
          <w:u w:val="single"/>
          <w:lang w:val="en-US" w:eastAsia="zh-CN"/>
        </w:rPr>
        <w:t>项目经理的</w:t>
      </w:r>
      <w:r>
        <w:rPr>
          <w:rFonts w:hint="eastAsia" w:ascii="宋体" w:hAnsi="宋体" w:cs="宋体"/>
          <w:szCs w:val="21"/>
          <w:highlight w:val="none"/>
          <w:u w:val="single"/>
        </w:rPr>
        <w:t>，或者被查实存在影响中标结果的违法行为等情形，招标人有权取消其中标人资格或解除合同，可由原定标委员会根据原定标办法从其他合格的中标候选人中重新票决确定中标人，招标人也可以依法重新招标。</w:t>
      </w:r>
    </w:p>
    <w:p w14:paraId="5D33FAE6">
      <w:pPr>
        <w:pStyle w:val="21"/>
        <w:spacing w:line="360" w:lineRule="auto"/>
        <w:ind w:firstLine="420" w:firstLineChars="200"/>
        <w:rPr>
          <w:rFonts w:hAnsi="宋体" w:cs="宋体"/>
          <w:szCs w:val="21"/>
          <w:highlight w:val="none"/>
          <w:u w:val="single"/>
        </w:rPr>
      </w:pPr>
      <w:r>
        <w:rPr>
          <w:rFonts w:hint="eastAsia" w:hAnsi="宋体" w:cs="宋体"/>
          <w:szCs w:val="21"/>
          <w:highlight w:val="none"/>
          <w:u w:val="single"/>
        </w:rPr>
        <w:t>39.4重新评标或定标的，评标信息（含业绩、奖项等）、定标信息仍以投标截止时投标人的信息为准。因特殊原因需要延长投标有效期，投标人拒绝延长投标有效期的，仍参与评标、定标，但不被推荐为合格的中标候选人。</w:t>
      </w:r>
    </w:p>
    <w:p w14:paraId="178DF359">
      <w:pPr>
        <w:pStyle w:val="21"/>
        <w:spacing w:line="360" w:lineRule="auto"/>
        <w:ind w:firstLine="420" w:firstLineChars="200"/>
        <w:rPr>
          <w:rFonts w:hAnsi="宋体" w:cs="宋体"/>
          <w:szCs w:val="21"/>
          <w:highlight w:val="none"/>
          <w:u w:val="single"/>
        </w:rPr>
      </w:pPr>
      <w:r>
        <w:rPr>
          <w:rFonts w:hint="eastAsia" w:hAnsi="宋体" w:cs="宋体"/>
          <w:szCs w:val="21"/>
          <w:highlight w:val="none"/>
          <w:u w:val="single"/>
        </w:rPr>
        <w:t>39.5招标人原则上</w:t>
      </w:r>
      <w:r>
        <w:rPr>
          <w:rFonts w:hAnsi="宋体" w:cs="宋体"/>
          <w:szCs w:val="21"/>
          <w:highlight w:val="none"/>
          <w:u w:val="single"/>
        </w:rPr>
        <w:t>在合格的中标候选人公示完成后</w:t>
      </w:r>
      <w:r>
        <w:rPr>
          <w:rFonts w:hint="eastAsia" w:hAnsi="宋体" w:cs="宋体"/>
          <w:sz w:val="21"/>
          <w:szCs w:val="21"/>
          <w:highlight w:val="none"/>
          <w:u w:val="single"/>
          <w:lang w:eastAsia="zh-CN"/>
        </w:rPr>
        <w:t>5</w:t>
      </w:r>
      <w:r>
        <w:rPr>
          <w:rFonts w:hAnsi="宋体" w:cs="宋体"/>
          <w:sz w:val="21"/>
          <w:szCs w:val="21"/>
          <w:highlight w:val="none"/>
          <w:u w:val="single"/>
        </w:rPr>
        <w:t>个工作</w:t>
      </w:r>
      <w:r>
        <w:rPr>
          <w:rFonts w:hint="eastAsia" w:hAnsi="宋体" w:cs="宋体"/>
          <w:sz w:val="21"/>
          <w:szCs w:val="21"/>
          <w:highlight w:val="none"/>
          <w:u w:val="single"/>
          <w:lang w:val="en-US" w:eastAsia="zh-CN"/>
        </w:rPr>
        <w:t>日</w:t>
      </w:r>
      <w:r>
        <w:rPr>
          <w:rFonts w:hint="eastAsia" w:hAnsi="宋体" w:cs="宋体"/>
          <w:szCs w:val="21"/>
          <w:highlight w:val="none"/>
          <w:u w:val="single"/>
        </w:rPr>
        <w:t>内组织开展定标。</w:t>
      </w:r>
    </w:p>
    <w:p w14:paraId="78CA0866">
      <w:pPr>
        <w:pStyle w:val="21"/>
        <w:spacing w:line="360" w:lineRule="auto"/>
        <w:ind w:firstLine="420" w:firstLineChars="200"/>
        <w:rPr>
          <w:rFonts w:hint="eastAsia" w:hAnsi="宋体" w:cs="宋体"/>
          <w:szCs w:val="21"/>
          <w:highlight w:val="none"/>
          <w:u w:val="single"/>
        </w:rPr>
      </w:pPr>
      <w:r>
        <w:rPr>
          <w:rFonts w:hint="eastAsia" w:hAnsi="宋体" w:cs="宋体"/>
          <w:szCs w:val="21"/>
          <w:highlight w:val="none"/>
          <w:u w:val="single"/>
        </w:rPr>
        <w:t>39.6定标规则及程序：</w:t>
      </w:r>
    </w:p>
    <w:p w14:paraId="2B33F087">
      <w:pPr>
        <w:pStyle w:val="21"/>
        <w:spacing w:line="360" w:lineRule="auto"/>
        <w:ind w:firstLine="420" w:firstLineChars="200"/>
        <w:rPr>
          <w:rFonts w:hint="eastAsia" w:hAnsi="宋体" w:cs="宋体"/>
          <w:szCs w:val="21"/>
          <w:highlight w:val="none"/>
          <w:u w:val="single"/>
        </w:rPr>
      </w:pPr>
      <w:r>
        <w:rPr>
          <w:rFonts w:hint="eastAsia" w:hAnsi="宋体" w:cs="宋体"/>
          <w:szCs w:val="21"/>
          <w:highlight w:val="none"/>
          <w:u w:val="single"/>
        </w:rPr>
        <w:t>39.6.1本项目采用票决定标法+撰写评语。</w:t>
      </w:r>
    </w:p>
    <w:p w14:paraId="30FD0262">
      <w:pPr>
        <w:pStyle w:val="21"/>
        <w:spacing w:line="360" w:lineRule="auto"/>
        <w:ind w:firstLine="420" w:firstLineChars="200"/>
        <w:rPr>
          <w:rFonts w:hint="eastAsia" w:hAnsi="宋体" w:cs="宋体"/>
          <w:szCs w:val="21"/>
          <w:highlight w:val="none"/>
          <w:u w:val="single"/>
        </w:rPr>
      </w:pPr>
      <w:r>
        <w:rPr>
          <w:rFonts w:hint="eastAsia" w:hAnsi="宋体" w:cs="宋体"/>
          <w:szCs w:val="21"/>
          <w:highlight w:val="none"/>
          <w:u w:val="single"/>
        </w:rPr>
        <w:t>39.6.2定标工作开始后，发放选票，由定标委员会参考定标因素及定标辅助资料进行投票排名。</w:t>
      </w:r>
    </w:p>
    <w:p w14:paraId="6DD9CD0F">
      <w:pPr>
        <w:pStyle w:val="21"/>
        <w:spacing w:line="360" w:lineRule="auto"/>
        <w:ind w:firstLine="420" w:firstLineChars="200"/>
        <w:rPr>
          <w:rFonts w:hint="eastAsia" w:hAnsi="宋体" w:cs="宋体"/>
          <w:szCs w:val="21"/>
          <w:highlight w:val="none"/>
          <w:u w:val="single"/>
        </w:rPr>
      </w:pPr>
      <w:r>
        <w:rPr>
          <w:rFonts w:hint="eastAsia" w:hAnsi="宋体" w:cs="宋体"/>
          <w:szCs w:val="21"/>
          <w:highlight w:val="none"/>
          <w:u w:val="single"/>
        </w:rPr>
        <w:t>39.6.3 定标辅助资料为评标阶段的评标报告、投标人提交的投标与定标文件。</w:t>
      </w:r>
    </w:p>
    <w:p w14:paraId="1538E06A">
      <w:pPr>
        <w:pStyle w:val="21"/>
        <w:spacing w:line="360" w:lineRule="auto"/>
        <w:ind w:firstLine="420" w:firstLineChars="200"/>
        <w:rPr>
          <w:rFonts w:hint="eastAsia" w:hAnsi="宋体" w:cs="宋体"/>
          <w:szCs w:val="21"/>
          <w:highlight w:val="none"/>
          <w:u w:val="single"/>
        </w:rPr>
      </w:pPr>
      <w:r>
        <w:rPr>
          <w:rFonts w:hint="eastAsia" w:hAnsi="宋体" w:cs="宋体"/>
          <w:szCs w:val="21"/>
          <w:highlight w:val="none"/>
          <w:u w:val="single"/>
        </w:rPr>
        <w:t>39.6.4定标委员会根据定标辅助资料，在同等条件下，定标因素的相对标准按以下几个方面进行：</w:t>
      </w:r>
      <w:r>
        <w:rPr>
          <w:rFonts w:hint="eastAsia" w:hAnsi="宋体" w:cs="宋体"/>
          <w:szCs w:val="21"/>
          <w:highlight w:val="none"/>
          <w:u w:val="single"/>
        </w:rPr>
        <w:cr/>
      </w:r>
      <w:r>
        <w:rPr>
          <w:rFonts w:hint="eastAsia" w:hAnsi="宋体" w:cs="宋体"/>
          <w:szCs w:val="21"/>
          <w:highlight w:val="none"/>
        </w:rPr>
        <w:t xml:space="preserve">    </w:t>
      </w:r>
      <w:r>
        <w:rPr>
          <w:rFonts w:hint="eastAsia" w:hAnsi="宋体" w:cs="宋体"/>
          <w:szCs w:val="21"/>
          <w:highlight w:val="none"/>
          <w:u w:val="single"/>
        </w:rPr>
        <w:t>（1）入围候选人施工履约能力与水平评价；</w:t>
      </w:r>
      <w:r>
        <w:rPr>
          <w:rFonts w:hint="eastAsia" w:hAnsi="宋体" w:cs="宋体"/>
          <w:szCs w:val="21"/>
          <w:highlight w:val="none"/>
          <w:u w:val="single"/>
        </w:rPr>
        <w:cr/>
      </w:r>
      <w:r>
        <w:rPr>
          <w:rFonts w:hint="eastAsia" w:hAnsi="宋体" w:cs="宋体"/>
          <w:szCs w:val="21"/>
          <w:highlight w:val="none"/>
        </w:rPr>
        <w:t xml:space="preserve">    </w:t>
      </w:r>
      <w:r>
        <w:rPr>
          <w:rFonts w:hint="eastAsia" w:hAnsi="宋体" w:cs="宋体"/>
          <w:szCs w:val="21"/>
          <w:highlight w:val="none"/>
          <w:u w:val="single"/>
        </w:rPr>
        <w:t>（2）服务保障能力；</w:t>
      </w:r>
    </w:p>
    <w:p w14:paraId="2FF3215B">
      <w:pPr>
        <w:pStyle w:val="21"/>
        <w:spacing w:line="360" w:lineRule="auto"/>
        <w:ind w:firstLine="420" w:firstLineChars="200"/>
        <w:rPr>
          <w:rFonts w:hint="eastAsia" w:hAnsi="宋体" w:cs="宋体"/>
          <w:szCs w:val="21"/>
          <w:highlight w:val="none"/>
          <w:u w:val="single"/>
        </w:rPr>
      </w:pPr>
      <w:r>
        <w:rPr>
          <w:rFonts w:hint="eastAsia" w:hAnsi="宋体" w:cs="宋体"/>
          <w:szCs w:val="21"/>
          <w:highlight w:val="none"/>
          <w:u w:val="single"/>
        </w:rPr>
        <w:t>（3）企业施工能力。</w:t>
      </w:r>
    </w:p>
    <w:p w14:paraId="7365B973">
      <w:pPr>
        <w:pStyle w:val="21"/>
        <w:spacing w:line="360" w:lineRule="auto"/>
        <w:ind w:firstLine="420" w:firstLineChars="200"/>
        <w:rPr>
          <w:rFonts w:hAnsi="宋体" w:cs="宋体"/>
          <w:szCs w:val="21"/>
          <w:highlight w:val="none"/>
          <w:u w:val="single"/>
        </w:rPr>
      </w:pPr>
      <w:r>
        <w:rPr>
          <w:rFonts w:hint="eastAsia" w:hAnsi="宋体" w:cs="宋体"/>
          <w:szCs w:val="21"/>
          <w:highlight w:val="none"/>
          <w:u w:val="single"/>
        </w:rPr>
        <w:t>39.6.5投票规则：定标委员会根据定标因素对各投标人进行综合比较后，进行一次性票决，每位定标委员会成员只有 1 票表决权（即只能对其中一家投标人投票），得票数最多的投标</w:t>
      </w:r>
      <w:r>
        <w:rPr>
          <w:rFonts w:hAnsi="宋体" w:cs="宋体"/>
          <w:szCs w:val="21"/>
          <w:highlight w:val="none"/>
          <w:u w:val="single"/>
        </w:rPr>
        <w:t>人为中标候选人，若出现票数相同且无法决出中标候选人时，票数相同的再进行一次性票决；若再次票决出现票数相同且无法决出中标候选人时，以投标报价低者为中标候选人。</w:t>
      </w:r>
    </w:p>
    <w:p w14:paraId="43091101">
      <w:pPr>
        <w:pStyle w:val="21"/>
        <w:pBdr>
          <w:bottom w:val="single" w:color="auto" w:sz="4" w:space="0"/>
        </w:pBdr>
        <w:spacing w:line="360" w:lineRule="auto"/>
        <w:ind w:firstLine="420" w:firstLineChars="200"/>
        <w:rPr>
          <w:rFonts w:hAnsi="宋体" w:cs="宋体"/>
          <w:szCs w:val="21"/>
          <w:highlight w:val="none"/>
          <w:u w:val="single"/>
        </w:rPr>
      </w:pPr>
      <w:r>
        <w:rPr>
          <w:rFonts w:hAnsi="宋体" w:cs="宋体"/>
          <w:szCs w:val="21"/>
          <w:highlight w:val="none"/>
          <w:u w:val="single"/>
        </w:rPr>
        <w:t>39.6.6定标委员会根据选票情况确定中标候选人。</w:t>
      </w:r>
    </w:p>
    <w:p w14:paraId="504C306A">
      <w:pPr>
        <w:pStyle w:val="21"/>
        <w:pBdr>
          <w:bottom w:val="single" w:color="auto" w:sz="4" w:space="0"/>
        </w:pBdr>
        <w:spacing w:line="360" w:lineRule="auto"/>
        <w:ind w:firstLine="420" w:firstLineChars="200"/>
        <w:rPr>
          <w:rFonts w:hAnsi="宋体" w:cs="宋体"/>
          <w:szCs w:val="21"/>
          <w:highlight w:val="none"/>
          <w:u w:val="single"/>
        </w:rPr>
      </w:pPr>
      <w:r>
        <w:rPr>
          <w:rFonts w:hAnsi="宋体" w:cs="宋体"/>
          <w:szCs w:val="21"/>
          <w:highlight w:val="none"/>
          <w:u w:val="single"/>
        </w:rPr>
        <w:t>39.6.7 编写定标报告，定标委员会全体确认后签署定标报告。</w:t>
      </w:r>
    </w:p>
    <w:p w14:paraId="5F5A2DE0">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条款号：40</w:t>
      </w:r>
      <w:r>
        <w:rPr>
          <w:rFonts w:hint="eastAsia" w:ascii="宋体" w:hAnsi="宋体" w:cs="宋体"/>
          <w:color w:val="auto"/>
          <w:sz w:val="24"/>
          <w:szCs w:val="24"/>
          <w:highlight w:val="none"/>
        </w:rPr>
        <w:t xml:space="preserve">                 </w:t>
      </w:r>
      <w:r>
        <w:rPr>
          <w:rFonts w:hint="eastAsia" w:ascii="宋体" w:hAnsi="宋体" w:cs="宋体"/>
          <w:b/>
          <w:color w:val="auto"/>
          <w:szCs w:val="21"/>
          <w:highlight w:val="none"/>
        </w:rPr>
        <w:t xml:space="preserve"> 修改类型：修改</w:t>
      </w:r>
    </w:p>
    <w:p w14:paraId="3486444C">
      <w:pPr>
        <w:snapToGrid w:val="0"/>
        <w:spacing w:line="360" w:lineRule="auto"/>
        <w:ind w:firstLine="422" w:firstLineChars="200"/>
        <w:rPr>
          <w:rFonts w:ascii="宋体"/>
          <w:color w:val="auto"/>
          <w:sz w:val="21"/>
          <w:szCs w:val="21"/>
          <w:highlight w:val="none"/>
        </w:rPr>
      </w:pPr>
      <w:r>
        <w:rPr>
          <w:rFonts w:hint="eastAsia" w:ascii="宋体" w:hAnsi="宋体" w:cs="宋体"/>
          <w:b/>
          <w:bCs w:val="0"/>
          <w:color w:val="auto"/>
          <w:szCs w:val="21"/>
          <w:highlight w:val="none"/>
          <w:u w:val="none"/>
          <w:lang w:eastAsia="zh-CN"/>
        </w:rPr>
        <w:t>原文：</w:t>
      </w:r>
      <w:r>
        <w:rPr>
          <w:rFonts w:hint="eastAsia" w:ascii="宋体"/>
          <w:color w:val="auto"/>
          <w:sz w:val="21"/>
          <w:szCs w:val="21"/>
          <w:highlight w:val="none"/>
        </w:rPr>
        <w:t>40．开标和评标程序</w:t>
      </w:r>
    </w:p>
    <w:p w14:paraId="009F54A4">
      <w:pPr>
        <w:snapToGrid w:val="0"/>
        <w:spacing w:line="360" w:lineRule="auto"/>
        <w:ind w:firstLine="420" w:firstLineChars="200"/>
        <w:rPr>
          <w:rFonts w:hint="eastAsia" w:ascii="宋体"/>
          <w:color w:val="auto"/>
          <w:sz w:val="21"/>
          <w:szCs w:val="21"/>
          <w:highlight w:val="none"/>
          <w:lang w:eastAsia="zh-CN"/>
        </w:rPr>
      </w:pPr>
      <w:r>
        <w:rPr>
          <w:rFonts w:hint="eastAsia" w:ascii="宋体"/>
          <w:color w:val="auto"/>
          <w:sz w:val="21"/>
          <w:szCs w:val="21"/>
          <w:highlight w:val="none"/>
        </w:rPr>
        <w:t>40.1</w:t>
      </w:r>
      <w:r>
        <w:rPr>
          <w:rFonts w:hint="eastAsia" w:ascii="宋体"/>
          <w:color w:val="auto"/>
          <w:sz w:val="21"/>
          <w:szCs w:val="21"/>
          <w:highlight w:val="none"/>
          <w:lang w:eastAsia="zh-CN"/>
        </w:rPr>
        <w:t>投标人递交技术标、经济标投标文件；</w:t>
      </w:r>
    </w:p>
    <w:p w14:paraId="0473E7D5">
      <w:pPr>
        <w:snapToGrid w:val="0"/>
        <w:spacing w:line="360" w:lineRule="auto"/>
        <w:ind w:firstLine="420" w:firstLineChars="200"/>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40.2</w:t>
      </w:r>
      <w:r>
        <w:rPr>
          <w:rFonts w:hint="eastAsia" w:ascii="宋体"/>
          <w:color w:val="auto"/>
          <w:sz w:val="21"/>
          <w:szCs w:val="21"/>
          <w:highlight w:val="none"/>
        </w:rPr>
        <w:t>技术标（含资格审查文件）与经济标投标文件同时公开开标；</w:t>
      </w:r>
    </w:p>
    <w:p w14:paraId="7AA5FF60">
      <w:pPr>
        <w:snapToGrid w:val="0"/>
        <w:spacing w:line="360" w:lineRule="auto"/>
        <w:ind w:firstLine="420" w:firstLineChars="200"/>
        <w:rPr>
          <w:rFonts w:ascii="宋体"/>
          <w:color w:val="auto"/>
          <w:sz w:val="21"/>
          <w:szCs w:val="21"/>
          <w:highlight w:val="none"/>
        </w:rPr>
      </w:pPr>
      <w:r>
        <w:rPr>
          <w:rFonts w:hint="eastAsia" w:ascii="宋体" w:hAnsi="宋体"/>
          <w:color w:val="auto"/>
          <w:sz w:val="21"/>
          <w:szCs w:val="21"/>
          <w:highlight w:val="none"/>
          <w:lang w:val="en-US" w:eastAsia="zh-CN"/>
        </w:rPr>
        <w:t>40.3</w:t>
      </w:r>
      <w:r>
        <w:rPr>
          <w:rFonts w:hint="eastAsia" w:ascii="宋体" w:hAnsi="宋体"/>
          <w:color w:val="auto"/>
          <w:sz w:val="21"/>
          <w:szCs w:val="21"/>
          <w:highlight w:val="none"/>
          <w:lang w:eastAsia="zh-CN"/>
        </w:rPr>
        <w:t>由招标人随机抽取确定该工程计算评标参考价的等分点值</w:t>
      </w:r>
      <w:r>
        <w:rPr>
          <w:rFonts w:hint="eastAsia" w:ascii="宋体" w:hAnsi="宋体"/>
          <w:color w:val="auto"/>
          <w:sz w:val="21"/>
          <w:szCs w:val="21"/>
          <w:highlight w:val="none"/>
          <w:lang w:val="en-US" w:eastAsia="zh-CN"/>
        </w:rPr>
        <w:t>X（适用于区间抽取法）；</w:t>
      </w:r>
    </w:p>
    <w:p w14:paraId="01E4E322">
      <w:pPr>
        <w:snapToGrid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40.</w:t>
      </w:r>
      <w:r>
        <w:rPr>
          <w:rFonts w:hint="eastAsia" w:ascii="宋体"/>
          <w:color w:val="auto"/>
          <w:sz w:val="21"/>
          <w:szCs w:val="21"/>
          <w:highlight w:val="none"/>
          <w:lang w:val="en-US" w:eastAsia="zh-CN"/>
        </w:rPr>
        <w:t>4</w:t>
      </w:r>
      <w:r>
        <w:rPr>
          <w:rFonts w:hint="eastAsia" w:ascii="宋体"/>
          <w:color w:val="auto"/>
          <w:sz w:val="21"/>
          <w:szCs w:val="21"/>
          <w:highlight w:val="none"/>
        </w:rPr>
        <w:t>由评标委员会对所有已公开开标的投标人进行资格审查；</w:t>
      </w:r>
    </w:p>
    <w:p w14:paraId="5D8BDC6A">
      <w:pPr>
        <w:snapToGrid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40.</w:t>
      </w:r>
      <w:r>
        <w:rPr>
          <w:rFonts w:hint="eastAsia" w:ascii="宋体"/>
          <w:color w:val="auto"/>
          <w:sz w:val="21"/>
          <w:szCs w:val="21"/>
          <w:highlight w:val="none"/>
          <w:lang w:val="en-US" w:eastAsia="zh-CN"/>
        </w:rPr>
        <w:t>5</w:t>
      </w:r>
      <w:r>
        <w:rPr>
          <w:rFonts w:hint="eastAsia" w:ascii="宋体"/>
          <w:color w:val="auto"/>
          <w:sz w:val="21"/>
          <w:szCs w:val="21"/>
          <w:highlight w:val="none"/>
        </w:rPr>
        <w:t>技术标投标文件有效性审查；</w:t>
      </w:r>
    </w:p>
    <w:p w14:paraId="07B6B255">
      <w:pPr>
        <w:snapToGrid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40.</w:t>
      </w:r>
      <w:r>
        <w:rPr>
          <w:rFonts w:hint="eastAsia" w:ascii="宋体"/>
          <w:color w:val="auto"/>
          <w:sz w:val="21"/>
          <w:szCs w:val="21"/>
          <w:highlight w:val="none"/>
          <w:lang w:val="en-US" w:eastAsia="zh-CN"/>
        </w:rPr>
        <w:t>6</w:t>
      </w:r>
      <w:r>
        <w:rPr>
          <w:rFonts w:hint="eastAsia" w:ascii="宋体"/>
          <w:color w:val="auto"/>
          <w:sz w:val="21"/>
          <w:szCs w:val="21"/>
          <w:highlight w:val="none"/>
        </w:rPr>
        <w:t>技术标详细审查评分；</w:t>
      </w:r>
    </w:p>
    <w:p w14:paraId="79760B09">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20" w:firstLineChars="200"/>
        <w:rPr>
          <w:rFonts w:hint="default" w:ascii="宋体" w:eastAsia="宋体"/>
          <w:color w:val="auto"/>
          <w:sz w:val="21"/>
          <w:szCs w:val="21"/>
          <w:highlight w:val="none"/>
          <w:lang w:val="en-US" w:eastAsia="zh-CN"/>
        </w:rPr>
      </w:pPr>
      <w:r>
        <w:rPr>
          <w:rFonts w:hint="eastAsia" w:ascii="宋体"/>
          <w:color w:val="auto"/>
          <w:sz w:val="21"/>
          <w:szCs w:val="21"/>
          <w:highlight w:val="none"/>
          <w:lang w:val="en-US" w:eastAsia="zh-CN"/>
        </w:rPr>
        <w:t>40.7经济标的算术校核；</w:t>
      </w:r>
    </w:p>
    <w:p w14:paraId="495CD810">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40.</w:t>
      </w:r>
      <w:r>
        <w:rPr>
          <w:rFonts w:hint="eastAsia" w:ascii="宋体"/>
          <w:color w:val="auto"/>
          <w:sz w:val="21"/>
          <w:szCs w:val="21"/>
          <w:highlight w:val="none"/>
          <w:lang w:val="en-US" w:eastAsia="zh-CN"/>
        </w:rPr>
        <w:t>8</w:t>
      </w:r>
      <w:r>
        <w:rPr>
          <w:rFonts w:hint="eastAsia" w:ascii="宋体"/>
          <w:color w:val="auto"/>
          <w:sz w:val="21"/>
          <w:szCs w:val="21"/>
          <w:highlight w:val="none"/>
        </w:rPr>
        <w:t>经济标详细审查评分；</w:t>
      </w:r>
      <w:r>
        <w:rPr>
          <w:rFonts w:ascii="宋体"/>
          <w:color w:val="auto"/>
          <w:sz w:val="21"/>
          <w:szCs w:val="21"/>
          <w:highlight w:val="none"/>
        </w:rPr>
        <w:t xml:space="preserve"> </w:t>
      </w:r>
    </w:p>
    <w:p w14:paraId="74CC4253">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40.</w:t>
      </w:r>
      <w:r>
        <w:rPr>
          <w:rFonts w:hint="eastAsia" w:ascii="宋体"/>
          <w:color w:val="auto"/>
          <w:sz w:val="21"/>
          <w:szCs w:val="21"/>
          <w:highlight w:val="none"/>
          <w:lang w:val="en-US" w:eastAsia="zh-CN"/>
        </w:rPr>
        <w:t>9</w:t>
      </w:r>
      <w:r>
        <w:rPr>
          <w:rFonts w:hint="eastAsia" w:ascii="宋体"/>
          <w:color w:val="auto"/>
          <w:sz w:val="21"/>
          <w:szCs w:val="21"/>
          <w:highlight w:val="none"/>
        </w:rPr>
        <w:t>评标委员会按照投标人总得分由高至低排序；</w:t>
      </w:r>
    </w:p>
    <w:p w14:paraId="290635FF">
      <w:pPr>
        <w:pBdr>
          <w:top w:val="none" w:color="auto" w:sz="0" w:space="0"/>
          <w:left w:val="none" w:color="auto" w:sz="0" w:space="0"/>
          <w:bottom w:val="none" w:color="auto" w:sz="0" w:space="0"/>
          <w:right w:val="none" w:color="auto" w:sz="0" w:space="0"/>
          <w:between w:val="none" w:color="auto" w:sz="0" w:space="0"/>
        </w:pBdr>
        <w:snapToGrid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40.</w:t>
      </w:r>
      <w:r>
        <w:rPr>
          <w:rFonts w:hint="eastAsia" w:ascii="宋体"/>
          <w:color w:val="auto"/>
          <w:sz w:val="21"/>
          <w:szCs w:val="21"/>
          <w:highlight w:val="none"/>
          <w:lang w:val="en-US" w:eastAsia="zh-CN"/>
        </w:rPr>
        <w:t>10</w:t>
      </w:r>
      <w:r>
        <w:rPr>
          <w:rFonts w:hint="eastAsia" w:ascii="宋体"/>
          <w:color w:val="auto"/>
          <w:sz w:val="21"/>
          <w:szCs w:val="21"/>
          <w:highlight w:val="none"/>
        </w:rPr>
        <w:t>经济标投标文件有效性审查；</w:t>
      </w:r>
    </w:p>
    <w:p w14:paraId="66D85E76">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宋体" w:hAnsi="宋体" w:cs="宋体"/>
          <w:color w:val="auto"/>
          <w:sz w:val="21"/>
          <w:szCs w:val="21"/>
          <w:highlight w:val="none"/>
        </w:rPr>
      </w:pPr>
      <w:r>
        <w:rPr>
          <w:rFonts w:hint="eastAsia" w:ascii="宋体"/>
          <w:color w:val="auto"/>
          <w:sz w:val="21"/>
          <w:szCs w:val="21"/>
          <w:highlight w:val="none"/>
        </w:rPr>
        <w:t>40.</w:t>
      </w:r>
      <w:r>
        <w:rPr>
          <w:rFonts w:hint="eastAsia" w:ascii="宋体"/>
          <w:color w:val="auto"/>
          <w:sz w:val="21"/>
          <w:szCs w:val="21"/>
          <w:highlight w:val="none"/>
          <w:lang w:val="en-US" w:eastAsia="zh-CN"/>
        </w:rPr>
        <w:t>11</w:t>
      </w:r>
      <w:r>
        <w:rPr>
          <w:rFonts w:hint="eastAsia" w:ascii="宋体"/>
          <w:color w:val="auto"/>
          <w:sz w:val="21"/>
          <w:szCs w:val="21"/>
          <w:highlight w:val="none"/>
        </w:rPr>
        <w:t>评标委员会按排序向招标人推荐中标候选人名单，并递交资格审查报告及评标报告。</w:t>
      </w:r>
    </w:p>
    <w:p w14:paraId="1D9E452B">
      <w:pPr>
        <w:snapToGrid w:val="0"/>
        <w:spacing w:line="360" w:lineRule="auto"/>
        <w:ind w:firstLine="422" w:firstLineChars="200"/>
        <w:rPr>
          <w:rFonts w:ascii="宋体"/>
          <w:color w:val="auto"/>
          <w:sz w:val="21"/>
          <w:szCs w:val="21"/>
          <w:highlight w:val="none"/>
        </w:rPr>
      </w:pPr>
      <w:r>
        <w:rPr>
          <w:rFonts w:hint="eastAsia" w:ascii="宋体" w:hAnsi="宋体" w:cs="宋体"/>
          <w:b/>
          <w:bCs/>
          <w:color w:val="auto"/>
          <w:sz w:val="21"/>
          <w:szCs w:val="21"/>
          <w:highlight w:val="none"/>
          <w:lang w:eastAsia="zh-CN"/>
        </w:rPr>
        <w:t>现文：</w:t>
      </w:r>
      <w:r>
        <w:rPr>
          <w:rFonts w:hint="eastAsia" w:ascii="宋体"/>
          <w:color w:val="auto"/>
          <w:sz w:val="21"/>
          <w:szCs w:val="21"/>
          <w:highlight w:val="none"/>
        </w:rPr>
        <w:t>40．开标和评标程序</w:t>
      </w:r>
    </w:p>
    <w:p w14:paraId="13509DAD">
      <w:pPr>
        <w:snapToGrid w:val="0"/>
        <w:spacing w:line="360" w:lineRule="auto"/>
        <w:ind w:firstLine="420" w:firstLineChars="200"/>
        <w:rPr>
          <w:rFonts w:hint="eastAsia" w:ascii="宋体"/>
          <w:color w:val="auto"/>
          <w:sz w:val="21"/>
          <w:szCs w:val="21"/>
          <w:highlight w:val="none"/>
          <w:lang w:eastAsia="zh-CN"/>
        </w:rPr>
      </w:pPr>
      <w:r>
        <w:rPr>
          <w:rFonts w:hint="eastAsia" w:ascii="宋体"/>
          <w:color w:val="auto"/>
          <w:sz w:val="21"/>
          <w:szCs w:val="21"/>
          <w:highlight w:val="none"/>
        </w:rPr>
        <w:t>40.1</w:t>
      </w:r>
      <w:r>
        <w:rPr>
          <w:rFonts w:hint="eastAsia" w:ascii="宋体"/>
          <w:color w:val="auto"/>
          <w:sz w:val="21"/>
          <w:szCs w:val="21"/>
          <w:highlight w:val="none"/>
          <w:lang w:eastAsia="zh-CN"/>
        </w:rPr>
        <w:t>投标人递交技术标</w:t>
      </w:r>
      <w:r>
        <w:rPr>
          <w:rFonts w:hint="eastAsia" w:ascii="宋体"/>
          <w:b/>
          <w:bCs/>
          <w:color w:val="auto"/>
          <w:sz w:val="21"/>
          <w:szCs w:val="21"/>
          <w:highlight w:val="none"/>
          <w:u w:val="single"/>
        </w:rPr>
        <w:t>（含资格审查文件）</w:t>
      </w:r>
      <w:r>
        <w:rPr>
          <w:rFonts w:hint="eastAsia" w:ascii="宋体"/>
          <w:color w:val="auto"/>
          <w:sz w:val="21"/>
          <w:szCs w:val="21"/>
          <w:highlight w:val="none"/>
          <w:lang w:eastAsia="zh-CN"/>
        </w:rPr>
        <w:t>、经济标投标文件</w:t>
      </w:r>
      <w:r>
        <w:rPr>
          <w:rFonts w:hint="eastAsia" w:ascii="宋体" w:hAnsi="宋体" w:cs="宋体"/>
          <w:b/>
          <w:bCs/>
          <w:szCs w:val="21"/>
          <w:highlight w:val="none"/>
          <w:u w:val="single"/>
        </w:rPr>
        <w:t>和定标文件</w:t>
      </w:r>
      <w:r>
        <w:rPr>
          <w:rFonts w:hint="eastAsia" w:ascii="宋体"/>
          <w:color w:val="auto"/>
          <w:sz w:val="21"/>
          <w:szCs w:val="21"/>
          <w:highlight w:val="none"/>
          <w:lang w:eastAsia="zh-CN"/>
        </w:rPr>
        <w:t>；</w:t>
      </w:r>
    </w:p>
    <w:p w14:paraId="09313A3A">
      <w:pPr>
        <w:snapToGrid w:val="0"/>
        <w:spacing w:line="360" w:lineRule="auto"/>
        <w:ind w:firstLine="420" w:firstLineChars="200"/>
        <w:rPr>
          <w:rFonts w:hint="eastAsia" w:ascii="宋体" w:hAnsi="宋体"/>
          <w:color w:val="auto"/>
          <w:sz w:val="21"/>
          <w:szCs w:val="21"/>
          <w:highlight w:val="none"/>
          <w:lang w:val="en-US" w:eastAsia="zh-CN"/>
        </w:rPr>
      </w:pPr>
      <w:r>
        <w:rPr>
          <w:rFonts w:hint="eastAsia" w:ascii="宋体" w:hAnsi="宋体"/>
          <w:color w:val="auto"/>
          <w:sz w:val="21"/>
          <w:szCs w:val="21"/>
          <w:highlight w:val="none"/>
          <w:lang w:val="en-US" w:eastAsia="zh-CN"/>
        </w:rPr>
        <w:t>40.2</w:t>
      </w:r>
      <w:r>
        <w:rPr>
          <w:rFonts w:hint="eastAsia" w:ascii="宋体"/>
          <w:color w:val="auto"/>
          <w:sz w:val="21"/>
          <w:szCs w:val="21"/>
          <w:highlight w:val="none"/>
        </w:rPr>
        <w:t>技术标（含资格审查文件）与经济标投标文件同时公开开标；</w:t>
      </w:r>
    </w:p>
    <w:p w14:paraId="33E7F257">
      <w:pPr>
        <w:snapToGrid w:val="0"/>
        <w:spacing w:line="360" w:lineRule="auto"/>
        <w:ind w:firstLine="420" w:firstLineChars="200"/>
        <w:rPr>
          <w:rFonts w:ascii="宋体"/>
          <w:color w:val="auto"/>
          <w:sz w:val="21"/>
          <w:szCs w:val="21"/>
          <w:highlight w:val="none"/>
        </w:rPr>
      </w:pPr>
      <w:r>
        <w:rPr>
          <w:rFonts w:hint="eastAsia" w:ascii="宋体" w:hAnsi="宋体"/>
          <w:color w:val="auto"/>
          <w:sz w:val="21"/>
          <w:szCs w:val="21"/>
          <w:highlight w:val="none"/>
          <w:lang w:val="en-US" w:eastAsia="zh-CN"/>
        </w:rPr>
        <w:t>40.3</w:t>
      </w:r>
      <w:r>
        <w:rPr>
          <w:rFonts w:hint="eastAsia" w:ascii="宋体" w:hAnsi="宋体"/>
          <w:color w:val="auto"/>
          <w:sz w:val="21"/>
          <w:szCs w:val="21"/>
          <w:highlight w:val="none"/>
          <w:lang w:eastAsia="zh-CN"/>
        </w:rPr>
        <w:t>由招标人随机抽取确定该工程计算评标参考价的等分点值</w:t>
      </w:r>
      <w:r>
        <w:rPr>
          <w:rFonts w:hint="eastAsia" w:ascii="宋体" w:hAnsi="宋体"/>
          <w:color w:val="auto"/>
          <w:sz w:val="21"/>
          <w:szCs w:val="21"/>
          <w:highlight w:val="none"/>
          <w:lang w:val="en-US" w:eastAsia="zh-CN"/>
        </w:rPr>
        <w:t>X（适用于区间抽取法）；</w:t>
      </w:r>
    </w:p>
    <w:p w14:paraId="00F638DC">
      <w:pPr>
        <w:snapToGrid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40.</w:t>
      </w:r>
      <w:r>
        <w:rPr>
          <w:rFonts w:hint="eastAsia" w:ascii="宋体"/>
          <w:color w:val="auto"/>
          <w:sz w:val="21"/>
          <w:szCs w:val="21"/>
          <w:highlight w:val="none"/>
          <w:lang w:val="en-US" w:eastAsia="zh-CN"/>
        </w:rPr>
        <w:t>4</w:t>
      </w:r>
      <w:r>
        <w:rPr>
          <w:rFonts w:hint="eastAsia" w:ascii="宋体"/>
          <w:color w:val="auto"/>
          <w:sz w:val="21"/>
          <w:szCs w:val="21"/>
          <w:highlight w:val="none"/>
        </w:rPr>
        <w:t>由评标委员会对所有已公开开标的投标人进行资格审查；</w:t>
      </w:r>
    </w:p>
    <w:p w14:paraId="04B5032E">
      <w:pPr>
        <w:snapToGrid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40.</w:t>
      </w:r>
      <w:r>
        <w:rPr>
          <w:rFonts w:hint="eastAsia" w:ascii="宋体"/>
          <w:color w:val="auto"/>
          <w:sz w:val="21"/>
          <w:szCs w:val="21"/>
          <w:highlight w:val="none"/>
          <w:lang w:val="en-US" w:eastAsia="zh-CN"/>
        </w:rPr>
        <w:t>5</w:t>
      </w:r>
      <w:r>
        <w:rPr>
          <w:rFonts w:hint="eastAsia" w:ascii="宋体"/>
          <w:color w:val="auto"/>
          <w:sz w:val="21"/>
          <w:szCs w:val="21"/>
          <w:highlight w:val="none"/>
        </w:rPr>
        <w:t>技术标投标文件有效性审查；</w:t>
      </w:r>
    </w:p>
    <w:p w14:paraId="1A0DFAEF">
      <w:pPr>
        <w:snapToGrid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40.</w:t>
      </w:r>
      <w:r>
        <w:rPr>
          <w:rFonts w:hint="eastAsia" w:ascii="宋体"/>
          <w:color w:val="auto"/>
          <w:sz w:val="21"/>
          <w:szCs w:val="21"/>
          <w:highlight w:val="none"/>
          <w:lang w:val="en-US" w:eastAsia="zh-CN"/>
        </w:rPr>
        <w:t>6</w:t>
      </w:r>
      <w:r>
        <w:rPr>
          <w:rFonts w:hint="eastAsia" w:ascii="宋体"/>
          <w:color w:val="auto"/>
          <w:sz w:val="21"/>
          <w:szCs w:val="21"/>
          <w:highlight w:val="none"/>
        </w:rPr>
        <w:t>技术标详细审查评分；</w:t>
      </w:r>
    </w:p>
    <w:p w14:paraId="08542D46">
      <w:pPr>
        <w:snapToGrid w:val="0"/>
        <w:spacing w:line="360" w:lineRule="auto"/>
        <w:ind w:firstLine="420" w:firstLineChars="200"/>
        <w:rPr>
          <w:rFonts w:hint="default" w:ascii="宋体" w:eastAsia="宋体"/>
          <w:color w:val="auto"/>
          <w:sz w:val="21"/>
          <w:szCs w:val="21"/>
          <w:highlight w:val="none"/>
          <w:lang w:val="en-US" w:eastAsia="zh-CN"/>
        </w:rPr>
      </w:pPr>
      <w:r>
        <w:rPr>
          <w:rFonts w:hint="eastAsia" w:ascii="宋体"/>
          <w:color w:val="auto"/>
          <w:sz w:val="21"/>
          <w:szCs w:val="21"/>
          <w:highlight w:val="none"/>
          <w:lang w:val="en-US" w:eastAsia="zh-CN"/>
        </w:rPr>
        <w:t>40.7经济标的算术校核；</w:t>
      </w:r>
    </w:p>
    <w:p w14:paraId="019EEC89">
      <w:pPr>
        <w:snapToGrid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40.</w:t>
      </w:r>
      <w:r>
        <w:rPr>
          <w:rFonts w:hint="eastAsia" w:ascii="宋体"/>
          <w:color w:val="auto"/>
          <w:sz w:val="21"/>
          <w:szCs w:val="21"/>
          <w:highlight w:val="none"/>
          <w:lang w:val="en-US" w:eastAsia="zh-CN"/>
        </w:rPr>
        <w:t>8</w:t>
      </w:r>
      <w:r>
        <w:rPr>
          <w:rFonts w:hint="eastAsia" w:ascii="宋体"/>
          <w:color w:val="auto"/>
          <w:sz w:val="21"/>
          <w:szCs w:val="21"/>
          <w:highlight w:val="none"/>
        </w:rPr>
        <w:t>经济标详细审查评分；</w:t>
      </w:r>
      <w:r>
        <w:rPr>
          <w:rFonts w:ascii="宋体"/>
          <w:color w:val="auto"/>
          <w:sz w:val="21"/>
          <w:szCs w:val="21"/>
          <w:highlight w:val="none"/>
        </w:rPr>
        <w:t xml:space="preserve"> </w:t>
      </w:r>
    </w:p>
    <w:p w14:paraId="10E25042">
      <w:pPr>
        <w:snapToGrid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40.</w:t>
      </w:r>
      <w:r>
        <w:rPr>
          <w:rFonts w:hint="eastAsia" w:ascii="宋体"/>
          <w:color w:val="auto"/>
          <w:sz w:val="21"/>
          <w:szCs w:val="21"/>
          <w:highlight w:val="none"/>
          <w:lang w:val="en-US" w:eastAsia="zh-CN"/>
        </w:rPr>
        <w:t>9</w:t>
      </w:r>
      <w:r>
        <w:rPr>
          <w:rFonts w:hint="eastAsia" w:ascii="宋体"/>
          <w:color w:val="auto"/>
          <w:sz w:val="21"/>
          <w:szCs w:val="21"/>
          <w:highlight w:val="none"/>
        </w:rPr>
        <w:t>评标委员会按照投标人总得分由高至低排序；</w:t>
      </w:r>
    </w:p>
    <w:p w14:paraId="75E279D4">
      <w:pPr>
        <w:snapToGrid w:val="0"/>
        <w:spacing w:line="360" w:lineRule="auto"/>
        <w:ind w:firstLine="420" w:firstLineChars="200"/>
        <w:rPr>
          <w:rFonts w:ascii="宋体"/>
          <w:color w:val="auto"/>
          <w:sz w:val="21"/>
          <w:szCs w:val="21"/>
          <w:highlight w:val="none"/>
        </w:rPr>
      </w:pPr>
      <w:r>
        <w:rPr>
          <w:rFonts w:hint="eastAsia" w:ascii="宋体"/>
          <w:color w:val="auto"/>
          <w:sz w:val="21"/>
          <w:szCs w:val="21"/>
          <w:highlight w:val="none"/>
        </w:rPr>
        <w:t>40.</w:t>
      </w:r>
      <w:r>
        <w:rPr>
          <w:rFonts w:hint="eastAsia" w:ascii="宋体"/>
          <w:color w:val="auto"/>
          <w:sz w:val="21"/>
          <w:szCs w:val="21"/>
          <w:highlight w:val="none"/>
          <w:lang w:val="en-US" w:eastAsia="zh-CN"/>
        </w:rPr>
        <w:t>10</w:t>
      </w:r>
      <w:r>
        <w:rPr>
          <w:rFonts w:hint="eastAsia" w:ascii="宋体"/>
          <w:color w:val="auto"/>
          <w:sz w:val="21"/>
          <w:szCs w:val="21"/>
          <w:highlight w:val="none"/>
        </w:rPr>
        <w:t>经济标投标文件有效性审查；</w:t>
      </w:r>
    </w:p>
    <w:p w14:paraId="7E00B448">
      <w:pPr>
        <w:pBdr>
          <w:bottom w:val="single" w:color="auto" w:sz="6" w:space="1"/>
        </w:pBdr>
        <w:spacing w:line="360" w:lineRule="auto"/>
        <w:ind w:firstLine="472" w:firstLineChars="224"/>
        <w:rPr>
          <w:rFonts w:hint="eastAsia" w:ascii="宋体" w:hAnsi="Calibri" w:cs="Times New Roman"/>
          <w:b/>
          <w:bCs/>
          <w:color w:val="auto"/>
          <w:szCs w:val="21"/>
          <w:highlight w:val="none"/>
          <w:u w:val="single"/>
        </w:rPr>
      </w:pPr>
      <w:r>
        <w:rPr>
          <w:rFonts w:hint="eastAsia" w:ascii="宋体" w:hAnsi="Calibri"/>
          <w:b/>
          <w:bCs/>
          <w:color w:val="auto"/>
          <w:szCs w:val="21"/>
          <w:highlight w:val="none"/>
          <w:u w:val="single"/>
        </w:rPr>
        <w:t>40.</w:t>
      </w:r>
      <w:r>
        <w:rPr>
          <w:rFonts w:hint="eastAsia" w:ascii="宋体" w:hAnsi="Calibri"/>
          <w:b/>
          <w:bCs/>
          <w:color w:val="auto"/>
          <w:szCs w:val="21"/>
          <w:highlight w:val="none"/>
          <w:u w:val="single"/>
          <w:lang w:val="en-US" w:eastAsia="zh-CN"/>
        </w:rPr>
        <w:t>11</w:t>
      </w:r>
      <w:r>
        <w:rPr>
          <w:rFonts w:hint="eastAsia" w:ascii="宋体" w:hAnsi="Calibri"/>
          <w:b/>
          <w:bCs/>
          <w:color w:val="auto"/>
          <w:szCs w:val="21"/>
          <w:highlight w:val="none"/>
          <w:u w:val="single"/>
        </w:rPr>
        <w:t>评标委员会对满足招标文件实质性要求的投标文件，按照本章规定的评分标准进行打分。评标委员会按综合得分从高到低进行排序（综合得分相同的则名次并列占用名次），推荐排序位于前</w:t>
      </w:r>
      <w:r>
        <w:rPr>
          <w:rFonts w:hint="eastAsia" w:ascii="宋体" w:hAnsi="Calibri"/>
          <w:b/>
          <w:bCs/>
          <w:color w:val="auto"/>
          <w:szCs w:val="21"/>
          <w:highlight w:val="none"/>
          <w:u w:val="single"/>
          <w:lang w:val="en-US" w:eastAsia="zh-CN"/>
        </w:rPr>
        <w:t>10</w:t>
      </w:r>
      <w:r>
        <w:rPr>
          <w:rFonts w:hint="eastAsia" w:ascii="宋体" w:hAnsi="Calibri"/>
          <w:b/>
          <w:bCs/>
          <w:color w:val="auto"/>
          <w:szCs w:val="21"/>
          <w:highlight w:val="none"/>
          <w:u w:val="single"/>
        </w:rPr>
        <w:t>名次不排序的入围定标阶段的候选人进入定标阶段（若前</w:t>
      </w:r>
      <w:r>
        <w:rPr>
          <w:rFonts w:hint="eastAsia" w:ascii="宋体" w:hAnsi="Calibri"/>
          <w:b/>
          <w:bCs/>
          <w:color w:val="auto"/>
          <w:szCs w:val="21"/>
          <w:highlight w:val="none"/>
          <w:u w:val="single"/>
          <w:lang w:val="en-US" w:eastAsia="zh-CN"/>
        </w:rPr>
        <w:t>10</w:t>
      </w:r>
      <w:r>
        <w:rPr>
          <w:rFonts w:hint="eastAsia" w:ascii="宋体" w:hAnsi="Calibri"/>
          <w:b/>
          <w:bCs/>
          <w:color w:val="auto"/>
          <w:szCs w:val="21"/>
          <w:highlight w:val="none"/>
          <w:u w:val="single"/>
        </w:rPr>
        <w:t>名次的候选人中存在综合得分相同的，则综合得分相同的所有前</w:t>
      </w:r>
      <w:r>
        <w:rPr>
          <w:rFonts w:hint="eastAsia" w:ascii="宋体" w:hAnsi="Calibri"/>
          <w:b/>
          <w:bCs/>
          <w:color w:val="auto"/>
          <w:szCs w:val="21"/>
          <w:highlight w:val="none"/>
          <w:u w:val="single"/>
          <w:lang w:val="en-US" w:eastAsia="zh-CN"/>
        </w:rPr>
        <w:t>10</w:t>
      </w:r>
      <w:r>
        <w:rPr>
          <w:rFonts w:hint="eastAsia" w:ascii="宋体" w:hAnsi="Calibri"/>
          <w:b/>
          <w:bCs/>
          <w:color w:val="auto"/>
          <w:szCs w:val="21"/>
          <w:highlight w:val="none"/>
          <w:u w:val="single"/>
        </w:rPr>
        <w:t>名次的候选人均进入定标阶段，若前</w:t>
      </w:r>
      <w:r>
        <w:rPr>
          <w:rFonts w:hint="eastAsia" w:ascii="宋体" w:hAnsi="Calibri"/>
          <w:b/>
          <w:bCs/>
          <w:color w:val="auto"/>
          <w:szCs w:val="21"/>
          <w:highlight w:val="none"/>
          <w:u w:val="single"/>
          <w:lang w:val="en-US" w:eastAsia="zh-CN"/>
        </w:rPr>
        <w:t>10</w:t>
      </w:r>
      <w:r>
        <w:rPr>
          <w:rFonts w:hint="eastAsia" w:ascii="宋体" w:hAnsi="Calibri"/>
          <w:b/>
          <w:bCs/>
          <w:color w:val="auto"/>
          <w:szCs w:val="21"/>
          <w:highlight w:val="none"/>
          <w:u w:val="single"/>
        </w:rPr>
        <w:t>名次的家数大于等于3家且小于等于</w:t>
      </w:r>
      <w:r>
        <w:rPr>
          <w:rFonts w:hint="eastAsia" w:ascii="宋体" w:hAnsi="Calibri"/>
          <w:b/>
          <w:bCs/>
          <w:color w:val="auto"/>
          <w:szCs w:val="21"/>
          <w:highlight w:val="none"/>
          <w:u w:val="single"/>
          <w:lang w:val="en-US" w:eastAsia="zh-CN"/>
        </w:rPr>
        <w:t>10</w:t>
      </w:r>
      <w:r>
        <w:rPr>
          <w:rFonts w:hint="eastAsia" w:ascii="宋体" w:hAnsi="Calibri"/>
          <w:b/>
          <w:bCs/>
          <w:color w:val="auto"/>
          <w:szCs w:val="21"/>
          <w:highlight w:val="none"/>
          <w:u w:val="single"/>
        </w:rPr>
        <w:t>家的，则取全部候选人进入定标阶段）。</w:t>
      </w:r>
    </w:p>
    <w:p w14:paraId="45C3117A">
      <w:pPr>
        <w:pBdr>
          <w:bottom w:val="single" w:color="auto" w:sz="6" w:space="1"/>
        </w:pBdr>
        <w:spacing w:line="360" w:lineRule="auto"/>
        <w:ind w:firstLine="472" w:firstLineChars="224"/>
        <w:rPr>
          <w:rFonts w:hint="eastAsia" w:ascii="宋体" w:hAnsi="宋体" w:cs="宋体"/>
          <w:color w:val="auto"/>
          <w:sz w:val="21"/>
          <w:szCs w:val="21"/>
          <w:highlight w:val="none"/>
        </w:rPr>
      </w:pPr>
      <w:r>
        <w:rPr>
          <w:rFonts w:hint="eastAsia" w:ascii="宋体"/>
          <w:b/>
          <w:bCs/>
          <w:color w:val="auto"/>
          <w:sz w:val="21"/>
          <w:szCs w:val="21"/>
          <w:highlight w:val="none"/>
          <w:u w:val="single"/>
        </w:rPr>
        <w:t>候选人入围定标阶段后将按其统一社会信用代码后4 位（除校验码外）大小排位，不排序，如统一社会信用代码后4位出现字母情况的，字母以“0”进行代替大小排位；如出现后4位（除校验码外）大小一致的，则随机排位。若为联合体投标，指联合体主办方。向招标人推荐</w:t>
      </w:r>
      <w:r>
        <w:rPr>
          <w:rFonts w:hint="eastAsia" w:ascii="宋体"/>
          <w:b/>
          <w:bCs/>
          <w:color w:val="auto"/>
          <w:sz w:val="21"/>
          <w:szCs w:val="21"/>
          <w:highlight w:val="none"/>
          <w:u w:val="single"/>
          <w:lang w:val="en-US" w:eastAsia="zh-CN"/>
        </w:rPr>
        <w:t>合格的</w:t>
      </w:r>
      <w:r>
        <w:rPr>
          <w:rFonts w:hint="eastAsia" w:ascii="宋体"/>
          <w:b/>
          <w:bCs/>
          <w:color w:val="auto"/>
          <w:sz w:val="21"/>
          <w:szCs w:val="21"/>
          <w:highlight w:val="none"/>
          <w:u w:val="single"/>
        </w:rPr>
        <w:t>中标候选人名单，并递交资格审查报告及评标报告。</w:t>
      </w:r>
    </w:p>
    <w:p w14:paraId="6D700D82">
      <w:pPr>
        <w:pStyle w:val="9"/>
        <w:ind w:firstLine="422" w:firstLineChars="200"/>
        <w:rPr>
          <w:rFonts w:ascii="宋体" w:hAnsi="宋体" w:cs="宋体"/>
          <w:b/>
          <w:szCs w:val="21"/>
          <w:highlight w:val="none"/>
        </w:rPr>
      </w:pPr>
      <w:r>
        <w:rPr>
          <w:rFonts w:hint="eastAsia" w:ascii="宋体" w:hAnsi="宋体" w:cs="宋体"/>
          <w:b/>
          <w:szCs w:val="21"/>
          <w:highlight w:val="none"/>
        </w:rPr>
        <w:t>条款号：41.1                        修改类型：修改</w:t>
      </w:r>
    </w:p>
    <w:p w14:paraId="0EF1FE43">
      <w:pPr>
        <w:spacing w:line="360" w:lineRule="auto"/>
        <w:ind w:firstLine="422" w:firstLineChars="200"/>
        <w:rPr>
          <w:rFonts w:ascii="宋体" w:hAnsi="宋体" w:cs="宋体"/>
          <w:szCs w:val="21"/>
          <w:highlight w:val="none"/>
        </w:rPr>
      </w:pPr>
      <w:r>
        <w:rPr>
          <w:rFonts w:hint="eastAsia" w:ascii="宋体" w:hAnsi="宋体" w:cs="宋体"/>
          <w:b/>
          <w:szCs w:val="21"/>
          <w:highlight w:val="none"/>
        </w:rPr>
        <w:t>原文：</w:t>
      </w:r>
      <w:r>
        <w:rPr>
          <w:rFonts w:hint="eastAsia" w:ascii="宋体" w:hAnsi="宋体" w:cs="宋体"/>
          <w:szCs w:val="21"/>
          <w:highlight w:val="none"/>
        </w:rPr>
        <w:t>41.1开标由招标人主持；</w:t>
      </w:r>
    </w:p>
    <w:p w14:paraId="32E9457B">
      <w:pPr>
        <w:pBdr>
          <w:bottom w:val="single" w:color="auto" w:sz="6" w:space="1"/>
        </w:pBdr>
        <w:spacing w:line="360" w:lineRule="auto"/>
        <w:ind w:firstLine="422" w:firstLineChars="200"/>
        <w:rPr>
          <w:rFonts w:ascii="宋体" w:hAnsi="宋体" w:cs="宋体"/>
          <w:b/>
          <w:szCs w:val="21"/>
          <w:highlight w:val="none"/>
        </w:rPr>
      </w:pPr>
      <w:r>
        <w:rPr>
          <w:rFonts w:hint="eastAsia" w:ascii="宋体" w:hAnsi="宋体" w:cs="宋体"/>
          <w:b/>
          <w:szCs w:val="21"/>
          <w:highlight w:val="none"/>
        </w:rPr>
        <w:t>现文：</w:t>
      </w:r>
      <w:r>
        <w:rPr>
          <w:rFonts w:hint="eastAsia" w:ascii="宋体" w:hAnsi="宋体" w:cs="宋体"/>
          <w:szCs w:val="21"/>
          <w:highlight w:val="none"/>
        </w:rPr>
        <w:t>41.1开标由招标人</w:t>
      </w:r>
      <w:r>
        <w:rPr>
          <w:rFonts w:hint="eastAsia" w:ascii="宋体" w:hAnsi="宋体" w:cs="宋体"/>
          <w:b/>
          <w:bCs/>
          <w:szCs w:val="21"/>
          <w:highlight w:val="none"/>
          <w:u w:val="single"/>
        </w:rPr>
        <w:t>或招标代理</w:t>
      </w:r>
      <w:r>
        <w:rPr>
          <w:rFonts w:hint="eastAsia" w:ascii="宋体" w:hAnsi="宋体" w:cs="宋体"/>
          <w:szCs w:val="21"/>
          <w:highlight w:val="none"/>
        </w:rPr>
        <w:t>主持；</w:t>
      </w:r>
    </w:p>
    <w:p w14:paraId="2E057171">
      <w:pPr>
        <w:pBdr>
          <w:bottom w:val="none" w:color="auto" w:sz="0" w:space="1"/>
        </w:pBdr>
        <w:spacing w:line="480" w:lineRule="auto"/>
        <w:ind w:firstLine="472" w:firstLineChars="224"/>
        <w:rPr>
          <w:rFonts w:ascii="宋体" w:hAnsi="宋体" w:cs="宋体"/>
          <w:strike/>
          <w:szCs w:val="21"/>
          <w:highlight w:val="none"/>
        </w:rPr>
      </w:pPr>
      <w:r>
        <w:rPr>
          <w:rFonts w:hint="eastAsia" w:ascii="宋体" w:hAnsi="宋体" w:cs="宋体"/>
          <w:b/>
          <w:szCs w:val="21"/>
          <w:highlight w:val="none"/>
        </w:rPr>
        <w:t>条款号：41.2.1                        修改类型： 修改</w:t>
      </w:r>
    </w:p>
    <w:p w14:paraId="7C376CFC">
      <w:pPr>
        <w:pBdr>
          <w:bottom w:val="single" w:color="auto" w:sz="4" w:space="1"/>
        </w:pBdr>
        <w:snapToGrid w:val="0"/>
        <w:spacing w:line="360" w:lineRule="auto"/>
        <w:ind w:firstLine="422" w:firstLineChars="200"/>
        <w:rPr>
          <w:rFonts w:ascii="宋体" w:hAnsi="宋体" w:cs="宋体"/>
          <w:szCs w:val="21"/>
          <w:highlight w:val="none"/>
        </w:rPr>
      </w:pPr>
      <w:r>
        <w:rPr>
          <w:rFonts w:hint="eastAsia" w:ascii="宋体" w:hAnsi="宋体" w:cs="宋体"/>
          <w:b/>
          <w:bCs/>
          <w:szCs w:val="21"/>
          <w:highlight w:val="none"/>
        </w:rPr>
        <w:t>原文：</w:t>
      </w:r>
      <w:r>
        <w:rPr>
          <w:rFonts w:hint="eastAsia" w:ascii="宋体" w:hAnsi="宋体" w:cs="宋体"/>
          <w:szCs w:val="21"/>
          <w:highlight w:val="none"/>
        </w:rPr>
        <w:t>41.2.1投标截止期前，各投标人递交投标文件（包括技术标投标文件、经济标投标文件）至</w:t>
      </w:r>
      <w:r>
        <w:rPr>
          <w:rFonts w:hint="eastAsia" w:ascii="宋体" w:hAnsi="宋体" w:cs="宋体"/>
          <w:szCs w:val="21"/>
          <w:highlight w:val="none"/>
          <w:u w:val="single"/>
        </w:rPr>
        <w:t xml:space="preserve">        </w:t>
      </w:r>
      <w:r>
        <w:rPr>
          <w:rFonts w:hint="eastAsia" w:ascii="宋体" w:hAnsi="宋体" w:cs="宋体"/>
          <w:szCs w:val="21"/>
          <w:highlight w:val="none"/>
        </w:rPr>
        <w:t>交易平台。有关投标文件提交的事项详见第一章投标须知。</w:t>
      </w:r>
    </w:p>
    <w:p w14:paraId="5BB2AB42">
      <w:pPr>
        <w:pBdr>
          <w:bottom w:val="single" w:color="auto" w:sz="4" w:space="1"/>
        </w:pBdr>
        <w:snapToGrid w:val="0"/>
        <w:spacing w:line="360" w:lineRule="auto"/>
        <w:ind w:firstLine="422" w:firstLineChars="200"/>
        <w:rPr>
          <w:rFonts w:ascii="宋体" w:hAnsi="宋体" w:cs="宋体"/>
          <w:szCs w:val="21"/>
          <w:highlight w:val="none"/>
        </w:rPr>
      </w:pPr>
      <w:r>
        <w:rPr>
          <w:rFonts w:hint="eastAsia" w:ascii="宋体" w:hAnsi="宋体" w:cs="宋体"/>
          <w:b/>
          <w:bCs/>
          <w:szCs w:val="21"/>
          <w:highlight w:val="none"/>
        </w:rPr>
        <w:t>现文：</w:t>
      </w:r>
      <w:r>
        <w:rPr>
          <w:rFonts w:hint="eastAsia" w:ascii="宋体" w:hAnsi="宋体" w:cs="宋体"/>
          <w:szCs w:val="21"/>
          <w:highlight w:val="none"/>
        </w:rPr>
        <w:t>41.2.1投标截止期前，各投标人递交投标文件（包括技术标投标文件、经济标投标文件</w:t>
      </w:r>
      <w:r>
        <w:rPr>
          <w:rFonts w:hint="eastAsia" w:ascii="宋体" w:hAnsi="宋体" w:cs="宋体"/>
          <w:b/>
          <w:bCs/>
          <w:szCs w:val="21"/>
          <w:highlight w:val="none"/>
          <w:u w:val="single"/>
        </w:rPr>
        <w:t>和定标文件</w:t>
      </w:r>
      <w:r>
        <w:rPr>
          <w:rFonts w:hint="eastAsia" w:ascii="宋体" w:hAnsi="宋体" w:cs="宋体"/>
          <w:szCs w:val="21"/>
          <w:highlight w:val="none"/>
        </w:rPr>
        <w:t>）至</w:t>
      </w:r>
      <w:r>
        <w:rPr>
          <w:rFonts w:hint="eastAsia" w:ascii="宋体" w:hAnsi="宋体" w:cs="宋体"/>
          <w:b/>
          <w:bCs/>
          <w:szCs w:val="21"/>
          <w:highlight w:val="none"/>
          <w:u w:val="single"/>
        </w:rPr>
        <w:t>广州交易集团有限公司（广州公共资源交易中心）</w:t>
      </w:r>
      <w:r>
        <w:rPr>
          <w:rFonts w:hint="eastAsia" w:ascii="宋体" w:hAnsi="宋体" w:cs="宋体"/>
          <w:szCs w:val="21"/>
          <w:highlight w:val="none"/>
        </w:rPr>
        <w:t xml:space="preserve">交易平台。有关投标文件提交的事项详见第一章投标须知。 </w:t>
      </w:r>
    </w:p>
    <w:p w14:paraId="38CDB389">
      <w:pPr>
        <w:spacing w:line="360" w:lineRule="auto"/>
        <w:ind w:firstLine="424" w:firstLineChars="201"/>
        <w:rPr>
          <w:rFonts w:ascii="宋体" w:hAnsi="宋体" w:cs="宋体"/>
          <w:szCs w:val="21"/>
          <w:highlight w:val="none"/>
        </w:rPr>
      </w:pPr>
      <w:r>
        <w:rPr>
          <w:rFonts w:hint="eastAsia" w:ascii="宋体" w:hAnsi="宋体" w:cs="宋体"/>
          <w:b/>
          <w:szCs w:val="21"/>
          <w:highlight w:val="none"/>
        </w:rPr>
        <w:t>条款号：41.2.3.1     　               修改类型：修改</w:t>
      </w:r>
    </w:p>
    <w:p w14:paraId="63A56AE5">
      <w:pPr>
        <w:pBdr>
          <w:bottom w:val="single" w:color="auto" w:sz="6" w:space="1"/>
        </w:pBdr>
        <w:snapToGrid/>
        <w:spacing w:line="360" w:lineRule="auto"/>
        <w:ind w:firstLine="424" w:firstLineChars="201"/>
        <w:rPr>
          <w:rFonts w:hint="eastAsia" w:ascii="宋体" w:hAnsi="宋体" w:cs="宋体"/>
          <w:szCs w:val="21"/>
          <w:highlight w:val="none"/>
        </w:rPr>
      </w:pPr>
      <w:r>
        <w:rPr>
          <w:rFonts w:hint="eastAsia" w:ascii="宋体" w:hAnsi="宋体" w:cs="宋体"/>
          <w:b/>
          <w:bCs/>
          <w:szCs w:val="21"/>
          <w:highlight w:val="none"/>
        </w:rPr>
        <w:t>原文：</w:t>
      </w:r>
      <w:r>
        <w:rPr>
          <w:rFonts w:hint="eastAsia" w:ascii="宋体" w:hAnsi="宋体" w:cs="宋体"/>
          <w:b w:val="0"/>
          <w:bCs w:val="0"/>
          <w:szCs w:val="21"/>
          <w:highlight w:val="none"/>
        </w:rPr>
        <w:t>41.2.3.1开标时，公布：a、投标人名称；b、投标文件递交情况c、投标文件解密情况；d、法定代表人证明及授权委托；e、投标保证金；f、项目经理（负责人）名称；f、投标报价等主要内容及开标记录表中的其他必要内容。投标报价以数字和文字两种方式表述的，应公布文字表述的投标报价。</w:t>
      </w:r>
    </w:p>
    <w:p w14:paraId="40C6478E">
      <w:pPr>
        <w:pBdr>
          <w:bottom w:val="single" w:color="auto" w:sz="6" w:space="1"/>
        </w:pBdr>
        <w:snapToGrid/>
        <w:spacing w:line="360" w:lineRule="auto"/>
        <w:ind w:firstLine="424" w:firstLineChars="201"/>
        <w:rPr>
          <w:rFonts w:hint="eastAsia" w:ascii="宋体" w:hAnsi="宋体"/>
          <w:b/>
          <w:color w:val="auto"/>
          <w:szCs w:val="21"/>
          <w:highlight w:val="none"/>
        </w:rPr>
      </w:pPr>
      <w:r>
        <w:rPr>
          <w:rFonts w:hint="eastAsia" w:ascii="宋体" w:hAnsi="宋体" w:cs="宋体"/>
          <w:b/>
          <w:szCs w:val="21"/>
          <w:highlight w:val="none"/>
        </w:rPr>
        <w:t>现文：</w:t>
      </w:r>
      <w:r>
        <w:rPr>
          <w:rFonts w:hint="eastAsia" w:ascii="宋体" w:hAnsi="宋体" w:cs="宋体"/>
          <w:b w:val="0"/>
          <w:bCs w:val="0"/>
          <w:szCs w:val="21"/>
          <w:highlight w:val="none"/>
        </w:rPr>
        <w:t>41.2.3.1开标时，公布：a、投标人名称；b、投标文件递交情况c、投标文件解密情况；d、法定代表人证明及授权委托；</w:t>
      </w:r>
      <w:r>
        <w:rPr>
          <w:rFonts w:hint="eastAsia" w:ascii="宋体" w:hAnsi="宋体" w:cs="宋体"/>
          <w:b/>
          <w:bCs/>
          <w:strike/>
          <w:szCs w:val="21"/>
          <w:highlight w:val="none"/>
          <w:u w:val="single"/>
        </w:rPr>
        <w:t>e、投标保证金；</w:t>
      </w:r>
      <w:r>
        <w:rPr>
          <w:rFonts w:hint="eastAsia" w:ascii="宋体" w:hAnsi="宋体" w:cs="宋体"/>
          <w:b w:val="0"/>
          <w:bCs w:val="0"/>
          <w:szCs w:val="21"/>
          <w:highlight w:val="none"/>
        </w:rPr>
        <w:t>f、项目经理（负责人）名称；f、投标报价等主要内容及开标记录表中的其他必要内容。投标报价以数字和文字两种方式表述的，应公布文字表述的投标报价。</w:t>
      </w:r>
    </w:p>
    <w:p w14:paraId="217C57CE">
      <w:pPr>
        <w:spacing w:before="0" w:beforeLines="0" w:line="360" w:lineRule="auto"/>
        <w:ind w:firstLine="527" w:firstLineChars="250"/>
        <w:rPr>
          <w:rFonts w:ascii="宋体" w:hAnsi="宋体" w:cs="宋体"/>
          <w:b/>
          <w:szCs w:val="21"/>
          <w:highlight w:val="none"/>
        </w:rPr>
      </w:pPr>
      <w:r>
        <w:rPr>
          <w:rFonts w:hint="eastAsia" w:ascii="宋体" w:hAnsi="宋体" w:cs="宋体"/>
          <w:b/>
          <w:szCs w:val="21"/>
          <w:highlight w:val="none"/>
        </w:rPr>
        <w:t>条款号：42.1                       修改类型：修改</w:t>
      </w:r>
    </w:p>
    <w:p w14:paraId="6648DBC7">
      <w:pPr>
        <w:spacing w:line="360" w:lineRule="auto"/>
        <w:ind w:firstLine="422" w:firstLineChars="200"/>
        <w:rPr>
          <w:rFonts w:hint="eastAsia" w:ascii="宋体" w:hAnsi="宋体" w:cs="宋体"/>
          <w:szCs w:val="21"/>
          <w:highlight w:val="none"/>
        </w:rPr>
      </w:pPr>
      <w:r>
        <w:rPr>
          <w:rFonts w:hint="eastAsia" w:ascii="宋体" w:hAnsi="宋体" w:cs="宋体"/>
          <w:b/>
          <w:szCs w:val="21"/>
          <w:highlight w:val="none"/>
        </w:rPr>
        <w:t>原文：</w:t>
      </w:r>
      <w:r>
        <w:rPr>
          <w:rFonts w:hint="eastAsia" w:ascii="宋体" w:hAnsi="宋体" w:cs="宋体"/>
          <w:szCs w:val="21"/>
          <w:highlight w:val="none"/>
        </w:rPr>
        <w:t>42.1评标委员会的组成：方式</w:t>
      </w:r>
      <w:r>
        <w:rPr>
          <w:rFonts w:hint="eastAsia" w:ascii="宋体" w:hAnsi="宋体" w:cs="宋体"/>
          <w:szCs w:val="21"/>
          <w:highlight w:val="none"/>
          <w:u w:val="single"/>
        </w:rPr>
        <w:t xml:space="preserve">      </w:t>
      </w:r>
      <w:r>
        <w:rPr>
          <w:rFonts w:hint="eastAsia" w:ascii="宋体" w:hAnsi="宋体" w:cs="宋体"/>
          <w:szCs w:val="21"/>
          <w:highlight w:val="none"/>
        </w:rPr>
        <w:t>。</w:t>
      </w:r>
    </w:p>
    <w:p w14:paraId="34D37175">
      <w:pPr>
        <w:spacing w:line="360" w:lineRule="auto"/>
        <w:ind w:firstLine="420" w:firstLineChars="200"/>
        <w:rPr>
          <w:rFonts w:hint="eastAsia" w:ascii="宋体" w:hAnsi="宋体" w:cs="宋体"/>
          <w:szCs w:val="21"/>
          <w:highlight w:val="none"/>
        </w:rPr>
      </w:pPr>
      <w:r>
        <w:rPr>
          <w:rFonts w:hint="eastAsia" w:ascii="宋体" w:hAnsi="宋体" w:cs="宋体"/>
          <w:szCs w:val="21"/>
          <w:highlight w:val="none"/>
        </w:rPr>
        <w:t>方式一：评标委员会为综合评标委员会，负责评标工作。</w:t>
      </w:r>
    </w:p>
    <w:p w14:paraId="24E7E5F2">
      <w:pPr>
        <w:spacing w:line="360" w:lineRule="auto"/>
        <w:ind w:firstLine="420" w:firstLineChars="200"/>
        <w:rPr>
          <w:rFonts w:ascii="宋体" w:hAnsi="宋体" w:cs="宋体"/>
          <w:b/>
          <w:szCs w:val="21"/>
          <w:highlight w:val="none"/>
        </w:rPr>
      </w:pPr>
      <w:r>
        <w:rPr>
          <w:rFonts w:hint="eastAsia" w:ascii="宋体" w:hAnsi="宋体" w:cs="宋体"/>
          <w:szCs w:val="21"/>
          <w:highlight w:val="none"/>
        </w:rPr>
        <w:t>方式二：评标委员会由技术评审组和经济评审组组成。其中：资格审查、技术评审由技术评标组负责，经济评审由经济评审组负责</w:t>
      </w:r>
    </w:p>
    <w:p w14:paraId="25EB7447">
      <w:pPr>
        <w:pBdr>
          <w:bottom w:val="single" w:color="auto" w:sz="6" w:space="1"/>
        </w:pBdr>
        <w:spacing w:line="360" w:lineRule="auto"/>
        <w:ind w:firstLine="527" w:firstLineChars="250"/>
        <w:rPr>
          <w:rFonts w:ascii="宋体" w:hAnsi="宋体" w:cs="宋体"/>
          <w:szCs w:val="21"/>
          <w:highlight w:val="none"/>
        </w:rPr>
      </w:pPr>
      <w:r>
        <w:rPr>
          <w:rFonts w:hint="eastAsia" w:ascii="宋体" w:hAnsi="宋体" w:cs="宋体"/>
          <w:b/>
          <w:szCs w:val="21"/>
          <w:highlight w:val="none"/>
        </w:rPr>
        <w:t>现文：</w:t>
      </w:r>
      <w:r>
        <w:rPr>
          <w:rFonts w:hint="eastAsia" w:ascii="宋体" w:hAnsi="宋体" w:cs="宋体"/>
          <w:szCs w:val="21"/>
          <w:highlight w:val="none"/>
        </w:rPr>
        <w:t>42.1评标委员会的组成：</w:t>
      </w:r>
      <w:r>
        <w:rPr>
          <w:rFonts w:hint="eastAsia" w:ascii="宋体" w:hAnsi="宋体" w:cs="宋体"/>
          <w:b/>
          <w:bCs/>
          <w:szCs w:val="21"/>
          <w:highlight w:val="none"/>
        </w:rPr>
        <w:t>方式</w:t>
      </w:r>
      <w:r>
        <w:rPr>
          <w:rFonts w:hint="eastAsia" w:ascii="宋体" w:hAnsi="宋体" w:cs="宋体"/>
          <w:b/>
          <w:bCs/>
          <w:szCs w:val="21"/>
          <w:highlight w:val="none"/>
          <w:u w:val="single"/>
        </w:rPr>
        <w:t xml:space="preserve">  一  </w:t>
      </w:r>
      <w:r>
        <w:rPr>
          <w:rFonts w:hint="eastAsia" w:ascii="宋体" w:hAnsi="宋体" w:cs="宋体"/>
          <w:szCs w:val="21"/>
          <w:highlight w:val="none"/>
        </w:rPr>
        <w:t>。</w:t>
      </w:r>
    </w:p>
    <w:p w14:paraId="337DC0D4">
      <w:pPr>
        <w:pBdr>
          <w:bottom w:val="single" w:color="auto" w:sz="6" w:space="1"/>
        </w:pBdr>
        <w:spacing w:line="360" w:lineRule="auto"/>
        <w:ind w:firstLine="525" w:firstLineChars="250"/>
        <w:rPr>
          <w:rFonts w:ascii="宋体" w:hAnsi="宋体" w:cs="宋体"/>
          <w:szCs w:val="21"/>
          <w:highlight w:val="none"/>
        </w:rPr>
      </w:pPr>
      <w:r>
        <w:rPr>
          <w:rFonts w:hint="eastAsia" w:ascii="宋体" w:hAnsi="宋体" w:cs="宋体"/>
          <w:szCs w:val="21"/>
          <w:highlight w:val="none"/>
        </w:rPr>
        <w:t>方式一：评标委员会为综合评标委员会，负责</w:t>
      </w:r>
      <w:r>
        <w:rPr>
          <w:rFonts w:hint="eastAsia" w:ascii="宋体" w:hAnsi="宋体" w:cs="宋体"/>
          <w:b/>
          <w:bCs/>
          <w:szCs w:val="21"/>
          <w:highlight w:val="none"/>
          <w:u w:val="single"/>
        </w:rPr>
        <w:t>资格审查及</w:t>
      </w:r>
      <w:r>
        <w:rPr>
          <w:rFonts w:hint="eastAsia" w:ascii="宋体" w:hAnsi="宋体" w:cs="宋体"/>
          <w:szCs w:val="21"/>
          <w:highlight w:val="none"/>
        </w:rPr>
        <w:t>评标工作。</w:t>
      </w:r>
    </w:p>
    <w:p w14:paraId="26C31EA8">
      <w:pPr>
        <w:snapToGrid w:val="0"/>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条款号：4</w:t>
      </w:r>
      <w:r>
        <w:rPr>
          <w:rFonts w:hint="eastAsia" w:ascii="宋体" w:hAnsi="宋体" w:cs="宋体"/>
          <w:b/>
          <w:color w:val="auto"/>
          <w:szCs w:val="21"/>
          <w:highlight w:val="none"/>
          <w:lang w:val="en-US" w:eastAsia="zh-CN"/>
        </w:rPr>
        <w:t>6.2-46.4</w:t>
      </w:r>
      <w:r>
        <w:rPr>
          <w:rFonts w:hint="eastAsia" w:ascii="宋体" w:hAnsi="宋体" w:cs="宋体"/>
          <w:color w:val="auto"/>
          <w:sz w:val="24"/>
          <w:szCs w:val="24"/>
          <w:highlight w:val="none"/>
        </w:rPr>
        <w:t xml:space="preserve">                 </w:t>
      </w:r>
      <w:r>
        <w:rPr>
          <w:rFonts w:hint="eastAsia" w:ascii="宋体" w:hAnsi="宋体" w:cs="宋体"/>
          <w:b/>
          <w:color w:val="auto"/>
          <w:szCs w:val="21"/>
          <w:highlight w:val="none"/>
        </w:rPr>
        <w:t xml:space="preserve"> 修改类型：修改</w:t>
      </w:r>
    </w:p>
    <w:p w14:paraId="01CCCE20">
      <w:pPr>
        <w:pStyle w:val="4"/>
        <w:tabs>
          <w:tab w:val="left" w:pos="7380"/>
        </w:tabs>
        <w:snapToGrid w:val="0"/>
        <w:spacing w:after="0" w:line="360" w:lineRule="auto"/>
        <w:ind w:firstLine="422" w:firstLineChars="200"/>
        <w:rPr>
          <w:rFonts w:hint="eastAsia" w:ascii="宋体" w:hAnsi="宋体" w:cs="宋体"/>
          <w:color w:val="auto"/>
          <w:sz w:val="21"/>
          <w:szCs w:val="21"/>
          <w:highlight w:val="none"/>
        </w:rPr>
      </w:pPr>
      <w:r>
        <w:rPr>
          <w:rFonts w:hint="eastAsia" w:ascii="宋体" w:hAnsi="宋体" w:cs="宋体"/>
          <w:b/>
          <w:bCs/>
          <w:color w:val="auto"/>
          <w:sz w:val="21"/>
          <w:szCs w:val="21"/>
          <w:highlight w:val="none"/>
          <w:lang w:eastAsia="zh-CN"/>
        </w:rPr>
        <w:t>原文：</w:t>
      </w:r>
      <w:r>
        <w:rPr>
          <w:rFonts w:hint="eastAsia" w:ascii="宋体" w:hAnsi="宋体" w:cs="宋体"/>
          <w:color w:val="auto"/>
          <w:sz w:val="21"/>
          <w:szCs w:val="21"/>
          <w:highlight w:val="none"/>
        </w:rPr>
        <w:t>4</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按</w:t>
      </w:r>
      <w:r>
        <w:rPr>
          <w:rFonts w:hint="eastAsia" w:ascii="宋体" w:hAnsi="宋体" w:cs="宋体"/>
          <w:color w:val="auto"/>
          <w:sz w:val="21"/>
          <w:szCs w:val="21"/>
          <w:highlight w:val="none"/>
          <w:lang w:eastAsia="zh-CN"/>
        </w:rPr>
        <w:t>以下</w:t>
      </w:r>
      <w:r>
        <w:rPr>
          <w:rFonts w:hint="eastAsia" w:ascii="宋体" w:hAnsi="宋体" w:cs="宋体"/>
          <w:color w:val="auto"/>
          <w:sz w:val="21"/>
          <w:szCs w:val="21"/>
          <w:highlight w:val="none"/>
        </w:rPr>
        <w:t>方法计算评标参考价：</w:t>
      </w:r>
    </w:p>
    <w:p w14:paraId="6064FAE7">
      <w:pPr>
        <w:widowControl/>
        <w:spacing w:line="360" w:lineRule="auto"/>
        <w:ind w:firstLine="422" w:firstLineChars="200"/>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区间抽取法</w:t>
      </w:r>
    </w:p>
    <w:p w14:paraId="494BA3F1">
      <w:pPr>
        <w:widowControl/>
        <w:snapToGrid w:val="0"/>
        <w:spacing w:line="360" w:lineRule="auto"/>
        <w:ind w:firstLine="420" w:firstLineChars="200"/>
        <w:rPr>
          <w:rFonts w:hint="eastAsia" w:ascii="宋体" w:hAnsi="宋体" w:cs="宋体"/>
          <w:color w:val="auto"/>
          <w:kern w:val="0"/>
          <w:sz w:val="21"/>
          <w:szCs w:val="21"/>
          <w:highlight w:val="none"/>
        </w:rPr>
      </w:pPr>
      <w:r>
        <w:rPr>
          <w:rFonts w:hint="eastAsia" w:ascii="宋体" w:hAnsi="宋体" w:cs="宋体"/>
          <w:color w:val="auto"/>
          <w:sz w:val="21"/>
          <w:szCs w:val="21"/>
          <w:highlight w:val="none"/>
        </w:rPr>
        <w:t>设立入围合格分数线（技术标或技术标加</w:t>
      </w:r>
      <w:r>
        <w:rPr>
          <w:rFonts w:hint="eastAsia" w:ascii="宋体" w:hAnsi="宋体" w:cs="宋体"/>
          <w:color w:val="auto"/>
          <w:sz w:val="21"/>
          <w:szCs w:val="21"/>
          <w:highlight w:val="none"/>
          <w:lang w:eastAsia="zh-CN"/>
        </w:rPr>
        <w:t>企业信用评价得分</w:t>
      </w:r>
      <w:r>
        <w:rPr>
          <w:rFonts w:hint="eastAsia" w:ascii="宋体" w:hAnsi="宋体" w:cs="宋体"/>
          <w:color w:val="auto"/>
          <w:sz w:val="21"/>
          <w:szCs w:val="21"/>
          <w:highlight w:val="none"/>
        </w:rPr>
        <w:t>，具体数值由招标人在招标文件中确定），达到或超过及格线的投标人的报价方能参与评标参考价的计算。将达到或超过技术标及格分数线的投标报价由低至高进行排列，按以下公式计算评标参考价，计算公式如下：</w:t>
      </w:r>
    </w:p>
    <w:p w14:paraId="019B30D3">
      <w:pPr>
        <w:widowControl/>
        <w:snapToGrid w:val="0"/>
        <w:spacing w:line="360" w:lineRule="auto"/>
        <w:ind w:firstLine="420" w:firstLineChars="200"/>
        <w:rPr>
          <w:rFonts w:hint="eastAsia" w:ascii="宋体" w:hAnsi="宋体" w:cs="宋体"/>
          <w:color w:val="auto"/>
          <w:kern w:val="0"/>
          <w:sz w:val="21"/>
          <w:szCs w:val="21"/>
          <w:highlight w:val="none"/>
          <w:vertAlign w:val="subscript"/>
        </w:rPr>
      </w:pPr>
      <w:r>
        <w:rPr>
          <w:rFonts w:hint="eastAsia" w:ascii="宋体" w:hAnsi="宋体" w:cs="宋体"/>
          <w:color w:val="auto"/>
          <w:kern w:val="0"/>
          <w:sz w:val="21"/>
          <w:szCs w:val="21"/>
          <w:highlight w:val="none"/>
        </w:rPr>
        <w:t>评标参考价=（Q</w:t>
      </w:r>
      <w:r>
        <w:rPr>
          <w:rFonts w:hint="eastAsia" w:ascii="宋体" w:hAnsi="宋体" w:cs="宋体"/>
          <w:color w:val="auto"/>
          <w:kern w:val="0"/>
          <w:sz w:val="21"/>
          <w:szCs w:val="21"/>
          <w:highlight w:val="none"/>
          <w:vertAlign w:val="subscript"/>
        </w:rPr>
        <w:t>高</w:t>
      </w:r>
      <w:r>
        <w:rPr>
          <w:rFonts w:hint="eastAsia" w:ascii="宋体" w:hAnsi="宋体" w:cs="宋体"/>
          <w:color w:val="auto"/>
          <w:kern w:val="0"/>
          <w:sz w:val="21"/>
          <w:szCs w:val="21"/>
          <w:highlight w:val="none"/>
        </w:rPr>
        <w:t>-Q</w:t>
      </w:r>
      <w:r>
        <w:rPr>
          <w:rFonts w:hint="eastAsia" w:ascii="宋体" w:hAnsi="宋体" w:cs="宋体"/>
          <w:color w:val="auto"/>
          <w:kern w:val="0"/>
          <w:sz w:val="21"/>
          <w:szCs w:val="21"/>
          <w:highlight w:val="none"/>
          <w:vertAlign w:val="subscript"/>
        </w:rPr>
        <w:t>低</w:t>
      </w:r>
      <w:r>
        <w:rPr>
          <w:rFonts w:hint="eastAsia" w:ascii="宋体" w:hAnsi="宋体" w:cs="宋体"/>
          <w:color w:val="auto"/>
          <w:kern w:val="0"/>
          <w:sz w:val="21"/>
          <w:szCs w:val="21"/>
          <w:highlight w:val="none"/>
        </w:rPr>
        <w:t>）/100*Ｘ+Q</w:t>
      </w:r>
      <w:r>
        <w:rPr>
          <w:rFonts w:hint="eastAsia" w:ascii="宋体" w:hAnsi="宋体" w:cs="宋体"/>
          <w:color w:val="auto"/>
          <w:kern w:val="0"/>
          <w:sz w:val="21"/>
          <w:szCs w:val="21"/>
          <w:highlight w:val="none"/>
          <w:vertAlign w:val="subscript"/>
        </w:rPr>
        <w:t>低</w:t>
      </w:r>
    </w:p>
    <w:p w14:paraId="470E814B">
      <w:pPr>
        <w:widowControl/>
        <w:snapToGrid w:val="0"/>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Q</w:t>
      </w:r>
      <w:r>
        <w:rPr>
          <w:rFonts w:hint="eastAsia" w:ascii="宋体" w:hAnsi="宋体" w:cs="宋体"/>
          <w:color w:val="auto"/>
          <w:sz w:val="21"/>
          <w:szCs w:val="21"/>
          <w:highlight w:val="none"/>
          <w:vertAlign w:val="subscript"/>
        </w:rPr>
        <w:t>低</w:t>
      </w:r>
      <w:r>
        <w:rPr>
          <w:rFonts w:hint="eastAsia" w:ascii="宋体" w:hAnsi="宋体" w:cs="宋体"/>
          <w:color w:val="auto"/>
          <w:sz w:val="21"/>
          <w:szCs w:val="21"/>
          <w:highlight w:val="none"/>
        </w:rPr>
        <w:t>：为达到或超过技术标及格分数线的投标人最低报价与工程成本警示价两者中的较高值；</w:t>
      </w:r>
    </w:p>
    <w:p w14:paraId="7351240D">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kern w:val="0"/>
          <w:sz w:val="21"/>
          <w:szCs w:val="21"/>
          <w:highlight w:val="none"/>
        </w:rPr>
        <w:t>Q</w:t>
      </w:r>
      <w:r>
        <w:rPr>
          <w:rFonts w:hint="eastAsia" w:ascii="宋体" w:hAnsi="宋体" w:cs="宋体"/>
          <w:color w:val="auto"/>
          <w:kern w:val="0"/>
          <w:sz w:val="21"/>
          <w:szCs w:val="21"/>
          <w:highlight w:val="none"/>
          <w:vertAlign w:val="subscript"/>
        </w:rPr>
        <w:t>高</w:t>
      </w:r>
      <w:r>
        <w:rPr>
          <w:rFonts w:hint="eastAsia" w:ascii="宋体" w:hAnsi="宋体" w:cs="宋体"/>
          <w:color w:val="auto"/>
          <w:sz w:val="21"/>
          <w:szCs w:val="21"/>
          <w:highlight w:val="none"/>
        </w:rPr>
        <w:t>：</w:t>
      </w:r>
      <w:r>
        <w:rPr>
          <w:rFonts w:hint="eastAsia" w:ascii="宋体" w:hAnsi="宋体" w:cs="宋体"/>
          <w:color w:val="auto"/>
          <w:sz w:val="21"/>
          <w:szCs w:val="21"/>
          <w:highlight w:val="none"/>
          <w:u w:val="single"/>
        </w:rPr>
        <w:t>为</w:t>
      </w:r>
      <w:r>
        <w:rPr>
          <w:rFonts w:hint="eastAsia" w:ascii="宋体" w:hAnsi="宋体" w:cs="宋体"/>
          <w:color w:val="auto"/>
          <w:sz w:val="21"/>
          <w:szCs w:val="21"/>
          <w:highlight w:val="none"/>
          <w:u w:val="single"/>
          <w:lang w:eastAsia="zh-CN"/>
        </w:rPr>
        <w:t>最</w:t>
      </w:r>
      <w:r>
        <w:rPr>
          <w:rFonts w:hint="eastAsia" w:ascii="宋体" w:hAnsi="宋体" w:cs="宋体"/>
          <w:color w:val="auto"/>
          <w:sz w:val="21"/>
          <w:szCs w:val="21"/>
          <w:highlight w:val="none"/>
          <w:u w:val="single"/>
        </w:rPr>
        <w:t>高投标限价</w:t>
      </w:r>
      <w:r>
        <w:rPr>
          <w:rFonts w:hint="eastAsia" w:ascii="宋体" w:hAnsi="宋体" w:cs="宋体"/>
          <w:color w:val="auto"/>
          <w:sz w:val="21"/>
          <w:szCs w:val="21"/>
          <w:highlight w:val="none"/>
          <w:u w:val="single"/>
          <w:lang w:val="en-US" w:eastAsia="zh-CN"/>
        </w:rPr>
        <w:t>*D%（政府投资项目，D的取值范围为[94-100],由招标人自主确定；非政府投资项目由招标人自主确定取值范围），具体金额为               元。</w:t>
      </w:r>
    </w:p>
    <w:p w14:paraId="4C2D2974">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X:为等分点值，在开标前从[0,100]整数中随机抽取</w:t>
      </w:r>
    </w:p>
    <w:p w14:paraId="5339AC84">
      <w:pPr>
        <w:pBdr>
          <w:top w:val="none" w:color="auto" w:sz="0" w:space="0"/>
          <w:left w:val="none" w:color="auto" w:sz="0" w:space="0"/>
          <w:bottom w:val="none" w:color="auto" w:sz="0" w:space="0"/>
          <w:right w:val="none" w:color="auto" w:sz="0" w:space="0"/>
          <w:between w:val="none" w:color="auto" w:sz="0" w:space="0"/>
        </w:pBd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3</w:t>
      </w:r>
      <w:r>
        <w:rPr>
          <w:rFonts w:hint="eastAsia" w:ascii="宋体" w:hAnsi="宋体" w:cs="宋体"/>
          <w:color w:val="auto"/>
          <w:sz w:val="21"/>
          <w:szCs w:val="21"/>
          <w:highlight w:val="none"/>
        </w:rPr>
        <w:t>当标价等于评标参考价时得100分，标价每高于评标参考价1%，扣1.5分，每低于评标参考价1%，扣1分，扣至0分为止，得出经济分，精确到小数点后两位。</w:t>
      </w:r>
    </w:p>
    <w:p w14:paraId="019CD15F">
      <w:pPr>
        <w:pBdr>
          <w:top w:val="none" w:color="auto" w:sz="0" w:space="0"/>
          <w:left w:val="none" w:color="auto" w:sz="0" w:space="0"/>
          <w:bottom w:val="none" w:color="auto" w:sz="0" w:space="0"/>
          <w:right w:val="none" w:color="auto" w:sz="0" w:space="0"/>
          <w:between w:val="none" w:color="auto" w:sz="0" w:space="0"/>
        </w:pBdr>
        <w:spacing w:line="360" w:lineRule="auto"/>
        <w:ind w:firstLine="470" w:firstLineChars="224"/>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4</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u w:val="single"/>
        </w:rPr>
        <w:t>计算通过技术标有效性审查的投标人总得分。投标人总得分=（技术得分×</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技术得分权重</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rPr>
        <w:t>＋经济得分×</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rPr>
        <w:t>经济得分权重）×（1-</w:t>
      </w:r>
      <w:r>
        <w:rPr>
          <w:rFonts w:hint="eastAsia" w:ascii="宋体" w:hAnsi="宋体" w:cs="宋体"/>
          <w:color w:val="auto"/>
          <w:sz w:val="21"/>
          <w:szCs w:val="21"/>
          <w:highlight w:val="none"/>
          <w:u w:val="single"/>
          <w:lang w:eastAsia="zh-CN"/>
        </w:rPr>
        <w:t>信用评价</w:t>
      </w:r>
      <w:r>
        <w:rPr>
          <w:rFonts w:hint="eastAsia" w:ascii="宋体" w:hAnsi="宋体" w:cs="宋体"/>
          <w:color w:val="auto"/>
          <w:sz w:val="21"/>
          <w:szCs w:val="21"/>
          <w:highlight w:val="none"/>
          <w:u w:val="single"/>
        </w:rPr>
        <w:t>分数权重）＋</w:t>
      </w:r>
      <w:r>
        <w:rPr>
          <w:rFonts w:hint="eastAsia" w:ascii="宋体" w:hAnsi="宋体" w:cs="宋体"/>
          <w:color w:val="auto"/>
          <w:sz w:val="21"/>
          <w:szCs w:val="21"/>
          <w:highlight w:val="none"/>
          <w:u w:val="single"/>
          <w:lang w:eastAsia="zh-CN"/>
        </w:rPr>
        <w:t>信用评价</w:t>
      </w:r>
      <w:r>
        <w:rPr>
          <w:rFonts w:hint="eastAsia" w:ascii="宋体" w:hAnsi="宋体" w:cs="宋体"/>
          <w:color w:val="auto"/>
          <w:sz w:val="21"/>
          <w:szCs w:val="21"/>
          <w:highlight w:val="none"/>
          <w:u w:val="single"/>
        </w:rPr>
        <w:t>得分×</w:t>
      </w:r>
      <w:r>
        <w:rPr>
          <w:rFonts w:hint="eastAsia" w:ascii="宋体" w:hAnsi="宋体" w:cs="宋体"/>
          <w:color w:val="auto"/>
          <w:sz w:val="21"/>
          <w:szCs w:val="21"/>
          <w:highlight w:val="none"/>
          <w:u w:val="single"/>
          <w:lang w:val="en-US" w:eastAsia="zh-CN"/>
        </w:rPr>
        <w:t xml:space="preserve">  %（</w:t>
      </w:r>
      <w:r>
        <w:rPr>
          <w:rFonts w:hint="eastAsia" w:ascii="宋体" w:hAnsi="宋体" w:cs="宋体"/>
          <w:color w:val="auto"/>
          <w:sz w:val="21"/>
          <w:szCs w:val="21"/>
          <w:highlight w:val="none"/>
          <w:u w:val="single"/>
          <w:lang w:eastAsia="zh-CN"/>
        </w:rPr>
        <w:t>企业信用</w:t>
      </w:r>
      <w:r>
        <w:rPr>
          <w:rFonts w:hint="eastAsia" w:ascii="宋体" w:hAnsi="宋体" w:cs="宋体"/>
          <w:color w:val="auto"/>
          <w:sz w:val="21"/>
          <w:szCs w:val="21"/>
          <w:highlight w:val="none"/>
          <w:u w:val="single"/>
        </w:rPr>
        <w:t>评价得分权重</w:t>
      </w:r>
      <w:r>
        <w:rPr>
          <w:rFonts w:hint="eastAsia" w:ascii="宋体" w:hAnsi="宋体" w:cs="宋体"/>
          <w:color w:val="auto"/>
          <w:sz w:val="21"/>
          <w:szCs w:val="21"/>
          <w:highlight w:val="none"/>
          <w:u w:val="single"/>
          <w:lang w:eastAsia="zh-CN"/>
        </w:rPr>
        <w:t>，</w:t>
      </w:r>
      <w:r>
        <w:rPr>
          <w:rFonts w:hint="eastAsia" w:ascii="宋体" w:hAnsi="宋体" w:cs="宋体"/>
          <w:color w:val="auto"/>
          <w:sz w:val="21"/>
          <w:szCs w:val="21"/>
          <w:highlight w:val="none"/>
          <w:u w:val="single"/>
          <w:lang w:val="en-US" w:eastAsia="zh-CN"/>
        </w:rPr>
        <w:t>招标人</w:t>
      </w:r>
      <w:r>
        <w:rPr>
          <w:rFonts w:hint="eastAsia" w:ascii="宋体" w:hAnsi="宋体" w:cs="宋体"/>
          <w:color w:val="auto"/>
          <w:sz w:val="21"/>
          <w:szCs w:val="21"/>
          <w:highlight w:val="none"/>
          <w:u w:val="single"/>
          <w:lang w:eastAsia="zh-CN"/>
        </w:rPr>
        <w:t>可在</w:t>
      </w:r>
      <w:r>
        <w:rPr>
          <w:rFonts w:hint="eastAsia" w:ascii="宋体" w:hAnsi="宋体" w:cs="宋体"/>
          <w:color w:val="auto"/>
          <w:sz w:val="21"/>
          <w:szCs w:val="21"/>
          <w:highlight w:val="none"/>
          <w:u w:val="single"/>
          <w:lang w:val="en-US" w:eastAsia="zh-CN"/>
        </w:rPr>
        <w:t>[10%-20%]</w:t>
      </w:r>
      <w:r>
        <w:rPr>
          <w:rFonts w:hint="eastAsia" w:ascii="宋体" w:hAnsi="宋体" w:cs="宋体"/>
          <w:color w:val="auto"/>
          <w:sz w:val="21"/>
          <w:szCs w:val="21"/>
          <w:highlight w:val="none"/>
          <w:u w:val="single"/>
          <w:lang w:eastAsia="zh-CN"/>
        </w:rPr>
        <w:t>范围内</w:t>
      </w:r>
      <w:r>
        <w:rPr>
          <w:rFonts w:hint="eastAsia" w:ascii="宋体" w:hAnsi="宋体" w:cs="宋体"/>
          <w:color w:val="auto"/>
          <w:sz w:val="21"/>
          <w:szCs w:val="21"/>
          <w:highlight w:val="none"/>
          <w:u w:val="single"/>
          <w:lang w:val="en-US" w:eastAsia="zh-CN"/>
        </w:rPr>
        <w:t>自主确定</w:t>
      </w:r>
      <w:r>
        <w:rPr>
          <w:rFonts w:hint="eastAsia" w:ascii="宋体" w:hAnsi="宋体" w:cs="宋体"/>
          <w:color w:val="auto"/>
          <w:sz w:val="21"/>
          <w:szCs w:val="21"/>
          <w:highlight w:val="none"/>
          <w:u w:val="single"/>
        </w:rPr>
        <w:t>）。</w:t>
      </w:r>
      <w:r>
        <w:rPr>
          <w:rFonts w:hint="eastAsia" w:ascii="宋体" w:hAnsi="宋体" w:cs="宋体"/>
          <w:color w:val="auto"/>
          <w:sz w:val="21"/>
          <w:szCs w:val="21"/>
          <w:highlight w:val="none"/>
        </w:rPr>
        <w:t>技术、经济得分权重按投标须知前附表的规定执行。总得分四舍五入保留两位小数。</w:t>
      </w:r>
    </w:p>
    <w:p w14:paraId="09EF37C1">
      <w:pPr>
        <w:pStyle w:val="4"/>
        <w:tabs>
          <w:tab w:val="left" w:pos="7380"/>
        </w:tabs>
        <w:snapToGrid w:val="0"/>
        <w:spacing w:after="0" w:line="360" w:lineRule="auto"/>
        <w:ind w:firstLine="422" w:firstLineChars="200"/>
        <w:rPr>
          <w:rFonts w:hint="eastAsia" w:ascii="宋体" w:hAnsi="宋体" w:cs="宋体"/>
          <w:color w:val="auto"/>
          <w:sz w:val="21"/>
          <w:szCs w:val="21"/>
          <w:highlight w:val="none"/>
        </w:rPr>
      </w:pPr>
      <w:r>
        <w:rPr>
          <w:rFonts w:hint="eastAsia" w:ascii="宋体" w:hAnsi="宋体" w:cs="宋体"/>
          <w:b/>
          <w:bCs/>
          <w:color w:val="auto"/>
          <w:sz w:val="21"/>
          <w:szCs w:val="21"/>
          <w:highlight w:val="none"/>
          <w:lang w:eastAsia="zh-CN"/>
        </w:rPr>
        <w:t>现文：</w:t>
      </w:r>
      <w:r>
        <w:rPr>
          <w:rFonts w:hint="eastAsia" w:ascii="宋体" w:hAnsi="宋体" w:cs="宋体"/>
          <w:color w:val="auto"/>
          <w:sz w:val="21"/>
          <w:szCs w:val="21"/>
          <w:highlight w:val="none"/>
        </w:rPr>
        <w:t>4</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按</w:t>
      </w:r>
      <w:r>
        <w:rPr>
          <w:rFonts w:hint="eastAsia" w:ascii="宋体" w:hAnsi="宋体" w:cs="宋体"/>
          <w:color w:val="auto"/>
          <w:sz w:val="21"/>
          <w:szCs w:val="21"/>
          <w:highlight w:val="none"/>
          <w:lang w:eastAsia="zh-CN"/>
        </w:rPr>
        <w:t>以下</w:t>
      </w:r>
      <w:r>
        <w:rPr>
          <w:rFonts w:hint="eastAsia" w:ascii="宋体" w:hAnsi="宋体" w:cs="宋体"/>
          <w:color w:val="auto"/>
          <w:sz w:val="21"/>
          <w:szCs w:val="21"/>
          <w:highlight w:val="none"/>
        </w:rPr>
        <w:t>方法计算评标参考价：</w:t>
      </w:r>
    </w:p>
    <w:p w14:paraId="6DCFD5D7">
      <w:pPr>
        <w:widowControl/>
        <w:spacing w:line="360" w:lineRule="auto"/>
        <w:ind w:firstLine="422" w:firstLineChars="200"/>
        <w:rPr>
          <w:rFonts w:hint="eastAsia"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区间抽取法</w:t>
      </w:r>
    </w:p>
    <w:p w14:paraId="253E6C40">
      <w:pPr>
        <w:spacing w:line="360" w:lineRule="auto"/>
        <w:ind w:firstLine="420" w:firstLineChars="200"/>
        <w:rPr>
          <w:rFonts w:hint="eastAsia" w:ascii="宋体" w:hAnsi="宋体" w:cs="宋体"/>
          <w:color w:val="auto"/>
          <w:sz w:val="21"/>
          <w:szCs w:val="21"/>
          <w:highlight w:val="none"/>
        </w:rPr>
      </w:pPr>
      <w:r>
        <w:rPr>
          <w:rFonts w:hint="eastAsia" w:ascii="宋体" w:hAnsi="宋体" w:eastAsia="宋体" w:cs="宋体"/>
          <w:color w:val="auto"/>
          <w:sz w:val="21"/>
          <w:szCs w:val="21"/>
          <w:highlight w:val="none"/>
          <w:u w:val="none"/>
        </w:rPr>
        <w:t>设立</w:t>
      </w:r>
      <w:r>
        <w:rPr>
          <w:rFonts w:hint="eastAsia" w:ascii="宋体" w:hAnsi="宋体" w:eastAsia="宋体" w:cs="宋体"/>
          <w:b/>
          <w:bCs/>
          <w:color w:val="auto"/>
          <w:sz w:val="21"/>
          <w:szCs w:val="21"/>
          <w:highlight w:val="none"/>
          <w:u w:val="single"/>
        </w:rPr>
        <w:t>技术标</w:t>
      </w:r>
      <w:r>
        <w:rPr>
          <w:rFonts w:hint="eastAsia" w:ascii="宋体" w:hAnsi="宋体" w:eastAsia="宋体" w:cs="宋体"/>
          <w:color w:val="auto"/>
          <w:sz w:val="21"/>
          <w:szCs w:val="21"/>
          <w:highlight w:val="none"/>
          <w:u w:val="none"/>
        </w:rPr>
        <w:t>入围合格分数线</w:t>
      </w:r>
      <w:r>
        <w:rPr>
          <w:rFonts w:hint="eastAsia" w:ascii="宋体" w:hAnsi="宋体" w:eastAsia="宋体" w:cs="宋体"/>
          <w:b/>
          <w:bCs/>
          <w:color w:val="auto"/>
          <w:sz w:val="21"/>
          <w:szCs w:val="21"/>
          <w:highlight w:val="none"/>
          <w:u w:val="single"/>
        </w:rPr>
        <w:t>（入围技术标合格分数线为70分（技术分满分为100分））</w:t>
      </w:r>
      <w:r>
        <w:rPr>
          <w:rFonts w:hint="eastAsia" w:ascii="宋体" w:hAnsi="宋体" w:eastAsia="宋体" w:cs="宋体"/>
          <w:color w:val="auto"/>
          <w:sz w:val="21"/>
          <w:szCs w:val="21"/>
          <w:highlight w:val="none"/>
          <w:u w:val="single"/>
        </w:rPr>
        <w:t>，</w:t>
      </w:r>
      <w:r>
        <w:rPr>
          <w:rFonts w:hint="eastAsia" w:ascii="宋体" w:hAnsi="宋体" w:eastAsia="宋体" w:cs="宋体"/>
          <w:b w:val="0"/>
          <w:bCs w:val="0"/>
          <w:color w:val="auto"/>
          <w:sz w:val="21"/>
          <w:szCs w:val="21"/>
          <w:highlight w:val="none"/>
          <w:u w:val="none"/>
        </w:rPr>
        <w:t>达到或超过及格线的投标人的报价方能参与评标参考价的计算</w:t>
      </w:r>
      <w:r>
        <w:rPr>
          <w:rFonts w:hint="eastAsia" w:ascii="宋体" w:hAnsi="宋体" w:eastAsia="宋体" w:cs="宋体"/>
          <w:color w:val="auto"/>
          <w:sz w:val="21"/>
          <w:szCs w:val="21"/>
          <w:highlight w:val="none"/>
        </w:rPr>
        <w:t>。将达到或超过技术标及格分数线的投标报价由低至高进行排列，按以下公式计算评标参考价，计算公式如下：</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评标参考价=（Q高-Q低）/100*Ｘ+Q低</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Q低：为达到或超过技术标及格分数线的投标人最低报价与工程成本警示价两者中的较高值；</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Q高：为最高投标限价</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rPr>
        <w:t>X:为等分点值，在开标前从[0,100]整数中随机抽取</w:t>
      </w:r>
    </w:p>
    <w:p w14:paraId="58F01AFA">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kern w:val="0"/>
          <w:sz w:val="21"/>
          <w:szCs w:val="21"/>
          <w:highlight w:val="none"/>
        </w:rPr>
        <w:t>4</w:t>
      </w:r>
      <w:r>
        <w:rPr>
          <w:rFonts w:hint="eastAsia" w:ascii="宋体" w:hAnsi="宋体" w:cs="宋体"/>
          <w:color w:val="auto"/>
          <w:kern w:val="0"/>
          <w:sz w:val="21"/>
          <w:szCs w:val="21"/>
          <w:highlight w:val="none"/>
          <w:lang w:val="en-US" w:eastAsia="zh-CN"/>
        </w:rPr>
        <w:t>6</w:t>
      </w:r>
      <w:r>
        <w:rPr>
          <w:rFonts w:hint="eastAsia" w:ascii="宋体" w:hAnsi="宋体" w:cs="宋体"/>
          <w:color w:val="auto"/>
          <w:kern w:val="0"/>
          <w:sz w:val="21"/>
          <w:szCs w:val="21"/>
          <w:highlight w:val="none"/>
        </w:rPr>
        <w:t>.</w:t>
      </w:r>
      <w:r>
        <w:rPr>
          <w:rFonts w:hint="eastAsia" w:ascii="宋体" w:hAnsi="宋体" w:cs="宋体"/>
          <w:color w:val="auto"/>
          <w:kern w:val="0"/>
          <w:sz w:val="21"/>
          <w:szCs w:val="21"/>
          <w:highlight w:val="none"/>
          <w:lang w:val="en-US" w:eastAsia="zh-CN"/>
        </w:rPr>
        <w:t>3</w:t>
      </w:r>
      <w:r>
        <w:rPr>
          <w:rFonts w:hint="eastAsia" w:ascii="宋体" w:hAnsi="宋体" w:cs="宋体"/>
          <w:color w:val="auto"/>
          <w:sz w:val="21"/>
          <w:szCs w:val="21"/>
          <w:highlight w:val="none"/>
        </w:rPr>
        <w:t>当</w:t>
      </w:r>
      <w:r>
        <w:rPr>
          <w:rFonts w:hint="eastAsia" w:ascii="宋体" w:hAnsi="宋体" w:eastAsia="宋体" w:cs="宋体"/>
          <w:b/>
          <w:bCs/>
          <w:color w:val="auto"/>
          <w:sz w:val="21"/>
          <w:szCs w:val="21"/>
          <w:highlight w:val="none"/>
          <w:u w:val="single"/>
        </w:rPr>
        <w:t>投标报价</w:t>
      </w:r>
      <w:r>
        <w:rPr>
          <w:rFonts w:hint="eastAsia" w:ascii="宋体" w:hAnsi="宋体" w:cs="宋体"/>
          <w:color w:val="auto"/>
          <w:sz w:val="21"/>
          <w:szCs w:val="21"/>
          <w:highlight w:val="none"/>
        </w:rPr>
        <w:t>等于评标参考价时得100分，</w:t>
      </w:r>
      <w:r>
        <w:rPr>
          <w:rFonts w:hint="eastAsia" w:ascii="宋体" w:hAnsi="宋体" w:eastAsia="宋体" w:cs="宋体"/>
          <w:b/>
          <w:bCs/>
          <w:color w:val="auto"/>
          <w:sz w:val="21"/>
          <w:szCs w:val="21"/>
          <w:highlight w:val="none"/>
          <w:u w:val="single"/>
        </w:rPr>
        <w:t>投标报价</w:t>
      </w:r>
      <w:r>
        <w:rPr>
          <w:rFonts w:hint="eastAsia" w:ascii="宋体" w:hAnsi="宋体" w:cs="宋体"/>
          <w:color w:val="auto"/>
          <w:sz w:val="21"/>
          <w:szCs w:val="21"/>
          <w:highlight w:val="none"/>
        </w:rPr>
        <w:t>每高于评标参考价1%，扣1.5分，每低于评标参考价1%，扣1分，扣至0分为止，</w:t>
      </w:r>
      <w:r>
        <w:rPr>
          <w:rFonts w:hint="eastAsia" w:ascii="宋体" w:hAnsi="宋体" w:eastAsia="宋体" w:cs="宋体"/>
          <w:b/>
          <w:bCs/>
          <w:color w:val="auto"/>
          <w:kern w:val="0"/>
          <w:sz w:val="21"/>
          <w:szCs w:val="21"/>
          <w:highlight w:val="none"/>
          <w:u w:val="single"/>
          <w:lang w:eastAsia="zh-CN"/>
        </w:rPr>
        <w:t>根据第一章投标须知前附表第3</w:t>
      </w:r>
      <w:r>
        <w:rPr>
          <w:rFonts w:hint="eastAsia" w:ascii="宋体" w:hAnsi="宋体" w:cs="宋体"/>
          <w:b/>
          <w:bCs/>
          <w:color w:val="auto"/>
          <w:kern w:val="0"/>
          <w:sz w:val="21"/>
          <w:szCs w:val="21"/>
          <w:highlight w:val="none"/>
          <w:u w:val="single"/>
          <w:lang w:val="en-US" w:eastAsia="zh-CN"/>
        </w:rPr>
        <w:t>4</w:t>
      </w:r>
      <w:r>
        <w:rPr>
          <w:rFonts w:hint="eastAsia" w:ascii="宋体" w:hAnsi="宋体" w:eastAsia="宋体" w:cs="宋体"/>
          <w:b/>
          <w:bCs/>
          <w:color w:val="auto"/>
          <w:kern w:val="0"/>
          <w:sz w:val="21"/>
          <w:szCs w:val="21"/>
          <w:highlight w:val="none"/>
          <w:u w:val="single"/>
          <w:lang w:eastAsia="zh-CN"/>
        </w:rPr>
        <w:t>项规定实施经济标评审优惠政策（如有）。</w:t>
      </w:r>
      <w:r>
        <w:rPr>
          <w:rFonts w:hint="eastAsia" w:ascii="宋体" w:hAnsi="宋体" w:cs="宋体"/>
          <w:b/>
          <w:bCs/>
          <w:color w:val="auto"/>
          <w:sz w:val="21"/>
          <w:szCs w:val="21"/>
          <w:highlight w:val="none"/>
          <w:u w:val="single"/>
        </w:rPr>
        <w:t>得出经济分，精确到小数点后两位。</w:t>
      </w:r>
    </w:p>
    <w:p w14:paraId="75761075">
      <w:pPr>
        <w:pBdr>
          <w:bottom w:val="single" w:color="auto" w:sz="6" w:space="1"/>
        </w:pBdr>
        <w:spacing w:line="360" w:lineRule="auto"/>
        <w:ind w:firstLine="470" w:firstLineChars="224"/>
        <w:rPr>
          <w:rFonts w:hint="eastAsia" w:ascii="宋体" w:hAnsi="宋体" w:eastAsia="宋体" w:cs="宋体"/>
          <w:b/>
          <w:bCs/>
          <w:color w:val="auto"/>
          <w:sz w:val="21"/>
          <w:szCs w:val="21"/>
          <w:highlight w:val="none"/>
          <w:u w:val="single"/>
        </w:rPr>
      </w:pPr>
      <w:r>
        <w:rPr>
          <w:rFonts w:hint="eastAsia" w:ascii="宋体" w:hAnsi="宋体" w:cs="宋体"/>
          <w:color w:val="auto"/>
          <w:sz w:val="21"/>
          <w:szCs w:val="21"/>
          <w:highlight w:val="none"/>
        </w:rPr>
        <w:t>4</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4</w:t>
      </w:r>
      <w:r>
        <w:rPr>
          <w:rFonts w:hint="eastAsia" w:ascii="宋体" w:hAnsi="宋体" w:eastAsia="宋体" w:cs="宋体"/>
          <w:b/>
          <w:bCs/>
          <w:color w:val="auto"/>
          <w:sz w:val="21"/>
          <w:szCs w:val="21"/>
          <w:highlight w:val="none"/>
          <w:u w:val="single"/>
        </w:rPr>
        <w:t>计算通过技术标有效性审查的投标人总得分。投标人总得分=技术得分×技术得分权重20%＋经济得分×经济得分权重80%。技术、经济得分权重按投标须知前附表的规定执行。总得分四舍五入保留两位小数。最终得分按照总分从高到低排列先后次序，</w:t>
      </w:r>
      <w:r>
        <w:rPr>
          <w:rFonts w:hint="eastAsia" w:ascii="宋体" w:hAnsi="宋体" w:eastAsia="宋体" w:cs="Times New Roman"/>
          <w:b/>
          <w:bCs/>
          <w:color w:val="auto"/>
          <w:sz w:val="21"/>
          <w:szCs w:val="21"/>
          <w:highlight w:val="none"/>
          <w:u w:val="none"/>
        </w:rPr>
        <w:t>推荐排序位于前10名次不排序的入围定标阶段的候选人进入定标阶段（若前10名次的候选人中存在综合得分相同的，则综合得分相同的所有前10名次的候选人均进入定标阶段，若前10名次的家数大于等于3家且小于等于10家的，则取全部候选人进入定标阶段）。</w:t>
      </w:r>
    </w:p>
    <w:p w14:paraId="2B900CBE">
      <w:pPr>
        <w:pBdr>
          <w:bottom w:val="single" w:color="auto" w:sz="6" w:space="1"/>
        </w:pBdr>
        <w:spacing w:line="360" w:lineRule="auto"/>
        <w:ind w:firstLine="472" w:firstLineChars="224"/>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u w:val="single"/>
          <w:lang w:val="en-US" w:eastAsia="zh-CN"/>
        </w:rPr>
        <w:t>候选人</w:t>
      </w:r>
      <w:r>
        <w:rPr>
          <w:rFonts w:hint="eastAsia" w:ascii="宋体" w:hAnsi="宋体" w:eastAsia="宋体" w:cs="宋体"/>
          <w:b/>
          <w:bCs/>
          <w:color w:val="auto"/>
          <w:sz w:val="21"/>
          <w:szCs w:val="21"/>
          <w:highlight w:val="none"/>
          <w:u w:val="single"/>
        </w:rPr>
        <w:t>入围定标阶段后将按其统一社会信用代码后4 位（除校验码外）大小排位，不排序，如统一社会信用代码后4位出现字母情况的，字母以“0”进行代替大小排位；如出现后4位（除校验码外）大小一致的，则随机排位。若为联合体投标，指联合体主办方。</w:t>
      </w:r>
    </w:p>
    <w:p w14:paraId="750D4297">
      <w:pPr>
        <w:spacing w:line="360" w:lineRule="auto"/>
        <w:ind w:firstLine="472" w:firstLineChars="224"/>
        <w:rPr>
          <w:rFonts w:hint="eastAsia" w:ascii="宋体" w:hAnsi="宋体" w:cs="宋体"/>
          <w:b/>
          <w:color w:val="auto"/>
          <w:szCs w:val="21"/>
          <w:highlight w:val="none"/>
        </w:rPr>
      </w:pPr>
      <w:r>
        <w:rPr>
          <w:rFonts w:hint="eastAsia" w:ascii="宋体" w:hAnsi="宋体" w:cs="宋体"/>
          <w:b/>
          <w:color w:val="auto"/>
          <w:szCs w:val="21"/>
          <w:highlight w:val="none"/>
        </w:rPr>
        <w:t>条款号：4</w:t>
      </w:r>
      <w:r>
        <w:rPr>
          <w:rFonts w:hint="eastAsia" w:ascii="宋体" w:hAnsi="宋体" w:cs="宋体"/>
          <w:b/>
          <w:color w:val="auto"/>
          <w:szCs w:val="21"/>
          <w:highlight w:val="none"/>
          <w:lang w:val="en-US" w:eastAsia="zh-CN"/>
        </w:rPr>
        <w:t>8</w:t>
      </w:r>
      <w:r>
        <w:rPr>
          <w:rFonts w:hint="eastAsia" w:ascii="宋体" w:hAnsi="宋体" w:cs="宋体"/>
          <w:b/>
          <w:color w:val="auto"/>
          <w:szCs w:val="21"/>
          <w:highlight w:val="none"/>
        </w:rPr>
        <w:t>～</w:t>
      </w:r>
      <w:r>
        <w:rPr>
          <w:rFonts w:hint="eastAsia" w:ascii="宋体" w:hAnsi="宋体" w:cs="宋体"/>
          <w:b/>
          <w:color w:val="auto"/>
          <w:szCs w:val="21"/>
          <w:highlight w:val="none"/>
          <w:lang w:val="en-US" w:eastAsia="zh-CN"/>
        </w:rPr>
        <w:t>49</w:t>
      </w:r>
      <w:r>
        <w:rPr>
          <w:rFonts w:hint="eastAsia" w:ascii="宋体" w:hAnsi="宋体" w:cs="宋体"/>
          <w:b/>
          <w:color w:val="auto"/>
          <w:szCs w:val="21"/>
          <w:highlight w:val="none"/>
        </w:rPr>
        <w:t xml:space="preserve">             修改类型：修改</w:t>
      </w:r>
    </w:p>
    <w:p w14:paraId="5DAD3485">
      <w:pPr>
        <w:spacing w:line="360" w:lineRule="auto"/>
        <w:ind w:firstLine="422" w:firstLineChars="200"/>
        <w:rPr>
          <w:rFonts w:hint="eastAsia" w:ascii="宋体" w:hAnsi="宋体" w:cs="宋体"/>
          <w:color w:val="auto"/>
          <w:sz w:val="21"/>
          <w:szCs w:val="21"/>
          <w:highlight w:val="none"/>
        </w:rPr>
      </w:pPr>
      <w:r>
        <w:rPr>
          <w:rFonts w:hint="eastAsia" w:ascii="宋体" w:hAnsi="宋体" w:cs="宋体"/>
          <w:b/>
          <w:bCs/>
          <w:color w:val="auto"/>
          <w:sz w:val="21"/>
          <w:szCs w:val="21"/>
          <w:highlight w:val="none"/>
          <w:lang w:val="en-US" w:eastAsia="zh-CN"/>
        </w:rPr>
        <w:t>原文：</w:t>
      </w:r>
      <w:r>
        <w:rPr>
          <w:rFonts w:hint="eastAsia" w:ascii="宋体" w:hAnsi="宋体" w:cs="宋体"/>
          <w:color w:val="auto"/>
          <w:sz w:val="21"/>
          <w:szCs w:val="21"/>
          <w:highlight w:val="none"/>
          <w:lang w:val="en-US" w:eastAsia="zh-CN"/>
        </w:rPr>
        <w:t>48</w:t>
      </w:r>
      <w:r>
        <w:rPr>
          <w:rFonts w:hint="eastAsia" w:ascii="宋体" w:hAnsi="宋体" w:cs="宋体"/>
          <w:color w:val="auto"/>
          <w:sz w:val="21"/>
          <w:szCs w:val="21"/>
          <w:highlight w:val="none"/>
        </w:rPr>
        <w:t>.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3名投标人通过经济标有效性审查，经济标有效性审查结束。</w:t>
      </w:r>
    </w:p>
    <w:p w14:paraId="4C1B41FC">
      <w:pPr>
        <w:spacing w:line="360" w:lineRule="auto"/>
        <w:ind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49.</w:t>
      </w:r>
      <w:r>
        <w:rPr>
          <w:rFonts w:hint="eastAsia" w:ascii="宋体" w:hAnsi="宋体" w:cs="宋体"/>
          <w:color w:val="auto"/>
          <w:sz w:val="21"/>
          <w:szCs w:val="21"/>
          <w:highlight w:val="none"/>
        </w:rPr>
        <w:t>评标委员会应在通过投标文件经济标有效性审查的投标人中，按步骤45.4确定的投标人第二阶段排序，推荐前3名依次为第一中标候选人至第三中标候选人,并编制评标报告。</w:t>
      </w:r>
    </w:p>
    <w:p w14:paraId="0E00FFB8">
      <w:pPr>
        <w:spacing w:line="360" w:lineRule="auto"/>
        <w:ind w:firstLine="422" w:firstLineChars="200"/>
        <w:rPr>
          <w:rFonts w:hint="eastAsia" w:ascii="宋体" w:hAnsi="宋体" w:cs="宋体"/>
          <w:color w:val="auto"/>
          <w:sz w:val="21"/>
          <w:szCs w:val="21"/>
          <w:highlight w:val="none"/>
        </w:rPr>
      </w:pPr>
      <w:r>
        <w:rPr>
          <w:rFonts w:hint="eastAsia" w:ascii="宋体" w:hAnsi="宋体" w:cs="宋体"/>
          <w:b/>
          <w:bCs/>
          <w:color w:val="auto"/>
          <w:sz w:val="21"/>
          <w:szCs w:val="21"/>
          <w:highlight w:val="none"/>
          <w:lang w:eastAsia="zh-CN"/>
        </w:rPr>
        <w:t>现文：</w:t>
      </w:r>
      <w:r>
        <w:rPr>
          <w:rFonts w:hint="eastAsia" w:ascii="宋体" w:hAnsi="宋体"/>
          <w:color w:val="auto"/>
          <w:szCs w:val="21"/>
          <w:highlight w:val="none"/>
          <w:u w:val="single"/>
        </w:rPr>
        <w:t>4</w:t>
      </w:r>
      <w:r>
        <w:rPr>
          <w:rFonts w:hint="eastAsia" w:ascii="宋体" w:hAnsi="宋体"/>
          <w:color w:val="auto"/>
          <w:szCs w:val="21"/>
          <w:highlight w:val="none"/>
          <w:u w:val="single"/>
          <w:lang w:val="en-US" w:eastAsia="zh-CN"/>
        </w:rPr>
        <w:t>8</w:t>
      </w:r>
      <w:r>
        <w:rPr>
          <w:rFonts w:hint="eastAsia" w:ascii="宋体" w:hAnsi="宋体"/>
          <w:color w:val="auto"/>
          <w:szCs w:val="21"/>
          <w:highlight w:val="none"/>
          <w:u w:val="single"/>
        </w:rPr>
        <w:t>.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进入定标阶段的前</w:t>
      </w:r>
      <w:r>
        <w:rPr>
          <w:rFonts w:hint="eastAsia" w:ascii="宋体" w:hAnsi="宋体"/>
          <w:color w:val="auto"/>
          <w:szCs w:val="21"/>
          <w:highlight w:val="none"/>
          <w:u w:val="single"/>
          <w:lang w:val="en-US" w:eastAsia="zh-CN"/>
        </w:rPr>
        <w:t>10</w:t>
      </w:r>
      <w:r>
        <w:rPr>
          <w:rFonts w:hint="eastAsia" w:ascii="宋体" w:hAnsi="宋体"/>
          <w:color w:val="auto"/>
          <w:szCs w:val="21"/>
          <w:highlight w:val="none"/>
          <w:u w:val="single"/>
        </w:rPr>
        <w:t>名次不排序的入围定标阶段的候选人（若前</w:t>
      </w:r>
      <w:r>
        <w:rPr>
          <w:rFonts w:hint="eastAsia" w:ascii="宋体" w:hAnsi="宋体"/>
          <w:color w:val="auto"/>
          <w:szCs w:val="21"/>
          <w:highlight w:val="none"/>
          <w:u w:val="single"/>
          <w:lang w:val="en-US" w:eastAsia="zh-CN"/>
        </w:rPr>
        <w:t>10</w:t>
      </w:r>
      <w:r>
        <w:rPr>
          <w:rFonts w:hint="eastAsia" w:ascii="宋体" w:hAnsi="宋体"/>
          <w:color w:val="auto"/>
          <w:szCs w:val="21"/>
          <w:highlight w:val="none"/>
          <w:u w:val="single"/>
        </w:rPr>
        <w:t>名次的候选人中存在综合得分相同的，则综合得分相同的所有前</w:t>
      </w:r>
      <w:r>
        <w:rPr>
          <w:rFonts w:hint="eastAsia" w:ascii="宋体" w:hAnsi="宋体"/>
          <w:color w:val="auto"/>
          <w:szCs w:val="21"/>
          <w:highlight w:val="none"/>
          <w:u w:val="single"/>
          <w:lang w:val="en-US" w:eastAsia="zh-CN"/>
        </w:rPr>
        <w:t>10</w:t>
      </w:r>
      <w:r>
        <w:rPr>
          <w:rFonts w:hint="eastAsia" w:ascii="宋体" w:hAnsi="宋体"/>
          <w:color w:val="auto"/>
          <w:szCs w:val="21"/>
          <w:highlight w:val="none"/>
          <w:u w:val="single"/>
        </w:rPr>
        <w:t>名次的候选人均进入定标阶段，若前</w:t>
      </w:r>
      <w:r>
        <w:rPr>
          <w:rFonts w:hint="eastAsia" w:ascii="宋体" w:hAnsi="宋体"/>
          <w:color w:val="auto"/>
          <w:szCs w:val="21"/>
          <w:highlight w:val="none"/>
          <w:u w:val="single"/>
          <w:lang w:val="en-US" w:eastAsia="zh-CN"/>
        </w:rPr>
        <w:t>10</w:t>
      </w:r>
      <w:r>
        <w:rPr>
          <w:rFonts w:hint="eastAsia" w:ascii="宋体" w:hAnsi="宋体"/>
          <w:color w:val="auto"/>
          <w:szCs w:val="21"/>
          <w:highlight w:val="none"/>
          <w:u w:val="single"/>
        </w:rPr>
        <w:t>名次的家数大于等于3家且小于等于</w:t>
      </w:r>
      <w:r>
        <w:rPr>
          <w:rFonts w:hint="eastAsia" w:ascii="宋体" w:hAnsi="宋体"/>
          <w:color w:val="auto"/>
          <w:szCs w:val="21"/>
          <w:highlight w:val="none"/>
          <w:u w:val="single"/>
          <w:lang w:val="en-US" w:eastAsia="zh-CN"/>
        </w:rPr>
        <w:t>10</w:t>
      </w:r>
      <w:r>
        <w:rPr>
          <w:rFonts w:hint="eastAsia" w:ascii="宋体" w:hAnsi="宋体"/>
          <w:color w:val="auto"/>
          <w:szCs w:val="21"/>
          <w:highlight w:val="none"/>
          <w:u w:val="single"/>
        </w:rPr>
        <w:t>家的，则取全部候选人进入定标阶段），经济标有效性审查结束。</w:t>
      </w:r>
    </w:p>
    <w:p w14:paraId="6582C949">
      <w:pPr>
        <w:pBdr>
          <w:bottom w:val="single" w:color="auto" w:sz="4" w:space="0"/>
        </w:pBdr>
        <w:spacing w:line="360" w:lineRule="auto"/>
        <w:ind w:firstLine="420" w:firstLineChars="200"/>
        <w:rPr>
          <w:rFonts w:hint="eastAsia" w:ascii="宋体" w:hAnsi="宋体" w:cs="宋体"/>
          <w:b/>
          <w:bCs/>
          <w:color w:val="auto"/>
          <w:sz w:val="21"/>
          <w:szCs w:val="21"/>
          <w:highlight w:val="none"/>
          <w:u w:val="single"/>
        </w:rPr>
      </w:pPr>
      <w:r>
        <w:rPr>
          <w:rFonts w:hint="eastAsia" w:ascii="宋体" w:hAnsi="宋体" w:cs="宋体"/>
          <w:color w:val="auto"/>
          <w:sz w:val="21"/>
          <w:szCs w:val="21"/>
          <w:highlight w:val="none"/>
        </w:rPr>
        <w:t>4</w:t>
      </w:r>
      <w:r>
        <w:rPr>
          <w:rFonts w:hint="eastAsia" w:ascii="宋体" w:hAnsi="宋体" w:cs="宋体"/>
          <w:color w:val="auto"/>
          <w:sz w:val="21"/>
          <w:szCs w:val="21"/>
          <w:highlight w:val="none"/>
          <w:lang w:val="en-US" w:eastAsia="zh-CN"/>
        </w:rPr>
        <w:t>9</w:t>
      </w:r>
      <w:r>
        <w:rPr>
          <w:rFonts w:hint="eastAsia" w:ascii="宋体" w:hAnsi="宋体" w:cs="宋体"/>
          <w:color w:val="auto"/>
          <w:sz w:val="21"/>
          <w:szCs w:val="21"/>
          <w:highlight w:val="none"/>
        </w:rPr>
        <w:t>.</w:t>
      </w:r>
      <w:r>
        <w:rPr>
          <w:rFonts w:hint="eastAsia" w:ascii="宋体" w:hAnsi="宋体"/>
          <w:color w:val="auto"/>
          <w:szCs w:val="21"/>
          <w:highlight w:val="none"/>
          <w:u w:val="single"/>
        </w:rPr>
        <w:t>评标委员会应在通过投标文件经济标有效性审查的投标人中，按综合得分从高到低进行排序（综合得分相同的则名次并列占用名次），推荐排序位于前</w:t>
      </w:r>
      <w:r>
        <w:rPr>
          <w:rFonts w:hint="eastAsia" w:ascii="宋体" w:hAnsi="宋体"/>
          <w:color w:val="auto"/>
          <w:szCs w:val="21"/>
          <w:highlight w:val="none"/>
          <w:u w:val="single"/>
          <w:lang w:val="en-US" w:eastAsia="zh-CN"/>
        </w:rPr>
        <w:t>10</w:t>
      </w:r>
      <w:r>
        <w:rPr>
          <w:rFonts w:hint="eastAsia" w:ascii="宋体" w:hAnsi="宋体"/>
          <w:color w:val="auto"/>
          <w:szCs w:val="21"/>
          <w:highlight w:val="none"/>
          <w:u w:val="single"/>
        </w:rPr>
        <w:t>名次不排序的入围定标阶段的候选人进入定标阶段（若前</w:t>
      </w:r>
      <w:r>
        <w:rPr>
          <w:rFonts w:hint="eastAsia" w:ascii="宋体" w:hAnsi="宋体"/>
          <w:color w:val="auto"/>
          <w:szCs w:val="21"/>
          <w:highlight w:val="none"/>
          <w:u w:val="single"/>
          <w:lang w:val="en-US" w:eastAsia="zh-CN"/>
        </w:rPr>
        <w:t>10</w:t>
      </w:r>
      <w:r>
        <w:rPr>
          <w:rFonts w:hint="eastAsia" w:ascii="宋体" w:hAnsi="宋体"/>
          <w:color w:val="auto"/>
          <w:szCs w:val="21"/>
          <w:highlight w:val="none"/>
          <w:u w:val="single"/>
        </w:rPr>
        <w:t>名次的候选人中存在综合得分相同的，则综合得分相同的所有前</w:t>
      </w:r>
      <w:r>
        <w:rPr>
          <w:rFonts w:hint="eastAsia" w:ascii="宋体" w:hAnsi="宋体"/>
          <w:color w:val="auto"/>
          <w:szCs w:val="21"/>
          <w:highlight w:val="none"/>
          <w:u w:val="single"/>
          <w:lang w:val="en-US" w:eastAsia="zh-CN"/>
        </w:rPr>
        <w:t>10</w:t>
      </w:r>
      <w:r>
        <w:rPr>
          <w:rFonts w:hint="eastAsia" w:ascii="宋体" w:hAnsi="宋体"/>
          <w:color w:val="auto"/>
          <w:szCs w:val="21"/>
          <w:highlight w:val="none"/>
          <w:u w:val="single"/>
        </w:rPr>
        <w:t>名次的候选人均进入定标阶段，若前</w:t>
      </w:r>
      <w:r>
        <w:rPr>
          <w:rFonts w:hint="eastAsia" w:ascii="宋体" w:hAnsi="宋体"/>
          <w:color w:val="auto"/>
          <w:szCs w:val="21"/>
          <w:highlight w:val="none"/>
          <w:u w:val="single"/>
          <w:lang w:val="en-US" w:eastAsia="zh-CN"/>
        </w:rPr>
        <w:t>10</w:t>
      </w:r>
      <w:r>
        <w:rPr>
          <w:rFonts w:hint="eastAsia" w:ascii="宋体" w:hAnsi="宋体"/>
          <w:color w:val="auto"/>
          <w:szCs w:val="21"/>
          <w:highlight w:val="none"/>
          <w:u w:val="single"/>
        </w:rPr>
        <w:t>名次的家数大于等于3家且小于等于</w:t>
      </w:r>
      <w:r>
        <w:rPr>
          <w:rFonts w:hint="eastAsia" w:ascii="宋体" w:hAnsi="宋体"/>
          <w:color w:val="auto"/>
          <w:szCs w:val="21"/>
          <w:highlight w:val="none"/>
          <w:u w:val="single"/>
          <w:lang w:val="en-US" w:eastAsia="zh-CN"/>
        </w:rPr>
        <w:t>10</w:t>
      </w:r>
      <w:r>
        <w:rPr>
          <w:rFonts w:hint="eastAsia" w:ascii="宋体" w:hAnsi="宋体"/>
          <w:color w:val="auto"/>
          <w:szCs w:val="21"/>
          <w:highlight w:val="none"/>
          <w:u w:val="single"/>
        </w:rPr>
        <w:t>家的，则取全部候选人进入定标阶段）。并编制评标报告。</w:t>
      </w:r>
    </w:p>
    <w:p w14:paraId="256A1FCB">
      <w:pPr>
        <w:pBdr>
          <w:bottom w:val="single" w:color="auto" w:sz="4" w:space="0"/>
        </w:pBdr>
        <w:spacing w:line="360" w:lineRule="auto"/>
        <w:ind w:firstLine="422" w:firstLineChars="200"/>
        <w:rPr>
          <w:rFonts w:hint="eastAsia" w:ascii="宋体" w:hAnsi="宋体" w:eastAsia="宋体" w:cs="宋体"/>
          <w:b/>
          <w:bCs/>
          <w:color w:val="auto"/>
          <w:sz w:val="21"/>
          <w:szCs w:val="21"/>
          <w:highlight w:val="none"/>
          <w:lang w:eastAsia="zh-CN"/>
        </w:rPr>
      </w:pPr>
      <w:r>
        <w:rPr>
          <w:rFonts w:hint="eastAsia" w:ascii="宋体" w:hAnsi="宋体" w:cs="宋体"/>
          <w:b/>
          <w:bCs/>
          <w:color w:val="auto"/>
          <w:sz w:val="21"/>
          <w:szCs w:val="21"/>
          <w:highlight w:val="none"/>
          <w:u w:val="single"/>
        </w:rPr>
        <w:t>注：综合得分排序仅作为推荐入围定标阶段的依据，不作为定标阶段确定中标人的依据。</w:t>
      </w:r>
    </w:p>
    <w:p w14:paraId="5F24FB4F">
      <w:pPr>
        <w:spacing w:line="360" w:lineRule="auto"/>
        <w:ind w:firstLine="472" w:firstLineChars="224"/>
        <w:rPr>
          <w:rFonts w:hint="eastAsia" w:ascii="宋体" w:hAnsi="宋体" w:cs="宋体"/>
          <w:b/>
          <w:color w:val="auto"/>
          <w:szCs w:val="21"/>
          <w:highlight w:val="none"/>
        </w:rPr>
      </w:pPr>
      <w:r>
        <w:rPr>
          <w:rFonts w:hint="eastAsia" w:ascii="宋体" w:hAnsi="宋体" w:cs="宋体"/>
          <w:b/>
          <w:color w:val="auto"/>
          <w:szCs w:val="21"/>
          <w:highlight w:val="none"/>
        </w:rPr>
        <w:t>条款号：附表一             修改类型：修改</w:t>
      </w:r>
    </w:p>
    <w:p w14:paraId="4A2FA2A7">
      <w:pPr>
        <w:spacing w:line="360" w:lineRule="auto"/>
        <w:ind w:firstLine="472" w:firstLineChars="224"/>
        <w:rPr>
          <w:rFonts w:hint="eastAsia"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《资格审查表》</w:t>
      </w:r>
    </w:p>
    <w:p w14:paraId="199AA60C">
      <w:pPr>
        <w:pBdr>
          <w:bottom w:val="single" w:color="auto" w:sz="6" w:space="1"/>
        </w:pBdr>
        <w:spacing w:line="360" w:lineRule="auto"/>
        <w:ind w:firstLine="527" w:firstLineChars="250"/>
        <w:rPr>
          <w:rFonts w:hint="eastAsia"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详见修改《资格审查表》</w:t>
      </w:r>
    </w:p>
    <w:p w14:paraId="313B580E">
      <w:pPr>
        <w:spacing w:line="360" w:lineRule="auto"/>
        <w:ind w:firstLine="472" w:firstLineChars="224"/>
        <w:rPr>
          <w:rFonts w:hint="eastAsia" w:ascii="宋体" w:hAnsi="宋体" w:cs="宋体"/>
          <w:b/>
          <w:color w:val="auto"/>
          <w:szCs w:val="21"/>
          <w:highlight w:val="none"/>
        </w:rPr>
      </w:pPr>
      <w:r>
        <w:rPr>
          <w:rFonts w:hint="eastAsia" w:ascii="宋体" w:hAnsi="宋体" w:cs="宋体"/>
          <w:b/>
          <w:color w:val="auto"/>
          <w:szCs w:val="21"/>
          <w:highlight w:val="none"/>
        </w:rPr>
        <w:t>条款号：附表二             修改类型：修改</w:t>
      </w:r>
    </w:p>
    <w:p w14:paraId="13FCB8FA">
      <w:pPr>
        <w:pBdr>
          <w:bottom w:val="single" w:color="auto" w:sz="6" w:space="1"/>
        </w:pBdr>
        <w:spacing w:line="360" w:lineRule="auto"/>
        <w:ind w:firstLine="527" w:firstLineChars="250"/>
        <w:rPr>
          <w:rFonts w:hint="eastAsia" w:ascii="宋体" w:hAnsi="宋体" w:cs="宋体"/>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《技术标有效性审查表》</w:t>
      </w:r>
    </w:p>
    <w:p w14:paraId="4A2B2824">
      <w:pPr>
        <w:pBdr>
          <w:bottom w:val="single" w:color="auto" w:sz="6" w:space="1"/>
        </w:pBdr>
        <w:spacing w:line="360" w:lineRule="auto"/>
        <w:ind w:firstLine="527" w:firstLineChars="250"/>
        <w:rPr>
          <w:rFonts w:hint="eastAsia"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详见修改《技术标有效性审查表》</w:t>
      </w:r>
    </w:p>
    <w:p w14:paraId="6C77E21C">
      <w:pPr>
        <w:spacing w:line="360" w:lineRule="auto"/>
        <w:ind w:firstLine="472" w:firstLineChars="224"/>
        <w:rPr>
          <w:rFonts w:hint="eastAsia" w:ascii="宋体" w:hAnsi="宋体" w:cs="宋体"/>
          <w:b/>
          <w:color w:val="auto"/>
          <w:szCs w:val="21"/>
          <w:highlight w:val="none"/>
        </w:rPr>
      </w:pPr>
      <w:r>
        <w:rPr>
          <w:rFonts w:hint="eastAsia" w:ascii="宋体" w:hAnsi="宋体" w:cs="宋体"/>
          <w:b/>
          <w:color w:val="auto"/>
          <w:szCs w:val="21"/>
          <w:highlight w:val="none"/>
        </w:rPr>
        <w:t>条款号：附表三           修改类型：修改</w:t>
      </w:r>
    </w:p>
    <w:p w14:paraId="0CB54F92">
      <w:pPr>
        <w:pBdr>
          <w:bottom w:val="single" w:color="auto" w:sz="6" w:space="1"/>
        </w:pBdr>
        <w:spacing w:line="360" w:lineRule="auto"/>
        <w:ind w:firstLine="527" w:firstLineChars="250"/>
        <w:rPr>
          <w:rFonts w:hint="eastAsia"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《经济标有效性审查表》</w:t>
      </w:r>
    </w:p>
    <w:p w14:paraId="31AE11A1">
      <w:pPr>
        <w:pBdr>
          <w:bottom w:val="single" w:color="auto" w:sz="6" w:space="1"/>
        </w:pBdr>
        <w:spacing w:line="360" w:lineRule="auto"/>
        <w:ind w:firstLine="422" w:firstLineChars="200"/>
        <w:rPr>
          <w:rFonts w:hint="eastAsia" w:ascii="宋体" w:hAnsi="宋体" w:cs="宋体"/>
          <w:b/>
          <w:color w:val="auto"/>
          <w:szCs w:val="21"/>
          <w:highlight w:val="none"/>
        </w:rPr>
      </w:pPr>
      <w:r>
        <w:rPr>
          <w:rFonts w:hint="eastAsia" w:ascii="宋体" w:hAnsi="宋体" w:cs="宋体"/>
          <w:b/>
          <w:color w:val="auto"/>
          <w:szCs w:val="21"/>
          <w:highlight w:val="none"/>
        </w:rPr>
        <w:t>现文：</w:t>
      </w:r>
      <w:r>
        <w:rPr>
          <w:rFonts w:hint="eastAsia" w:ascii="宋体" w:hAnsi="宋体" w:cs="宋体"/>
          <w:color w:val="auto"/>
          <w:szCs w:val="21"/>
          <w:highlight w:val="none"/>
        </w:rPr>
        <w:t>详见修改《经济标有效性审查表》</w:t>
      </w:r>
    </w:p>
    <w:p w14:paraId="68CED8B2">
      <w:pPr>
        <w:pBdr>
          <w:bottom w:val="single" w:color="auto" w:sz="4" w:space="0"/>
        </w:pBdr>
        <w:spacing w:line="360" w:lineRule="auto"/>
        <w:ind w:firstLine="472" w:firstLineChars="224"/>
        <w:rPr>
          <w:rFonts w:hint="eastAsia" w:ascii="宋体" w:hAnsi="宋体" w:cs="宋体"/>
          <w:b/>
          <w:color w:val="auto"/>
          <w:szCs w:val="21"/>
          <w:highlight w:val="none"/>
        </w:rPr>
      </w:pPr>
      <w:r>
        <w:rPr>
          <w:rFonts w:hint="eastAsia" w:ascii="宋体" w:hAnsi="宋体" w:cs="宋体"/>
          <w:b/>
          <w:color w:val="auto"/>
          <w:szCs w:val="21"/>
          <w:highlight w:val="none"/>
        </w:rPr>
        <w:t>条款号：附件一            修改类型：删除</w:t>
      </w:r>
    </w:p>
    <w:p w14:paraId="0A16E9EB">
      <w:pPr>
        <w:pBdr>
          <w:bottom w:val="single" w:color="auto" w:sz="4" w:space="0"/>
        </w:pBdr>
        <w:spacing w:line="360" w:lineRule="auto"/>
        <w:ind w:firstLine="472" w:firstLineChars="224"/>
        <w:rPr>
          <w:rFonts w:hint="eastAsia" w:ascii="宋体" w:hAnsi="宋体" w:cs="宋体"/>
          <w:b/>
          <w:color w:val="auto"/>
          <w:szCs w:val="21"/>
          <w:highlight w:val="none"/>
        </w:rPr>
      </w:pPr>
      <w:r>
        <w:rPr>
          <w:rFonts w:hint="eastAsia" w:ascii="宋体" w:hAnsi="宋体" w:cs="宋体"/>
          <w:b/>
          <w:color w:val="auto"/>
          <w:szCs w:val="21"/>
          <w:highlight w:val="none"/>
        </w:rPr>
        <w:t>原文：</w:t>
      </w:r>
      <w:r>
        <w:rPr>
          <w:rFonts w:hint="eastAsia" w:ascii="宋体" w:hAnsi="宋体" w:cs="宋体"/>
          <w:color w:val="auto"/>
          <w:szCs w:val="21"/>
          <w:highlight w:val="none"/>
        </w:rPr>
        <w:t>附件一（适用于技术标与经济标分别开启）</w:t>
      </w:r>
    </w:p>
    <w:p w14:paraId="5E23C4FC">
      <w:pPr>
        <w:spacing w:line="360" w:lineRule="auto"/>
        <w:ind w:firstLine="211" w:firstLineChars="100"/>
        <w:rPr>
          <w:rFonts w:hint="eastAsia" w:ascii="宋体" w:hAnsi="宋体" w:cs="宋体"/>
          <w:b/>
          <w:color w:val="auto"/>
          <w:szCs w:val="21"/>
          <w:highlight w:val="none"/>
        </w:rPr>
      </w:pPr>
      <w:r>
        <w:rPr>
          <w:rFonts w:hint="eastAsia" w:ascii="宋体" w:hAnsi="宋体" w:cs="宋体"/>
          <w:b/>
          <w:color w:val="auto"/>
          <w:szCs w:val="21"/>
          <w:highlight w:val="none"/>
        </w:rPr>
        <w:t>注：以上修改，仅限于本范本中有可供选择条款的情形。</w:t>
      </w:r>
    </w:p>
    <w:p w14:paraId="54E06BCF">
      <w:pPr>
        <w:spacing w:line="360" w:lineRule="auto"/>
        <w:rPr>
          <w:rFonts w:hint="eastAsia" w:ascii="宋体" w:hAnsi="宋体" w:cs="宋体"/>
          <w:color w:val="auto"/>
          <w:highlight w:val="none"/>
        </w:rPr>
      </w:pPr>
      <w:r>
        <w:rPr>
          <w:rFonts w:hint="eastAsia" w:ascii="宋体" w:hAnsi="宋体" w:cs="宋体"/>
          <w:b/>
          <w:color w:val="auto"/>
          <w:szCs w:val="21"/>
          <w:highlight w:val="none"/>
        </w:rPr>
        <w:t>（以下无正文）</w:t>
      </w:r>
    </w:p>
    <w:p w14:paraId="69EA061D">
      <w:pPr>
        <w:pStyle w:val="9"/>
        <w:spacing w:line="360" w:lineRule="auto"/>
        <w:rPr>
          <w:color w:val="auto"/>
          <w:highlight w:val="none"/>
        </w:rPr>
      </w:pPr>
      <w:r>
        <w:rPr>
          <w:color w:val="auto"/>
          <w:highlight w:val="none"/>
        </w:rPr>
        <w:br w:type="page"/>
      </w:r>
    </w:p>
    <w:p w14:paraId="5AA9F26A">
      <w:pPr>
        <w:pStyle w:val="6"/>
        <w:bidi w:val="0"/>
        <w:rPr>
          <w:color w:val="auto"/>
          <w:highlight w:val="none"/>
        </w:rPr>
      </w:pPr>
      <w:bookmarkStart w:id="66" w:name="_Toc9739"/>
      <w:bookmarkStart w:id="67" w:name="_Toc22136"/>
      <w:bookmarkStart w:id="68" w:name="_Toc21525500"/>
      <w:bookmarkStart w:id="69" w:name="_Toc22241"/>
      <w:bookmarkStart w:id="70" w:name="_Toc2272556"/>
      <w:bookmarkStart w:id="71" w:name="_Toc9828"/>
      <w:r>
        <w:rPr>
          <w:rFonts w:hint="eastAsia"/>
          <w:color w:val="auto"/>
          <w:highlight w:val="none"/>
        </w:rPr>
        <w:t>二、开标、评标及定标办法通用条款</w:t>
      </w:r>
      <w:bookmarkEnd w:id="66"/>
      <w:bookmarkEnd w:id="67"/>
      <w:bookmarkEnd w:id="68"/>
      <w:bookmarkEnd w:id="69"/>
      <w:bookmarkEnd w:id="70"/>
      <w:bookmarkEnd w:id="71"/>
    </w:p>
    <w:p w14:paraId="0CBF6F98">
      <w:pPr>
        <w:pStyle w:val="7"/>
        <w:bidi w:val="0"/>
        <w:ind w:firstLine="480" w:firstLineChars="200"/>
        <w:rPr>
          <w:rFonts w:hint="eastAsia"/>
          <w:color w:val="auto"/>
          <w:highlight w:val="none"/>
          <w:lang w:val="en-US" w:eastAsia="zh-CN"/>
        </w:rPr>
      </w:pPr>
      <w:bookmarkStart w:id="72" w:name="_Toc22396"/>
      <w:bookmarkStart w:id="73" w:name="_Toc24224"/>
      <w:bookmarkStart w:id="74" w:name="_Toc9587"/>
      <w:bookmarkStart w:id="75" w:name="_Toc26489"/>
      <w:r>
        <w:rPr>
          <w:rFonts w:hint="eastAsia"/>
          <w:color w:val="auto"/>
          <w:highlight w:val="none"/>
          <w:lang w:val="en-US" w:eastAsia="zh-CN"/>
        </w:rPr>
        <w:t>（一）总则</w:t>
      </w:r>
      <w:bookmarkEnd w:id="72"/>
      <w:bookmarkEnd w:id="73"/>
      <w:bookmarkEnd w:id="74"/>
    </w:p>
    <w:p w14:paraId="4805FB18">
      <w:pPr>
        <w:bidi w:val="0"/>
        <w:spacing w:line="360" w:lineRule="auto"/>
        <w:ind w:firstLine="480" w:firstLineChars="200"/>
        <w:rPr>
          <w:rFonts w:hint="eastAsia" w:ascii="宋体" w:hAnsi="宋体" w:cs="Times New Roman"/>
          <w:color w:val="auto"/>
          <w:sz w:val="24"/>
          <w:szCs w:val="24"/>
          <w:highlight w:val="none"/>
        </w:rPr>
      </w:pPr>
      <w:r>
        <w:rPr>
          <w:rFonts w:hint="eastAsia" w:ascii="宋体" w:hAnsi="宋体" w:cs="Times New Roman"/>
          <w:color w:val="auto"/>
          <w:sz w:val="24"/>
          <w:szCs w:val="24"/>
          <w:highlight w:val="none"/>
          <w:lang w:val="en-US" w:eastAsia="zh-CN"/>
        </w:rPr>
        <w:t>35.</w:t>
      </w:r>
      <w:r>
        <w:rPr>
          <w:rFonts w:hint="eastAsia" w:ascii="宋体" w:hAnsi="宋体" w:cs="Times New Roman"/>
          <w:color w:val="auto"/>
          <w:sz w:val="24"/>
          <w:szCs w:val="24"/>
          <w:highlight w:val="none"/>
        </w:rPr>
        <w:t>开标、评标及定标所依据的规则</w:t>
      </w:r>
      <w:bookmarkEnd w:id="75"/>
    </w:p>
    <w:p w14:paraId="1FA92D1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en-US" w:eastAsia="zh-CN"/>
        </w:rPr>
        <w:t>35</w:t>
      </w:r>
      <w:r>
        <w:rPr>
          <w:rFonts w:hint="eastAsia" w:ascii="宋体" w:hAnsi="宋体"/>
          <w:color w:val="auto"/>
          <w:sz w:val="24"/>
          <w:szCs w:val="24"/>
          <w:highlight w:val="none"/>
        </w:rPr>
        <w:t>.1《中华人民共和国招标投标法》；</w:t>
      </w:r>
    </w:p>
    <w:p w14:paraId="02B48B4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en-US" w:eastAsia="zh-CN"/>
        </w:rPr>
        <w:t>35</w:t>
      </w:r>
      <w:r>
        <w:rPr>
          <w:rFonts w:ascii="宋体" w:hAnsi="宋体"/>
          <w:color w:val="auto"/>
          <w:sz w:val="24"/>
          <w:szCs w:val="24"/>
          <w:highlight w:val="none"/>
        </w:rPr>
        <w:t>.2</w:t>
      </w:r>
      <w:r>
        <w:rPr>
          <w:rFonts w:hint="eastAsia" w:ascii="宋体" w:hAnsi="宋体"/>
          <w:color w:val="auto"/>
          <w:sz w:val="24"/>
          <w:szCs w:val="24"/>
          <w:highlight w:val="none"/>
        </w:rPr>
        <w:t>《中华人民共和国招标投标法实施条例》；</w:t>
      </w:r>
    </w:p>
    <w:p w14:paraId="2D07646B">
      <w:pP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35</w:t>
      </w:r>
      <w:r>
        <w:rPr>
          <w:rFonts w:ascii="宋体" w:hAnsi="宋体"/>
          <w:color w:val="auto"/>
          <w:sz w:val="24"/>
          <w:szCs w:val="24"/>
          <w:highlight w:val="none"/>
        </w:rPr>
        <w:t>.3</w:t>
      </w:r>
      <w:r>
        <w:rPr>
          <w:rFonts w:hint="eastAsia" w:ascii="宋体" w:hAnsi="宋体"/>
          <w:color w:val="auto"/>
          <w:sz w:val="24"/>
          <w:szCs w:val="24"/>
          <w:highlight w:val="none"/>
        </w:rPr>
        <w:t>《评标委员会和评标方法暂行规定》（七部委第</w:t>
      </w:r>
      <w:r>
        <w:rPr>
          <w:rFonts w:ascii="宋体" w:hAnsi="宋体"/>
          <w:color w:val="auto"/>
          <w:sz w:val="24"/>
          <w:szCs w:val="24"/>
          <w:highlight w:val="none"/>
        </w:rPr>
        <w:t>12</w:t>
      </w:r>
      <w:r>
        <w:rPr>
          <w:rFonts w:hint="eastAsia" w:ascii="宋体" w:hAnsi="宋体"/>
          <w:color w:val="auto"/>
          <w:sz w:val="24"/>
          <w:szCs w:val="24"/>
          <w:highlight w:val="none"/>
        </w:rPr>
        <w:t>号令）</w:t>
      </w:r>
      <w:r>
        <w:rPr>
          <w:rFonts w:hint="eastAsia" w:ascii="宋体" w:hAnsi="宋体"/>
          <w:color w:val="auto"/>
          <w:sz w:val="24"/>
          <w:szCs w:val="24"/>
          <w:highlight w:val="none"/>
          <w:lang w:eastAsia="zh-CN"/>
        </w:rPr>
        <w:t>；</w:t>
      </w:r>
    </w:p>
    <w:p w14:paraId="4CA7455E">
      <w:pP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35</w:t>
      </w:r>
      <w:r>
        <w:rPr>
          <w:rFonts w:ascii="宋体" w:hAnsi="宋体"/>
          <w:color w:val="auto"/>
          <w:sz w:val="24"/>
          <w:szCs w:val="24"/>
          <w:highlight w:val="none"/>
        </w:rPr>
        <w:t>.4</w:t>
      </w:r>
      <w:r>
        <w:rPr>
          <w:rFonts w:hint="eastAsia" w:ascii="宋体" w:hAnsi="宋体"/>
          <w:color w:val="auto"/>
          <w:sz w:val="24"/>
          <w:szCs w:val="24"/>
          <w:highlight w:val="none"/>
        </w:rPr>
        <w:t>《工程建设项目施工招标投标办法》（七部委</w:t>
      </w:r>
      <w:r>
        <w:rPr>
          <w:rFonts w:ascii="宋体" w:hAnsi="宋体"/>
          <w:color w:val="auto"/>
          <w:sz w:val="24"/>
          <w:szCs w:val="24"/>
          <w:highlight w:val="none"/>
        </w:rPr>
        <w:t>2003</w:t>
      </w:r>
      <w:r>
        <w:rPr>
          <w:rFonts w:hint="eastAsia" w:ascii="宋体" w:hAnsi="宋体"/>
          <w:color w:val="auto"/>
          <w:sz w:val="24"/>
          <w:szCs w:val="24"/>
          <w:highlight w:val="none"/>
        </w:rPr>
        <w:t>年第</w:t>
      </w:r>
      <w:r>
        <w:rPr>
          <w:rFonts w:ascii="宋体" w:hAnsi="宋体"/>
          <w:color w:val="auto"/>
          <w:sz w:val="24"/>
          <w:szCs w:val="24"/>
          <w:highlight w:val="none"/>
        </w:rPr>
        <w:t>30</w:t>
      </w:r>
      <w:r>
        <w:rPr>
          <w:rFonts w:hint="eastAsia" w:ascii="宋体" w:hAnsi="宋体"/>
          <w:color w:val="auto"/>
          <w:sz w:val="24"/>
          <w:szCs w:val="24"/>
          <w:highlight w:val="none"/>
        </w:rPr>
        <w:t>号令）</w:t>
      </w:r>
      <w:r>
        <w:rPr>
          <w:rFonts w:hint="eastAsia" w:ascii="宋体" w:hAnsi="宋体"/>
          <w:color w:val="auto"/>
          <w:sz w:val="24"/>
          <w:szCs w:val="24"/>
          <w:highlight w:val="none"/>
          <w:lang w:eastAsia="zh-CN"/>
        </w:rPr>
        <w:t>；</w:t>
      </w:r>
    </w:p>
    <w:p w14:paraId="72C48F21">
      <w:pPr>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35</w:t>
      </w:r>
      <w:r>
        <w:rPr>
          <w:rFonts w:ascii="宋体" w:hAnsi="宋体"/>
          <w:color w:val="auto"/>
          <w:sz w:val="24"/>
          <w:szCs w:val="24"/>
          <w:highlight w:val="none"/>
        </w:rPr>
        <w:t>.5</w:t>
      </w:r>
      <w:r>
        <w:rPr>
          <w:rFonts w:hint="eastAsia" w:ascii="宋体" w:hAnsi="宋体"/>
          <w:color w:val="auto"/>
          <w:sz w:val="24"/>
          <w:szCs w:val="24"/>
          <w:highlight w:val="none"/>
          <w:lang w:eastAsia="zh-CN"/>
        </w:rPr>
        <w:t>《电子招标投标办法</w:t>
      </w:r>
      <w:r>
        <w:rPr>
          <w:rFonts w:hint="eastAsia" w:ascii="宋体" w:hAnsi="宋体"/>
          <w:color w:val="auto"/>
          <w:sz w:val="24"/>
          <w:szCs w:val="24"/>
          <w:highlight w:val="none"/>
          <w:lang w:val="en-US" w:eastAsia="zh-CN"/>
        </w:rPr>
        <w:t>》；</w:t>
      </w:r>
    </w:p>
    <w:p w14:paraId="22E55B5F">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en-US" w:eastAsia="zh-CN"/>
        </w:rPr>
        <w:t>35.6</w:t>
      </w:r>
      <w:r>
        <w:rPr>
          <w:rFonts w:hint="eastAsia" w:ascii="宋体" w:hAnsi="宋体"/>
          <w:color w:val="auto"/>
          <w:sz w:val="24"/>
          <w:szCs w:val="24"/>
          <w:highlight w:val="none"/>
        </w:rPr>
        <w:t>《广东省实施〈中华人民共和国招标投标法〉办法》；</w:t>
      </w:r>
    </w:p>
    <w:p w14:paraId="298C206E">
      <w:pP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35</w:t>
      </w:r>
      <w:r>
        <w:rPr>
          <w:rFonts w:ascii="宋体" w:hAnsi="宋体"/>
          <w:color w:val="auto"/>
          <w:sz w:val="24"/>
          <w:szCs w:val="24"/>
          <w:highlight w:val="none"/>
        </w:rPr>
        <w:t>.</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《房屋建筑和市政基础设施工程施工招标投标管理办法》（建设部令第</w:t>
      </w:r>
      <w:r>
        <w:rPr>
          <w:rFonts w:ascii="宋体" w:hAnsi="宋体"/>
          <w:color w:val="auto"/>
          <w:sz w:val="24"/>
          <w:szCs w:val="24"/>
          <w:highlight w:val="none"/>
        </w:rPr>
        <w:t>89</w:t>
      </w:r>
      <w:r>
        <w:rPr>
          <w:rFonts w:hint="eastAsia" w:ascii="宋体" w:hAnsi="宋体"/>
          <w:color w:val="auto"/>
          <w:sz w:val="24"/>
          <w:szCs w:val="24"/>
          <w:highlight w:val="none"/>
        </w:rPr>
        <w:t>号）</w:t>
      </w:r>
      <w:r>
        <w:rPr>
          <w:rFonts w:hint="eastAsia" w:ascii="宋体" w:hAnsi="宋体"/>
          <w:color w:val="auto"/>
          <w:sz w:val="24"/>
          <w:szCs w:val="24"/>
          <w:highlight w:val="none"/>
          <w:lang w:eastAsia="zh-CN"/>
        </w:rPr>
        <w:t>；</w:t>
      </w:r>
    </w:p>
    <w:p w14:paraId="7143BA68">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en-US" w:eastAsia="zh-CN"/>
        </w:rPr>
        <w:t>35</w:t>
      </w:r>
      <w:r>
        <w:rPr>
          <w:rFonts w:ascii="宋体" w:hAnsi="宋体"/>
          <w:color w:val="auto"/>
          <w:sz w:val="24"/>
          <w:szCs w:val="24"/>
          <w:highlight w:val="none"/>
        </w:rPr>
        <w:t>.</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rPr>
        <w:t>《广东省加强建设工程招标投标监督管理的若干规定》（粤发[2004]4号）；</w:t>
      </w:r>
    </w:p>
    <w:p w14:paraId="47E183AF">
      <w:pPr>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35</w:t>
      </w:r>
      <w:r>
        <w:rPr>
          <w:rFonts w:ascii="宋体" w:hAnsi="宋体"/>
          <w:color w:val="auto"/>
          <w:sz w:val="24"/>
          <w:szCs w:val="24"/>
          <w:highlight w:val="none"/>
        </w:rPr>
        <w:t>.</w:t>
      </w:r>
      <w:r>
        <w:rPr>
          <w:rFonts w:hint="eastAsia" w:ascii="宋体" w:hAnsi="宋体"/>
          <w:color w:val="auto"/>
          <w:sz w:val="24"/>
          <w:szCs w:val="24"/>
          <w:highlight w:val="none"/>
          <w:lang w:val="en-US" w:eastAsia="zh-CN"/>
        </w:rPr>
        <w:t>9</w:t>
      </w:r>
      <w:r>
        <w:rPr>
          <w:rFonts w:hint="eastAsia" w:ascii="宋体" w:hAnsi="宋体" w:eastAsia="宋体"/>
          <w:color w:val="auto"/>
          <w:sz w:val="24"/>
          <w:szCs w:val="24"/>
          <w:highlight w:val="none"/>
        </w:rPr>
        <w:t>《广州市工程建设项目招标投标管理办法》（穗建规字〔</w:t>
      </w:r>
      <w:r>
        <w:rPr>
          <w:rFonts w:ascii="宋体" w:hAnsi="宋体" w:eastAsia="宋体"/>
          <w:color w:val="auto"/>
          <w:sz w:val="24"/>
          <w:szCs w:val="24"/>
          <w:highlight w:val="none"/>
        </w:rPr>
        <w:t>2023</w:t>
      </w:r>
      <w:r>
        <w:rPr>
          <w:rFonts w:hint="eastAsia" w:ascii="宋体" w:hAnsi="宋体" w:eastAsia="宋体"/>
          <w:color w:val="auto"/>
          <w:sz w:val="24"/>
          <w:szCs w:val="24"/>
          <w:highlight w:val="none"/>
        </w:rPr>
        <w:t>〕</w:t>
      </w:r>
      <w:r>
        <w:rPr>
          <w:rFonts w:ascii="宋体" w:hAnsi="宋体" w:eastAsia="宋体"/>
          <w:color w:val="auto"/>
          <w:sz w:val="24"/>
          <w:szCs w:val="24"/>
          <w:highlight w:val="none"/>
        </w:rPr>
        <w:t>12</w:t>
      </w:r>
      <w:r>
        <w:rPr>
          <w:rFonts w:hint="eastAsia" w:ascii="宋体" w:hAnsi="宋体" w:eastAsia="宋体"/>
          <w:color w:val="auto"/>
          <w:sz w:val="24"/>
          <w:szCs w:val="24"/>
          <w:highlight w:val="none"/>
        </w:rPr>
        <w:t>号）</w:t>
      </w:r>
      <w:r>
        <w:rPr>
          <w:rFonts w:hint="eastAsia" w:ascii="宋体" w:hAnsi="宋体"/>
          <w:color w:val="auto"/>
          <w:sz w:val="24"/>
          <w:szCs w:val="24"/>
          <w:highlight w:val="none"/>
        </w:rPr>
        <w:t>。</w:t>
      </w:r>
    </w:p>
    <w:p w14:paraId="428B8816">
      <w:pPr>
        <w:spacing w:line="360" w:lineRule="auto"/>
        <w:ind w:firstLine="482" w:firstLineChars="200"/>
        <w:rPr>
          <w:rFonts w:hint="eastAsia" w:ascii="宋体" w:hAnsi="宋体" w:eastAsia="宋体"/>
          <w:b/>
          <w:bCs/>
          <w:color w:val="auto"/>
          <w:sz w:val="24"/>
          <w:szCs w:val="24"/>
          <w:highlight w:val="none"/>
          <w:u w:val="single"/>
          <w:lang w:eastAsia="zh-CN"/>
        </w:rPr>
      </w:pPr>
      <w:r>
        <w:rPr>
          <w:rFonts w:hint="eastAsia" w:ascii="宋体" w:hAnsi="宋体"/>
          <w:b/>
          <w:bCs/>
          <w:color w:val="auto"/>
          <w:sz w:val="24"/>
          <w:szCs w:val="24"/>
          <w:highlight w:val="none"/>
          <w:u w:val="single"/>
        </w:rPr>
        <w:t>35.</w:t>
      </w:r>
      <w:r>
        <w:rPr>
          <w:rFonts w:hint="eastAsia" w:ascii="宋体" w:hAnsi="宋体"/>
          <w:b/>
          <w:bCs/>
          <w:color w:val="auto"/>
          <w:sz w:val="24"/>
          <w:szCs w:val="24"/>
          <w:highlight w:val="none"/>
          <w:u w:val="single"/>
          <w:lang w:val="en-US" w:eastAsia="zh-CN"/>
        </w:rPr>
        <w:t>10</w:t>
      </w:r>
      <w:r>
        <w:rPr>
          <w:rFonts w:hint="eastAsia" w:ascii="宋体" w:hAnsi="宋体"/>
          <w:b/>
          <w:bCs/>
          <w:color w:val="auto"/>
          <w:sz w:val="24"/>
          <w:szCs w:val="24"/>
          <w:highlight w:val="none"/>
          <w:u w:val="single"/>
        </w:rPr>
        <w:t>《财政部 工业和信息化部关于印发〈政府采购促进中小企业发展管理办法〉的通知》（财库〔2020〕46号）</w:t>
      </w:r>
      <w:r>
        <w:rPr>
          <w:rFonts w:hint="eastAsia" w:ascii="宋体" w:hAnsi="宋体"/>
          <w:b/>
          <w:bCs/>
          <w:color w:val="auto"/>
          <w:sz w:val="24"/>
          <w:szCs w:val="24"/>
          <w:highlight w:val="none"/>
          <w:u w:val="single"/>
          <w:lang w:eastAsia="zh-CN"/>
        </w:rPr>
        <w:t>；</w:t>
      </w:r>
    </w:p>
    <w:p w14:paraId="52F8B7AD">
      <w:pPr>
        <w:spacing w:line="360" w:lineRule="auto"/>
        <w:ind w:firstLine="482" w:firstLineChars="200"/>
        <w:rPr>
          <w:rFonts w:hint="eastAsia" w:ascii="宋体" w:hAnsi="宋体"/>
          <w:b/>
          <w:bCs/>
          <w:color w:val="auto"/>
          <w:sz w:val="24"/>
          <w:szCs w:val="24"/>
          <w:highlight w:val="none"/>
          <w:u w:val="single"/>
          <w:lang w:eastAsia="zh-CN"/>
        </w:rPr>
      </w:pPr>
      <w:r>
        <w:rPr>
          <w:rFonts w:hint="eastAsia" w:ascii="宋体" w:hAnsi="宋体"/>
          <w:b/>
          <w:bCs/>
          <w:color w:val="auto"/>
          <w:sz w:val="24"/>
          <w:szCs w:val="24"/>
          <w:highlight w:val="none"/>
          <w:u w:val="single"/>
        </w:rPr>
        <w:t>35.</w:t>
      </w:r>
      <w:r>
        <w:rPr>
          <w:rFonts w:hint="eastAsia" w:ascii="宋体" w:hAnsi="宋体"/>
          <w:b/>
          <w:bCs/>
          <w:color w:val="auto"/>
          <w:sz w:val="24"/>
          <w:szCs w:val="24"/>
          <w:highlight w:val="none"/>
          <w:u w:val="single"/>
          <w:lang w:val="en-US" w:eastAsia="zh-CN"/>
        </w:rPr>
        <w:t>11</w:t>
      </w:r>
      <w:r>
        <w:rPr>
          <w:rFonts w:hint="eastAsia" w:ascii="宋体" w:hAnsi="宋体"/>
          <w:b/>
          <w:bCs/>
          <w:color w:val="auto"/>
          <w:sz w:val="24"/>
          <w:szCs w:val="24"/>
          <w:highlight w:val="none"/>
          <w:u w:val="single"/>
        </w:rPr>
        <w:t>《广东省政府采购促进中小企业发展实施细则（试行）》</w:t>
      </w:r>
      <w:r>
        <w:rPr>
          <w:rFonts w:hint="eastAsia" w:ascii="宋体" w:hAnsi="宋体"/>
          <w:b/>
          <w:bCs/>
          <w:color w:val="auto"/>
          <w:sz w:val="24"/>
          <w:szCs w:val="24"/>
          <w:highlight w:val="none"/>
          <w:u w:val="single"/>
          <w:lang w:eastAsia="zh-CN"/>
        </w:rPr>
        <w:t>；</w:t>
      </w:r>
    </w:p>
    <w:p w14:paraId="6572945C">
      <w:pPr>
        <w:spacing w:line="360" w:lineRule="auto"/>
        <w:ind w:firstLine="482" w:firstLineChars="200"/>
        <w:rPr>
          <w:rFonts w:hint="eastAsia" w:ascii="宋体" w:hAnsi="宋体"/>
          <w:b/>
          <w:bCs/>
          <w:color w:val="auto"/>
          <w:sz w:val="24"/>
          <w:szCs w:val="24"/>
          <w:highlight w:val="none"/>
          <w:u w:val="single"/>
          <w:lang w:eastAsia="zh-CN"/>
        </w:rPr>
      </w:pPr>
      <w:r>
        <w:rPr>
          <w:rFonts w:hint="eastAsia" w:ascii="宋体" w:hAnsi="宋体"/>
          <w:b/>
          <w:bCs/>
          <w:color w:val="auto"/>
          <w:sz w:val="24"/>
          <w:szCs w:val="24"/>
          <w:highlight w:val="none"/>
          <w:u w:val="single"/>
        </w:rPr>
        <w:t>35.1</w:t>
      </w:r>
      <w:r>
        <w:rPr>
          <w:rFonts w:hint="eastAsia" w:ascii="宋体" w:hAnsi="宋体"/>
          <w:b/>
          <w:bCs/>
          <w:color w:val="auto"/>
          <w:sz w:val="24"/>
          <w:szCs w:val="24"/>
          <w:highlight w:val="none"/>
          <w:u w:val="single"/>
          <w:lang w:val="en-US" w:eastAsia="zh-CN"/>
        </w:rPr>
        <w:t>2</w:t>
      </w:r>
      <w:r>
        <w:rPr>
          <w:rFonts w:hint="eastAsia" w:ascii="宋体" w:hAnsi="宋体"/>
          <w:b/>
          <w:bCs/>
          <w:color w:val="auto"/>
          <w:sz w:val="24"/>
          <w:szCs w:val="24"/>
          <w:highlight w:val="none"/>
          <w:u w:val="single"/>
        </w:rPr>
        <w:t>《广州市财政局 广州市工业和信息化局转发广东省财政厅 广东省发展和改革委员会 广东省工业和信息化厅 广东省地方金融监督管理局关于印发&lt;广东省政府采购促进中小企业发展实施细则（试行）&gt;的通知》（穗财采〔2023〕8号）；</w:t>
      </w:r>
    </w:p>
    <w:p w14:paraId="1EAE8220">
      <w:pPr>
        <w:spacing w:line="360" w:lineRule="auto"/>
        <w:ind w:firstLine="482" w:firstLineChars="200"/>
        <w:rPr>
          <w:rFonts w:ascii="宋体" w:hAnsi="宋体"/>
          <w:color w:val="auto"/>
          <w:sz w:val="24"/>
          <w:szCs w:val="24"/>
          <w:highlight w:val="none"/>
        </w:rPr>
      </w:pPr>
      <w:r>
        <w:rPr>
          <w:rFonts w:hint="eastAsia" w:ascii="宋体" w:hAnsi="宋体"/>
          <w:b/>
          <w:bCs/>
          <w:color w:val="auto"/>
          <w:sz w:val="24"/>
          <w:szCs w:val="24"/>
          <w:highlight w:val="none"/>
          <w:u w:val="single"/>
          <w:lang w:val="en-US" w:eastAsia="zh-CN"/>
        </w:rPr>
        <w:t>35</w:t>
      </w:r>
      <w:r>
        <w:rPr>
          <w:rFonts w:hint="eastAsia" w:ascii="宋体" w:hAnsi="宋体"/>
          <w:b/>
          <w:bCs/>
          <w:color w:val="auto"/>
          <w:sz w:val="24"/>
          <w:szCs w:val="24"/>
          <w:highlight w:val="none"/>
          <w:u w:val="single"/>
        </w:rPr>
        <w:t>.</w:t>
      </w:r>
      <w:r>
        <w:rPr>
          <w:rFonts w:hint="eastAsia" w:ascii="宋体" w:hAnsi="宋体"/>
          <w:b/>
          <w:bCs/>
          <w:color w:val="auto"/>
          <w:sz w:val="24"/>
          <w:szCs w:val="24"/>
          <w:highlight w:val="none"/>
          <w:u w:val="single"/>
          <w:lang w:val="en-US" w:eastAsia="zh-CN"/>
        </w:rPr>
        <w:t>13</w:t>
      </w:r>
      <w:r>
        <w:rPr>
          <w:rFonts w:hint="eastAsia" w:ascii="宋体" w:hAnsi="宋体"/>
          <w:color w:val="auto"/>
          <w:sz w:val="24"/>
          <w:szCs w:val="24"/>
          <w:highlight w:val="none"/>
        </w:rPr>
        <w:t>本项目招标文件。</w:t>
      </w:r>
    </w:p>
    <w:p w14:paraId="10FF6623">
      <w:pPr>
        <w:bidi w:val="0"/>
        <w:spacing w:line="360" w:lineRule="auto"/>
        <w:ind w:firstLine="480" w:firstLineChars="200"/>
        <w:rPr>
          <w:rFonts w:hint="eastAsia" w:ascii="宋体" w:hAnsi="宋体" w:cs="Times New Roman"/>
          <w:color w:val="auto"/>
          <w:sz w:val="24"/>
          <w:szCs w:val="24"/>
          <w:highlight w:val="none"/>
        </w:rPr>
      </w:pPr>
      <w:bookmarkStart w:id="76" w:name="_Toc1310"/>
      <w:r>
        <w:rPr>
          <w:rFonts w:hint="eastAsia" w:ascii="宋体" w:hAnsi="宋体" w:cs="Times New Roman"/>
          <w:color w:val="auto"/>
          <w:sz w:val="24"/>
          <w:szCs w:val="24"/>
          <w:highlight w:val="none"/>
          <w:lang w:val="en-US" w:eastAsia="zh-CN"/>
        </w:rPr>
        <w:t>36</w:t>
      </w:r>
      <w:r>
        <w:rPr>
          <w:rFonts w:hint="eastAsia" w:ascii="宋体" w:hAnsi="宋体" w:cs="Times New Roman"/>
          <w:color w:val="auto"/>
          <w:sz w:val="24"/>
          <w:szCs w:val="24"/>
          <w:highlight w:val="none"/>
        </w:rPr>
        <w:t>．开标</w:t>
      </w:r>
      <w:bookmarkEnd w:id="76"/>
    </w:p>
    <w:p w14:paraId="6E3E0C23">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36.1 招标人按投标须知前附表第18项所规定的时间和地点</w:t>
      </w:r>
      <w:r>
        <w:rPr>
          <w:rFonts w:hint="eastAsia" w:ascii="宋体" w:hAnsi="宋体"/>
          <w:color w:val="auto"/>
          <w:sz w:val="24"/>
          <w:szCs w:val="24"/>
          <w:highlight w:val="none"/>
          <w:lang w:eastAsia="zh-CN"/>
        </w:rPr>
        <w:t>通过电子招标投标交易平台</w:t>
      </w:r>
      <w:r>
        <w:rPr>
          <w:rFonts w:hint="eastAsia" w:ascii="宋体" w:hAnsi="宋体"/>
          <w:color w:val="auto"/>
          <w:sz w:val="24"/>
          <w:szCs w:val="24"/>
          <w:highlight w:val="none"/>
        </w:rPr>
        <w:t>公开开标，并邀请所有投标人参加</w:t>
      </w:r>
      <w:r>
        <w:rPr>
          <w:rFonts w:hint="eastAsia" w:ascii="宋体" w:hAnsi="宋体"/>
          <w:color w:val="auto"/>
          <w:sz w:val="24"/>
          <w:szCs w:val="24"/>
          <w:highlight w:val="none"/>
          <w:lang w:eastAsia="zh-CN"/>
        </w:rPr>
        <w:t>，投标人可选择在开标室参加开标或准时在线参加开标，也可以不参加开标，均不影响开标程序</w:t>
      </w:r>
      <w:r>
        <w:rPr>
          <w:rFonts w:hint="eastAsia" w:ascii="宋体" w:hAnsi="宋体"/>
          <w:color w:val="auto"/>
          <w:sz w:val="24"/>
          <w:szCs w:val="24"/>
          <w:highlight w:val="none"/>
        </w:rPr>
        <w:t>。</w:t>
      </w:r>
      <w:r>
        <w:rPr>
          <w:rFonts w:hint="eastAsia"/>
          <w:color w:val="auto"/>
          <w:sz w:val="24"/>
          <w:highlight w:val="none"/>
        </w:rPr>
        <w:t>投标人不派代表</w:t>
      </w:r>
      <w:r>
        <w:rPr>
          <w:rFonts w:hint="eastAsia"/>
          <w:color w:val="auto"/>
          <w:sz w:val="24"/>
          <w:highlight w:val="none"/>
          <w:lang w:eastAsia="zh-CN"/>
        </w:rPr>
        <w:t>参加</w:t>
      </w:r>
      <w:r>
        <w:rPr>
          <w:rFonts w:hint="eastAsia"/>
          <w:color w:val="auto"/>
          <w:sz w:val="24"/>
          <w:highlight w:val="none"/>
        </w:rPr>
        <w:t>开标会，则视其为放弃参与开标的权利，认可开标结果。</w:t>
      </w:r>
      <w:r>
        <w:rPr>
          <w:rFonts w:hint="eastAsia" w:ascii="宋体" w:hAnsi="宋体"/>
          <w:color w:val="auto"/>
          <w:sz w:val="24"/>
          <w:szCs w:val="24"/>
          <w:highlight w:val="none"/>
        </w:rPr>
        <w:t>截标后，开标开始时间因故推迟的，相关评标信息仍以原定的开标开始时间的信息为准。</w:t>
      </w:r>
    </w:p>
    <w:p w14:paraId="6FD4D91E">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36.2</w:t>
      </w:r>
      <w:r>
        <w:rPr>
          <w:rFonts w:hint="eastAsia" w:ascii="宋体" w:hAnsi="宋体"/>
          <w:color w:val="auto"/>
          <w:sz w:val="24"/>
          <w:szCs w:val="24"/>
          <w:highlight w:val="none"/>
        </w:rPr>
        <w:t xml:space="preserve"> 招标人在招标文件要求提交投标文件的截止时间前收到的投标文件，开标时都当众予以解密、公布。</w:t>
      </w:r>
    </w:p>
    <w:p w14:paraId="7AECE9D3">
      <w:pPr>
        <w:spacing w:line="360" w:lineRule="auto"/>
        <w:ind w:firstLine="480" w:firstLineChars="200"/>
        <w:rPr>
          <w:rFonts w:ascii="宋体" w:hAnsi="宋体"/>
          <w:strike/>
          <w:color w:val="auto"/>
          <w:sz w:val="24"/>
          <w:szCs w:val="24"/>
          <w:highlight w:val="none"/>
        </w:rPr>
      </w:pPr>
      <w:r>
        <w:rPr>
          <w:rFonts w:hint="eastAsia" w:ascii="宋体" w:hAnsi="宋体"/>
          <w:strike/>
          <w:color w:val="auto"/>
          <w:sz w:val="24"/>
          <w:szCs w:val="24"/>
          <w:highlight w:val="none"/>
        </w:rPr>
        <w:t>36.3根据投标须知前附表第19项，如需抽取某一种评标办法供评标时使用的，</w:t>
      </w:r>
      <w:r>
        <w:rPr>
          <w:rFonts w:hint="eastAsia" w:ascii="宋体" w:hAnsi="宋体"/>
          <w:strike/>
          <w:color w:val="auto"/>
          <w:sz w:val="24"/>
          <w:szCs w:val="24"/>
          <w:highlight w:val="none"/>
          <w:lang w:val="en-US" w:eastAsia="zh-CN"/>
        </w:rPr>
        <w:t>可</w:t>
      </w:r>
      <w:r>
        <w:rPr>
          <w:rFonts w:hint="eastAsia" w:ascii="宋体" w:hAnsi="宋体"/>
          <w:strike/>
          <w:color w:val="auto"/>
          <w:sz w:val="24"/>
          <w:szCs w:val="24"/>
          <w:highlight w:val="none"/>
        </w:rPr>
        <w:t>在开标</w:t>
      </w:r>
      <w:r>
        <w:rPr>
          <w:rFonts w:hint="eastAsia" w:ascii="宋体" w:hAnsi="宋体"/>
          <w:strike/>
          <w:color w:val="auto"/>
          <w:sz w:val="24"/>
          <w:szCs w:val="24"/>
          <w:highlight w:val="none"/>
          <w:lang w:val="en-US" w:eastAsia="zh-CN"/>
        </w:rPr>
        <w:t>时（唱标工作完成后）</w:t>
      </w:r>
      <w:r>
        <w:rPr>
          <w:rFonts w:hint="eastAsia" w:ascii="宋体" w:hAnsi="宋体"/>
          <w:strike/>
          <w:color w:val="auto"/>
          <w:sz w:val="24"/>
          <w:szCs w:val="24"/>
          <w:highlight w:val="none"/>
        </w:rPr>
        <w:t>抽取。首先对招标文件中约定的若干种评标方法进行编号，再随机抽取某一编号，该编号所对应的评标办法供评标时使用。</w:t>
      </w:r>
    </w:p>
    <w:p w14:paraId="3F550EC8">
      <w:pP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color w:val="auto"/>
          <w:sz w:val="24"/>
          <w:szCs w:val="24"/>
          <w:highlight w:val="none"/>
        </w:rPr>
        <w:t>36.4若递交投标文件的投标人不足3家，则重新组织招标。（当</w:t>
      </w:r>
      <w:r>
        <w:rPr>
          <w:rFonts w:ascii="宋体" w:hAnsi="宋体"/>
          <w:color w:val="auto"/>
          <w:sz w:val="24"/>
          <w:szCs w:val="24"/>
          <w:highlight w:val="none"/>
        </w:rPr>
        <w:t>N</w:t>
      </w:r>
      <w:r>
        <w:rPr>
          <w:rFonts w:hint="eastAsia" w:ascii="宋体" w:hAnsi="宋体"/>
          <w:color w:val="auto"/>
          <w:sz w:val="24"/>
          <w:szCs w:val="24"/>
          <w:highlight w:val="none"/>
        </w:rPr>
        <w:t>个标段同时招标且不允许兼中时，若有效投标人不足</w:t>
      </w:r>
      <w:r>
        <w:rPr>
          <w:rFonts w:ascii="宋体" w:hAnsi="宋体"/>
          <w:color w:val="auto"/>
          <w:sz w:val="24"/>
          <w:szCs w:val="24"/>
          <w:highlight w:val="none"/>
        </w:rPr>
        <w:t>N+</w:t>
      </w:r>
      <w:r>
        <w:rPr>
          <w:rFonts w:hint="eastAsia" w:ascii="宋体" w:hAnsi="宋体"/>
          <w:color w:val="auto"/>
          <w:sz w:val="24"/>
          <w:szCs w:val="24"/>
          <w:highlight w:val="none"/>
        </w:rPr>
        <w:t>2家，则重新组织招标）</w:t>
      </w:r>
      <w:r>
        <w:rPr>
          <w:rFonts w:hint="eastAsia" w:ascii="宋体" w:hAnsi="宋体"/>
          <w:color w:val="auto"/>
          <w:sz w:val="24"/>
          <w:szCs w:val="24"/>
          <w:highlight w:val="none"/>
          <w:lang w:eastAsia="zh-CN"/>
        </w:rPr>
        <w:t>。</w:t>
      </w:r>
    </w:p>
    <w:p w14:paraId="2E4140DB">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36.5按下列程序进行开标：</w:t>
      </w:r>
    </w:p>
    <w:p w14:paraId="06C498DA">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36.5.1在投标截止时间后</w:t>
      </w:r>
      <w:r>
        <w:rPr>
          <w:rFonts w:hint="eastAsia" w:ascii="宋体" w:hAnsi="宋体"/>
          <w:color w:val="auto"/>
          <w:sz w:val="24"/>
          <w:highlight w:val="none"/>
          <w:u w:val="single"/>
          <w:lang w:val="en-US" w:eastAsia="zh-CN"/>
        </w:rPr>
        <w:t>1</w:t>
      </w:r>
      <w:r>
        <w:rPr>
          <w:rFonts w:hint="eastAsia" w:ascii="宋体" w:hAnsi="宋体"/>
          <w:color w:val="auto"/>
          <w:sz w:val="24"/>
          <w:highlight w:val="none"/>
        </w:rPr>
        <w:t>小时内，投标人通过交易平台对已递交的电子投标文件进行解密。投标人完成解密后，再由招标人</w:t>
      </w:r>
      <w:r>
        <w:rPr>
          <w:rFonts w:hint="eastAsia" w:ascii="宋体" w:hAnsi="宋体"/>
          <w:b/>
          <w:bCs/>
          <w:color w:val="auto"/>
          <w:sz w:val="24"/>
          <w:highlight w:val="none"/>
          <w:u w:val="single"/>
        </w:rPr>
        <w:t>或招标代理</w:t>
      </w:r>
      <w:r>
        <w:rPr>
          <w:rFonts w:hint="eastAsia" w:ascii="宋体" w:hAnsi="宋体"/>
          <w:color w:val="auto"/>
          <w:sz w:val="24"/>
          <w:highlight w:val="none"/>
        </w:rPr>
        <w:t>进行解密。解密完成后，公布招标项目名称、投标人名称</w:t>
      </w:r>
      <w:r>
        <w:rPr>
          <w:rFonts w:hint="eastAsia" w:ascii="宋体" w:hAnsi="宋体"/>
          <w:strike w:val="0"/>
          <w:color w:val="auto"/>
          <w:sz w:val="24"/>
          <w:highlight w:val="none"/>
        </w:rPr>
        <w:t>、</w:t>
      </w:r>
      <w:r>
        <w:rPr>
          <w:rFonts w:hint="eastAsia" w:ascii="宋体" w:hAnsi="宋体"/>
          <w:b/>
          <w:bCs/>
          <w:strike/>
          <w:color w:val="auto"/>
          <w:sz w:val="24"/>
          <w:highlight w:val="none"/>
          <w:u w:val="single"/>
        </w:rPr>
        <w:t>投标保证金的递交情况、</w:t>
      </w:r>
      <w:r>
        <w:rPr>
          <w:rFonts w:hint="eastAsia" w:ascii="宋体" w:hAnsi="宋体"/>
          <w:color w:val="auto"/>
          <w:sz w:val="24"/>
          <w:highlight w:val="none"/>
        </w:rPr>
        <w:t>投标报价、工期及其他内容；</w:t>
      </w:r>
    </w:p>
    <w:p w14:paraId="56BA5963">
      <w:pPr>
        <w:tabs>
          <w:tab w:val="left" w:pos="105"/>
        </w:tabs>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36.5.2备用光盘的读取按投标须知前附表第</w:t>
      </w:r>
      <w:r>
        <w:rPr>
          <w:rFonts w:hint="eastAsia" w:ascii="宋体" w:hAnsi="宋体"/>
          <w:b/>
          <w:bCs/>
          <w:color w:val="auto"/>
          <w:sz w:val="24"/>
          <w:highlight w:val="none"/>
          <w:u w:val="single"/>
        </w:rPr>
        <w:t>3</w:t>
      </w:r>
      <w:r>
        <w:rPr>
          <w:rFonts w:hint="eastAsia" w:ascii="宋体" w:hAnsi="宋体"/>
          <w:b/>
          <w:bCs/>
          <w:color w:val="auto"/>
          <w:sz w:val="24"/>
          <w:highlight w:val="none"/>
          <w:u w:val="single"/>
          <w:lang w:val="en-US" w:eastAsia="zh-CN"/>
        </w:rPr>
        <w:t>2</w:t>
      </w:r>
      <w:r>
        <w:rPr>
          <w:rFonts w:hint="eastAsia" w:ascii="宋体" w:hAnsi="宋体"/>
          <w:color w:val="auto"/>
          <w:sz w:val="24"/>
          <w:highlight w:val="none"/>
        </w:rPr>
        <w:t>项的规定执行；</w:t>
      </w:r>
    </w:p>
    <w:p w14:paraId="4894F5B1">
      <w:pPr>
        <w:spacing w:line="360" w:lineRule="auto"/>
        <w:ind w:firstLine="480" w:firstLineChars="200"/>
        <w:rPr>
          <w:rFonts w:ascii="宋体" w:hAnsi="宋体"/>
          <w:color w:val="auto"/>
          <w:sz w:val="24"/>
          <w:highlight w:val="none"/>
        </w:rPr>
      </w:pPr>
      <w:bookmarkStart w:id="77" w:name="_Toc501"/>
      <w:r>
        <w:rPr>
          <w:rFonts w:hint="eastAsia" w:ascii="宋体" w:hAnsi="宋体"/>
          <w:color w:val="auto"/>
          <w:sz w:val="24"/>
          <w:highlight w:val="none"/>
        </w:rPr>
        <w:t>36.5.</w:t>
      </w:r>
      <w:r>
        <w:rPr>
          <w:rFonts w:hint="eastAsia" w:ascii="宋体" w:hAnsi="宋体"/>
          <w:color w:val="auto"/>
          <w:sz w:val="24"/>
          <w:highlight w:val="none"/>
          <w:lang w:val="en-US" w:eastAsia="zh-CN"/>
        </w:rPr>
        <w:t>3</w:t>
      </w:r>
      <w:r>
        <w:rPr>
          <w:rFonts w:hint="eastAsia" w:ascii="宋体" w:hAnsi="宋体"/>
          <w:color w:val="auto"/>
          <w:sz w:val="24"/>
          <w:highlight w:val="none"/>
        </w:rPr>
        <w:t>投标人代表、招标人代表、监标人、记录人等有关人员在开标记录上签字确认；若有关人员不签字的，不影响开标程序；</w:t>
      </w:r>
    </w:p>
    <w:p w14:paraId="78EEFE43">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36.5</w:t>
      </w:r>
      <w:r>
        <w:rPr>
          <w:rFonts w:hint="eastAsia" w:ascii="宋体" w:hAnsi="宋体"/>
          <w:color w:val="auto"/>
          <w:sz w:val="24"/>
          <w:highlight w:val="none"/>
          <w:lang w:val="en-US" w:eastAsia="zh-CN"/>
        </w:rPr>
        <w:t>.4</w:t>
      </w:r>
      <w:r>
        <w:rPr>
          <w:rFonts w:hint="eastAsia" w:ascii="宋体" w:hAnsi="宋体"/>
          <w:color w:val="auto"/>
          <w:sz w:val="24"/>
          <w:highlight w:val="none"/>
        </w:rPr>
        <w:t>开标结束。</w:t>
      </w:r>
    </w:p>
    <w:p w14:paraId="303F3D2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36.6投标截止时间前未完成投标文件传输的或因投标人之外的原因造成投标文件未解密且未按要求递交备用光盘的，视为投标人撤回投标文件。因投标人原因造成投标文件未解密或未在规定的时间内解密的，视为撤销其投标文件。</w:t>
      </w:r>
    </w:p>
    <w:p w14:paraId="68E93B75">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36.7开标时，两个（含两个）以上的投标人加密打包投标文件电脑机器特征码一致的，由评标委员会否决其投标。</w:t>
      </w:r>
    </w:p>
    <w:p w14:paraId="0A024824">
      <w:pPr>
        <w:pStyle w:val="21"/>
        <w:ind w:firstLine="480"/>
        <w:rPr>
          <w:rFonts w:hint="eastAsia" w:hAnsi="宋体"/>
          <w:color w:val="auto"/>
          <w:sz w:val="24"/>
          <w:highlight w:val="none"/>
          <w:lang w:val="en-US" w:eastAsia="zh-CN"/>
        </w:rPr>
      </w:pPr>
      <w:r>
        <w:rPr>
          <w:rFonts w:hint="eastAsia" w:hAnsi="宋体"/>
          <w:color w:val="auto"/>
          <w:sz w:val="24"/>
          <w:highlight w:val="none"/>
          <w:lang w:val="en-US" w:eastAsia="zh-CN"/>
        </w:rPr>
        <w:t>36.8开标异议</w:t>
      </w:r>
    </w:p>
    <w:p w14:paraId="1F17372E">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36.8.1</w:t>
      </w:r>
      <w:r>
        <w:rPr>
          <w:rFonts w:hint="eastAsia" w:ascii="宋体" w:hAnsi="宋体" w:eastAsia="宋体" w:cs="Times New Roman"/>
          <w:color w:val="auto"/>
          <w:sz w:val="24"/>
          <w:highlight w:val="none"/>
        </w:rPr>
        <w:t>参加现场开标的投标人对开标结果有异议的，应当在开标现场提出，该投标人代表须同时出示本人身份证原件，招标人应当当场作出答复，并制作记录。</w:t>
      </w:r>
    </w:p>
    <w:p w14:paraId="27C21C2C">
      <w:pPr>
        <w:spacing w:line="360" w:lineRule="auto"/>
        <w:ind w:firstLine="480" w:firstLineChars="200"/>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lang w:val="en-US" w:eastAsia="zh-CN"/>
        </w:rPr>
        <w:t>36.8.2</w:t>
      </w:r>
      <w:r>
        <w:rPr>
          <w:rFonts w:hint="eastAsia" w:ascii="宋体" w:hAnsi="宋体" w:eastAsia="宋体" w:cs="Times New Roman"/>
          <w:color w:val="auto"/>
          <w:sz w:val="24"/>
          <w:highlight w:val="none"/>
        </w:rPr>
        <w:t>参加在线开标的投标人对开标结果有异议的，应当在唱标结束后的规定时间内、使用单位数字证书登录电子招标投标交易平台后通过电子招标投标交易平台提出。招标人授权招标代理机构工作人员使用招标代理机构数字证书登录电子招标投标交易平台答复异议，异议答复是招标人真实意思表示。未答复的，开标程序不得结束。</w:t>
      </w:r>
    </w:p>
    <w:p w14:paraId="663DF3D3">
      <w:pPr>
        <w:pStyle w:val="21"/>
        <w:spacing w:line="360" w:lineRule="auto"/>
        <w:ind w:firstLine="480"/>
        <w:rPr>
          <w:rFonts w:hint="eastAsia"/>
          <w:color w:val="auto"/>
          <w:sz w:val="24"/>
          <w:highlight w:val="none"/>
          <w:lang w:eastAsia="zh-CN"/>
        </w:rPr>
      </w:pPr>
      <w:r>
        <w:rPr>
          <w:rFonts w:hint="eastAsia" w:ascii="宋体" w:hAnsi="宋体" w:eastAsia="宋体" w:cs="Times New Roman"/>
          <w:color w:val="auto"/>
          <w:sz w:val="24"/>
          <w:highlight w:val="none"/>
          <w:lang w:val="en-US" w:eastAsia="zh-CN"/>
        </w:rPr>
        <w:t>36.8.3</w:t>
      </w:r>
      <w:r>
        <w:rPr>
          <w:rFonts w:hint="eastAsia" w:ascii="宋体" w:hAnsi="宋体" w:cs="宋体"/>
          <w:color w:val="auto"/>
          <w:kern w:val="0"/>
          <w:sz w:val="24"/>
          <w:szCs w:val="24"/>
          <w:highlight w:val="none"/>
        </w:rPr>
        <w:t>对开标的异议，招标人应当当场作出答复并予以书面记录，异议成立的，招标人应当及时采取纠正措施，或者提交评标委员会评审确认；异议不成立的，招标人应当当场给予解释说明。</w:t>
      </w:r>
      <w:r>
        <w:rPr>
          <w:rFonts w:hint="eastAsia"/>
          <w:color w:val="auto"/>
          <w:sz w:val="24"/>
          <w:highlight w:val="none"/>
          <w:lang w:eastAsia="zh-CN"/>
        </w:rPr>
        <w:t>投标人未参加开标或在规定的时间内未提出异议的，视为对开标无异议。</w:t>
      </w:r>
      <w:bookmarkEnd w:id="77"/>
    </w:p>
    <w:p w14:paraId="0E738EE2">
      <w:pPr>
        <w:pStyle w:val="21"/>
        <w:spacing w:line="360" w:lineRule="auto"/>
        <w:ind w:firstLine="480"/>
        <w:rPr>
          <w:rFonts w:hint="eastAsia" w:ascii="宋体" w:hAnsi="宋体" w:eastAsia="宋体" w:cs="宋体"/>
          <w:color w:val="auto"/>
          <w:kern w:val="0"/>
          <w:sz w:val="24"/>
          <w:szCs w:val="24"/>
          <w:highlight w:val="none"/>
          <w:lang w:val="en-US" w:eastAsia="zh-CN"/>
        </w:rPr>
      </w:pPr>
      <w:r>
        <w:rPr>
          <w:rFonts w:hint="eastAsia"/>
          <w:color w:val="auto"/>
          <w:sz w:val="24"/>
          <w:highlight w:val="none"/>
          <w:lang w:val="en-US" w:eastAsia="zh-CN"/>
        </w:rPr>
        <w:t>36.8.4</w:t>
      </w:r>
      <w:r>
        <w:rPr>
          <w:rFonts w:hint="eastAsia" w:ascii="宋体" w:hAnsi="宋体" w:cs="宋体"/>
          <w:color w:val="auto"/>
          <w:kern w:val="0"/>
          <w:sz w:val="24"/>
          <w:szCs w:val="24"/>
          <w:highlight w:val="none"/>
        </w:rPr>
        <w:t>招标人应当按照同一异议提起人一份记录的方式，对异议事项的处理应逐条进行书面记录，并由异议提起人、招标人签名确认。书面记录含义应清晰而明确，包括但不限于纠正的措施、解释说明的内容、相关依据等</w:t>
      </w:r>
      <w:r>
        <w:rPr>
          <w:rFonts w:hint="eastAsia" w:ascii="宋体" w:hAnsi="宋体" w:cs="宋体"/>
          <w:color w:val="auto"/>
          <w:kern w:val="0"/>
          <w:sz w:val="24"/>
          <w:szCs w:val="24"/>
          <w:highlight w:val="none"/>
          <w:lang w:eastAsia="zh-CN"/>
        </w:rPr>
        <w:t>。</w:t>
      </w:r>
    </w:p>
    <w:p w14:paraId="415B74E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rPr>
        <w:t>．评标</w:t>
      </w:r>
    </w:p>
    <w:p w14:paraId="25A37BF1">
      <w:pPr>
        <w:spacing w:line="360" w:lineRule="auto"/>
        <w:ind w:firstLine="480" w:firstLineChars="200"/>
        <w:rPr>
          <w:rFonts w:hint="eastAsia" w:ascii="宋体" w:hAnsi="宋体"/>
          <w:color w:val="auto"/>
          <w:sz w:val="24"/>
          <w:szCs w:val="24"/>
          <w:highlight w:val="none"/>
        </w:rPr>
      </w:pPr>
      <w:r>
        <w:rPr>
          <w:rFonts w:ascii="宋体" w:hAnsi="宋体"/>
          <w:color w:val="auto"/>
          <w:sz w:val="24"/>
          <w:szCs w:val="24"/>
          <w:highlight w:val="none"/>
        </w:rPr>
        <w:t>37.1</w:t>
      </w:r>
      <w:r>
        <w:rPr>
          <w:rFonts w:hint="eastAsia" w:ascii="宋体" w:hAnsi="宋体"/>
          <w:color w:val="auto"/>
          <w:sz w:val="24"/>
          <w:highlight w:val="none"/>
        </w:rPr>
        <w:t>评标由招标人依法组建的评标委员会负责。评标委员会由有关技术、经济等方面的专家和招标人代表组成，专家</w:t>
      </w:r>
      <w:r>
        <w:rPr>
          <w:rFonts w:hint="eastAsia" w:ascii="宋体" w:hAnsi="宋体"/>
          <w:color w:val="auto"/>
          <w:sz w:val="24"/>
          <w:highlight w:val="none"/>
          <w:lang w:eastAsia="zh-CN"/>
        </w:rPr>
        <w:t>从广东省综合评标评审</w:t>
      </w:r>
      <w:r>
        <w:rPr>
          <w:rFonts w:hint="eastAsia" w:ascii="宋体" w:hAnsi="宋体"/>
          <w:color w:val="auto"/>
          <w:sz w:val="24"/>
          <w:highlight w:val="none"/>
        </w:rPr>
        <w:t>专家库中抽取或按远程异地评标专家抽取相关规定组建。评标委员会成员人数以及技术、经济等方面专家的确定方式见投标人须知前附表</w:t>
      </w:r>
      <w:r>
        <w:rPr>
          <w:rFonts w:hint="eastAsia" w:ascii="宋体" w:hAnsi="宋体"/>
          <w:color w:val="auto"/>
          <w:sz w:val="24"/>
          <w:highlight w:val="none"/>
          <w:lang w:eastAsia="zh-CN"/>
        </w:rPr>
        <w:t>第</w:t>
      </w:r>
      <w:r>
        <w:rPr>
          <w:rFonts w:hint="eastAsia" w:ascii="宋体" w:hAnsi="宋体"/>
          <w:b/>
          <w:bCs/>
          <w:color w:val="auto"/>
          <w:sz w:val="24"/>
          <w:highlight w:val="none"/>
          <w:u w:val="single"/>
          <w:lang w:val="en-US" w:eastAsia="zh-CN"/>
        </w:rPr>
        <w:t>28</w:t>
      </w:r>
      <w:r>
        <w:rPr>
          <w:rFonts w:hint="eastAsia" w:ascii="宋体" w:hAnsi="宋体"/>
          <w:color w:val="auto"/>
          <w:sz w:val="24"/>
          <w:highlight w:val="none"/>
          <w:lang w:val="en-US" w:eastAsia="zh-CN"/>
        </w:rPr>
        <w:t>项</w:t>
      </w:r>
      <w:r>
        <w:rPr>
          <w:rFonts w:hint="eastAsia" w:ascii="宋体" w:hAnsi="宋体"/>
          <w:color w:val="auto"/>
          <w:sz w:val="24"/>
          <w:szCs w:val="24"/>
          <w:highlight w:val="none"/>
        </w:rPr>
        <w:t>。</w:t>
      </w:r>
    </w:p>
    <w:p w14:paraId="6FF1A6CA">
      <w:pPr>
        <w:pBdr>
          <w:top w:val="none" w:color="auto" w:sz="0" w:space="0"/>
          <w:left w:val="none" w:color="auto" w:sz="0" w:space="0"/>
          <w:bottom w:val="none" w:color="auto" w:sz="0" w:space="0"/>
          <w:right w:val="none" w:color="auto" w:sz="0" w:space="0"/>
          <w:between w:val="none" w:color="auto" w:sz="0" w:space="0"/>
        </w:pBdr>
        <w:spacing w:line="360" w:lineRule="auto"/>
        <w:ind w:firstLine="482" w:firstLineChars="200"/>
        <w:rPr>
          <w:rFonts w:hint="eastAsia" w:ascii="宋体" w:hAnsi="宋体"/>
          <w:color w:val="auto"/>
          <w:sz w:val="24"/>
          <w:szCs w:val="24"/>
          <w:highlight w:val="none"/>
        </w:rPr>
      </w:pPr>
      <w:r>
        <w:rPr>
          <w:rFonts w:hint="eastAsia" w:ascii="宋体" w:hAnsi="宋体"/>
          <w:b/>
          <w:bCs/>
          <w:strike w:val="0"/>
          <w:color w:val="auto"/>
          <w:sz w:val="24"/>
          <w:highlight w:val="none"/>
          <w:u w:val="single"/>
          <w:lang w:val="en-US" w:eastAsia="zh-CN"/>
        </w:rPr>
        <w:t>37.1.1</w:t>
      </w:r>
      <w:r>
        <w:rPr>
          <w:rFonts w:hint="eastAsia" w:ascii="宋体" w:hAnsi="宋体"/>
          <w:b/>
          <w:bCs/>
          <w:strike w:val="0"/>
          <w:color w:val="auto"/>
          <w:sz w:val="24"/>
          <w:highlight w:val="none"/>
          <w:u w:val="single"/>
        </w:rPr>
        <w:t>评标委员会在开始评标前，应了解评标专家的职责及守则，认真</w:t>
      </w:r>
      <w:r>
        <w:rPr>
          <w:rFonts w:hint="eastAsia" w:ascii="宋体" w:hAnsi="宋体"/>
          <w:b/>
          <w:bCs/>
          <w:strike w:val="0"/>
          <w:color w:val="auto"/>
          <w:sz w:val="24"/>
          <w:highlight w:val="none"/>
          <w:u w:val="single"/>
          <w:lang w:val="en-US" w:eastAsia="zh-CN"/>
        </w:rPr>
        <w:t>阅读</w:t>
      </w:r>
      <w:r>
        <w:rPr>
          <w:rFonts w:hint="eastAsia" w:ascii="宋体" w:hAnsi="宋体"/>
          <w:b/>
          <w:bCs/>
          <w:strike w:val="0"/>
          <w:color w:val="auto"/>
          <w:sz w:val="24"/>
          <w:highlight w:val="none"/>
          <w:u w:val="single"/>
        </w:rPr>
        <w:t>招标公告附件</w:t>
      </w:r>
      <w:r>
        <w:rPr>
          <w:rFonts w:hint="eastAsia" w:ascii="宋体" w:hAnsi="宋体"/>
          <w:b/>
          <w:bCs/>
          <w:strike w:val="0"/>
          <w:color w:val="auto"/>
          <w:sz w:val="24"/>
          <w:highlight w:val="none"/>
          <w:u w:val="single"/>
          <w:lang w:val="en-US" w:eastAsia="zh-CN"/>
        </w:rPr>
        <w:t>五</w:t>
      </w:r>
      <w:r>
        <w:rPr>
          <w:rFonts w:hint="eastAsia" w:ascii="宋体" w:hAnsi="宋体"/>
          <w:b/>
          <w:bCs/>
          <w:strike w:val="0"/>
          <w:color w:val="auto"/>
          <w:sz w:val="24"/>
          <w:highlight w:val="none"/>
          <w:u w:val="single"/>
        </w:rPr>
        <w:t>《评标委员会成员声明》的内容并签名，签字后方可进行评标。</w:t>
      </w:r>
    </w:p>
    <w:p w14:paraId="1CFCDEAA">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lang w:val="en-US" w:eastAsia="zh-CN"/>
        </w:rPr>
        <w:t>37.2</w:t>
      </w:r>
      <w:r>
        <w:rPr>
          <w:rFonts w:hint="eastAsia" w:ascii="宋体" w:hAnsi="宋体"/>
          <w:color w:val="auto"/>
          <w:sz w:val="24"/>
          <w:highlight w:val="none"/>
        </w:rPr>
        <w:t>评标委员会成员有下列情形之一的，应当回避：</w:t>
      </w:r>
    </w:p>
    <w:p w14:paraId="661B8956">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（1）招标人或投标人的主要负责人的近亲属；</w:t>
      </w:r>
    </w:p>
    <w:p w14:paraId="0E1A6225">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（2）项目主管部门或者行政监督部门的人员；</w:t>
      </w:r>
    </w:p>
    <w:p w14:paraId="04892A60">
      <w:pPr>
        <w:snapToGrid w:val="0"/>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lang w:eastAsia="zh-CN"/>
        </w:rPr>
        <w:t>（</w:t>
      </w:r>
      <w:r>
        <w:rPr>
          <w:rFonts w:hint="eastAsia" w:ascii="宋体" w:hAnsi="宋体"/>
          <w:color w:val="auto"/>
          <w:sz w:val="24"/>
          <w:highlight w:val="none"/>
          <w:lang w:val="en-US" w:eastAsia="zh-CN"/>
        </w:rPr>
        <w:t>3</w:t>
      </w:r>
      <w:r>
        <w:rPr>
          <w:rFonts w:hint="eastAsia" w:ascii="宋体" w:hAnsi="宋体"/>
          <w:color w:val="auto"/>
          <w:sz w:val="24"/>
          <w:highlight w:val="none"/>
          <w:lang w:eastAsia="zh-CN"/>
        </w:rPr>
        <w:t>）</w:t>
      </w:r>
      <w:r>
        <w:rPr>
          <w:rFonts w:hint="eastAsia" w:ascii="宋体" w:hAnsi="宋体"/>
          <w:color w:val="auto"/>
          <w:sz w:val="24"/>
          <w:highlight w:val="none"/>
        </w:rPr>
        <w:t>招标人</w:t>
      </w:r>
      <w:r>
        <w:rPr>
          <w:rFonts w:hint="eastAsia" w:ascii="宋体" w:hAnsi="宋体"/>
          <w:color w:val="auto"/>
          <w:sz w:val="24"/>
          <w:highlight w:val="none"/>
          <w:lang w:val="en-US" w:eastAsia="zh-CN"/>
        </w:rPr>
        <w:t>或</w:t>
      </w:r>
      <w:r>
        <w:rPr>
          <w:rFonts w:hint="eastAsia" w:ascii="宋体" w:hAnsi="宋体"/>
          <w:color w:val="auto"/>
          <w:sz w:val="24"/>
          <w:highlight w:val="none"/>
        </w:rPr>
        <w:t>投标人的工作人员、退休或离职未满3年的人员；</w:t>
      </w:r>
    </w:p>
    <w:p w14:paraId="76462141">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4</w:t>
      </w:r>
      <w:r>
        <w:rPr>
          <w:rFonts w:hint="eastAsia" w:ascii="宋体" w:hAnsi="宋体"/>
          <w:color w:val="auto"/>
          <w:sz w:val="24"/>
          <w:highlight w:val="none"/>
        </w:rPr>
        <w:t>）与投标人有经济利益关系，可能影响对投标公正评审的；</w:t>
      </w:r>
    </w:p>
    <w:p w14:paraId="0DB35EC7">
      <w:pPr>
        <w:snapToGrid w:val="0"/>
        <w:spacing w:line="360" w:lineRule="auto"/>
        <w:ind w:firstLine="480" w:firstLineChars="200"/>
        <w:rPr>
          <w:rFonts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5</w:t>
      </w:r>
      <w:r>
        <w:rPr>
          <w:rFonts w:hint="eastAsia" w:ascii="宋体" w:hAnsi="宋体"/>
          <w:color w:val="auto"/>
          <w:sz w:val="24"/>
          <w:highlight w:val="none"/>
        </w:rPr>
        <w:t>）曾因在招标、评标以及其他与招标投标有关活动中从事违法行为而受过行政处罚或刑事处罚的。</w:t>
      </w:r>
    </w:p>
    <w:p w14:paraId="090179A7">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w:t>
      </w:r>
      <w:r>
        <w:rPr>
          <w:rFonts w:hint="eastAsia" w:ascii="宋体" w:hAnsi="宋体"/>
          <w:color w:val="auto"/>
          <w:sz w:val="24"/>
          <w:highlight w:val="none"/>
          <w:lang w:val="en-US" w:eastAsia="zh-CN"/>
        </w:rPr>
        <w:t>6</w:t>
      </w:r>
      <w:r>
        <w:rPr>
          <w:rFonts w:hint="eastAsia" w:ascii="宋体" w:hAnsi="宋体"/>
          <w:color w:val="auto"/>
          <w:sz w:val="24"/>
          <w:highlight w:val="none"/>
        </w:rPr>
        <w:t>）与投标人有其他利害关系。</w:t>
      </w:r>
    </w:p>
    <w:p w14:paraId="3EF0DC0C">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评标委员会的职责及守则：</w:t>
      </w:r>
    </w:p>
    <w:p w14:paraId="42D9A621">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.1</w:t>
      </w:r>
      <w:r>
        <w:rPr>
          <w:rFonts w:hint="eastAsia" w:ascii="宋体" w:hAnsi="宋体"/>
          <w:color w:val="auto"/>
          <w:sz w:val="24"/>
          <w:szCs w:val="24"/>
          <w:highlight w:val="none"/>
        </w:rPr>
        <w:t>根据评标细则，对</w:t>
      </w:r>
      <w:r>
        <w:rPr>
          <w:rFonts w:hint="eastAsia" w:ascii="宋体" w:hAnsi="宋体"/>
          <w:color w:val="auto"/>
          <w:sz w:val="24"/>
          <w:highlight w:val="none"/>
        </w:rPr>
        <w:t>投标文件</w:t>
      </w:r>
      <w:r>
        <w:rPr>
          <w:rFonts w:hint="eastAsia" w:ascii="宋体" w:hAnsi="宋体"/>
          <w:color w:val="auto"/>
          <w:sz w:val="24"/>
          <w:szCs w:val="24"/>
          <w:highlight w:val="none"/>
        </w:rPr>
        <w:t>进行认真评审，完成评审报告；</w:t>
      </w:r>
    </w:p>
    <w:p w14:paraId="720DA76D">
      <w:pPr>
        <w:spacing w:line="360" w:lineRule="auto"/>
        <w:ind w:firstLine="480" w:firstLineChars="200"/>
        <w:rPr>
          <w:rFonts w:ascii="宋体" w:hAnsi="宋体"/>
          <w:bCs/>
          <w:color w:val="auto"/>
          <w:sz w:val="24"/>
          <w:szCs w:val="24"/>
          <w:highlight w:val="none"/>
          <w:u w:val="single"/>
        </w:rPr>
      </w:pPr>
      <w:r>
        <w:rPr>
          <w:rFonts w:ascii="宋体" w:hAnsi="宋体"/>
          <w:color w:val="auto"/>
          <w:sz w:val="24"/>
          <w:szCs w:val="24"/>
          <w:highlight w:val="none"/>
          <w:u w:val="none"/>
        </w:rPr>
        <w:t>37.</w:t>
      </w:r>
      <w:r>
        <w:rPr>
          <w:rFonts w:hint="eastAsia" w:ascii="宋体" w:hAnsi="宋体"/>
          <w:color w:val="auto"/>
          <w:sz w:val="24"/>
          <w:szCs w:val="24"/>
          <w:highlight w:val="none"/>
          <w:u w:val="none"/>
          <w:lang w:val="en-US" w:eastAsia="zh-CN"/>
        </w:rPr>
        <w:t>3</w:t>
      </w:r>
      <w:r>
        <w:rPr>
          <w:rFonts w:ascii="宋体" w:hAnsi="宋体"/>
          <w:color w:val="auto"/>
          <w:sz w:val="24"/>
          <w:szCs w:val="24"/>
          <w:highlight w:val="none"/>
          <w:u w:val="none"/>
        </w:rPr>
        <w:t>.2</w:t>
      </w:r>
      <w:r>
        <w:rPr>
          <w:rFonts w:hint="eastAsia" w:ascii="宋体" w:hAnsi="宋体"/>
          <w:color w:val="auto"/>
          <w:sz w:val="24"/>
          <w:szCs w:val="24"/>
          <w:highlight w:val="none"/>
        </w:rPr>
        <w:t>向招标人报告评审意见，</w:t>
      </w:r>
      <w:r>
        <w:rPr>
          <w:rFonts w:hint="eastAsia" w:ascii="宋体" w:hAnsi="宋体"/>
          <w:b/>
          <w:bCs/>
          <w:sz w:val="24"/>
          <w:szCs w:val="24"/>
          <w:highlight w:val="none"/>
          <w:u w:val="single"/>
        </w:rPr>
        <w:t>评标委员会按综合得分从高到低进行排序（综合得分相同的则名次并列占用名次），推荐排序位于前10名次不排序的入围定标阶段的候选人进入定标阶段（若前10名次的候选人中存在综合得分相同的，则综合得分相同的所有前10名次的候选人均进入定标阶段，若前10名次的家数大于等于3家且小于等于10家的，则取全部候选人进入定标阶段）。候选人入围</w:t>
      </w:r>
      <w:r>
        <w:rPr>
          <w:rFonts w:hint="eastAsia" w:ascii="宋体" w:hAnsi="宋体" w:cs="Times New Roman"/>
          <w:b/>
          <w:bCs/>
          <w:color w:val="auto"/>
          <w:sz w:val="24"/>
          <w:szCs w:val="24"/>
          <w:highlight w:val="none"/>
          <w:u w:val="single"/>
        </w:rPr>
        <w:t>定标阶段后将按其统一社会信用代码后4 位（除校验码外）大小排位，不排序，如统一社会信用代码后4位出现字母情况的，字母以“0”进行代替大小排位；如出现后4位（除校验码外）大小一致的，则随机排位。若为联合体投标，指联合体主办方。</w:t>
      </w:r>
    </w:p>
    <w:p w14:paraId="4443D13A">
      <w:pPr>
        <w:spacing w:line="360" w:lineRule="auto"/>
        <w:ind w:firstLine="480" w:firstLineChars="200"/>
        <w:rPr>
          <w:rFonts w:ascii="宋体" w:hAnsi="宋体"/>
          <w:color w:val="auto"/>
          <w:sz w:val="24"/>
          <w:szCs w:val="24"/>
          <w:highlight w:val="none"/>
        </w:rPr>
      </w:pPr>
      <w:r>
        <w:rPr>
          <w:rFonts w:ascii="宋体" w:hAnsi="宋体"/>
          <w:bCs/>
          <w:color w:val="auto"/>
          <w:sz w:val="24"/>
          <w:szCs w:val="24"/>
          <w:highlight w:val="none"/>
        </w:rPr>
        <w:t>37.</w:t>
      </w:r>
      <w:r>
        <w:rPr>
          <w:rFonts w:hint="eastAsia" w:ascii="宋体" w:hAnsi="宋体"/>
          <w:bCs/>
          <w:color w:val="auto"/>
          <w:sz w:val="24"/>
          <w:szCs w:val="24"/>
          <w:highlight w:val="none"/>
          <w:lang w:val="en-US" w:eastAsia="zh-CN"/>
        </w:rPr>
        <w:t>3</w:t>
      </w:r>
      <w:r>
        <w:rPr>
          <w:rFonts w:ascii="宋体" w:hAnsi="宋体"/>
          <w:bCs/>
          <w:color w:val="auto"/>
          <w:sz w:val="24"/>
          <w:szCs w:val="24"/>
          <w:highlight w:val="none"/>
        </w:rPr>
        <w:t>.3</w:t>
      </w:r>
      <w:r>
        <w:rPr>
          <w:rFonts w:ascii="宋体" w:hAnsi="宋体"/>
          <w:b/>
          <w:bCs/>
          <w:color w:val="auto"/>
          <w:sz w:val="24"/>
          <w:szCs w:val="24"/>
          <w:highlight w:val="none"/>
        </w:rPr>
        <w:t xml:space="preserve"> </w:t>
      </w:r>
      <w:r>
        <w:rPr>
          <w:rFonts w:hint="eastAsia" w:ascii="宋体" w:hAnsi="宋体"/>
          <w:color w:val="auto"/>
          <w:sz w:val="24"/>
          <w:szCs w:val="24"/>
          <w:highlight w:val="none"/>
        </w:rPr>
        <w:t>所有参加评标人员必须遵守国家、地方政府制定的有关工程招标投标的法则、规定，遵守有关工程招标投标的保密制度；如有违反者，给予行政处分；情节严重，构成犯罪的，由司法机关依法追究其刑事责任。</w:t>
      </w:r>
    </w:p>
    <w:p w14:paraId="2DE77036">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.4</w:t>
      </w:r>
      <w:r>
        <w:rPr>
          <w:rFonts w:hint="eastAsia" w:ascii="宋体" w:hAnsi="宋体"/>
          <w:color w:val="auto"/>
          <w:sz w:val="24"/>
          <w:szCs w:val="24"/>
          <w:highlight w:val="none"/>
        </w:rPr>
        <w:t>全体参与评标人员：</w:t>
      </w:r>
    </w:p>
    <w:p w14:paraId="5F7A5E03">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.4.1 </w:t>
      </w:r>
      <w:r>
        <w:rPr>
          <w:rFonts w:hint="eastAsia" w:ascii="宋体" w:hAnsi="宋体"/>
          <w:color w:val="auto"/>
          <w:sz w:val="24"/>
          <w:szCs w:val="24"/>
          <w:highlight w:val="none"/>
        </w:rPr>
        <w:t>必须遵守评标纪律、不得泄密；</w:t>
      </w:r>
    </w:p>
    <w:p w14:paraId="76C7B2F6">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.4.2 </w:t>
      </w:r>
      <w:r>
        <w:rPr>
          <w:rFonts w:hint="eastAsia" w:ascii="宋体" w:hAnsi="宋体"/>
          <w:color w:val="auto"/>
          <w:sz w:val="24"/>
          <w:szCs w:val="24"/>
          <w:highlight w:val="none"/>
        </w:rPr>
        <w:t>必须公正、不得循私；</w:t>
      </w:r>
    </w:p>
    <w:p w14:paraId="04372C20">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.4.3 </w:t>
      </w:r>
      <w:r>
        <w:rPr>
          <w:rFonts w:hint="eastAsia" w:ascii="宋体" w:hAnsi="宋体"/>
          <w:color w:val="auto"/>
          <w:sz w:val="24"/>
          <w:szCs w:val="24"/>
          <w:highlight w:val="none"/>
        </w:rPr>
        <w:t>必须科学、不得草率；</w:t>
      </w:r>
    </w:p>
    <w:p w14:paraId="660A2DC9">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.4.4 </w:t>
      </w:r>
      <w:r>
        <w:rPr>
          <w:rFonts w:hint="eastAsia" w:ascii="宋体" w:hAnsi="宋体"/>
          <w:color w:val="auto"/>
          <w:sz w:val="24"/>
          <w:szCs w:val="24"/>
          <w:highlight w:val="none"/>
        </w:rPr>
        <w:t>必须客观、不得带有成见；</w:t>
      </w:r>
    </w:p>
    <w:p w14:paraId="22E2B982">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.4.5 </w:t>
      </w:r>
      <w:r>
        <w:rPr>
          <w:rFonts w:hint="eastAsia" w:ascii="宋体" w:hAnsi="宋体"/>
          <w:color w:val="auto"/>
          <w:sz w:val="24"/>
          <w:szCs w:val="24"/>
          <w:highlight w:val="none"/>
        </w:rPr>
        <w:t>必须平等、不得强加于人；</w:t>
      </w:r>
    </w:p>
    <w:p w14:paraId="60490F52">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37.</w:t>
      </w:r>
      <w:r>
        <w:rPr>
          <w:rFonts w:hint="eastAsia" w:ascii="宋体" w:hAnsi="宋体"/>
          <w:color w:val="auto"/>
          <w:sz w:val="24"/>
          <w:szCs w:val="24"/>
          <w:highlight w:val="none"/>
          <w:lang w:val="en-US" w:eastAsia="zh-CN"/>
        </w:rPr>
        <w:t>3</w:t>
      </w:r>
      <w:r>
        <w:rPr>
          <w:rFonts w:ascii="宋体" w:hAnsi="宋体"/>
          <w:color w:val="auto"/>
          <w:sz w:val="24"/>
          <w:szCs w:val="24"/>
          <w:highlight w:val="none"/>
        </w:rPr>
        <w:t xml:space="preserve">.4.6 </w:t>
      </w:r>
      <w:r>
        <w:rPr>
          <w:rFonts w:hint="eastAsia" w:ascii="宋体" w:hAnsi="宋体"/>
          <w:color w:val="auto"/>
          <w:sz w:val="24"/>
          <w:szCs w:val="24"/>
          <w:highlight w:val="none"/>
        </w:rPr>
        <w:t>必须严谨、不得随意马虎。</w:t>
      </w:r>
    </w:p>
    <w:p w14:paraId="74CEC3AD">
      <w:pPr>
        <w:pStyle w:val="21"/>
        <w:spacing w:line="36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37.4 评标工作开始前，招标人应当向评标委员会提供评标所需的信息，包括招标项目的范围、性质、特殊性、需求目标和实施要点，以及招标文件规定的评标方法、评标因素及标准等，但不得明示或者暗示其倾向或者排斥特定投标人。</w:t>
      </w:r>
    </w:p>
    <w:p w14:paraId="6CF45A95">
      <w:pPr>
        <w:spacing w:line="360" w:lineRule="auto"/>
        <w:ind w:firstLine="480" w:firstLineChars="200"/>
        <w:rPr>
          <w:rFonts w:hint="eastAsia" w:ascii="宋体" w:hAnsi="宋体" w:eastAsia="宋体"/>
          <w:color w:val="auto"/>
          <w:sz w:val="24"/>
          <w:szCs w:val="24"/>
          <w:highlight w:val="none"/>
          <w:lang w:val="en-US" w:eastAsia="zh-CN"/>
        </w:rPr>
      </w:pPr>
      <w:r>
        <w:rPr>
          <w:rFonts w:hint="eastAsia" w:ascii="宋体" w:hAnsi="宋体" w:eastAsia="宋体" w:cs="Times New Roman"/>
          <w:color w:val="auto"/>
          <w:kern w:val="2"/>
          <w:sz w:val="24"/>
          <w:szCs w:val="24"/>
          <w:highlight w:val="none"/>
          <w:lang w:val="en-US" w:eastAsia="zh-CN" w:bidi="ar-SA"/>
        </w:rPr>
        <w:t>37.5</w:t>
      </w:r>
      <w:r>
        <w:rPr>
          <w:rFonts w:hint="eastAsia" w:ascii="宋体" w:hAnsi="宋体"/>
          <w:color w:val="auto"/>
          <w:sz w:val="24"/>
          <w:szCs w:val="24"/>
          <w:highlight w:val="none"/>
        </w:rPr>
        <w:t>评标委员会按照第</w:t>
      </w:r>
      <w:r>
        <w:rPr>
          <w:rFonts w:hint="eastAsia" w:ascii="宋体" w:hAnsi="宋体"/>
          <w:color w:val="auto"/>
          <w:sz w:val="24"/>
          <w:szCs w:val="24"/>
          <w:highlight w:val="none"/>
          <w:lang w:eastAsia="zh-CN"/>
        </w:rPr>
        <w:t>二</w:t>
      </w:r>
      <w:r>
        <w:rPr>
          <w:rFonts w:hint="eastAsia" w:ascii="宋体" w:hAnsi="宋体"/>
          <w:color w:val="auto"/>
          <w:sz w:val="24"/>
          <w:szCs w:val="24"/>
          <w:highlight w:val="none"/>
        </w:rPr>
        <w:t>章“</w:t>
      </w:r>
      <w:r>
        <w:rPr>
          <w:rFonts w:hint="eastAsia" w:ascii="宋体" w:hAnsi="宋体"/>
          <w:color w:val="auto"/>
          <w:sz w:val="24"/>
          <w:szCs w:val="24"/>
          <w:highlight w:val="none"/>
          <w:lang w:eastAsia="zh-CN"/>
        </w:rPr>
        <w:t>开标、</w:t>
      </w:r>
      <w:r>
        <w:rPr>
          <w:rFonts w:hint="eastAsia" w:ascii="宋体" w:hAnsi="宋体"/>
          <w:color w:val="auto"/>
          <w:sz w:val="24"/>
          <w:szCs w:val="24"/>
          <w:highlight w:val="none"/>
        </w:rPr>
        <w:t>评标</w:t>
      </w:r>
      <w:r>
        <w:rPr>
          <w:rFonts w:hint="eastAsia" w:ascii="宋体" w:hAnsi="宋体"/>
          <w:color w:val="auto"/>
          <w:sz w:val="24"/>
          <w:szCs w:val="24"/>
          <w:highlight w:val="none"/>
          <w:lang w:eastAsia="zh-CN"/>
        </w:rPr>
        <w:t>及定标</w:t>
      </w:r>
      <w:r>
        <w:rPr>
          <w:rFonts w:hint="eastAsia" w:ascii="宋体" w:hAnsi="宋体"/>
          <w:color w:val="auto"/>
          <w:sz w:val="24"/>
          <w:szCs w:val="24"/>
          <w:highlight w:val="none"/>
        </w:rPr>
        <w:t>办法”规定的方法、评审因素、标准和程序对投标文件进行评审。第三章“</w:t>
      </w:r>
      <w:r>
        <w:rPr>
          <w:rFonts w:hint="eastAsia" w:ascii="宋体" w:hAnsi="宋体"/>
          <w:color w:val="auto"/>
          <w:sz w:val="24"/>
          <w:szCs w:val="24"/>
          <w:highlight w:val="none"/>
          <w:lang w:eastAsia="zh-CN"/>
        </w:rPr>
        <w:t>开标、</w:t>
      </w:r>
      <w:r>
        <w:rPr>
          <w:rFonts w:hint="eastAsia" w:ascii="宋体" w:hAnsi="宋体"/>
          <w:color w:val="auto"/>
          <w:sz w:val="24"/>
          <w:szCs w:val="24"/>
          <w:highlight w:val="none"/>
        </w:rPr>
        <w:t>评标</w:t>
      </w:r>
      <w:r>
        <w:rPr>
          <w:rFonts w:hint="eastAsia" w:ascii="宋体" w:hAnsi="宋体"/>
          <w:color w:val="auto"/>
          <w:sz w:val="24"/>
          <w:szCs w:val="24"/>
          <w:highlight w:val="none"/>
          <w:lang w:eastAsia="zh-CN"/>
        </w:rPr>
        <w:t>及定标</w:t>
      </w:r>
      <w:r>
        <w:rPr>
          <w:rFonts w:hint="eastAsia" w:ascii="宋体" w:hAnsi="宋体"/>
          <w:color w:val="auto"/>
          <w:sz w:val="24"/>
          <w:szCs w:val="24"/>
          <w:highlight w:val="none"/>
        </w:rPr>
        <w:t>办法”没有规定的方法、评审因素和标准，不作为评标依据</w:t>
      </w:r>
      <w:r>
        <w:rPr>
          <w:rFonts w:hint="eastAsia" w:ascii="宋体" w:hAnsi="宋体"/>
          <w:color w:val="auto"/>
          <w:sz w:val="24"/>
          <w:szCs w:val="24"/>
          <w:highlight w:val="none"/>
          <w:lang w:eastAsia="zh-CN"/>
        </w:rPr>
        <w:t>。</w:t>
      </w:r>
    </w:p>
    <w:p w14:paraId="6B374022">
      <w:pPr>
        <w:spacing w:line="360" w:lineRule="auto"/>
        <w:ind w:firstLine="480" w:firstLineChars="200"/>
        <w:rPr>
          <w:rFonts w:ascii="宋体" w:hAnsi="宋体"/>
          <w:color w:val="auto"/>
          <w:sz w:val="24"/>
          <w:szCs w:val="24"/>
          <w:highlight w:val="none"/>
        </w:rPr>
      </w:pPr>
      <w:r>
        <w:rPr>
          <w:rFonts w:hint="eastAsia" w:ascii="宋体" w:hAnsi="宋体" w:eastAsia="宋体"/>
          <w:color w:val="auto"/>
          <w:sz w:val="24"/>
          <w:szCs w:val="24"/>
          <w:highlight w:val="none"/>
          <w:lang w:val="en-US" w:eastAsia="zh-CN"/>
        </w:rPr>
        <w:t>37.6</w:t>
      </w:r>
      <w:r>
        <w:rPr>
          <w:rFonts w:hint="eastAsia" w:ascii="宋体" w:hAnsi="宋体"/>
          <w:color w:val="auto"/>
          <w:sz w:val="24"/>
          <w:szCs w:val="24"/>
          <w:highlight w:val="none"/>
        </w:rPr>
        <w:t>评标结束后，</w:t>
      </w:r>
      <w:r>
        <w:rPr>
          <w:rFonts w:hint="eastAsia" w:ascii="宋体" w:hAnsi="宋体"/>
          <w:b/>
          <w:bCs/>
          <w:sz w:val="24"/>
          <w:szCs w:val="24"/>
          <w:highlight w:val="none"/>
          <w:u w:val="single"/>
        </w:rPr>
        <w:t>评标委员会递交评标报告，按综合得分从高到低进行排序（综合得分相同的则名次并列占用名次），推荐排序位于前10名次不排序的入围定标阶段的候选人进入定标阶段（若前10名次的候选人中存在综合得分相同的，则综合得分相同的所有前10名次的候选人均进入定标阶段，若前10名次的家数大于等于3家且小于等于10家的，则取全部候选人进入定标阶段）。候选人入围</w:t>
      </w:r>
      <w:r>
        <w:rPr>
          <w:rFonts w:hint="eastAsia" w:ascii="宋体" w:hAnsi="宋体" w:cs="Times New Roman"/>
          <w:b/>
          <w:bCs/>
          <w:color w:val="auto"/>
          <w:sz w:val="24"/>
          <w:szCs w:val="24"/>
          <w:highlight w:val="none"/>
          <w:u w:val="single"/>
        </w:rPr>
        <w:t>定标阶段后将按其统一社会信用代码后4 位（除校验码外）大小排位，不排序，如统一社会信用代码后4位出现字母情况的，字母以“0”进行代替大小排位；如出现后4位（除校验码外）大小一致的，则随机排位。</w:t>
      </w:r>
      <w:r>
        <w:rPr>
          <w:rFonts w:ascii="宋体" w:hAnsi="宋体"/>
          <w:color w:val="auto"/>
          <w:sz w:val="24"/>
          <w:szCs w:val="24"/>
          <w:highlight w:val="none"/>
        </w:rPr>
        <w:t xml:space="preserve"> </w:t>
      </w:r>
    </w:p>
    <w:p w14:paraId="0CAD51FD">
      <w:pPr>
        <w:spacing w:line="360" w:lineRule="auto"/>
        <w:ind w:firstLine="480" w:firstLineChars="200"/>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kern w:val="2"/>
          <w:sz w:val="24"/>
          <w:szCs w:val="24"/>
          <w:highlight w:val="none"/>
          <w:lang w:val="en-US" w:eastAsia="zh-CN" w:bidi="ar-SA"/>
        </w:rPr>
        <w:t>38．投标文件的澄清</w:t>
      </w:r>
    </w:p>
    <w:p w14:paraId="3A3CEE8B">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38.1</w:t>
      </w:r>
      <w:r>
        <w:rPr>
          <w:rFonts w:hint="eastAsia" w:ascii="宋体" w:hAnsi="宋体"/>
          <w:color w:val="auto"/>
          <w:sz w:val="24"/>
          <w:szCs w:val="24"/>
          <w:highlight w:val="none"/>
        </w:rPr>
        <w:t>为有助于投标文件的审查、评价和比较，评标期间，经评标委员会或评标委员会专业评审组中两人以上（含两人）以书面形式提出动议，评标委员会或评标委员会专业评审组应当书面发出澄清通知，要求投标人对投标文件含义不明确</w:t>
      </w:r>
      <w:r>
        <w:rPr>
          <w:rFonts w:hint="eastAsia" w:ascii="宋体" w:hAnsi="宋体"/>
          <w:color w:val="auto"/>
          <w:sz w:val="24"/>
          <w:szCs w:val="24"/>
          <w:highlight w:val="none"/>
          <w:lang w:eastAsia="zh-CN"/>
        </w:rPr>
        <w:t>、对同类问题表述不一致，有明显</w:t>
      </w:r>
      <w:r>
        <w:rPr>
          <w:rFonts w:hint="eastAsia" w:ascii="宋体" w:hAnsi="宋体"/>
          <w:color w:val="auto"/>
          <w:sz w:val="24"/>
          <w:szCs w:val="24"/>
          <w:highlight w:val="none"/>
          <w:lang w:val="en-US" w:eastAsia="zh-CN"/>
        </w:rPr>
        <w:t>格式或</w:t>
      </w:r>
      <w:r>
        <w:rPr>
          <w:rFonts w:hint="eastAsia" w:ascii="宋体" w:hAnsi="宋体"/>
          <w:color w:val="auto"/>
          <w:sz w:val="24"/>
          <w:szCs w:val="24"/>
          <w:highlight w:val="none"/>
          <w:lang w:eastAsia="zh-CN"/>
        </w:rPr>
        <w:t>文字、计算错误</w:t>
      </w:r>
      <w:r>
        <w:rPr>
          <w:rFonts w:hint="eastAsia" w:ascii="宋体" w:hAnsi="宋体"/>
          <w:color w:val="auto"/>
          <w:sz w:val="24"/>
          <w:szCs w:val="24"/>
          <w:highlight w:val="none"/>
        </w:rPr>
        <w:t>的内容作出澄清。</w:t>
      </w:r>
    </w:p>
    <w:p w14:paraId="7E29685B">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38.2 </w:t>
      </w:r>
      <w:r>
        <w:rPr>
          <w:rFonts w:hint="eastAsia" w:ascii="宋体" w:hAnsi="宋体"/>
          <w:color w:val="auto"/>
          <w:sz w:val="24"/>
          <w:szCs w:val="24"/>
          <w:highlight w:val="none"/>
        </w:rPr>
        <w:t>投标人应以书面形式进行澄清，澄清中的承诺性意思表示在投标文件有效期内均对投标人有约束力。除评标委员会对评标中发现算术错误进行修正后要求投标人以澄清形式进行的核实和确认外，澄清不得超出投标文件的范围或改变投标文件的实质性内容，超出部分不作为评标委员会评审的依据。</w:t>
      </w:r>
    </w:p>
    <w:p w14:paraId="3D09524D">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 xml:space="preserve">38.3 </w:t>
      </w:r>
      <w:r>
        <w:rPr>
          <w:rFonts w:hint="eastAsia" w:ascii="宋体" w:hAnsi="宋体"/>
          <w:color w:val="auto"/>
          <w:sz w:val="24"/>
          <w:szCs w:val="24"/>
          <w:highlight w:val="none"/>
        </w:rPr>
        <w:t>评标委员会或评标委员会专业评审组成员均应当阅读投标人的澄清，但应独立参考澄清对投标文件进行评审。</w:t>
      </w:r>
    </w:p>
    <w:p w14:paraId="77045533">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38.4</w:t>
      </w:r>
      <w:r>
        <w:rPr>
          <w:rFonts w:hint="eastAsia" w:ascii="宋体" w:hAnsi="宋体"/>
          <w:color w:val="auto"/>
          <w:sz w:val="24"/>
          <w:szCs w:val="24"/>
          <w:highlight w:val="none"/>
        </w:rPr>
        <w:t>如果投标文件实质上不响应招标文件的各项要求，评标委员会将按照符合性审查标准予以拒绝，不接受投标人通过修改或撤销其不符合要求的差异或保留，使之成为具有响应性的投标。</w:t>
      </w:r>
    </w:p>
    <w:p w14:paraId="7E582D20">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38.5</w:t>
      </w:r>
      <w:r>
        <w:rPr>
          <w:rFonts w:hint="eastAsia" w:ascii="宋体" w:hAnsi="宋体"/>
          <w:b/>
          <w:bCs/>
          <w:color w:val="auto"/>
          <w:sz w:val="24"/>
          <w:szCs w:val="24"/>
          <w:highlight w:val="none"/>
          <w:u w:val="single"/>
        </w:rPr>
        <w:t>依法必须进行招标的项目，除中标人以外的其他投标人存在串通投标、弄虚作假、行贿情形且在评标过程中未被发现的，视为对中标结果没有造成实质性影响，招标人可以依法继续开展招标活动。</w:t>
      </w:r>
    </w:p>
    <w:p w14:paraId="4FC6C6D1">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39</w:t>
      </w:r>
      <w:r>
        <w:rPr>
          <w:rFonts w:hint="eastAsia" w:ascii="宋体" w:hAnsi="宋体"/>
          <w:color w:val="auto"/>
          <w:sz w:val="24"/>
          <w:szCs w:val="24"/>
          <w:highlight w:val="none"/>
        </w:rPr>
        <w:t>．定标</w:t>
      </w:r>
    </w:p>
    <w:p w14:paraId="3FAC826B">
      <w:pPr>
        <w:spacing w:line="360" w:lineRule="auto"/>
        <w:ind w:firstLine="480" w:firstLineChars="200"/>
        <w:rPr>
          <w:rFonts w:ascii="宋体" w:hAnsi="宋体" w:cs="宋体"/>
          <w:sz w:val="24"/>
          <w:szCs w:val="24"/>
          <w:highlight w:val="none"/>
          <w:u w:val="single"/>
        </w:rPr>
      </w:pPr>
      <w:r>
        <w:rPr>
          <w:rFonts w:hint="eastAsia" w:ascii="宋体" w:hAnsi="宋体" w:cs="宋体"/>
          <w:sz w:val="24"/>
          <w:szCs w:val="24"/>
          <w:highlight w:val="none"/>
        </w:rPr>
        <w:t>39.1 招标人</w:t>
      </w:r>
      <w:r>
        <w:rPr>
          <w:rFonts w:hint="eastAsia" w:ascii="宋体" w:hAnsi="宋体" w:cs="宋体"/>
          <w:sz w:val="24"/>
          <w:szCs w:val="24"/>
          <w:highlight w:val="none"/>
          <w:u w:val="single"/>
        </w:rPr>
        <w:t>组建定标委员会，</w:t>
      </w:r>
      <w:r>
        <w:rPr>
          <w:rFonts w:hint="eastAsia" w:ascii="宋体" w:hAnsi="宋体" w:cs="宋体"/>
          <w:sz w:val="24"/>
          <w:szCs w:val="24"/>
          <w:highlight w:val="none"/>
        </w:rPr>
        <w:t>根据定标委员会递交的</w:t>
      </w:r>
      <w:r>
        <w:rPr>
          <w:rFonts w:hint="eastAsia" w:ascii="宋体" w:hAnsi="宋体" w:cs="宋体"/>
          <w:sz w:val="24"/>
          <w:szCs w:val="24"/>
          <w:highlight w:val="none"/>
          <w:u w:val="single"/>
        </w:rPr>
        <w:t>定</w:t>
      </w:r>
      <w:r>
        <w:rPr>
          <w:rFonts w:hint="eastAsia" w:ascii="宋体" w:hAnsi="宋体" w:cs="宋体"/>
          <w:sz w:val="24"/>
          <w:szCs w:val="24"/>
          <w:highlight w:val="none"/>
        </w:rPr>
        <w:t>标报告，最终审定</w:t>
      </w:r>
      <w:r>
        <w:rPr>
          <w:rFonts w:hint="eastAsia" w:ascii="宋体" w:hAnsi="宋体" w:cs="宋体"/>
          <w:sz w:val="24"/>
          <w:szCs w:val="24"/>
          <w:highlight w:val="none"/>
          <w:u w:val="single"/>
        </w:rPr>
        <w:t>1个中标候选人</w:t>
      </w:r>
      <w:r>
        <w:rPr>
          <w:rFonts w:hint="eastAsia" w:ascii="宋体" w:hAnsi="宋体" w:cs="宋体"/>
          <w:sz w:val="24"/>
          <w:szCs w:val="24"/>
          <w:highlight w:val="none"/>
        </w:rPr>
        <w:t>。</w:t>
      </w:r>
    </w:p>
    <w:p w14:paraId="23506482">
      <w:pPr>
        <w:spacing w:line="360" w:lineRule="auto"/>
        <w:ind w:firstLine="480" w:firstLineChars="200"/>
        <w:rPr>
          <w:rFonts w:ascii="宋体" w:hAnsi="宋体" w:cs="宋体"/>
          <w:sz w:val="24"/>
          <w:szCs w:val="24"/>
          <w:highlight w:val="none"/>
        </w:rPr>
      </w:pPr>
      <w:r>
        <w:rPr>
          <w:rFonts w:hint="eastAsia" w:ascii="宋体" w:hAnsi="宋体" w:cs="宋体"/>
          <w:sz w:val="24"/>
          <w:szCs w:val="24"/>
          <w:highlight w:val="none"/>
        </w:rPr>
        <w:t>39.2 依法必须进行公开招标的项目，招标人应当</w:t>
      </w:r>
      <w:r>
        <w:rPr>
          <w:rFonts w:hint="eastAsia" w:ascii="宋体" w:hAnsi="宋体" w:cs="宋体"/>
          <w:sz w:val="24"/>
          <w:szCs w:val="24"/>
          <w:highlight w:val="none"/>
          <w:u w:val="single"/>
        </w:rPr>
        <w:t>根据定标报告</w:t>
      </w:r>
      <w:r>
        <w:rPr>
          <w:rFonts w:hint="eastAsia" w:ascii="宋体" w:hAnsi="宋体" w:cs="宋体"/>
          <w:sz w:val="24"/>
          <w:szCs w:val="24"/>
          <w:highlight w:val="none"/>
        </w:rPr>
        <w:t>确定</w:t>
      </w:r>
      <w:r>
        <w:rPr>
          <w:rFonts w:hint="eastAsia" w:ascii="宋体" w:hAnsi="宋体" w:cs="宋体"/>
          <w:sz w:val="24"/>
          <w:szCs w:val="24"/>
          <w:highlight w:val="none"/>
          <w:u w:val="single"/>
        </w:rPr>
        <w:t>中标候选人</w:t>
      </w:r>
      <w:r>
        <w:rPr>
          <w:rFonts w:hint="eastAsia" w:ascii="宋体" w:hAnsi="宋体" w:cs="宋体"/>
          <w:sz w:val="24"/>
          <w:szCs w:val="24"/>
          <w:highlight w:val="none"/>
        </w:rPr>
        <w:t>为中标人。</w:t>
      </w:r>
    </w:p>
    <w:p w14:paraId="359CF822">
      <w:pPr>
        <w:spacing w:line="460" w:lineRule="exact"/>
        <w:ind w:firstLine="470" w:firstLineChars="196"/>
        <w:rPr>
          <w:rFonts w:ascii="宋体" w:hAnsi="宋体" w:cs="宋体"/>
          <w:sz w:val="24"/>
          <w:szCs w:val="24"/>
          <w:highlight w:val="none"/>
        </w:rPr>
      </w:pPr>
      <w:r>
        <w:rPr>
          <w:rFonts w:hint="eastAsia" w:ascii="宋体" w:hAnsi="宋体" w:cs="宋体"/>
          <w:sz w:val="24"/>
          <w:szCs w:val="24"/>
          <w:highlight w:val="none"/>
        </w:rPr>
        <w:t>39.3</w:t>
      </w:r>
      <w:r>
        <w:rPr>
          <w:rFonts w:hint="eastAsia" w:ascii="宋体" w:hAnsi="宋体" w:cs="宋体"/>
          <w:sz w:val="24"/>
          <w:szCs w:val="24"/>
          <w:highlight w:val="none"/>
          <w:u w:val="single"/>
        </w:rPr>
        <w:t>如中标人放弃中标、或因不可抗力提出不能履行合同，或者招标文件规定应当提交履约担保而在规定的期限内未能提交的，或经核查发现委派的项目负责人已在其他在建项目中担任</w:t>
      </w:r>
      <w:r>
        <w:rPr>
          <w:rFonts w:hint="eastAsia" w:ascii="宋体" w:hAnsi="宋体" w:cs="宋体"/>
          <w:sz w:val="24"/>
          <w:szCs w:val="24"/>
          <w:highlight w:val="none"/>
          <w:u w:val="single"/>
          <w:lang w:val="en-US" w:eastAsia="zh-CN"/>
        </w:rPr>
        <w:t>项目经理的</w:t>
      </w:r>
      <w:r>
        <w:rPr>
          <w:rFonts w:hint="eastAsia" w:ascii="宋体" w:hAnsi="宋体" w:cs="宋体"/>
          <w:sz w:val="24"/>
          <w:szCs w:val="24"/>
          <w:highlight w:val="none"/>
          <w:u w:val="single"/>
        </w:rPr>
        <w:t>，或者被查实存在影响中标结果的违法行为等情形，招标人有权取消其中标人资格或解除合同，可由原定标委员会根据原定标办法从其他合格的中标候选人中重新票决确定中标人，招标人也可以依法重新招标。</w:t>
      </w:r>
    </w:p>
    <w:p w14:paraId="4D8FB89A">
      <w:pPr>
        <w:pStyle w:val="21"/>
        <w:spacing w:line="360" w:lineRule="auto"/>
        <w:ind w:firstLine="480" w:firstLineChars="200"/>
        <w:rPr>
          <w:rFonts w:hAnsi="宋体" w:cs="宋体"/>
          <w:sz w:val="24"/>
          <w:szCs w:val="24"/>
          <w:highlight w:val="none"/>
          <w:u w:val="single"/>
        </w:rPr>
      </w:pPr>
      <w:r>
        <w:rPr>
          <w:rFonts w:hint="eastAsia" w:hAnsi="宋体" w:cs="宋体"/>
          <w:sz w:val="24"/>
          <w:szCs w:val="24"/>
          <w:highlight w:val="none"/>
          <w:u w:val="single"/>
        </w:rPr>
        <w:t>39.4重新评标或定标的，评标信息（含业绩、奖项等）、定标信息仍以投标截止时投标人的信息为准。因特殊原因需要延长投标有效期，投标人拒绝延长投标有效期的，仍参与评标、定标，但不被推荐为合格的中标候选人。</w:t>
      </w:r>
    </w:p>
    <w:p w14:paraId="2531E9F3">
      <w:pPr>
        <w:pStyle w:val="21"/>
        <w:spacing w:line="360" w:lineRule="auto"/>
        <w:ind w:firstLine="480" w:firstLineChars="200"/>
        <w:rPr>
          <w:rFonts w:hAnsi="宋体" w:cs="宋体"/>
          <w:sz w:val="24"/>
          <w:szCs w:val="24"/>
          <w:highlight w:val="none"/>
          <w:u w:val="single"/>
        </w:rPr>
      </w:pPr>
      <w:r>
        <w:rPr>
          <w:rFonts w:hint="eastAsia" w:hAnsi="宋体" w:cs="宋体"/>
          <w:sz w:val="24"/>
          <w:szCs w:val="24"/>
          <w:highlight w:val="none"/>
          <w:u w:val="single"/>
        </w:rPr>
        <w:t>39.5招标人原则上</w:t>
      </w:r>
      <w:r>
        <w:rPr>
          <w:rFonts w:hAnsi="宋体" w:cs="宋体"/>
          <w:sz w:val="24"/>
          <w:szCs w:val="24"/>
          <w:highlight w:val="none"/>
          <w:u w:val="single"/>
        </w:rPr>
        <w:t>在合格的中标候选人公示完成后</w:t>
      </w:r>
      <w:r>
        <w:rPr>
          <w:rFonts w:hint="eastAsia" w:hAnsi="宋体" w:cs="宋体"/>
          <w:sz w:val="24"/>
          <w:szCs w:val="24"/>
          <w:highlight w:val="none"/>
          <w:u w:val="single"/>
          <w:lang w:eastAsia="zh-CN"/>
        </w:rPr>
        <w:t>5</w:t>
      </w:r>
      <w:r>
        <w:rPr>
          <w:rFonts w:hAnsi="宋体" w:cs="宋体"/>
          <w:sz w:val="24"/>
          <w:szCs w:val="24"/>
          <w:highlight w:val="none"/>
          <w:u w:val="single"/>
        </w:rPr>
        <w:t>个工作</w:t>
      </w:r>
      <w:r>
        <w:rPr>
          <w:rFonts w:hint="eastAsia" w:hAnsi="宋体" w:cs="宋体"/>
          <w:sz w:val="24"/>
          <w:szCs w:val="24"/>
          <w:highlight w:val="none"/>
          <w:u w:val="single"/>
          <w:lang w:val="en-US" w:eastAsia="zh-CN"/>
        </w:rPr>
        <w:t>日</w:t>
      </w:r>
      <w:r>
        <w:rPr>
          <w:rFonts w:hint="eastAsia" w:hAnsi="宋体" w:cs="宋体"/>
          <w:sz w:val="24"/>
          <w:szCs w:val="24"/>
          <w:highlight w:val="none"/>
          <w:u w:val="single"/>
        </w:rPr>
        <w:t>内组织开展定标。</w:t>
      </w:r>
    </w:p>
    <w:p w14:paraId="407271FF">
      <w:pPr>
        <w:pStyle w:val="2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u w:val="single"/>
        </w:rPr>
        <w:t>39.6定标规则及程序：</w:t>
      </w:r>
    </w:p>
    <w:p w14:paraId="37BB2E14">
      <w:pPr>
        <w:pStyle w:val="2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u w:val="single"/>
        </w:rPr>
        <w:t>39.6.1本项目采用票决定标法+撰写评语。</w:t>
      </w:r>
    </w:p>
    <w:p w14:paraId="475649AE">
      <w:pPr>
        <w:pStyle w:val="2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u w:val="single"/>
        </w:rPr>
        <w:t>39.6.2定标工作开始后，发放选票，由定标委员会参考定标因素及定标辅助资料进行投票排名。</w:t>
      </w:r>
    </w:p>
    <w:p w14:paraId="76B6CA66">
      <w:pPr>
        <w:pStyle w:val="2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u w:val="single"/>
        </w:rPr>
        <w:t>39.6.3定标辅助资料为评标阶段的评标报告、投标人提交的投标与定标文件。</w:t>
      </w:r>
    </w:p>
    <w:p w14:paraId="67C8A0D3">
      <w:pPr>
        <w:pStyle w:val="2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u w:val="single"/>
        </w:rPr>
        <w:t>39.6.4定标委员会根据定标辅助资料，在同等条件下，定标因素的相对标准按以下几个方面进行：</w:t>
      </w:r>
      <w:r>
        <w:rPr>
          <w:rFonts w:hint="eastAsia" w:hAnsi="宋体" w:cs="宋体"/>
          <w:sz w:val="24"/>
          <w:szCs w:val="24"/>
          <w:highlight w:val="none"/>
          <w:u w:val="single"/>
        </w:rPr>
        <w:cr/>
      </w:r>
      <w:r>
        <w:rPr>
          <w:rFonts w:hint="eastAsia" w:hAnsi="宋体" w:cs="宋体"/>
          <w:sz w:val="24"/>
          <w:szCs w:val="24"/>
          <w:highlight w:val="none"/>
        </w:rPr>
        <w:t xml:space="preserve">    </w:t>
      </w:r>
      <w:r>
        <w:rPr>
          <w:rFonts w:hint="eastAsia" w:hAnsi="宋体" w:cs="宋体"/>
          <w:sz w:val="24"/>
          <w:szCs w:val="24"/>
          <w:highlight w:val="none"/>
          <w:u w:val="single"/>
        </w:rPr>
        <w:t>（1）入围候选人施工履约能力与水平评价；</w:t>
      </w:r>
      <w:r>
        <w:rPr>
          <w:rFonts w:hint="eastAsia" w:hAnsi="宋体" w:cs="宋体"/>
          <w:sz w:val="24"/>
          <w:szCs w:val="24"/>
          <w:highlight w:val="none"/>
          <w:u w:val="single"/>
        </w:rPr>
        <w:cr/>
      </w:r>
      <w:r>
        <w:rPr>
          <w:rFonts w:hint="eastAsia" w:hAnsi="宋体" w:cs="宋体"/>
          <w:sz w:val="24"/>
          <w:szCs w:val="24"/>
          <w:highlight w:val="none"/>
        </w:rPr>
        <w:t xml:space="preserve">    </w:t>
      </w:r>
      <w:r>
        <w:rPr>
          <w:rFonts w:hint="eastAsia" w:hAnsi="宋体" w:cs="宋体"/>
          <w:sz w:val="24"/>
          <w:szCs w:val="24"/>
          <w:highlight w:val="none"/>
          <w:u w:val="single"/>
        </w:rPr>
        <w:t>（2）服务保障能力；</w:t>
      </w:r>
    </w:p>
    <w:p w14:paraId="38071A8B">
      <w:pPr>
        <w:pStyle w:val="21"/>
        <w:spacing w:line="360" w:lineRule="auto"/>
        <w:ind w:firstLine="480" w:firstLineChars="200"/>
        <w:rPr>
          <w:rFonts w:hint="eastAsia" w:hAnsi="宋体" w:cs="宋体"/>
          <w:sz w:val="24"/>
          <w:szCs w:val="24"/>
          <w:highlight w:val="none"/>
          <w:u w:val="single"/>
        </w:rPr>
      </w:pPr>
      <w:r>
        <w:rPr>
          <w:rFonts w:hint="eastAsia" w:hAnsi="宋体" w:cs="宋体"/>
          <w:sz w:val="24"/>
          <w:szCs w:val="24"/>
          <w:highlight w:val="none"/>
          <w:u w:val="single"/>
        </w:rPr>
        <w:t>（3）企业施工能力。</w:t>
      </w:r>
    </w:p>
    <w:p w14:paraId="460AD49A">
      <w:pPr>
        <w:pStyle w:val="21"/>
        <w:spacing w:line="360" w:lineRule="auto"/>
        <w:ind w:firstLine="480" w:firstLineChars="200"/>
        <w:rPr>
          <w:rFonts w:hAnsi="宋体" w:cs="宋体"/>
          <w:sz w:val="24"/>
          <w:szCs w:val="24"/>
          <w:highlight w:val="none"/>
          <w:u w:val="single"/>
        </w:rPr>
      </w:pPr>
      <w:r>
        <w:rPr>
          <w:rFonts w:hint="eastAsia" w:hAnsi="宋体" w:cs="宋体"/>
          <w:sz w:val="24"/>
          <w:szCs w:val="24"/>
          <w:highlight w:val="none"/>
          <w:u w:val="single"/>
        </w:rPr>
        <w:t>39.6.5投票规则：定标委员会根据定标因素对各投标人进行综合比较后，进行一次性票决，每位定标委员会成员只有 1 票表决权（即只能对其中一家投标人投票），得票数最多的投标</w:t>
      </w:r>
      <w:r>
        <w:rPr>
          <w:rFonts w:hAnsi="宋体" w:cs="宋体"/>
          <w:sz w:val="24"/>
          <w:szCs w:val="24"/>
          <w:highlight w:val="none"/>
          <w:u w:val="single"/>
        </w:rPr>
        <w:t>人为中标候选人，若出现票数相同且无法决出中标候选人时，票数相同的再进行一次性票决；若再次票决出现票数相同且无法决出中标候选人时，以投标报价低者为中标候选人。</w:t>
      </w:r>
    </w:p>
    <w:p w14:paraId="00B74464">
      <w:pPr>
        <w:pStyle w:val="21"/>
        <w:spacing w:line="360" w:lineRule="auto"/>
        <w:ind w:firstLine="480" w:firstLineChars="200"/>
        <w:rPr>
          <w:rFonts w:hAnsi="宋体" w:cs="宋体"/>
          <w:sz w:val="24"/>
          <w:szCs w:val="24"/>
          <w:highlight w:val="none"/>
          <w:u w:val="single"/>
        </w:rPr>
      </w:pPr>
      <w:r>
        <w:rPr>
          <w:rFonts w:hAnsi="宋体" w:cs="宋体"/>
          <w:sz w:val="24"/>
          <w:szCs w:val="24"/>
          <w:highlight w:val="none"/>
          <w:u w:val="single"/>
        </w:rPr>
        <w:t>39.6.6定标委员会根据选票情况确定中标候选人。</w:t>
      </w:r>
    </w:p>
    <w:p w14:paraId="3CF4FE04">
      <w:pPr>
        <w:pStyle w:val="21"/>
        <w:spacing w:line="360" w:lineRule="auto"/>
        <w:ind w:firstLine="480" w:firstLineChars="200"/>
        <w:rPr>
          <w:rFonts w:hAnsi="宋体" w:cs="宋体"/>
          <w:szCs w:val="21"/>
          <w:highlight w:val="none"/>
          <w:u w:val="single"/>
        </w:rPr>
      </w:pPr>
      <w:r>
        <w:rPr>
          <w:rFonts w:hAnsi="宋体" w:cs="宋体"/>
          <w:sz w:val="24"/>
          <w:szCs w:val="24"/>
          <w:highlight w:val="none"/>
          <w:u w:val="single"/>
        </w:rPr>
        <w:t>39.6.7 编写定标报告，定标委员会全体确认后签署定标报告。</w:t>
      </w:r>
    </w:p>
    <w:p w14:paraId="4A7A140D">
      <w:pPr>
        <w:pStyle w:val="21"/>
        <w:jc w:val="center"/>
        <w:rPr>
          <w:rStyle w:val="47"/>
          <w:b/>
          <w:color w:val="auto"/>
          <w:sz w:val="28"/>
          <w:szCs w:val="28"/>
          <w:highlight w:val="none"/>
        </w:rPr>
      </w:pPr>
      <w:bookmarkStart w:id="78" w:name="_Toc31469"/>
      <w:bookmarkStart w:id="79" w:name="_Toc21525502"/>
      <w:bookmarkStart w:id="80" w:name="_Toc2272558"/>
      <w:bookmarkStart w:id="81" w:name="_Toc4929"/>
      <w:bookmarkStart w:id="82" w:name="_Toc16793"/>
      <w:bookmarkStart w:id="83" w:name="_Toc30101"/>
      <w:r>
        <w:rPr>
          <w:rStyle w:val="47"/>
          <w:rFonts w:hint="eastAsia"/>
          <w:b/>
          <w:bCs/>
          <w:color w:val="auto"/>
          <w:sz w:val="28"/>
          <w:szCs w:val="28"/>
          <w:highlight w:val="none"/>
          <w:lang w:eastAsia="zh-CN"/>
        </w:rPr>
        <w:t>（二）</w:t>
      </w:r>
      <w:r>
        <w:rPr>
          <w:rStyle w:val="47"/>
          <w:rFonts w:hint="eastAsia"/>
          <w:b/>
          <w:bCs/>
          <w:color w:val="auto"/>
          <w:sz w:val="28"/>
          <w:szCs w:val="28"/>
          <w:highlight w:val="none"/>
        </w:rPr>
        <w:t>开标评标办法程序和细则</w:t>
      </w:r>
      <w:bookmarkEnd w:id="78"/>
      <w:bookmarkEnd w:id="79"/>
      <w:bookmarkEnd w:id="80"/>
      <w:bookmarkStart w:id="84" w:name="_Toc7116"/>
    </w:p>
    <w:bookmarkEnd w:id="81"/>
    <w:bookmarkEnd w:id="82"/>
    <w:bookmarkEnd w:id="83"/>
    <w:p w14:paraId="43DD942C">
      <w:pPr>
        <w:spacing w:before="156" w:after="156"/>
        <w:ind w:firstLine="482" w:firstLineChars="200"/>
        <w:rPr>
          <w:b/>
          <w:bCs/>
          <w:color w:val="auto"/>
          <w:sz w:val="24"/>
          <w:szCs w:val="24"/>
          <w:highlight w:val="none"/>
        </w:rPr>
      </w:pPr>
      <w:bookmarkStart w:id="85" w:name="_Toc9750"/>
      <w:bookmarkStart w:id="86" w:name="_Toc2272564"/>
      <w:r>
        <w:rPr>
          <w:rFonts w:hint="eastAsia"/>
          <w:b/>
          <w:bCs/>
          <w:color w:val="auto"/>
          <w:sz w:val="24"/>
          <w:szCs w:val="24"/>
          <w:highlight w:val="none"/>
        </w:rPr>
        <w:t>可选办法七（适合综合评分法四，技术标与经济标同时开启）</w:t>
      </w:r>
      <w:bookmarkEnd w:id="85"/>
      <w:bookmarkEnd w:id="86"/>
    </w:p>
    <w:p w14:paraId="69E79FA0">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40．开标和评标程序</w:t>
      </w:r>
    </w:p>
    <w:p w14:paraId="27555E84">
      <w:pPr>
        <w:snapToGrid w:val="0"/>
        <w:spacing w:line="360" w:lineRule="auto"/>
        <w:ind w:firstLine="480" w:firstLineChars="200"/>
        <w:rPr>
          <w:rFonts w:hint="eastAsia" w:ascii="宋体"/>
          <w:color w:val="auto"/>
          <w:sz w:val="24"/>
          <w:szCs w:val="24"/>
          <w:highlight w:val="none"/>
          <w:lang w:eastAsia="zh-CN"/>
        </w:rPr>
      </w:pPr>
      <w:r>
        <w:rPr>
          <w:rFonts w:hint="eastAsia" w:ascii="宋体"/>
          <w:color w:val="auto"/>
          <w:sz w:val="24"/>
          <w:szCs w:val="24"/>
          <w:highlight w:val="none"/>
        </w:rPr>
        <w:t>40.1</w:t>
      </w:r>
      <w:r>
        <w:rPr>
          <w:rFonts w:hint="eastAsia" w:ascii="宋体"/>
          <w:color w:val="auto"/>
          <w:sz w:val="24"/>
          <w:szCs w:val="24"/>
          <w:highlight w:val="none"/>
          <w:lang w:eastAsia="zh-CN"/>
        </w:rPr>
        <w:t>投标人递交技术标</w:t>
      </w:r>
      <w:r>
        <w:rPr>
          <w:rFonts w:hint="eastAsia" w:ascii="宋体"/>
          <w:b/>
          <w:bCs/>
          <w:color w:val="auto"/>
          <w:sz w:val="24"/>
          <w:szCs w:val="24"/>
          <w:highlight w:val="none"/>
          <w:u w:val="single"/>
        </w:rPr>
        <w:t>（含资格审查文件）</w:t>
      </w:r>
      <w:r>
        <w:rPr>
          <w:rFonts w:hint="eastAsia" w:ascii="宋体"/>
          <w:color w:val="auto"/>
          <w:sz w:val="24"/>
          <w:szCs w:val="24"/>
          <w:highlight w:val="none"/>
          <w:lang w:eastAsia="zh-CN"/>
        </w:rPr>
        <w:t>、经济标投标文件</w:t>
      </w:r>
      <w:r>
        <w:rPr>
          <w:rFonts w:hint="eastAsia" w:ascii="宋体"/>
          <w:b/>
          <w:bCs/>
          <w:color w:val="auto"/>
          <w:sz w:val="24"/>
          <w:szCs w:val="24"/>
          <w:highlight w:val="none"/>
          <w:u w:val="single"/>
          <w:lang w:eastAsia="zh-CN"/>
        </w:rPr>
        <w:t>、定标文件</w:t>
      </w:r>
      <w:r>
        <w:rPr>
          <w:rFonts w:hint="eastAsia" w:ascii="宋体"/>
          <w:color w:val="auto"/>
          <w:sz w:val="24"/>
          <w:szCs w:val="24"/>
          <w:highlight w:val="none"/>
          <w:lang w:eastAsia="zh-CN"/>
        </w:rPr>
        <w:t>；</w:t>
      </w:r>
    </w:p>
    <w:p w14:paraId="73AD90C3">
      <w:pPr>
        <w:snapToGrid w:val="0"/>
        <w:spacing w:line="360" w:lineRule="auto"/>
        <w:ind w:firstLine="480" w:firstLineChars="200"/>
        <w:rPr>
          <w:rFonts w:hint="eastAsia" w:ascii="宋体" w:hAnsi="宋体"/>
          <w:color w:val="auto"/>
          <w:sz w:val="24"/>
          <w:szCs w:val="24"/>
          <w:highlight w:val="none"/>
          <w:lang w:val="en-US" w:eastAsia="zh-CN"/>
        </w:rPr>
      </w:pPr>
      <w:r>
        <w:rPr>
          <w:rFonts w:hint="eastAsia" w:ascii="宋体" w:hAnsi="宋体"/>
          <w:color w:val="auto"/>
          <w:sz w:val="24"/>
          <w:szCs w:val="24"/>
          <w:highlight w:val="none"/>
          <w:lang w:val="en-US" w:eastAsia="zh-CN"/>
        </w:rPr>
        <w:t>40.2</w:t>
      </w:r>
      <w:r>
        <w:rPr>
          <w:rFonts w:hint="eastAsia" w:ascii="宋体"/>
          <w:color w:val="auto"/>
          <w:sz w:val="24"/>
          <w:szCs w:val="24"/>
          <w:highlight w:val="none"/>
        </w:rPr>
        <w:t>技术标（含资格审查文件）与经济标投标文件同时公开开标；</w:t>
      </w:r>
    </w:p>
    <w:p w14:paraId="376E1EED">
      <w:pPr>
        <w:snapToGrid w:val="0"/>
        <w:spacing w:line="360" w:lineRule="auto"/>
        <w:ind w:firstLine="480" w:firstLineChars="200"/>
        <w:rPr>
          <w:rFonts w:ascii="宋体"/>
          <w:color w:val="auto"/>
          <w:sz w:val="24"/>
          <w:szCs w:val="24"/>
          <w:highlight w:val="none"/>
        </w:rPr>
      </w:pPr>
      <w:r>
        <w:rPr>
          <w:rFonts w:hint="eastAsia" w:ascii="宋体" w:hAnsi="宋体"/>
          <w:color w:val="auto"/>
          <w:sz w:val="24"/>
          <w:szCs w:val="24"/>
          <w:highlight w:val="none"/>
          <w:lang w:val="en-US" w:eastAsia="zh-CN"/>
        </w:rPr>
        <w:t>40.3</w:t>
      </w:r>
      <w:r>
        <w:rPr>
          <w:rFonts w:hint="eastAsia" w:ascii="宋体" w:hAnsi="宋体"/>
          <w:color w:val="auto"/>
          <w:sz w:val="24"/>
          <w:szCs w:val="24"/>
          <w:highlight w:val="none"/>
          <w:lang w:eastAsia="zh-CN"/>
        </w:rPr>
        <w:t>由招标人随机抽取确定该工程计算评标参考价的等分点值</w:t>
      </w:r>
      <w:r>
        <w:rPr>
          <w:rFonts w:hint="eastAsia" w:ascii="宋体" w:hAnsi="宋体"/>
          <w:color w:val="auto"/>
          <w:sz w:val="24"/>
          <w:szCs w:val="24"/>
          <w:highlight w:val="none"/>
          <w:lang w:val="en-US" w:eastAsia="zh-CN"/>
        </w:rPr>
        <w:t>X（适用于区间抽取法）；</w:t>
      </w:r>
    </w:p>
    <w:p w14:paraId="07499724">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w:t>
      </w:r>
      <w:r>
        <w:rPr>
          <w:rFonts w:hint="eastAsia" w:ascii="宋体"/>
          <w:color w:val="auto"/>
          <w:sz w:val="24"/>
          <w:szCs w:val="24"/>
          <w:highlight w:val="none"/>
          <w:lang w:val="en-US" w:eastAsia="zh-CN"/>
        </w:rPr>
        <w:t>4</w:t>
      </w:r>
      <w:r>
        <w:rPr>
          <w:rFonts w:hint="eastAsia" w:ascii="宋体"/>
          <w:color w:val="auto"/>
          <w:sz w:val="24"/>
          <w:szCs w:val="24"/>
          <w:highlight w:val="none"/>
        </w:rPr>
        <w:t>由评标委员会对所有已公开开标的投标人进行资格审查；</w:t>
      </w:r>
    </w:p>
    <w:p w14:paraId="14C1B648">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w:t>
      </w:r>
      <w:r>
        <w:rPr>
          <w:rFonts w:hint="eastAsia" w:ascii="宋体"/>
          <w:color w:val="auto"/>
          <w:sz w:val="24"/>
          <w:szCs w:val="24"/>
          <w:highlight w:val="none"/>
          <w:lang w:val="en-US" w:eastAsia="zh-CN"/>
        </w:rPr>
        <w:t>5</w:t>
      </w:r>
      <w:r>
        <w:rPr>
          <w:rFonts w:hint="eastAsia" w:ascii="宋体"/>
          <w:color w:val="auto"/>
          <w:sz w:val="24"/>
          <w:szCs w:val="24"/>
          <w:highlight w:val="none"/>
        </w:rPr>
        <w:t>技术标投标文件有效性审查；</w:t>
      </w:r>
    </w:p>
    <w:p w14:paraId="6ADF6167">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w:t>
      </w:r>
      <w:r>
        <w:rPr>
          <w:rFonts w:hint="eastAsia" w:ascii="宋体"/>
          <w:color w:val="auto"/>
          <w:sz w:val="24"/>
          <w:szCs w:val="24"/>
          <w:highlight w:val="none"/>
          <w:lang w:val="en-US" w:eastAsia="zh-CN"/>
        </w:rPr>
        <w:t>6</w:t>
      </w:r>
      <w:r>
        <w:rPr>
          <w:rFonts w:hint="eastAsia" w:ascii="宋体"/>
          <w:color w:val="auto"/>
          <w:sz w:val="24"/>
          <w:szCs w:val="24"/>
          <w:highlight w:val="none"/>
        </w:rPr>
        <w:t>技术标详细审查评分；</w:t>
      </w:r>
    </w:p>
    <w:p w14:paraId="5927E29B">
      <w:pPr>
        <w:snapToGrid w:val="0"/>
        <w:spacing w:line="360" w:lineRule="auto"/>
        <w:ind w:firstLine="480" w:firstLineChars="200"/>
        <w:rPr>
          <w:rFonts w:hint="default" w:ascii="宋体" w:eastAsia="宋体"/>
          <w:color w:val="auto"/>
          <w:sz w:val="24"/>
          <w:szCs w:val="24"/>
          <w:highlight w:val="none"/>
          <w:lang w:val="en-US" w:eastAsia="zh-CN"/>
        </w:rPr>
      </w:pPr>
      <w:r>
        <w:rPr>
          <w:rFonts w:hint="eastAsia" w:ascii="宋体"/>
          <w:color w:val="auto"/>
          <w:sz w:val="24"/>
          <w:szCs w:val="24"/>
          <w:highlight w:val="none"/>
          <w:lang w:val="en-US" w:eastAsia="zh-CN"/>
        </w:rPr>
        <w:t>40.7经济标的算术校核；</w:t>
      </w:r>
    </w:p>
    <w:p w14:paraId="1F364133">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w:t>
      </w:r>
      <w:r>
        <w:rPr>
          <w:rFonts w:hint="eastAsia" w:ascii="宋体"/>
          <w:color w:val="auto"/>
          <w:sz w:val="24"/>
          <w:szCs w:val="24"/>
          <w:highlight w:val="none"/>
          <w:lang w:val="en-US" w:eastAsia="zh-CN"/>
        </w:rPr>
        <w:t>8</w:t>
      </w:r>
      <w:r>
        <w:rPr>
          <w:rFonts w:hint="eastAsia" w:ascii="宋体"/>
          <w:color w:val="auto"/>
          <w:sz w:val="24"/>
          <w:szCs w:val="24"/>
          <w:highlight w:val="none"/>
        </w:rPr>
        <w:t>经济标详细审查评分；</w:t>
      </w:r>
      <w:r>
        <w:rPr>
          <w:rFonts w:ascii="宋体"/>
          <w:color w:val="auto"/>
          <w:sz w:val="24"/>
          <w:szCs w:val="24"/>
          <w:highlight w:val="none"/>
        </w:rPr>
        <w:t xml:space="preserve"> </w:t>
      </w:r>
    </w:p>
    <w:p w14:paraId="0B83E664">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w:t>
      </w:r>
      <w:r>
        <w:rPr>
          <w:rFonts w:hint="eastAsia" w:ascii="宋体"/>
          <w:color w:val="auto"/>
          <w:sz w:val="24"/>
          <w:szCs w:val="24"/>
          <w:highlight w:val="none"/>
          <w:lang w:val="en-US" w:eastAsia="zh-CN"/>
        </w:rPr>
        <w:t>9</w:t>
      </w:r>
      <w:r>
        <w:rPr>
          <w:rFonts w:hint="eastAsia" w:ascii="宋体"/>
          <w:color w:val="auto"/>
          <w:sz w:val="24"/>
          <w:szCs w:val="24"/>
          <w:highlight w:val="none"/>
        </w:rPr>
        <w:t>评标委员会按照投标人</w:t>
      </w:r>
      <w:r>
        <w:rPr>
          <w:rFonts w:hint="default" w:ascii="宋体"/>
          <w:color w:val="auto"/>
          <w:sz w:val="24"/>
          <w:szCs w:val="24"/>
          <w:highlight w:val="none"/>
          <w:lang w:val="en-US"/>
        </w:rPr>
        <w:t>总</w:t>
      </w:r>
      <w:r>
        <w:rPr>
          <w:rFonts w:hint="eastAsia" w:ascii="宋体"/>
          <w:color w:val="auto"/>
          <w:sz w:val="24"/>
          <w:szCs w:val="24"/>
          <w:highlight w:val="none"/>
        </w:rPr>
        <w:t>得分由高至低排序；</w:t>
      </w:r>
    </w:p>
    <w:p w14:paraId="32FE40DE">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40.</w:t>
      </w:r>
      <w:r>
        <w:rPr>
          <w:rFonts w:hint="eastAsia" w:ascii="宋体"/>
          <w:color w:val="auto"/>
          <w:sz w:val="24"/>
          <w:szCs w:val="24"/>
          <w:highlight w:val="none"/>
          <w:lang w:val="en-US" w:eastAsia="zh-CN"/>
        </w:rPr>
        <w:t>10</w:t>
      </w:r>
      <w:r>
        <w:rPr>
          <w:rFonts w:hint="eastAsia" w:ascii="宋体"/>
          <w:color w:val="auto"/>
          <w:sz w:val="24"/>
          <w:szCs w:val="24"/>
          <w:highlight w:val="none"/>
        </w:rPr>
        <w:t>经济标投标文件有效性审查；</w:t>
      </w:r>
    </w:p>
    <w:p w14:paraId="1C5DFBFA">
      <w:pPr>
        <w:pBdr>
          <w:bottom w:val="none" w:color="auto" w:sz="0" w:space="0"/>
        </w:pBdr>
        <w:snapToGrid w:val="0"/>
        <w:spacing w:line="360" w:lineRule="auto"/>
        <w:ind w:firstLine="480" w:firstLineChars="200"/>
        <w:rPr>
          <w:rFonts w:hint="eastAsia" w:ascii="宋体" w:hAnsi="Calibri" w:cs="Times New Roman"/>
          <w:b w:val="0"/>
          <w:bCs w:val="0"/>
          <w:color w:val="auto"/>
          <w:sz w:val="24"/>
          <w:szCs w:val="24"/>
          <w:highlight w:val="none"/>
          <w:u w:val="none"/>
        </w:rPr>
      </w:pPr>
      <w:r>
        <w:rPr>
          <w:rFonts w:hint="eastAsia" w:ascii="宋体" w:hAnsi="Calibri"/>
          <w:b w:val="0"/>
          <w:bCs w:val="0"/>
          <w:color w:val="auto"/>
          <w:sz w:val="24"/>
          <w:szCs w:val="24"/>
          <w:highlight w:val="none"/>
          <w:u w:val="none"/>
        </w:rPr>
        <w:t>40.</w:t>
      </w:r>
      <w:r>
        <w:rPr>
          <w:rFonts w:hint="eastAsia" w:ascii="宋体" w:hAnsi="Calibri"/>
          <w:b w:val="0"/>
          <w:bCs w:val="0"/>
          <w:color w:val="auto"/>
          <w:sz w:val="24"/>
          <w:szCs w:val="24"/>
          <w:highlight w:val="none"/>
          <w:u w:val="none"/>
          <w:lang w:val="en-US" w:eastAsia="zh-CN"/>
        </w:rPr>
        <w:t>11</w:t>
      </w:r>
      <w:r>
        <w:rPr>
          <w:rFonts w:hint="eastAsia" w:ascii="宋体" w:hAnsi="Calibri"/>
          <w:b w:val="0"/>
          <w:bCs w:val="0"/>
          <w:color w:val="auto"/>
          <w:sz w:val="24"/>
          <w:szCs w:val="24"/>
          <w:highlight w:val="none"/>
          <w:u w:val="none"/>
        </w:rPr>
        <w:t>评标委员会对满足招标文件实质性要求的投标文件，按照本章规定的评分标准进行打分。评标委员会按综合得分从高到低进行排序（综合得分相同的则名次并列占用名次），推荐排序位于前</w:t>
      </w:r>
      <w:r>
        <w:rPr>
          <w:rFonts w:hint="eastAsia" w:ascii="宋体" w:hAnsi="Calibri"/>
          <w:b w:val="0"/>
          <w:bCs w:val="0"/>
          <w:color w:val="auto"/>
          <w:sz w:val="24"/>
          <w:szCs w:val="24"/>
          <w:highlight w:val="none"/>
          <w:u w:val="none"/>
          <w:lang w:val="en-US" w:eastAsia="zh-CN"/>
        </w:rPr>
        <w:t>10</w:t>
      </w:r>
      <w:r>
        <w:rPr>
          <w:rFonts w:hint="eastAsia" w:ascii="宋体" w:hAnsi="Calibri"/>
          <w:b w:val="0"/>
          <w:bCs w:val="0"/>
          <w:color w:val="auto"/>
          <w:sz w:val="24"/>
          <w:szCs w:val="24"/>
          <w:highlight w:val="none"/>
          <w:u w:val="none"/>
        </w:rPr>
        <w:t>名次不排序的入围定标阶段的候选人进入定标阶段（若前</w:t>
      </w:r>
      <w:r>
        <w:rPr>
          <w:rFonts w:hint="eastAsia" w:ascii="宋体" w:hAnsi="Calibri"/>
          <w:b w:val="0"/>
          <w:bCs w:val="0"/>
          <w:color w:val="auto"/>
          <w:sz w:val="24"/>
          <w:szCs w:val="24"/>
          <w:highlight w:val="none"/>
          <w:u w:val="none"/>
          <w:lang w:val="en-US" w:eastAsia="zh-CN"/>
        </w:rPr>
        <w:t>10</w:t>
      </w:r>
      <w:r>
        <w:rPr>
          <w:rFonts w:hint="eastAsia" w:ascii="宋体" w:hAnsi="Calibri"/>
          <w:b w:val="0"/>
          <w:bCs w:val="0"/>
          <w:color w:val="auto"/>
          <w:sz w:val="24"/>
          <w:szCs w:val="24"/>
          <w:highlight w:val="none"/>
          <w:u w:val="none"/>
        </w:rPr>
        <w:t>名次的候选人中存在综合得分相同的，则综合得分相同的所有前</w:t>
      </w:r>
      <w:r>
        <w:rPr>
          <w:rFonts w:hint="eastAsia" w:ascii="宋体" w:hAnsi="Calibri"/>
          <w:b w:val="0"/>
          <w:bCs w:val="0"/>
          <w:color w:val="auto"/>
          <w:sz w:val="24"/>
          <w:szCs w:val="24"/>
          <w:highlight w:val="none"/>
          <w:u w:val="none"/>
          <w:lang w:val="en-US" w:eastAsia="zh-CN"/>
        </w:rPr>
        <w:t>10</w:t>
      </w:r>
      <w:r>
        <w:rPr>
          <w:rFonts w:hint="eastAsia" w:ascii="宋体" w:hAnsi="Calibri"/>
          <w:b w:val="0"/>
          <w:bCs w:val="0"/>
          <w:color w:val="auto"/>
          <w:sz w:val="24"/>
          <w:szCs w:val="24"/>
          <w:highlight w:val="none"/>
          <w:u w:val="none"/>
        </w:rPr>
        <w:t>名次的候选人均进入定标阶段，若前</w:t>
      </w:r>
      <w:r>
        <w:rPr>
          <w:rFonts w:hint="eastAsia" w:ascii="宋体" w:hAnsi="Calibri"/>
          <w:b w:val="0"/>
          <w:bCs w:val="0"/>
          <w:color w:val="auto"/>
          <w:sz w:val="24"/>
          <w:szCs w:val="24"/>
          <w:highlight w:val="none"/>
          <w:u w:val="none"/>
          <w:lang w:val="en-US" w:eastAsia="zh-CN"/>
        </w:rPr>
        <w:t>10</w:t>
      </w:r>
      <w:r>
        <w:rPr>
          <w:rFonts w:hint="eastAsia" w:ascii="宋体" w:hAnsi="Calibri"/>
          <w:b w:val="0"/>
          <w:bCs w:val="0"/>
          <w:color w:val="auto"/>
          <w:sz w:val="24"/>
          <w:szCs w:val="24"/>
          <w:highlight w:val="none"/>
          <w:u w:val="none"/>
        </w:rPr>
        <w:t>名次的家数大于等于3家且小于等于</w:t>
      </w:r>
      <w:r>
        <w:rPr>
          <w:rFonts w:hint="eastAsia" w:ascii="宋体" w:hAnsi="Calibri"/>
          <w:b w:val="0"/>
          <w:bCs w:val="0"/>
          <w:color w:val="auto"/>
          <w:sz w:val="24"/>
          <w:szCs w:val="24"/>
          <w:highlight w:val="none"/>
          <w:u w:val="none"/>
          <w:lang w:val="en-US" w:eastAsia="zh-CN"/>
        </w:rPr>
        <w:t>10</w:t>
      </w:r>
      <w:r>
        <w:rPr>
          <w:rFonts w:hint="eastAsia" w:ascii="宋体" w:hAnsi="Calibri"/>
          <w:b w:val="0"/>
          <w:bCs w:val="0"/>
          <w:color w:val="auto"/>
          <w:sz w:val="24"/>
          <w:szCs w:val="24"/>
          <w:highlight w:val="none"/>
          <w:u w:val="none"/>
        </w:rPr>
        <w:t>家的，则取全部候选人进入定标阶段）。</w:t>
      </w:r>
    </w:p>
    <w:p w14:paraId="187E60FC">
      <w:pPr>
        <w:snapToGrid w:val="0"/>
        <w:spacing w:line="360" w:lineRule="auto"/>
        <w:ind w:firstLine="480" w:firstLineChars="200"/>
        <w:rPr>
          <w:rFonts w:ascii="宋体"/>
          <w:color w:val="auto"/>
          <w:szCs w:val="21"/>
          <w:highlight w:val="none"/>
        </w:rPr>
      </w:pPr>
      <w:r>
        <w:rPr>
          <w:rFonts w:hint="eastAsia" w:ascii="宋体"/>
          <w:b w:val="0"/>
          <w:bCs w:val="0"/>
          <w:color w:val="auto"/>
          <w:sz w:val="24"/>
          <w:szCs w:val="24"/>
          <w:highlight w:val="none"/>
          <w:u w:val="none"/>
        </w:rPr>
        <w:t>候选人入围定标阶段后将按其统一社会信用代码后4 位（除校验码外）大小排位，不排序，如统一社会信用代码后4位出现字母情况的，字母以“0”进行代替大小排位；如出现后4位（除校验码外）大小一致的，则随机排位。若为联合体投标，指联合体主办方。向招标人推荐</w:t>
      </w:r>
      <w:r>
        <w:rPr>
          <w:rFonts w:hint="eastAsia" w:ascii="宋体"/>
          <w:b w:val="0"/>
          <w:bCs w:val="0"/>
          <w:color w:val="auto"/>
          <w:sz w:val="24"/>
          <w:szCs w:val="24"/>
          <w:highlight w:val="none"/>
          <w:u w:val="none"/>
          <w:lang w:val="en-US" w:eastAsia="zh-CN"/>
        </w:rPr>
        <w:t>合格的</w:t>
      </w:r>
      <w:r>
        <w:rPr>
          <w:rFonts w:hint="eastAsia" w:ascii="宋体"/>
          <w:b w:val="0"/>
          <w:bCs w:val="0"/>
          <w:color w:val="auto"/>
          <w:sz w:val="24"/>
          <w:szCs w:val="24"/>
          <w:highlight w:val="none"/>
          <w:u w:val="none"/>
        </w:rPr>
        <w:t>中标候选人名单，并递交资格审查报告及评标报告。</w:t>
      </w:r>
    </w:p>
    <w:p w14:paraId="46579DC9">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41．开标细则</w:t>
      </w:r>
    </w:p>
    <w:p w14:paraId="1746D8EE">
      <w:pPr>
        <w:snapToGrid w:val="0"/>
        <w:spacing w:line="360" w:lineRule="auto"/>
        <w:ind w:firstLine="480" w:firstLineChars="200"/>
        <w:rPr>
          <w:rFonts w:hint="eastAsia" w:ascii="宋体" w:eastAsia="宋体"/>
          <w:color w:val="auto"/>
          <w:sz w:val="24"/>
          <w:szCs w:val="24"/>
          <w:highlight w:val="none"/>
          <w:lang w:eastAsia="zh-CN"/>
        </w:rPr>
      </w:pPr>
      <w:r>
        <w:rPr>
          <w:rFonts w:hint="eastAsia" w:ascii="宋体"/>
          <w:color w:val="auto"/>
          <w:sz w:val="24"/>
          <w:szCs w:val="24"/>
          <w:highlight w:val="none"/>
        </w:rPr>
        <w:t>41.1开标由招标人</w:t>
      </w:r>
      <w:r>
        <w:rPr>
          <w:rFonts w:hint="eastAsia" w:ascii="宋体"/>
          <w:b/>
          <w:bCs/>
          <w:color w:val="auto"/>
          <w:sz w:val="24"/>
          <w:szCs w:val="24"/>
          <w:highlight w:val="none"/>
          <w:u w:val="single"/>
        </w:rPr>
        <w:t>或招标代理</w:t>
      </w:r>
      <w:r>
        <w:rPr>
          <w:rFonts w:hint="eastAsia" w:ascii="宋体"/>
          <w:color w:val="auto"/>
          <w:sz w:val="24"/>
          <w:szCs w:val="24"/>
          <w:highlight w:val="none"/>
        </w:rPr>
        <w:t>主持</w:t>
      </w:r>
      <w:r>
        <w:rPr>
          <w:rFonts w:hint="eastAsia" w:ascii="宋体"/>
          <w:color w:val="auto"/>
          <w:sz w:val="24"/>
          <w:szCs w:val="24"/>
          <w:highlight w:val="none"/>
          <w:lang w:eastAsia="zh-CN"/>
        </w:rPr>
        <w:t>。</w:t>
      </w:r>
    </w:p>
    <w:p w14:paraId="56A76BA3">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 细则</w:t>
      </w:r>
    </w:p>
    <w:p w14:paraId="2E128077">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41.2.1投标截止期前，各投标人递交投标文件（包括技术标投标文件、经济标投标文件</w:t>
      </w:r>
      <w:r>
        <w:rPr>
          <w:rFonts w:hint="eastAsia" w:ascii="宋体" w:hAnsi="宋体" w:cs="宋体"/>
          <w:b/>
          <w:bCs/>
          <w:sz w:val="24"/>
          <w:szCs w:val="24"/>
          <w:highlight w:val="none"/>
          <w:u w:val="single"/>
        </w:rPr>
        <w:t>和定标文件</w:t>
      </w:r>
      <w:r>
        <w:rPr>
          <w:rFonts w:hint="eastAsia" w:ascii="宋体"/>
          <w:color w:val="auto"/>
          <w:sz w:val="24"/>
          <w:szCs w:val="24"/>
          <w:highlight w:val="none"/>
        </w:rPr>
        <w:t>）至</w:t>
      </w:r>
      <w:r>
        <w:rPr>
          <w:rFonts w:hint="eastAsia" w:ascii="宋体"/>
          <w:b/>
          <w:bCs/>
          <w:color w:val="auto"/>
          <w:sz w:val="24"/>
          <w:szCs w:val="24"/>
          <w:highlight w:val="none"/>
          <w:u w:val="single"/>
          <w:lang w:eastAsia="zh-CN"/>
        </w:rPr>
        <w:t>广州交易集团有限公司（广州公共资源交易中心）</w:t>
      </w:r>
      <w:r>
        <w:rPr>
          <w:rFonts w:hint="eastAsia" w:ascii="宋体"/>
          <w:color w:val="auto"/>
          <w:sz w:val="24"/>
          <w:szCs w:val="24"/>
          <w:highlight w:val="none"/>
        </w:rPr>
        <w:t xml:space="preserve">交易平台。有关投标文件提交的事项详见第一章投标须知。 </w:t>
      </w:r>
    </w:p>
    <w:p w14:paraId="4FE9C62E">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41.2.2</w:t>
      </w:r>
      <w:r>
        <w:rPr>
          <w:rFonts w:hint="eastAsia" w:ascii="宋体" w:hAnsi="宋体"/>
          <w:color w:val="auto"/>
          <w:sz w:val="24"/>
          <w:szCs w:val="24"/>
          <w:highlight w:val="none"/>
        </w:rPr>
        <w:t>开标时，投标人代表有权参加现场开标或在线开标，也可以自主决定不参加开标，若投标人代表对开标过程有异议的，参加现场开标的应当在开标现场提出，同时出示本人身份证原件，招标人应当当场作出答复，并制作记录；参加在线开标的，投标人应通过交易平台在线提出，招标人应通过交易平台答复，答复后方可结束开标。</w:t>
      </w:r>
    </w:p>
    <w:p w14:paraId="75258721">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41.2.</w:t>
      </w:r>
      <w:r>
        <w:rPr>
          <w:rFonts w:hint="eastAsia" w:ascii="宋体"/>
          <w:color w:val="auto"/>
          <w:sz w:val="24"/>
          <w:szCs w:val="24"/>
          <w:highlight w:val="none"/>
          <w:lang w:val="en-US" w:eastAsia="zh-CN"/>
        </w:rPr>
        <w:t>3</w:t>
      </w:r>
      <w:r>
        <w:rPr>
          <w:rFonts w:hint="eastAsia" w:ascii="宋体"/>
          <w:color w:val="auto"/>
          <w:sz w:val="24"/>
          <w:szCs w:val="24"/>
          <w:highlight w:val="none"/>
        </w:rPr>
        <w:t xml:space="preserve">按36.5.1的规定完成解密后，公布下列内容，并予以记录，记录提交评标委员会评审： </w:t>
      </w:r>
    </w:p>
    <w:p w14:paraId="15964008">
      <w:pPr>
        <w:snapToGrid w:val="0"/>
        <w:spacing w:line="360" w:lineRule="auto"/>
        <w:ind w:firstLine="480" w:firstLineChars="200"/>
        <w:rPr>
          <w:rFonts w:hint="eastAsia" w:ascii="宋体"/>
          <w:color w:val="auto"/>
          <w:sz w:val="24"/>
          <w:szCs w:val="24"/>
          <w:highlight w:val="none"/>
        </w:rPr>
      </w:pPr>
      <w:r>
        <w:rPr>
          <w:rFonts w:hint="eastAsia" w:ascii="宋体"/>
          <w:color w:val="auto"/>
          <w:sz w:val="24"/>
          <w:szCs w:val="24"/>
          <w:highlight w:val="none"/>
        </w:rPr>
        <w:t>41.2.</w:t>
      </w:r>
      <w:r>
        <w:rPr>
          <w:rFonts w:hint="eastAsia" w:ascii="宋体"/>
          <w:color w:val="auto"/>
          <w:sz w:val="24"/>
          <w:szCs w:val="24"/>
          <w:highlight w:val="none"/>
          <w:lang w:val="en-US" w:eastAsia="zh-CN"/>
        </w:rPr>
        <w:t>3</w:t>
      </w:r>
      <w:r>
        <w:rPr>
          <w:rFonts w:hint="eastAsia" w:ascii="宋体"/>
          <w:color w:val="auto"/>
          <w:sz w:val="24"/>
          <w:szCs w:val="24"/>
          <w:highlight w:val="none"/>
        </w:rPr>
        <w:t>.1开标时，公布：</w:t>
      </w:r>
      <w:r>
        <w:rPr>
          <w:rFonts w:hint="eastAsia" w:ascii="宋体" w:hAnsi="宋体"/>
          <w:color w:val="auto"/>
          <w:sz w:val="24"/>
          <w:szCs w:val="24"/>
          <w:highlight w:val="none"/>
        </w:rPr>
        <w:t>a、投标人名称；</w:t>
      </w:r>
      <w:r>
        <w:rPr>
          <w:rFonts w:ascii="宋体" w:hAnsi="宋体"/>
          <w:color w:val="auto"/>
          <w:sz w:val="24"/>
          <w:szCs w:val="24"/>
          <w:highlight w:val="none"/>
        </w:rPr>
        <w:t>b</w:t>
      </w:r>
      <w:r>
        <w:rPr>
          <w:rFonts w:hint="eastAsia" w:ascii="宋体" w:hAnsi="宋体"/>
          <w:color w:val="auto"/>
          <w:sz w:val="24"/>
          <w:szCs w:val="24"/>
          <w:highlight w:val="none"/>
        </w:rPr>
        <w:t>、</w:t>
      </w:r>
      <w:r>
        <w:rPr>
          <w:rFonts w:hint="eastAsia" w:ascii="宋体" w:hAnsi="宋体"/>
          <w:color w:val="auto"/>
          <w:sz w:val="24"/>
          <w:szCs w:val="24"/>
          <w:highlight w:val="none"/>
          <w:lang w:eastAsia="zh-CN"/>
        </w:rPr>
        <w:t>投标文件递交情况</w:t>
      </w:r>
      <w:r>
        <w:rPr>
          <w:rFonts w:ascii="宋体" w:hAnsi="宋体"/>
          <w:color w:val="auto"/>
          <w:sz w:val="24"/>
          <w:szCs w:val="24"/>
          <w:highlight w:val="none"/>
        </w:rPr>
        <w:t>c</w:t>
      </w:r>
      <w:r>
        <w:rPr>
          <w:rFonts w:hint="eastAsia" w:ascii="宋体" w:hAnsi="宋体"/>
          <w:color w:val="auto"/>
          <w:sz w:val="24"/>
          <w:szCs w:val="24"/>
          <w:highlight w:val="none"/>
        </w:rPr>
        <w:t>、</w:t>
      </w:r>
      <w:r>
        <w:rPr>
          <w:rFonts w:hint="eastAsia" w:ascii="宋体" w:hAnsi="宋体"/>
          <w:color w:val="auto"/>
          <w:sz w:val="24"/>
          <w:highlight w:val="none"/>
        </w:rPr>
        <w:t>投标文件</w:t>
      </w:r>
      <w:r>
        <w:rPr>
          <w:rFonts w:hint="eastAsia" w:ascii="宋体" w:hAnsi="宋体"/>
          <w:color w:val="auto"/>
          <w:sz w:val="24"/>
          <w:highlight w:val="none"/>
          <w:lang w:eastAsia="zh-CN"/>
        </w:rPr>
        <w:t>解</w:t>
      </w:r>
      <w:r>
        <w:rPr>
          <w:rFonts w:hint="eastAsia" w:ascii="宋体" w:hAnsi="宋体"/>
          <w:color w:val="auto"/>
          <w:sz w:val="24"/>
          <w:szCs w:val="24"/>
          <w:highlight w:val="none"/>
        </w:rPr>
        <w:t>密情况；</w:t>
      </w:r>
      <w:r>
        <w:rPr>
          <w:rFonts w:ascii="宋体" w:hAnsi="宋体"/>
          <w:color w:val="auto"/>
          <w:sz w:val="24"/>
          <w:szCs w:val="24"/>
          <w:highlight w:val="none"/>
        </w:rPr>
        <w:t>d</w:t>
      </w:r>
      <w:r>
        <w:rPr>
          <w:rFonts w:hint="eastAsia" w:ascii="宋体" w:hAnsi="宋体"/>
          <w:color w:val="auto"/>
          <w:sz w:val="24"/>
          <w:szCs w:val="24"/>
          <w:highlight w:val="none"/>
        </w:rPr>
        <w:t>、法定代表人证明及授权委托；</w:t>
      </w:r>
      <w:r>
        <w:rPr>
          <w:rFonts w:ascii="宋体" w:hAnsi="宋体"/>
          <w:b/>
          <w:bCs/>
          <w:strike/>
          <w:color w:val="auto"/>
          <w:sz w:val="24"/>
          <w:szCs w:val="24"/>
          <w:highlight w:val="none"/>
          <w:u w:val="single"/>
        </w:rPr>
        <w:t>e</w:t>
      </w:r>
      <w:r>
        <w:rPr>
          <w:rFonts w:hint="eastAsia" w:ascii="宋体" w:hAnsi="宋体"/>
          <w:b/>
          <w:bCs/>
          <w:strike/>
          <w:color w:val="auto"/>
          <w:sz w:val="24"/>
          <w:szCs w:val="24"/>
          <w:highlight w:val="none"/>
          <w:u w:val="single"/>
        </w:rPr>
        <w:t>、投标保证金；</w:t>
      </w:r>
      <w:r>
        <w:rPr>
          <w:rFonts w:hint="eastAsia" w:ascii="宋体" w:hAnsi="宋体"/>
          <w:color w:val="auto"/>
          <w:sz w:val="24"/>
          <w:szCs w:val="24"/>
          <w:highlight w:val="none"/>
          <w:lang w:val="en-US" w:eastAsia="zh-CN"/>
        </w:rPr>
        <w:t>f、</w:t>
      </w:r>
      <w:r>
        <w:rPr>
          <w:rFonts w:hint="eastAsia" w:ascii="宋体" w:hAnsi="宋体"/>
          <w:color w:val="auto"/>
          <w:sz w:val="24"/>
          <w:szCs w:val="24"/>
          <w:highlight w:val="none"/>
        </w:rPr>
        <w:t>项目经理（负责人）名称；</w:t>
      </w:r>
      <w:r>
        <w:rPr>
          <w:rFonts w:ascii="宋体" w:hAnsi="宋体"/>
          <w:color w:val="auto"/>
          <w:sz w:val="24"/>
          <w:szCs w:val="24"/>
          <w:highlight w:val="none"/>
        </w:rPr>
        <w:t>f</w:t>
      </w:r>
      <w:r>
        <w:rPr>
          <w:rFonts w:hint="eastAsia" w:ascii="宋体" w:hAnsi="宋体"/>
          <w:color w:val="auto"/>
          <w:sz w:val="24"/>
          <w:szCs w:val="24"/>
          <w:highlight w:val="none"/>
        </w:rPr>
        <w:t>、投标报价等</w:t>
      </w:r>
      <w:r>
        <w:rPr>
          <w:rFonts w:hint="eastAsia" w:ascii="宋体"/>
          <w:color w:val="auto"/>
          <w:sz w:val="24"/>
          <w:szCs w:val="24"/>
          <w:highlight w:val="none"/>
        </w:rPr>
        <w:t>主要内容及开标记录表中的其他必要内容。投标报价以数字和文字两种方式表述的，应公布文字表述的投标报价。</w:t>
      </w:r>
    </w:p>
    <w:p w14:paraId="4A7150E0">
      <w:pPr>
        <w:snapToGrid w:val="0"/>
        <w:spacing w:line="360" w:lineRule="auto"/>
        <w:ind w:firstLine="480" w:firstLineChars="200"/>
        <w:rPr>
          <w:rFonts w:hint="eastAsia" w:ascii="宋体" w:eastAsia="宋体"/>
          <w:color w:val="auto"/>
          <w:sz w:val="24"/>
          <w:szCs w:val="24"/>
          <w:highlight w:val="none"/>
          <w:lang w:val="en-US" w:eastAsia="zh-CN"/>
        </w:rPr>
      </w:pPr>
      <w:r>
        <w:rPr>
          <w:rFonts w:hint="eastAsia" w:ascii="宋体"/>
          <w:color w:val="auto"/>
          <w:sz w:val="24"/>
          <w:szCs w:val="24"/>
          <w:highlight w:val="none"/>
          <w:lang w:val="en-US" w:eastAsia="zh-CN"/>
        </w:rPr>
        <w:t>41.2.3.2</w:t>
      </w:r>
      <w:r>
        <w:rPr>
          <w:rFonts w:hint="eastAsia" w:ascii="宋体"/>
          <w:color w:val="auto"/>
          <w:sz w:val="24"/>
          <w:szCs w:val="24"/>
          <w:highlight w:val="none"/>
        </w:rPr>
        <w:t>由招标人随机抽取确定该工程计算评标参考价的等分点值X</w:t>
      </w:r>
      <w:r>
        <w:rPr>
          <w:rFonts w:hint="eastAsia" w:ascii="宋体"/>
          <w:color w:val="auto"/>
          <w:sz w:val="24"/>
          <w:szCs w:val="24"/>
          <w:highlight w:val="none"/>
          <w:lang w:eastAsia="zh-CN"/>
        </w:rPr>
        <w:t>。</w:t>
      </w:r>
    </w:p>
    <w:p w14:paraId="32D34DFC">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41.3招标人对开标过程进行记录，并存档备查。</w:t>
      </w:r>
    </w:p>
    <w:p w14:paraId="6EBE9EC1">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41.4 招标人将上述符合要求的投标文件，送至评标委员会进行评审。</w:t>
      </w:r>
    </w:p>
    <w:p w14:paraId="16229431">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 资格审查及评标细则</w:t>
      </w:r>
    </w:p>
    <w:p w14:paraId="75F556EE">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42.1资格审查及评标均由招标人依法组建的评标委员会负责。</w:t>
      </w:r>
    </w:p>
    <w:p w14:paraId="51343C30">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42.2评标委员会的组成：方式</w:t>
      </w:r>
      <w:r>
        <w:rPr>
          <w:rFonts w:hint="eastAsia" w:ascii="宋体"/>
          <w:b/>
          <w:bCs/>
          <w:color w:val="auto"/>
          <w:sz w:val="24"/>
          <w:szCs w:val="24"/>
          <w:highlight w:val="none"/>
          <w:u w:val="single"/>
          <w:lang w:eastAsia="zh-CN"/>
        </w:rPr>
        <w:t>一</w:t>
      </w:r>
      <w:r>
        <w:rPr>
          <w:rFonts w:hint="eastAsia" w:ascii="宋体"/>
          <w:color w:val="auto"/>
          <w:sz w:val="24"/>
          <w:szCs w:val="24"/>
          <w:highlight w:val="none"/>
        </w:rPr>
        <w:t>。</w:t>
      </w:r>
    </w:p>
    <w:p w14:paraId="66B0DC5C">
      <w:pPr>
        <w:snapToGrid w:val="0"/>
        <w:spacing w:line="360" w:lineRule="auto"/>
        <w:ind w:firstLine="480" w:firstLineChars="200"/>
        <w:rPr>
          <w:rFonts w:ascii="宋体"/>
          <w:color w:val="auto"/>
          <w:sz w:val="24"/>
          <w:szCs w:val="24"/>
          <w:highlight w:val="none"/>
        </w:rPr>
      </w:pPr>
      <w:r>
        <w:rPr>
          <w:rFonts w:hint="eastAsia" w:ascii="宋体"/>
          <w:color w:val="auto"/>
          <w:sz w:val="24"/>
          <w:szCs w:val="24"/>
          <w:highlight w:val="none"/>
        </w:rPr>
        <w:t>方式一：评标委员会为综合评标委员会，负责</w:t>
      </w:r>
      <w:r>
        <w:rPr>
          <w:rFonts w:hint="eastAsia" w:ascii="宋体"/>
          <w:b/>
          <w:bCs/>
          <w:color w:val="auto"/>
          <w:sz w:val="24"/>
          <w:szCs w:val="24"/>
          <w:highlight w:val="none"/>
          <w:u w:val="single"/>
        </w:rPr>
        <w:t>资格审查及</w:t>
      </w:r>
      <w:r>
        <w:rPr>
          <w:rFonts w:hint="eastAsia" w:ascii="宋体"/>
          <w:color w:val="auto"/>
          <w:sz w:val="24"/>
          <w:szCs w:val="24"/>
          <w:highlight w:val="none"/>
        </w:rPr>
        <w:t>评标工作。</w:t>
      </w:r>
    </w:p>
    <w:p w14:paraId="0654C1E1">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43．投标人资格审查</w:t>
      </w:r>
    </w:p>
    <w:p w14:paraId="2FB0BE7E">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43.1资格审查文件中全部符合附表一《资格审查表》中情形的，为资格审查合格；否则为资格审查不合格。如评标委员会成员的评审意见不一致时，以评标委员会过半数成员的意见作为评标委员会对该情形的认定结论。评委发现资格审查文件中含义不明确、对同类问题表述不一致、有明显文字和计算错误的，应当要求投标人作必要的澄清、说明后再判定投标人是否通过资格审查，不得直接认定其不通过资格审查。</w:t>
      </w:r>
    </w:p>
    <w:p w14:paraId="0D232F74">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43.2汇总资格审查情况，编写资格审查报告。</w:t>
      </w:r>
    </w:p>
    <w:p w14:paraId="73AD7D5B">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43.3资格审查不合格的投标文件不参加下一阶段的评标，不参与评标参考价的计算。</w:t>
      </w:r>
    </w:p>
    <w:p w14:paraId="2859119A">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43.4资格审查时，投标企业名称已经工商变更的，但企业及个人的资质证书未完成企业名称变更，仍然承认其有效。资质证书、安全生产许可证之间登记的信息不一致，应当允许投标人澄清，不得直接否决其投标。</w:t>
      </w:r>
    </w:p>
    <w:p w14:paraId="5E5749F5">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43.5资审合格后，投标人的资格发生变化而不满足投标人合格条件，在发出中标通知书前，资格问题仍未解决的，招标人将取消其中标资格。</w:t>
      </w:r>
    </w:p>
    <w:p w14:paraId="3474E80A">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43.6资格审查合格的投标人少于3名的（当N个标段同时招标且不允许兼中时，资格审查合格的投标人少于N+2名），则本项目招标失败</w:t>
      </w:r>
      <w:r>
        <w:rPr>
          <w:rFonts w:hint="eastAsia" w:ascii="宋体"/>
          <w:color w:val="auto"/>
          <w:sz w:val="24"/>
          <w:szCs w:val="24"/>
          <w:highlight w:val="none"/>
          <w:lang w:eastAsia="zh-CN"/>
        </w:rPr>
        <w:t>，由招标人依法重新招标</w:t>
      </w:r>
      <w:r>
        <w:rPr>
          <w:rFonts w:hint="eastAsia" w:ascii="宋体"/>
          <w:color w:val="auto"/>
          <w:sz w:val="24"/>
          <w:szCs w:val="24"/>
          <w:highlight w:val="none"/>
        </w:rPr>
        <w:t>。</w:t>
      </w:r>
    </w:p>
    <w:p w14:paraId="45D184C2">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44．技术标评审</w:t>
      </w:r>
    </w:p>
    <w:p w14:paraId="6B5C3346">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44.1</w:t>
      </w:r>
      <w:r>
        <w:rPr>
          <w:rFonts w:hint="eastAsia" w:ascii="宋体" w:hAnsi="宋体"/>
          <w:color w:val="auto"/>
          <w:sz w:val="24"/>
          <w:szCs w:val="24"/>
          <w:highlight w:val="none"/>
        </w:rPr>
        <w:t>技术标的有效性审查：投标文件中没有任一种列于本办法附表二《技术标有效性审查表》中情形的，为有效投标文件。否则其投标文件将被否决。被否决的投标人不参与下一阶段评审，不参与评标参考价的计算。如评标委员会成员的评审意见不一致时，以评标委员会过半数成员的意见作为评标委员会对该情形的认定结论。若通过技术标有效性审查的投标人不足三家，则</w:t>
      </w:r>
      <w:r>
        <w:rPr>
          <w:rFonts w:hint="eastAsia" w:ascii="宋体" w:hAnsi="宋体"/>
          <w:color w:val="auto"/>
          <w:sz w:val="24"/>
          <w:szCs w:val="24"/>
          <w:highlight w:val="none"/>
          <w:lang w:eastAsia="zh-CN"/>
        </w:rPr>
        <w:t>本项目招标失败</w:t>
      </w:r>
      <w:r>
        <w:rPr>
          <w:rFonts w:hint="eastAsia" w:ascii="宋体" w:hAnsi="宋体"/>
          <w:color w:val="auto"/>
          <w:sz w:val="24"/>
          <w:szCs w:val="24"/>
          <w:highlight w:val="none"/>
        </w:rPr>
        <w:t>（当N个标段同时招标且不允许兼中时，通过技术标有效性审查投标人</w:t>
      </w:r>
      <w:r>
        <w:rPr>
          <w:rFonts w:hint="eastAsia" w:ascii="宋体" w:hAnsi="宋体"/>
          <w:color w:val="auto"/>
          <w:sz w:val="24"/>
          <w:szCs w:val="24"/>
          <w:highlight w:val="none"/>
          <w:lang w:eastAsia="zh-CN"/>
        </w:rPr>
        <w:t>应≥</w:t>
      </w:r>
      <w:r>
        <w:rPr>
          <w:rFonts w:hint="eastAsia" w:ascii="宋体" w:hAnsi="宋体"/>
          <w:color w:val="auto"/>
          <w:sz w:val="24"/>
          <w:szCs w:val="24"/>
          <w:highlight w:val="none"/>
        </w:rPr>
        <w:t>N+2）</w:t>
      </w:r>
      <w:r>
        <w:rPr>
          <w:rFonts w:hint="eastAsia" w:ascii="宋体"/>
          <w:color w:val="auto"/>
          <w:sz w:val="24"/>
          <w:szCs w:val="24"/>
          <w:highlight w:val="none"/>
          <w:lang w:eastAsia="zh-CN"/>
        </w:rPr>
        <w:t>，由招标人依法重新招标</w:t>
      </w:r>
      <w:r>
        <w:rPr>
          <w:rFonts w:hint="eastAsia" w:ascii="宋体" w:hAnsi="宋体"/>
          <w:color w:val="auto"/>
          <w:sz w:val="24"/>
          <w:szCs w:val="24"/>
          <w:highlight w:val="none"/>
        </w:rPr>
        <w:t>。评委发现投标文件中含义不明确、对同类问题表述不一致、有明显文字和计算错误的，应当要求投标人作必要的澄清、说明后再判定投标人是否通过有效性审查，不得直接否决投标。</w:t>
      </w:r>
    </w:p>
    <w:p w14:paraId="3C1C1D82">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44.2技术标详细审查评分：评标委员会按照附表四《技术标详细审查评分表》的标准，对通过技术标有效性审查的投标文件技术标进行详细审查，评出技术分，得分四舍五入精确到小数点后两位。</w:t>
      </w:r>
    </w:p>
    <w:p w14:paraId="04BEBB88">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经济标的算术校核。评标委员会对进行经济标有效性审查的投标文件投标报价按照就低不就高的原则进行算术校核，具体标准如下：</w:t>
      </w:r>
    </w:p>
    <w:p w14:paraId="3A980409">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en-US" w:eastAsia="zh-CN"/>
        </w:rPr>
        <w:t>45.</w:t>
      </w:r>
      <w:r>
        <w:rPr>
          <w:rFonts w:hint="eastAsia" w:ascii="宋体" w:hAnsi="宋体"/>
          <w:color w:val="auto"/>
          <w:sz w:val="24"/>
          <w:szCs w:val="24"/>
          <w:highlight w:val="none"/>
        </w:rPr>
        <w:t>1如果数字表示的金额和用文字表示的金额不一致时，应以文字表示的金额为准；</w:t>
      </w:r>
    </w:p>
    <w:p w14:paraId="7A02730E">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en-US" w:eastAsia="zh-CN"/>
        </w:rPr>
        <w:t>45.</w:t>
      </w:r>
      <w:r>
        <w:rPr>
          <w:rFonts w:hint="eastAsia" w:ascii="宋体" w:hAnsi="宋体"/>
          <w:color w:val="auto"/>
          <w:sz w:val="24"/>
          <w:szCs w:val="24"/>
          <w:highlight w:val="none"/>
        </w:rPr>
        <w:t>2经算术复核的投标人报价与其投标报价不一致时，按就低不就高原则确定其最终报价；</w:t>
      </w:r>
    </w:p>
    <w:p w14:paraId="771F7874">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lang w:val="en-US" w:eastAsia="zh-CN"/>
        </w:rPr>
        <w:t>45.</w:t>
      </w:r>
      <w:r>
        <w:rPr>
          <w:rFonts w:hint="eastAsia" w:ascii="宋体" w:hAnsi="宋体"/>
          <w:color w:val="auto"/>
          <w:sz w:val="24"/>
          <w:szCs w:val="24"/>
          <w:highlight w:val="none"/>
        </w:rPr>
        <w:t>3当单价与数量均符合招标文件要求时，若单价与数量的乘积与合价不一致时，按就低不就高原则确定修改单价或是合价。当单价与数量的乘积小于合价，以单价为准，修改合价，除非评标委员会认为单价有明显的小数点错误，此时应以标出的合价为准，并修改单价；当单价与数量的乘积大于合价，以合价为准，修改单价；</w:t>
      </w:r>
    </w:p>
    <w:p w14:paraId="55BDB913">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w:t>
      </w:r>
      <w:r>
        <w:rPr>
          <w:rFonts w:ascii="宋体" w:hAnsi="宋体"/>
          <w:color w:val="auto"/>
          <w:sz w:val="24"/>
          <w:szCs w:val="24"/>
          <w:highlight w:val="none"/>
        </w:rPr>
        <w:t>4</w:t>
      </w:r>
      <w:r>
        <w:rPr>
          <w:rFonts w:hint="eastAsia" w:ascii="宋体" w:hAnsi="宋体"/>
          <w:color w:val="auto"/>
          <w:sz w:val="24"/>
          <w:szCs w:val="24"/>
          <w:highlight w:val="none"/>
        </w:rPr>
        <w:t>当合价、金额累加错误时，按就低不就高原则，如果累加修正值小于原累加值，则按累加修正值；如果累加修正值大于原累加值，则按原累加值；</w:t>
      </w:r>
    </w:p>
    <w:p w14:paraId="0B1BDD9D">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rPr>
        <w:t>.</w:t>
      </w:r>
      <w:r>
        <w:rPr>
          <w:rFonts w:ascii="宋体" w:hAnsi="宋体"/>
          <w:color w:val="auto"/>
          <w:sz w:val="24"/>
          <w:szCs w:val="24"/>
          <w:highlight w:val="none"/>
        </w:rPr>
        <w:t>5</w:t>
      </w:r>
      <w:r>
        <w:rPr>
          <w:rFonts w:hint="eastAsia" w:ascii="宋体" w:hAnsi="宋体"/>
          <w:color w:val="auto"/>
          <w:sz w:val="24"/>
          <w:szCs w:val="24"/>
          <w:highlight w:val="none"/>
        </w:rPr>
        <w:t>如果投标人的有关规费、暂列金额、暂估价、绿色施工安全防护措施费等未按招标文件规定的金额填写的，由评标委员会按照招标文件规定的金额进行修正；</w:t>
      </w:r>
    </w:p>
    <w:p w14:paraId="1F415C19">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lang w:val="en-US" w:eastAsia="zh-CN"/>
        </w:rPr>
        <w:t>5.</w:t>
      </w:r>
      <w:r>
        <w:rPr>
          <w:rFonts w:ascii="宋体" w:hAnsi="宋体"/>
          <w:color w:val="auto"/>
          <w:sz w:val="24"/>
          <w:szCs w:val="24"/>
          <w:highlight w:val="none"/>
        </w:rPr>
        <w:t>6</w:t>
      </w:r>
      <w:r>
        <w:rPr>
          <w:rFonts w:hint="eastAsia" w:ascii="宋体" w:hAnsi="宋体"/>
          <w:color w:val="auto"/>
          <w:sz w:val="24"/>
          <w:szCs w:val="24"/>
          <w:highlight w:val="none"/>
        </w:rPr>
        <w:t>①分部分项工程量比招标文件少、单位比招标文件小或错误时，以招标文件的工程量或单位为准，合价不变，修改综合单价。分部分项工程量比招标文件多或单位比招标文件大时，工程量、单位、综合单价及合价均不作修改；②分部分项项目对比招标文件（招标工程量清单）漏项的，则该漏项费用视为已分配在其他项目中，不再修改；③分部分项工程量清单中的综合单价与综合单价分析表中的综合单价不一致时，以价低者为准；④分部分项工程量计价表中的项目编码或项目名称或计量单位或工程数量缺省或不填时，由评委以招标文件中招标人工程量清单为准进行修正；若同时缺省或不填项目编码和项目名称，则该项按增项处理；⑤分部分项项目增项的，不予修改；⑥其它招标文件规定需要修改的，均以就低不就高原则进行修改；</w:t>
      </w:r>
    </w:p>
    <w:p w14:paraId="43AD6A64">
      <w:pPr>
        <w:spacing w:line="360" w:lineRule="auto"/>
        <w:ind w:firstLine="480" w:firstLineChars="200"/>
        <w:rPr>
          <w:rFonts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lang w:val="en-US" w:eastAsia="zh-CN"/>
        </w:rPr>
        <w:t>5.</w:t>
      </w:r>
      <w:r>
        <w:rPr>
          <w:rFonts w:ascii="宋体" w:hAnsi="宋体"/>
          <w:color w:val="auto"/>
          <w:sz w:val="24"/>
          <w:szCs w:val="24"/>
          <w:highlight w:val="none"/>
        </w:rPr>
        <w:t>7</w:t>
      </w:r>
      <w:r>
        <w:rPr>
          <w:rFonts w:hint="eastAsia" w:ascii="宋体" w:hAnsi="宋体"/>
          <w:color w:val="auto"/>
          <w:sz w:val="24"/>
          <w:szCs w:val="24"/>
          <w:highlight w:val="none"/>
        </w:rPr>
        <w:t>按就低不就高原则，当修正后报价小于原报价，总价按修正后报价；当修正后报价大于原报价，总价按原报价，并在签订合同时载明在结算价中扣除修正报价与原报价的差额。</w:t>
      </w:r>
    </w:p>
    <w:p w14:paraId="0C8D65BA">
      <w:pPr>
        <w:pStyle w:val="4"/>
        <w:tabs>
          <w:tab w:val="left" w:pos="7380"/>
        </w:tabs>
        <w:snapToGrid w:val="0"/>
        <w:spacing w:after="0" w:line="360" w:lineRule="auto"/>
        <w:ind w:firstLine="480" w:firstLineChars="200"/>
        <w:rPr>
          <w:rFonts w:hint="eastAsia" w:ascii="宋体" w:hAnsi="宋体"/>
          <w:color w:val="auto"/>
          <w:sz w:val="24"/>
          <w:szCs w:val="24"/>
          <w:highlight w:val="none"/>
        </w:rPr>
      </w:pPr>
      <w:r>
        <w:rPr>
          <w:rFonts w:ascii="宋体" w:hAnsi="宋体"/>
          <w:color w:val="auto"/>
          <w:sz w:val="24"/>
          <w:szCs w:val="24"/>
          <w:highlight w:val="none"/>
        </w:rPr>
        <w:t>4</w:t>
      </w:r>
      <w:r>
        <w:rPr>
          <w:rFonts w:hint="eastAsia" w:ascii="宋体" w:hAnsi="宋体"/>
          <w:color w:val="auto"/>
          <w:sz w:val="24"/>
          <w:szCs w:val="24"/>
          <w:highlight w:val="none"/>
          <w:lang w:val="en-US" w:eastAsia="zh-CN"/>
        </w:rPr>
        <w:t>5.</w:t>
      </w:r>
      <w:r>
        <w:rPr>
          <w:rFonts w:ascii="宋体" w:hAnsi="宋体"/>
          <w:color w:val="auto"/>
          <w:sz w:val="24"/>
          <w:szCs w:val="24"/>
          <w:highlight w:val="none"/>
        </w:rPr>
        <w:t>8</w:t>
      </w:r>
      <w:r>
        <w:rPr>
          <w:rFonts w:hint="eastAsia" w:ascii="宋体" w:hAnsi="宋体"/>
          <w:color w:val="auto"/>
          <w:sz w:val="24"/>
          <w:szCs w:val="24"/>
          <w:highlight w:val="none"/>
        </w:rPr>
        <w:t>评标委员会按上述修正错误的原则及方法调整或修正</w:t>
      </w:r>
      <w:r>
        <w:rPr>
          <w:rFonts w:hint="eastAsia" w:ascii="宋体" w:hAnsi="宋体"/>
          <w:color w:val="auto"/>
          <w:sz w:val="24"/>
          <w:szCs w:val="24"/>
          <w:highlight w:val="none"/>
          <w:lang w:eastAsia="zh-CN"/>
        </w:rPr>
        <w:t>经济标</w:t>
      </w:r>
      <w:r>
        <w:rPr>
          <w:rFonts w:hint="eastAsia" w:ascii="宋体" w:hAnsi="宋体"/>
          <w:color w:val="auto"/>
          <w:sz w:val="24"/>
          <w:szCs w:val="24"/>
          <w:highlight w:val="none"/>
        </w:rPr>
        <w:t>投标文件的投标报价</w:t>
      </w:r>
      <w:r>
        <w:rPr>
          <w:rFonts w:hint="eastAsia" w:ascii="宋体" w:hAnsi="宋体"/>
          <w:color w:val="auto"/>
          <w:sz w:val="24"/>
          <w:szCs w:val="24"/>
          <w:highlight w:val="none"/>
          <w:lang w:eastAsia="zh-CN"/>
        </w:rPr>
        <w:t>。评标委员会应</w:t>
      </w:r>
      <w:r>
        <w:rPr>
          <w:rFonts w:hint="eastAsia" w:ascii="宋体" w:hAnsi="宋体"/>
          <w:color w:val="auto"/>
          <w:sz w:val="24"/>
          <w:szCs w:val="24"/>
          <w:highlight w:val="none"/>
        </w:rPr>
        <w:t>要求投标人以澄清形式进行核实和确认</w:t>
      </w:r>
      <w:r>
        <w:rPr>
          <w:rFonts w:hint="eastAsia" w:ascii="宋体" w:hAnsi="宋体"/>
          <w:color w:val="auto"/>
          <w:sz w:val="24"/>
          <w:szCs w:val="24"/>
          <w:highlight w:val="none"/>
          <w:lang w:eastAsia="zh-CN"/>
        </w:rPr>
        <w:t>调整或修正的经济标投标文件的投标报价，投标人应在评标委员会在评标系统发出要求澄清的通知起</w:t>
      </w:r>
      <w:r>
        <w:rPr>
          <w:rFonts w:hint="eastAsia" w:ascii="宋体" w:hAnsi="宋体"/>
          <w:color w:val="auto"/>
          <w:sz w:val="24"/>
          <w:szCs w:val="24"/>
          <w:highlight w:val="none"/>
          <w:lang w:val="en-US" w:eastAsia="zh-CN"/>
        </w:rPr>
        <w:t>120分钟内将核实和确认结果书面回复评标委员会，逾时不回复视作同意评标委员会调整或修正投标文件的投标报价。</w:t>
      </w:r>
      <w:r>
        <w:rPr>
          <w:rFonts w:hint="eastAsia" w:ascii="宋体" w:hAnsi="宋体"/>
          <w:color w:val="auto"/>
          <w:sz w:val="24"/>
          <w:szCs w:val="24"/>
          <w:highlight w:val="none"/>
        </w:rPr>
        <w:t>调整后的投标报价对投标人起约束作用。如果投标人</w:t>
      </w:r>
      <w:r>
        <w:rPr>
          <w:rFonts w:hint="eastAsia" w:ascii="宋体" w:hAnsi="宋体"/>
          <w:color w:val="auto"/>
          <w:sz w:val="24"/>
          <w:szCs w:val="24"/>
          <w:highlight w:val="none"/>
          <w:lang w:eastAsia="zh-CN"/>
        </w:rPr>
        <w:t>无正当理由</w:t>
      </w:r>
      <w:r>
        <w:rPr>
          <w:rFonts w:hint="eastAsia" w:ascii="宋体" w:hAnsi="宋体"/>
          <w:color w:val="auto"/>
          <w:sz w:val="24"/>
          <w:szCs w:val="24"/>
          <w:highlight w:val="none"/>
        </w:rPr>
        <w:t>不接受修正后的报价，则取消其投标资格</w:t>
      </w:r>
      <w:r>
        <w:rPr>
          <w:rFonts w:hint="eastAsia" w:ascii="宋体" w:hAnsi="宋体"/>
          <w:strike w:val="0"/>
          <w:color w:val="auto"/>
          <w:sz w:val="24"/>
          <w:szCs w:val="24"/>
          <w:highlight w:val="none"/>
        </w:rPr>
        <w:t>，并且其投标保证金也将不予退还</w:t>
      </w:r>
      <w:r>
        <w:rPr>
          <w:rFonts w:hint="eastAsia" w:ascii="宋体" w:hAnsi="宋体"/>
          <w:color w:val="auto"/>
          <w:sz w:val="24"/>
          <w:szCs w:val="24"/>
          <w:highlight w:val="none"/>
        </w:rPr>
        <w:t>。</w:t>
      </w:r>
    </w:p>
    <w:p w14:paraId="499FB333">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color w:val="auto"/>
          <w:sz w:val="24"/>
          <w:szCs w:val="24"/>
          <w:highlight w:val="none"/>
        </w:rPr>
        <w:t>4</w:t>
      </w:r>
      <w:r>
        <w:rPr>
          <w:rFonts w:hint="eastAsia" w:ascii="宋体"/>
          <w:color w:val="auto"/>
          <w:sz w:val="24"/>
          <w:szCs w:val="24"/>
          <w:highlight w:val="none"/>
          <w:lang w:val="en-US" w:eastAsia="zh-CN"/>
        </w:rPr>
        <w:t>6</w:t>
      </w:r>
      <w:r>
        <w:rPr>
          <w:rFonts w:hint="eastAsia" w:ascii="宋体"/>
          <w:color w:val="auto"/>
          <w:sz w:val="24"/>
          <w:szCs w:val="24"/>
          <w:highlight w:val="none"/>
        </w:rPr>
        <w:t>．经济标评审和得分汇总</w:t>
      </w:r>
    </w:p>
    <w:p w14:paraId="5B9F888A">
      <w:pPr>
        <w:pStyle w:val="4"/>
        <w:tabs>
          <w:tab w:val="left" w:pos="7380"/>
        </w:tabs>
        <w:snapToGrid w:val="0"/>
        <w:spacing w:after="0" w:line="360" w:lineRule="auto"/>
        <w:ind w:firstLine="480" w:firstLineChars="200"/>
        <w:rPr>
          <w:rFonts w:hint="default" w:ascii="宋体"/>
          <w:color w:val="auto"/>
          <w:sz w:val="24"/>
          <w:szCs w:val="24"/>
          <w:highlight w:val="none"/>
          <w:lang w:val="en-US" w:eastAsia="zh-CN"/>
        </w:rPr>
      </w:pPr>
      <w:r>
        <w:rPr>
          <w:rFonts w:hint="eastAsia" w:ascii="宋体"/>
          <w:color w:val="auto"/>
          <w:sz w:val="24"/>
          <w:szCs w:val="24"/>
          <w:highlight w:val="none"/>
          <w:lang w:val="en-US" w:eastAsia="zh-CN"/>
        </w:rPr>
        <w:t>46.1</w:t>
      </w:r>
      <w:r>
        <w:rPr>
          <w:rFonts w:hint="eastAsia" w:ascii="宋体"/>
          <w:color w:val="auto"/>
          <w:sz w:val="24"/>
          <w:szCs w:val="24"/>
          <w:highlight w:val="none"/>
        </w:rPr>
        <w:t>若通过技术标有效性审查的投标人中所有投标报价均大于等于最高投标限价，则本项目招标失败，由招标人依法</w:t>
      </w:r>
      <w:r>
        <w:rPr>
          <w:rFonts w:hint="eastAsia" w:ascii="宋体"/>
          <w:color w:val="auto"/>
          <w:sz w:val="24"/>
          <w:szCs w:val="24"/>
          <w:highlight w:val="none"/>
          <w:lang w:eastAsia="zh-CN"/>
        </w:rPr>
        <w:t>重新招标</w:t>
      </w:r>
      <w:r>
        <w:rPr>
          <w:rFonts w:hint="eastAsia" w:ascii="宋体"/>
          <w:color w:val="auto"/>
          <w:sz w:val="24"/>
          <w:szCs w:val="24"/>
          <w:highlight w:val="none"/>
        </w:rPr>
        <w:t>。</w:t>
      </w:r>
    </w:p>
    <w:p w14:paraId="14FA6475">
      <w:pPr>
        <w:pStyle w:val="4"/>
        <w:tabs>
          <w:tab w:val="left" w:pos="7380"/>
        </w:tabs>
        <w:snapToGrid w:val="0"/>
        <w:spacing w:after="0" w:line="360" w:lineRule="auto"/>
        <w:ind w:firstLine="480" w:firstLineChars="200"/>
        <w:rPr>
          <w:rFonts w:ascii="宋体"/>
          <w:color w:val="auto"/>
          <w:sz w:val="24"/>
          <w:szCs w:val="24"/>
          <w:highlight w:val="none"/>
        </w:rPr>
      </w:pPr>
      <w:r>
        <w:rPr>
          <w:rFonts w:hint="eastAsia" w:ascii="宋体" w:hAnsi="宋体"/>
          <w:color w:val="auto"/>
          <w:sz w:val="24"/>
          <w:szCs w:val="24"/>
          <w:highlight w:val="none"/>
        </w:rPr>
        <w:t>4</w:t>
      </w:r>
      <w:r>
        <w:rPr>
          <w:rFonts w:hint="eastAsia" w:ascii="宋体" w:hAnsi="宋体"/>
          <w:color w:val="auto"/>
          <w:sz w:val="24"/>
          <w:szCs w:val="24"/>
          <w:highlight w:val="none"/>
          <w:lang w:val="en-US" w:eastAsia="zh-CN"/>
        </w:rPr>
        <w:t>6</w:t>
      </w:r>
      <w:r>
        <w:rPr>
          <w:rFonts w:hint="eastAsia" w:ascii="宋体" w:hAnsi="宋体"/>
          <w:color w:val="auto"/>
          <w:sz w:val="24"/>
          <w:szCs w:val="24"/>
          <w:highlight w:val="none"/>
        </w:rPr>
        <w:t>.</w:t>
      </w:r>
      <w:r>
        <w:rPr>
          <w:rFonts w:hint="eastAsia" w:ascii="宋体" w:hAnsi="宋体"/>
          <w:color w:val="auto"/>
          <w:sz w:val="24"/>
          <w:szCs w:val="24"/>
          <w:highlight w:val="none"/>
          <w:lang w:val="en-US" w:eastAsia="zh-CN"/>
        </w:rPr>
        <w:t>2</w:t>
      </w:r>
      <w:r>
        <w:rPr>
          <w:rFonts w:hint="eastAsia" w:ascii="宋体" w:hAnsi="宋体"/>
          <w:color w:val="auto"/>
          <w:sz w:val="24"/>
          <w:szCs w:val="24"/>
          <w:highlight w:val="none"/>
        </w:rPr>
        <w:t>按</w:t>
      </w:r>
      <w:r>
        <w:rPr>
          <w:rFonts w:hint="eastAsia" w:ascii="宋体" w:hAnsi="宋体"/>
          <w:color w:val="auto"/>
          <w:sz w:val="24"/>
          <w:szCs w:val="24"/>
          <w:highlight w:val="none"/>
          <w:lang w:eastAsia="zh-CN"/>
        </w:rPr>
        <w:t>以下</w:t>
      </w:r>
      <w:r>
        <w:rPr>
          <w:rFonts w:hint="eastAsia" w:ascii="宋体" w:hAnsi="宋体"/>
          <w:color w:val="auto"/>
          <w:sz w:val="24"/>
          <w:szCs w:val="24"/>
          <w:highlight w:val="none"/>
        </w:rPr>
        <w:t>方法计算评标参考价：</w:t>
      </w:r>
    </w:p>
    <w:p w14:paraId="22F66A51">
      <w:pPr>
        <w:widowControl/>
        <w:spacing w:line="360" w:lineRule="auto"/>
        <w:ind w:firstLine="482" w:firstLineChars="200"/>
        <w:rPr>
          <w:rFonts w:ascii="宋体" w:hAnsi="宋体"/>
          <w:b/>
          <w:bCs/>
          <w:color w:val="auto"/>
          <w:kern w:val="0"/>
          <w:sz w:val="24"/>
          <w:szCs w:val="24"/>
          <w:highlight w:val="none"/>
        </w:rPr>
      </w:pPr>
      <w:r>
        <w:rPr>
          <w:rFonts w:hint="eastAsia" w:ascii="宋体" w:hAnsi="宋体" w:cs="仿宋"/>
          <w:b/>
          <w:bCs/>
          <w:color w:val="auto"/>
          <w:kern w:val="0"/>
          <w:sz w:val="24"/>
          <w:szCs w:val="24"/>
          <w:highlight w:val="none"/>
        </w:rPr>
        <w:t>区间抽取法</w:t>
      </w:r>
    </w:p>
    <w:p w14:paraId="775D4FE5">
      <w:pPr>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u w:val="none"/>
        </w:rPr>
        <w:t>设立</w:t>
      </w:r>
      <w:r>
        <w:rPr>
          <w:rFonts w:ascii="宋体" w:hAnsi="宋体" w:eastAsia="宋体" w:cs="宋体"/>
          <w:b/>
          <w:bCs/>
          <w:color w:val="auto"/>
          <w:sz w:val="24"/>
          <w:szCs w:val="24"/>
          <w:highlight w:val="none"/>
          <w:u w:val="single"/>
        </w:rPr>
        <w:t>技术标</w:t>
      </w:r>
      <w:r>
        <w:rPr>
          <w:rFonts w:ascii="宋体" w:hAnsi="宋体" w:eastAsia="宋体" w:cs="宋体"/>
          <w:color w:val="auto"/>
          <w:sz w:val="24"/>
          <w:szCs w:val="24"/>
          <w:highlight w:val="none"/>
          <w:u w:val="none"/>
        </w:rPr>
        <w:t>入围合格分数线</w:t>
      </w:r>
      <w:r>
        <w:rPr>
          <w:rFonts w:ascii="宋体" w:hAnsi="宋体" w:eastAsia="宋体" w:cs="宋体"/>
          <w:b/>
          <w:bCs/>
          <w:color w:val="auto"/>
          <w:sz w:val="24"/>
          <w:szCs w:val="24"/>
          <w:highlight w:val="none"/>
          <w:u w:val="single"/>
        </w:rPr>
        <w:t>（入围技术标合格分数线为70分（技术分满分为100分））</w:t>
      </w:r>
      <w:r>
        <w:rPr>
          <w:rFonts w:ascii="宋体" w:hAnsi="宋体" w:eastAsia="宋体" w:cs="宋体"/>
          <w:b w:val="0"/>
          <w:bCs w:val="0"/>
          <w:color w:val="auto"/>
          <w:sz w:val="24"/>
          <w:szCs w:val="24"/>
          <w:highlight w:val="none"/>
          <w:u w:val="none"/>
        </w:rPr>
        <w:t>，达到或超过及格线的投标人的报价方能参与评标参考价的计算</w:t>
      </w:r>
      <w:r>
        <w:rPr>
          <w:rFonts w:ascii="宋体" w:hAnsi="宋体" w:eastAsia="宋体" w:cs="宋体"/>
          <w:color w:val="auto"/>
          <w:sz w:val="24"/>
          <w:szCs w:val="24"/>
          <w:highlight w:val="none"/>
        </w:rPr>
        <w:t>。将达到或超过技术标及格分数线的投标报价由低至高进行排列，按以下公式计算评标参考价，计算公式如下：</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评标参考价=（Q高-Q低）/100*Ｘ+Q低</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Q低：为达到或超过技术标及格分数线的投标人最低报价与工程成本警示价两者中的较高值；</w:t>
      </w:r>
      <w:r>
        <w:rPr>
          <w:rFonts w:ascii="宋体" w:hAnsi="宋体" w:eastAsia="宋体" w:cs="宋体"/>
          <w:color w:val="auto"/>
          <w:sz w:val="24"/>
          <w:szCs w:val="24"/>
          <w:highlight w:val="none"/>
        </w:rPr>
        <w:br w:type="textWrapping"/>
      </w:r>
      <w:r>
        <w:rPr>
          <w:rFonts w:ascii="宋体" w:hAnsi="宋体" w:eastAsia="宋体" w:cs="宋体"/>
          <w:color w:val="auto"/>
          <w:sz w:val="24"/>
          <w:szCs w:val="24"/>
          <w:highlight w:val="none"/>
        </w:rPr>
        <w:t>Q高：为最高投标限价</w:t>
      </w:r>
    </w:p>
    <w:p w14:paraId="226E6217">
      <w:pPr>
        <w:spacing w:line="360" w:lineRule="auto"/>
        <w:ind w:firstLine="0" w:firstLineChars="0"/>
        <w:rPr>
          <w:rFonts w:hint="eastAsia" w:ascii="宋体" w:hAnsi="宋体" w:cs="仿宋"/>
          <w:color w:val="auto"/>
          <w:sz w:val="24"/>
          <w:szCs w:val="24"/>
          <w:highlight w:val="none"/>
        </w:rPr>
      </w:pPr>
      <w:r>
        <w:rPr>
          <w:rFonts w:ascii="宋体" w:hAnsi="宋体" w:eastAsia="宋体" w:cs="宋体"/>
          <w:color w:val="auto"/>
          <w:sz w:val="24"/>
          <w:szCs w:val="24"/>
          <w:highlight w:val="none"/>
        </w:rPr>
        <w:t>X:为等分点值，在开标前从[0,100]整数中随机抽取</w:t>
      </w:r>
    </w:p>
    <w:p w14:paraId="43D2674C">
      <w:pPr>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ascii="宋体" w:hAnsi="宋体"/>
          <w:color w:val="auto"/>
          <w:sz w:val="24"/>
          <w:szCs w:val="24"/>
          <w:highlight w:val="none"/>
        </w:rPr>
      </w:pPr>
      <w:r>
        <w:rPr>
          <w:rFonts w:hint="eastAsia" w:ascii="宋体" w:hAnsi="宋体" w:cs="宋体"/>
          <w:color w:val="auto"/>
          <w:kern w:val="0"/>
          <w:sz w:val="24"/>
          <w:szCs w:val="24"/>
          <w:highlight w:val="none"/>
        </w:rPr>
        <w:t>4</w:t>
      </w:r>
      <w:r>
        <w:rPr>
          <w:rFonts w:hint="eastAsia" w:ascii="宋体" w:hAnsi="宋体" w:cs="宋体"/>
          <w:color w:val="auto"/>
          <w:kern w:val="0"/>
          <w:sz w:val="24"/>
          <w:szCs w:val="24"/>
          <w:highlight w:val="none"/>
          <w:lang w:val="en-US" w:eastAsia="zh-CN"/>
        </w:rPr>
        <w:t>6</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en-US" w:eastAsia="zh-CN"/>
        </w:rPr>
        <w:t>3</w:t>
      </w:r>
      <w:r>
        <w:rPr>
          <w:rFonts w:hint="eastAsia" w:ascii="宋体" w:hAnsi="宋体"/>
          <w:color w:val="auto"/>
          <w:sz w:val="24"/>
          <w:szCs w:val="24"/>
          <w:highlight w:val="none"/>
        </w:rPr>
        <w:t>当</w:t>
      </w:r>
      <w:r>
        <w:rPr>
          <w:rFonts w:hint="eastAsia" w:ascii="宋体" w:hAnsi="宋体" w:eastAsia="宋体" w:cs="宋体"/>
          <w:b/>
          <w:bCs/>
          <w:color w:val="auto"/>
          <w:sz w:val="24"/>
          <w:szCs w:val="24"/>
          <w:highlight w:val="none"/>
          <w:u w:val="single"/>
        </w:rPr>
        <w:t>投标报价</w:t>
      </w:r>
      <w:r>
        <w:rPr>
          <w:rFonts w:hint="eastAsia" w:ascii="宋体" w:hAnsi="宋体"/>
          <w:color w:val="auto"/>
          <w:sz w:val="24"/>
          <w:szCs w:val="24"/>
          <w:highlight w:val="none"/>
        </w:rPr>
        <w:t>等于评标参考价时得</w:t>
      </w:r>
      <w:r>
        <w:rPr>
          <w:rFonts w:ascii="宋体" w:hAnsi="宋体"/>
          <w:color w:val="auto"/>
          <w:sz w:val="24"/>
          <w:szCs w:val="24"/>
          <w:highlight w:val="none"/>
        </w:rPr>
        <w:t>100</w:t>
      </w:r>
      <w:r>
        <w:rPr>
          <w:rFonts w:hint="eastAsia" w:ascii="宋体" w:hAnsi="宋体"/>
          <w:color w:val="auto"/>
          <w:sz w:val="24"/>
          <w:szCs w:val="24"/>
          <w:highlight w:val="none"/>
        </w:rPr>
        <w:t>分，</w:t>
      </w:r>
      <w:r>
        <w:rPr>
          <w:rFonts w:hint="eastAsia" w:ascii="宋体" w:hAnsi="宋体" w:eastAsia="宋体" w:cs="宋体"/>
          <w:b/>
          <w:bCs/>
          <w:color w:val="auto"/>
          <w:sz w:val="24"/>
          <w:szCs w:val="24"/>
          <w:highlight w:val="none"/>
          <w:u w:val="single"/>
        </w:rPr>
        <w:t>投标报价</w:t>
      </w:r>
      <w:r>
        <w:rPr>
          <w:rFonts w:hint="eastAsia" w:ascii="宋体" w:hAnsi="宋体"/>
          <w:color w:val="auto"/>
          <w:sz w:val="24"/>
          <w:szCs w:val="24"/>
          <w:highlight w:val="none"/>
        </w:rPr>
        <w:t>每高于评标参考价</w:t>
      </w:r>
      <w:r>
        <w:rPr>
          <w:rFonts w:ascii="宋体" w:hAnsi="宋体"/>
          <w:color w:val="auto"/>
          <w:sz w:val="24"/>
          <w:szCs w:val="24"/>
          <w:highlight w:val="none"/>
        </w:rPr>
        <w:t>1%</w:t>
      </w:r>
      <w:r>
        <w:rPr>
          <w:rFonts w:hint="eastAsia" w:ascii="宋体" w:hAnsi="宋体"/>
          <w:color w:val="auto"/>
          <w:sz w:val="24"/>
          <w:szCs w:val="24"/>
          <w:highlight w:val="none"/>
        </w:rPr>
        <w:t>，扣</w:t>
      </w:r>
      <w:r>
        <w:rPr>
          <w:rFonts w:ascii="宋体" w:hAnsi="宋体"/>
          <w:color w:val="auto"/>
          <w:sz w:val="24"/>
          <w:szCs w:val="24"/>
          <w:highlight w:val="none"/>
        </w:rPr>
        <w:t>1.5</w:t>
      </w:r>
      <w:r>
        <w:rPr>
          <w:rFonts w:hint="eastAsia" w:ascii="宋体" w:hAnsi="宋体"/>
          <w:color w:val="auto"/>
          <w:sz w:val="24"/>
          <w:szCs w:val="24"/>
          <w:highlight w:val="none"/>
        </w:rPr>
        <w:t>分，每低于评标参考价</w:t>
      </w:r>
      <w:r>
        <w:rPr>
          <w:rFonts w:ascii="宋体" w:hAnsi="宋体"/>
          <w:color w:val="auto"/>
          <w:sz w:val="24"/>
          <w:szCs w:val="24"/>
          <w:highlight w:val="none"/>
        </w:rPr>
        <w:t>1%</w:t>
      </w:r>
      <w:r>
        <w:rPr>
          <w:rFonts w:hint="eastAsia" w:ascii="宋体" w:hAnsi="宋体"/>
          <w:color w:val="auto"/>
          <w:sz w:val="24"/>
          <w:szCs w:val="24"/>
          <w:highlight w:val="none"/>
        </w:rPr>
        <w:t>，扣</w:t>
      </w:r>
      <w:r>
        <w:rPr>
          <w:rFonts w:ascii="宋体" w:hAnsi="宋体"/>
          <w:color w:val="auto"/>
          <w:sz w:val="24"/>
          <w:szCs w:val="24"/>
          <w:highlight w:val="none"/>
        </w:rPr>
        <w:t>1</w:t>
      </w:r>
      <w:r>
        <w:rPr>
          <w:rFonts w:hint="eastAsia" w:ascii="宋体" w:hAnsi="宋体"/>
          <w:color w:val="auto"/>
          <w:sz w:val="24"/>
          <w:szCs w:val="24"/>
          <w:highlight w:val="none"/>
        </w:rPr>
        <w:t>分，扣至</w:t>
      </w:r>
      <w:r>
        <w:rPr>
          <w:rFonts w:ascii="宋体" w:hAnsi="宋体"/>
          <w:color w:val="auto"/>
          <w:sz w:val="24"/>
          <w:szCs w:val="24"/>
          <w:highlight w:val="none"/>
        </w:rPr>
        <w:t>0</w:t>
      </w:r>
      <w:r>
        <w:rPr>
          <w:rFonts w:hint="eastAsia" w:ascii="宋体" w:hAnsi="宋体"/>
          <w:color w:val="auto"/>
          <w:sz w:val="24"/>
          <w:szCs w:val="24"/>
          <w:highlight w:val="none"/>
        </w:rPr>
        <w:t>分为止，</w:t>
      </w:r>
      <w:r>
        <w:rPr>
          <w:rFonts w:hint="eastAsia" w:ascii="宋体" w:hAnsi="宋体" w:eastAsia="宋体" w:cs="宋体"/>
          <w:b/>
          <w:bCs/>
          <w:color w:val="auto"/>
          <w:kern w:val="0"/>
          <w:sz w:val="24"/>
          <w:szCs w:val="24"/>
          <w:highlight w:val="none"/>
          <w:u w:val="single"/>
          <w:lang w:eastAsia="zh-CN"/>
        </w:rPr>
        <w:t>根据第一章投标须知前附表第3</w:t>
      </w:r>
      <w:r>
        <w:rPr>
          <w:rFonts w:hint="eastAsia" w:ascii="宋体" w:hAnsi="宋体" w:cs="宋体"/>
          <w:b/>
          <w:bCs/>
          <w:color w:val="auto"/>
          <w:kern w:val="0"/>
          <w:sz w:val="24"/>
          <w:szCs w:val="24"/>
          <w:highlight w:val="none"/>
          <w:u w:val="single"/>
          <w:lang w:val="en-US" w:eastAsia="zh-CN"/>
        </w:rPr>
        <w:t>4</w:t>
      </w:r>
      <w:r>
        <w:rPr>
          <w:rFonts w:hint="eastAsia" w:ascii="宋体" w:hAnsi="宋体" w:eastAsia="宋体" w:cs="宋体"/>
          <w:b/>
          <w:bCs/>
          <w:color w:val="auto"/>
          <w:kern w:val="0"/>
          <w:sz w:val="24"/>
          <w:szCs w:val="24"/>
          <w:highlight w:val="none"/>
          <w:u w:val="single"/>
          <w:lang w:eastAsia="zh-CN"/>
        </w:rPr>
        <w:t>项规定实施经济标评审优惠政策（如有）。</w:t>
      </w:r>
      <w:r>
        <w:rPr>
          <w:rFonts w:ascii="宋体" w:hAnsi="宋体"/>
          <w:b/>
          <w:bCs/>
          <w:color w:val="auto"/>
          <w:sz w:val="24"/>
          <w:szCs w:val="24"/>
          <w:highlight w:val="none"/>
          <w:u w:val="single"/>
        </w:rPr>
        <w:t>得出经济分，精确到小数点后两位。</w:t>
      </w:r>
    </w:p>
    <w:p w14:paraId="4BA8D591">
      <w:pPr>
        <w:pBdr>
          <w:top w:val="none" w:color="auto" w:sz="0" w:space="0"/>
          <w:left w:val="none" w:color="auto" w:sz="0" w:space="0"/>
          <w:bottom w:val="none" w:color="auto" w:sz="0" w:space="0"/>
          <w:right w:val="none" w:color="auto" w:sz="0" w:space="0"/>
          <w:between w:val="none" w:color="auto" w:sz="0" w:space="0"/>
        </w:pBdr>
        <w:spacing w:line="360" w:lineRule="auto"/>
        <w:ind w:firstLine="540" w:firstLineChars="224"/>
        <w:rPr>
          <w:rFonts w:hint="eastAsia" w:ascii="宋体" w:hAnsi="宋体" w:eastAsia="宋体" w:cs="Times New Roman"/>
          <w:b/>
          <w:bCs/>
          <w:color w:val="auto"/>
          <w:sz w:val="24"/>
          <w:szCs w:val="24"/>
          <w:highlight w:val="none"/>
          <w:u w:val="none"/>
        </w:rPr>
      </w:pPr>
      <w:r>
        <w:rPr>
          <w:rFonts w:hint="eastAsia" w:ascii="宋体" w:hAnsi="宋体"/>
          <w:b/>
          <w:bCs/>
          <w:color w:val="auto"/>
          <w:sz w:val="24"/>
          <w:szCs w:val="24"/>
          <w:highlight w:val="none"/>
        </w:rPr>
        <w:t>4</w:t>
      </w:r>
      <w:r>
        <w:rPr>
          <w:rFonts w:hint="eastAsia" w:ascii="宋体" w:hAnsi="宋体"/>
          <w:b/>
          <w:bCs/>
          <w:color w:val="auto"/>
          <w:sz w:val="24"/>
          <w:szCs w:val="24"/>
          <w:highlight w:val="none"/>
          <w:lang w:val="en-US" w:eastAsia="zh-CN"/>
        </w:rPr>
        <w:t>6</w:t>
      </w:r>
      <w:r>
        <w:rPr>
          <w:rFonts w:hint="eastAsia" w:ascii="宋体" w:hAnsi="宋体"/>
          <w:b/>
          <w:bCs/>
          <w:color w:val="auto"/>
          <w:sz w:val="24"/>
          <w:szCs w:val="24"/>
          <w:highlight w:val="none"/>
        </w:rPr>
        <w:t>.</w:t>
      </w:r>
      <w:r>
        <w:rPr>
          <w:rFonts w:hint="eastAsia" w:ascii="宋体" w:hAnsi="宋体"/>
          <w:b/>
          <w:bCs/>
          <w:color w:val="auto"/>
          <w:sz w:val="24"/>
          <w:szCs w:val="24"/>
          <w:highlight w:val="none"/>
          <w:lang w:val="en-US" w:eastAsia="zh-CN"/>
        </w:rPr>
        <w:t>4</w:t>
      </w:r>
      <w:r>
        <w:rPr>
          <w:rFonts w:hint="eastAsia" w:ascii="宋体" w:hAnsi="宋体" w:eastAsia="宋体" w:cs="Times New Roman"/>
          <w:b/>
          <w:bCs/>
          <w:color w:val="auto"/>
          <w:sz w:val="24"/>
          <w:szCs w:val="24"/>
          <w:highlight w:val="none"/>
          <w:u w:val="none"/>
        </w:rPr>
        <w:t>计算通过技术标有效性审查的投标人总得分。投标人总得分=技术得分×技术得分权重20%＋经济得分×经济得分权重80%。技术、经济得分权重按投标须知前附表的规定执行。总得分四舍五入保留两位小数。最终得分按照总分从高到低排列先后次序，推荐排序位于前10名次不排序的入围定标阶段的候选人进入定标阶段（若前10名次的候选人中存在综合得分相同的，则综合得分相同的所有前10名次的候选人均进入定标阶段，若前10名次的家数大于等于3家且小于等于10家的，则取全部候选人进入定标阶段）。</w:t>
      </w:r>
    </w:p>
    <w:p w14:paraId="3596C0BC">
      <w:pPr>
        <w:pBdr>
          <w:top w:val="none" w:color="auto" w:sz="0" w:space="0"/>
          <w:left w:val="none" w:color="auto" w:sz="0" w:space="0"/>
          <w:bottom w:val="none" w:color="auto" w:sz="0" w:space="0"/>
          <w:right w:val="none" w:color="auto" w:sz="0" w:space="0"/>
          <w:between w:val="none" w:color="auto" w:sz="0" w:space="0"/>
        </w:pBdr>
        <w:snapToGrid w:val="0"/>
        <w:spacing w:after="0" w:line="360" w:lineRule="auto"/>
        <w:ind w:firstLine="540" w:firstLineChars="224"/>
        <w:rPr>
          <w:rFonts w:hint="eastAsia" w:ascii="宋体" w:hAnsi="宋体"/>
          <w:b/>
          <w:bCs/>
          <w:color w:val="auto"/>
          <w:sz w:val="24"/>
          <w:szCs w:val="24"/>
          <w:highlight w:val="none"/>
          <w:u w:val="none"/>
        </w:rPr>
      </w:pPr>
      <w:r>
        <w:rPr>
          <w:rFonts w:hint="eastAsia" w:ascii="宋体" w:hAnsi="宋体"/>
          <w:b/>
          <w:bCs/>
          <w:color w:val="auto"/>
          <w:sz w:val="24"/>
          <w:szCs w:val="24"/>
          <w:highlight w:val="none"/>
          <w:u w:val="none"/>
        </w:rPr>
        <w:t>候选人入围定标阶段后将按其统一社会信用代码后4 位（除校验码外）大小排位，不排序，如统一社会信用代码后4位出现字母情况的，字母以“0”进行代替大小排位；如出现后4位（除校验码外）大小一致的，则随机排位。若为联合体投标，指联合体主办方。</w:t>
      </w:r>
    </w:p>
    <w:p w14:paraId="40F0A330">
      <w:pPr>
        <w:pStyle w:val="4"/>
        <w:tabs>
          <w:tab w:val="left" w:pos="7380"/>
        </w:tabs>
        <w:snapToGrid w:val="0"/>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.经济标的有效性审查</w:t>
      </w:r>
    </w:p>
    <w:p w14:paraId="4F931466">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4</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rPr>
        <w:t>.1经济标的有效性审查：按照投标人总得分排序，依次对投标文件进行经济标有效性审查，投标文件中没有任一种列于本办法附表三《经济标有效性审查表》中情形的，为有效投标文件，否则其投标文件将被否决。如评标委员会成员的评审意见不一致时，以评标委员会过半数成员的意见作为评标委员会对该情形的认定结论。评委发现投标文件中含义不明确、对同类问题表述不一致、有明显文字和计算错误、投标报价可能低于成本影响履约的，应当要求投标人作必要的澄清、说明后再判定投标人是否通过有效性审查，不得直接否决投标。</w:t>
      </w:r>
      <w:r>
        <w:rPr>
          <w:rFonts w:hint="eastAsia" w:ascii="宋体" w:hAnsi="宋体" w:cs="Times New Roman"/>
          <w:color w:val="auto"/>
          <w:sz w:val="24"/>
          <w:szCs w:val="24"/>
          <w:highlight w:val="none"/>
          <w:lang w:eastAsia="zh-CN"/>
        </w:rPr>
        <w:t>属于经济标算术校核范围的不得作为否决投标的情形。</w:t>
      </w:r>
    </w:p>
    <w:p w14:paraId="7684B51D">
      <w:pPr>
        <w:spacing w:line="360" w:lineRule="auto"/>
        <w:ind w:firstLine="480" w:firstLineChars="200"/>
        <w:rPr>
          <w:rFonts w:hint="eastAsia" w:ascii="宋体" w:hAnsi="宋体" w:cs="Times New Roman"/>
          <w:color w:val="auto"/>
          <w:sz w:val="24"/>
          <w:szCs w:val="24"/>
          <w:highlight w:val="none"/>
        </w:rPr>
      </w:pPr>
      <w:r>
        <w:rPr>
          <w:rFonts w:hint="eastAsia" w:ascii="宋体" w:hAnsi="宋体"/>
          <w:color w:val="auto"/>
          <w:sz w:val="24"/>
          <w:szCs w:val="24"/>
          <w:highlight w:val="none"/>
          <w:u w:val="none"/>
        </w:rPr>
        <w:t>4</w:t>
      </w:r>
      <w:r>
        <w:rPr>
          <w:rFonts w:hint="eastAsia" w:ascii="宋体" w:hAnsi="宋体"/>
          <w:color w:val="auto"/>
          <w:sz w:val="24"/>
          <w:szCs w:val="24"/>
          <w:highlight w:val="none"/>
          <w:u w:val="none"/>
          <w:lang w:val="en-US" w:eastAsia="zh-CN"/>
        </w:rPr>
        <w:t>8</w:t>
      </w:r>
      <w:r>
        <w:rPr>
          <w:rFonts w:hint="eastAsia" w:ascii="宋体" w:hAnsi="宋体"/>
          <w:color w:val="auto"/>
          <w:sz w:val="24"/>
          <w:szCs w:val="24"/>
          <w:highlight w:val="none"/>
          <w:u w:val="none"/>
        </w:rPr>
        <w:t>.评标委员会按只有通过有效性审查的投标人的投标文件方可进入下一阶段评审的评审原则，根据有效性审查结果，取消被否决投标的投标人的排序，其余通过有效性审查的投标人的排序依次上升替补确定，以此类推。直至评审出进入定标阶段的前</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名次不排序的入围定标阶段的候选人（若前</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名次的候选人中存在综合得分相同的，则综合得分相同的所有前</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名次的候选人均进入定标阶段，若前</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名次的家数大于等于3家且小于等于</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家的，则取全部候选人进入定标阶段），经济标有效性审查结束。</w:t>
      </w:r>
    </w:p>
    <w:p w14:paraId="533CD0AC">
      <w:pPr>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hint="eastAsia" w:ascii="宋体" w:hAnsi="宋体" w:cs="Times New Roman"/>
          <w:b w:val="0"/>
          <w:bCs w:val="0"/>
          <w:color w:val="auto"/>
          <w:sz w:val="24"/>
          <w:szCs w:val="24"/>
          <w:highlight w:val="none"/>
          <w:u w:val="none"/>
        </w:rPr>
      </w:pPr>
      <w:r>
        <w:rPr>
          <w:rFonts w:hint="eastAsia" w:ascii="宋体" w:hAnsi="宋体" w:cs="Times New Roman"/>
          <w:color w:val="auto"/>
          <w:sz w:val="24"/>
          <w:szCs w:val="24"/>
          <w:highlight w:val="none"/>
        </w:rPr>
        <w:t>4</w:t>
      </w:r>
      <w:r>
        <w:rPr>
          <w:rFonts w:hint="eastAsia" w:ascii="宋体" w:hAnsi="宋体" w:cs="Times New Roman"/>
          <w:color w:val="auto"/>
          <w:sz w:val="24"/>
          <w:szCs w:val="24"/>
          <w:highlight w:val="none"/>
          <w:lang w:val="en-US" w:eastAsia="zh-CN"/>
        </w:rPr>
        <w:t>9</w:t>
      </w:r>
      <w:r>
        <w:rPr>
          <w:rFonts w:hint="eastAsia" w:ascii="宋体" w:hAnsi="宋体" w:cs="Times New Roman"/>
          <w:color w:val="auto"/>
          <w:sz w:val="24"/>
          <w:szCs w:val="24"/>
          <w:highlight w:val="none"/>
        </w:rPr>
        <w:t>.</w:t>
      </w:r>
      <w:r>
        <w:rPr>
          <w:rFonts w:hint="eastAsia" w:ascii="宋体" w:hAnsi="宋体"/>
          <w:color w:val="auto"/>
          <w:sz w:val="24"/>
          <w:szCs w:val="24"/>
          <w:highlight w:val="none"/>
          <w:u w:val="none"/>
        </w:rPr>
        <w:t>评标委员会应在通过投标文件经济标有效性审查的投标人中，按综合得分从高到低进行排序（综合得分相同的则名次并列占用名次），推荐排序位于前</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名次不排序的入围定标阶段的候选人进入定标阶段（若前</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名次的候选人中存在综合得分相同的，则综合得分相同的所有前</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名次的候选人均进入定标阶段，若前</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名次的家数大于等于3家且小于等于</w:t>
      </w:r>
      <w:r>
        <w:rPr>
          <w:rFonts w:hint="eastAsia" w:ascii="宋体" w:hAnsi="宋体"/>
          <w:color w:val="auto"/>
          <w:sz w:val="24"/>
          <w:szCs w:val="24"/>
          <w:highlight w:val="none"/>
          <w:u w:val="none"/>
          <w:lang w:val="en-US" w:eastAsia="zh-CN"/>
        </w:rPr>
        <w:t>10</w:t>
      </w:r>
      <w:r>
        <w:rPr>
          <w:rFonts w:hint="eastAsia" w:ascii="宋体" w:hAnsi="宋体"/>
          <w:color w:val="auto"/>
          <w:sz w:val="24"/>
          <w:szCs w:val="24"/>
          <w:highlight w:val="none"/>
          <w:u w:val="none"/>
        </w:rPr>
        <w:t>家的，则取全部候选人进入定标阶段）。并编制评标报告。</w:t>
      </w:r>
    </w:p>
    <w:p w14:paraId="1267F996">
      <w:pPr>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hint="eastAsia" w:ascii="宋体" w:hAnsi="宋体" w:eastAsia="宋体" w:cs="Times New Roman"/>
          <w:b w:val="0"/>
          <w:bCs w:val="0"/>
          <w:color w:val="auto"/>
          <w:sz w:val="24"/>
          <w:szCs w:val="24"/>
          <w:highlight w:val="none"/>
          <w:lang w:eastAsia="zh-CN"/>
        </w:rPr>
      </w:pPr>
      <w:r>
        <w:rPr>
          <w:rFonts w:hint="eastAsia" w:ascii="宋体" w:hAnsi="宋体" w:cs="Times New Roman"/>
          <w:b w:val="0"/>
          <w:bCs w:val="0"/>
          <w:color w:val="auto"/>
          <w:sz w:val="24"/>
          <w:szCs w:val="24"/>
          <w:highlight w:val="none"/>
          <w:u w:val="none"/>
        </w:rPr>
        <w:t>注：综合得分排序仅作为推荐入围定标阶段的依据，不作为定标阶段确定中标人的依据。</w:t>
      </w:r>
    </w:p>
    <w:p w14:paraId="2E5275E6">
      <w:pPr>
        <w:pBdr>
          <w:top w:val="none" w:color="auto" w:sz="0" w:space="0"/>
          <w:left w:val="none" w:color="auto" w:sz="0" w:space="0"/>
          <w:bottom w:val="none" w:color="auto" w:sz="0" w:space="0"/>
          <w:right w:val="none" w:color="auto" w:sz="0" w:space="0"/>
          <w:between w:val="none" w:color="auto" w:sz="0" w:space="0"/>
        </w:pBdr>
        <w:spacing w:line="360" w:lineRule="auto"/>
        <w:ind w:firstLine="480" w:firstLineChars="200"/>
        <w:rPr>
          <w:rFonts w:hint="eastAsia" w:ascii="宋体" w:hAnsi="宋体" w:eastAsia="宋体"/>
          <w:color w:val="auto"/>
          <w:sz w:val="24"/>
          <w:szCs w:val="24"/>
          <w:highlight w:val="none"/>
          <w:lang w:eastAsia="zh-CN"/>
        </w:rPr>
      </w:pPr>
      <w:r>
        <w:rPr>
          <w:rFonts w:hint="eastAsia" w:ascii="宋体" w:hAnsi="宋体"/>
          <w:color w:val="auto"/>
          <w:sz w:val="24"/>
          <w:szCs w:val="24"/>
          <w:highlight w:val="none"/>
          <w:lang w:val="en-US" w:eastAsia="zh-CN"/>
        </w:rPr>
        <w:t>50</w:t>
      </w:r>
      <w:r>
        <w:rPr>
          <w:rFonts w:hint="eastAsia" w:ascii="宋体" w:hAnsi="宋体"/>
          <w:color w:val="auto"/>
          <w:sz w:val="24"/>
          <w:szCs w:val="24"/>
          <w:highlight w:val="none"/>
        </w:rPr>
        <w:t>.若通过经济标有效性审查的投标人不足三家，</w:t>
      </w:r>
      <w:r>
        <w:rPr>
          <w:rFonts w:hint="eastAsia" w:ascii="宋体" w:hAnsi="宋体"/>
          <w:color w:val="auto"/>
          <w:sz w:val="24"/>
          <w:szCs w:val="24"/>
          <w:highlight w:val="none"/>
          <w:lang w:eastAsia="zh-CN"/>
        </w:rPr>
        <w:t>则本项目招标失败，由招标人依法重新招标</w:t>
      </w:r>
      <w:r>
        <w:rPr>
          <w:rFonts w:hint="eastAsia" w:ascii="宋体" w:hAnsi="宋体"/>
          <w:color w:val="auto"/>
          <w:sz w:val="24"/>
          <w:szCs w:val="24"/>
          <w:highlight w:val="none"/>
        </w:rPr>
        <w:t>（当N个标段同时招标且不允许兼中时，有效投标人</w:t>
      </w:r>
      <w:r>
        <w:rPr>
          <w:rFonts w:hint="eastAsia" w:ascii="宋体" w:hAnsi="宋体"/>
          <w:color w:val="auto"/>
          <w:sz w:val="24"/>
          <w:szCs w:val="24"/>
          <w:highlight w:val="none"/>
          <w:lang w:eastAsia="zh-CN"/>
        </w:rPr>
        <w:t>应≥</w:t>
      </w:r>
      <w:r>
        <w:rPr>
          <w:rFonts w:hint="eastAsia" w:ascii="宋体" w:hAnsi="宋体"/>
          <w:color w:val="auto"/>
          <w:sz w:val="24"/>
          <w:szCs w:val="24"/>
          <w:highlight w:val="none"/>
        </w:rPr>
        <w:t>N+2家）</w:t>
      </w:r>
      <w:r>
        <w:rPr>
          <w:rFonts w:hint="eastAsia" w:ascii="宋体" w:hAnsi="宋体"/>
          <w:color w:val="auto"/>
          <w:sz w:val="24"/>
          <w:szCs w:val="24"/>
          <w:highlight w:val="none"/>
          <w:lang w:eastAsia="zh-CN"/>
        </w:rPr>
        <w:t>。</w:t>
      </w:r>
    </w:p>
    <w:bookmarkEnd w:id="84"/>
    <w:p w14:paraId="799A7242">
      <w:pPr>
        <w:spacing w:line="360" w:lineRule="auto"/>
        <w:ind w:firstLine="480" w:firstLineChars="200"/>
        <w:rPr>
          <w:rFonts w:hint="eastAsia" w:ascii="楷体" w:hAnsi="楷体" w:eastAsia="楷体" w:cs="楷体"/>
          <w:color w:val="auto"/>
          <w:sz w:val="24"/>
          <w:szCs w:val="24"/>
          <w:highlight w:val="none"/>
        </w:rPr>
      </w:pPr>
    </w:p>
    <w:p w14:paraId="16179A32">
      <w:pPr>
        <w:tabs>
          <w:tab w:val="left" w:pos="720"/>
        </w:tabs>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BF2A8A0">
      <w:pPr>
        <w:widowControl/>
        <w:snapToGrid w:val="0"/>
        <w:spacing w:line="360" w:lineRule="auto"/>
        <w:ind w:right="102"/>
        <w:jc w:val="left"/>
        <w:rPr>
          <w:rFonts w:ascii="宋体"/>
          <w:color w:val="auto"/>
          <w:sz w:val="28"/>
          <w:szCs w:val="28"/>
          <w:highlight w:val="none"/>
        </w:rPr>
      </w:pPr>
      <w:r>
        <w:rPr>
          <w:rFonts w:hint="eastAsia" w:ascii="宋体" w:hAnsi="宋体"/>
          <w:color w:val="auto"/>
          <w:sz w:val="28"/>
          <w:szCs w:val="28"/>
          <w:highlight w:val="none"/>
        </w:rPr>
        <w:t>附表一</w:t>
      </w:r>
    </w:p>
    <w:p w14:paraId="7B957E1D">
      <w:pPr>
        <w:jc w:val="center"/>
        <w:rPr>
          <w:b/>
          <w:color w:val="auto"/>
          <w:sz w:val="32"/>
          <w:szCs w:val="32"/>
          <w:highlight w:val="none"/>
        </w:rPr>
      </w:pPr>
      <w:r>
        <w:rPr>
          <w:rFonts w:hint="eastAsia"/>
          <w:b/>
          <w:color w:val="auto"/>
          <w:sz w:val="32"/>
          <w:szCs w:val="32"/>
          <w:highlight w:val="none"/>
        </w:rPr>
        <w:t>资格审查表</w:t>
      </w:r>
    </w:p>
    <w:p w14:paraId="74625149">
      <w:pPr>
        <w:spacing w:line="480" w:lineRule="auto"/>
        <w:rPr>
          <w:color w:val="auto"/>
          <w:sz w:val="24"/>
          <w:szCs w:val="24"/>
          <w:highlight w:val="none"/>
        </w:rPr>
      </w:pPr>
      <w:r>
        <w:rPr>
          <w:rFonts w:hint="eastAsia"/>
          <w:color w:val="auto"/>
          <w:sz w:val="24"/>
          <w:szCs w:val="24"/>
          <w:highlight w:val="none"/>
          <w:lang w:eastAsia="zh-CN"/>
        </w:rPr>
        <w:t>招标项目</w:t>
      </w:r>
      <w:r>
        <w:rPr>
          <w:rFonts w:hint="eastAsia"/>
          <w:color w:val="auto"/>
          <w:sz w:val="24"/>
          <w:szCs w:val="24"/>
          <w:highlight w:val="none"/>
        </w:rPr>
        <w:t>名称：</w:t>
      </w:r>
    </w:p>
    <w:tbl>
      <w:tblPr>
        <w:tblStyle w:val="37"/>
        <w:tblpPr w:leftFromText="180" w:rightFromText="180" w:vertAnchor="text" w:horzAnchor="page" w:tblpX="1430" w:tblpY="600"/>
        <w:tblOverlap w:val="never"/>
        <w:tblW w:w="91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3884"/>
        <w:gridCol w:w="3294"/>
        <w:gridCol w:w="1287"/>
      </w:tblGrid>
      <w:tr w14:paraId="2BB0B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4C089755">
            <w:pPr>
              <w:spacing w:before="120" w:after="60"/>
              <w:jc w:val="center"/>
              <w:rPr>
                <w:rFonts w:ascii="宋体" w:hAnsi="宋体"/>
                <w:b/>
                <w:color w:val="auto"/>
                <w:szCs w:val="21"/>
                <w:highlight w:val="none"/>
              </w:rPr>
            </w:pPr>
            <w:r>
              <w:rPr>
                <w:rFonts w:hint="eastAsia" w:ascii="宋体" w:hAnsi="宋体"/>
                <w:b/>
                <w:color w:val="auto"/>
                <w:szCs w:val="21"/>
                <w:highlight w:val="none"/>
              </w:rPr>
              <w:t>序号</w:t>
            </w:r>
          </w:p>
        </w:tc>
        <w:tc>
          <w:tcPr>
            <w:tcW w:w="3884" w:type="dxa"/>
            <w:tcBorders>
              <w:top w:val="single" w:color="auto" w:sz="4" w:space="0"/>
              <w:left w:val="single" w:color="auto" w:sz="4" w:space="0"/>
              <w:bottom w:val="single" w:color="auto" w:sz="4" w:space="0"/>
              <w:right w:val="single" w:color="auto" w:sz="4" w:space="0"/>
            </w:tcBorders>
            <w:vAlign w:val="center"/>
          </w:tcPr>
          <w:p w14:paraId="121F20EB">
            <w:pPr>
              <w:spacing w:before="120" w:after="60"/>
              <w:jc w:val="center"/>
              <w:rPr>
                <w:rFonts w:ascii="宋体" w:hAnsi="宋体"/>
                <w:b/>
                <w:color w:val="auto"/>
                <w:szCs w:val="21"/>
                <w:highlight w:val="none"/>
              </w:rPr>
            </w:pPr>
            <w:r>
              <w:rPr>
                <w:rFonts w:hint="eastAsia" w:ascii="宋体" w:hAnsi="宋体"/>
                <w:b/>
                <w:color w:val="auto"/>
                <w:szCs w:val="21"/>
                <w:highlight w:val="none"/>
              </w:rPr>
              <w:t>审查项目</w:t>
            </w:r>
          </w:p>
        </w:tc>
        <w:tc>
          <w:tcPr>
            <w:tcW w:w="3294" w:type="dxa"/>
            <w:tcBorders>
              <w:top w:val="single" w:color="auto" w:sz="4" w:space="0"/>
              <w:left w:val="single" w:color="auto" w:sz="4" w:space="0"/>
              <w:bottom w:val="single" w:color="auto" w:sz="4" w:space="0"/>
              <w:right w:val="single" w:color="auto" w:sz="4" w:space="0"/>
            </w:tcBorders>
            <w:vAlign w:val="center"/>
          </w:tcPr>
          <w:p w14:paraId="0625BA62">
            <w:pPr>
              <w:spacing w:before="120" w:after="60"/>
              <w:jc w:val="center"/>
              <w:rPr>
                <w:rFonts w:ascii="宋体" w:hAnsi="宋体"/>
                <w:b/>
                <w:color w:val="auto"/>
                <w:szCs w:val="21"/>
                <w:highlight w:val="none"/>
              </w:rPr>
            </w:pPr>
            <w:r>
              <w:rPr>
                <w:rFonts w:hint="eastAsia" w:ascii="宋体" w:hAnsi="宋体"/>
                <w:b/>
                <w:color w:val="auto"/>
                <w:szCs w:val="21"/>
                <w:highlight w:val="none"/>
              </w:rPr>
              <w:t>须审查的资料</w:t>
            </w:r>
          </w:p>
        </w:tc>
        <w:tc>
          <w:tcPr>
            <w:tcW w:w="1287" w:type="dxa"/>
            <w:tcBorders>
              <w:top w:val="single" w:color="auto" w:sz="4" w:space="0"/>
              <w:left w:val="single" w:color="auto" w:sz="4" w:space="0"/>
              <w:bottom w:val="single" w:color="auto" w:sz="4" w:space="0"/>
              <w:right w:val="single" w:color="auto" w:sz="4" w:space="0"/>
            </w:tcBorders>
            <w:vAlign w:val="center"/>
          </w:tcPr>
          <w:p w14:paraId="5EAFA9EA">
            <w:pPr>
              <w:spacing w:before="120" w:after="60"/>
              <w:jc w:val="center"/>
              <w:rPr>
                <w:rFonts w:ascii="宋体" w:hAnsi="宋体"/>
                <w:b/>
                <w:color w:val="auto"/>
                <w:szCs w:val="21"/>
                <w:highlight w:val="none"/>
              </w:rPr>
            </w:pPr>
            <w:r>
              <w:rPr>
                <w:rFonts w:hint="eastAsia" w:ascii="宋体" w:hAnsi="宋体"/>
                <w:b/>
                <w:color w:val="auto"/>
                <w:szCs w:val="21"/>
                <w:highlight w:val="none"/>
              </w:rPr>
              <w:t>审查结果</w:t>
            </w:r>
          </w:p>
        </w:tc>
      </w:tr>
      <w:tr w14:paraId="696F6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5E199B94">
            <w:pPr>
              <w:spacing w:before="120" w:after="60"/>
              <w:jc w:val="center"/>
              <w:rPr>
                <w:rFonts w:ascii="宋体" w:hAnsi="宋体"/>
                <w:color w:val="auto"/>
                <w:szCs w:val="21"/>
                <w:highlight w:val="none"/>
              </w:rPr>
            </w:pPr>
            <w:r>
              <w:rPr>
                <w:rFonts w:ascii="宋体" w:hAnsi="宋体"/>
                <w:color w:val="auto"/>
                <w:szCs w:val="21"/>
                <w:highlight w:val="none"/>
              </w:rPr>
              <w:t>1</w:t>
            </w:r>
          </w:p>
        </w:tc>
        <w:tc>
          <w:tcPr>
            <w:tcW w:w="3884" w:type="dxa"/>
            <w:tcBorders>
              <w:top w:val="single" w:color="auto" w:sz="4" w:space="0"/>
              <w:left w:val="single" w:color="auto" w:sz="4" w:space="0"/>
              <w:bottom w:val="single" w:color="auto" w:sz="4" w:space="0"/>
              <w:right w:val="single" w:color="auto" w:sz="4" w:space="0"/>
            </w:tcBorders>
            <w:vAlign w:val="center"/>
          </w:tcPr>
          <w:p w14:paraId="4D738D3E">
            <w:pPr>
              <w:spacing w:before="120" w:after="60"/>
              <w:jc w:val="center"/>
              <w:rPr>
                <w:rFonts w:ascii="宋体" w:hAnsi="宋体"/>
                <w:color w:val="auto"/>
                <w:szCs w:val="21"/>
                <w:highlight w:val="none"/>
              </w:rPr>
            </w:pPr>
            <w:r>
              <w:rPr>
                <w:rFonts w:hint="eastAsia" w:ascii="宋体" w:hAnsi="宋体"/>
                <w:color w:val="auto"/>
                <w:szCs w:val="21"/>
                <w:highlight w:val="none"/>
              </w:rPr>
              <w:t>投标人参加投标的意思表达清楚，投标人代表被授权有效</w:t>
            </w:r>
          </w:p>
        </w:tc>
        <w:tc>
          <w:tcPr>
            <w:tcW w:w="3294" w:type="dxa"/>
            <w:tcBorders>
              <w:top w:val="single" w:color="auto" w:sz="4" w:space="0"/>
              <w:left w:val="single" w:color="auto" w:sz="4" w:space="0"/>
              <w:bottom w:val="single" w:color="auto" w:sz="4" w:space="0"/>
              <w:right w:val="single" w:color="auto" w:sz="4" w:space="0"/>
            </w:tcBorders>
            <w:vAlign w:val="center"/>
          </w:tcPr>
          <w:p w14:paraId="701ECB9D">
            <w:pPr>
              <w:spacing w:before="120" w:after="60"/>
              <w:jc w:val="center"/>
              <w:rPr>
                <w:rFonts w:hint="eastAsia" w:ascii="宋体" w:hAnsi="宋体"/>
                <w:color w:val="auto"/>
                <w:szCs w:val="21"/>
                <w:highlight w:val="none"/>
                <w:u w:val="none"/>
              </w:rPr>
            </w:pPr>
            <w:r>
              <w:rPr>
                <w:rFonts w:hint="eastAsia" w:ascii="宋体" w:hAnsi="宋体"/>
                <w:color w:val="auto"/>
                <w:szCs w:val="21"/>
                <w:highlight w:val="none"/>
                <w:u w:val="none"/>
              </w:rPr>
              <w:t>投标人声明</w:t>
            </w:r>
            <w:r>
              <w:rPr>
                <w:rFonts w:hint="eastAsia" w:ascii="宋体" w:hAnsi="宋体" w:cs="Times New Roman"/>
                <w:b w:val="0"/>
                <w:bCs w:val="0"/>
                <w:color w:val="auto"/>
                <w:szCs w:val="21"/>
                <w:highlight w:val="none"/>
                <w:u w:val="none"/>
              </w:rPr>
              <w:t>（按招标公告的要求填写）</w:t>
            </w:r>
            <w:r>
              <w:rPr>
                <w:rFonts w:hint="eastAsia" w:ascii="宋体" w:hAnsi="宋体"/>
                <w:color w:val="auto"/>
                <w:szCs w:val="21"/>
                <w:highlight w:val="none"/>
                <w:u w:val="none"/>
              </w:rPr>
              <w:t>、法定代表人证明书；委托投标的还应提供法人授权委托证明书</w:t>
            </w:r>
          </w:p>
        </w:tc>
        <w:tc>
          <w:tcPr>
            <w:tcW w:w="1287" w:type="dxa"/>
            <w:tcBorders>
              <w:top w:val="single" w:color="auto" w:sz="4" w:space="0"/>
              <w:left w:val="single" w:color="auto" w:sz="4" w:space="0"/>
              <w:bottom w:val="single" w:color="auto" w:sz="4" w:space="0"/>
              <w:right w:val="single" w:color="auto" w:sz="4" w:space="0"/>
            </w:tcBorders>
            <w:vAlign w:val="center"/>
          </w:tcPr>
          <w:p w14:paraId="03D810D4">
            <w:pPr>
              <w:spacing w:before="120" w:after="60"/>
              <w:jc w:val="center"/>
              <w:rPr>
                <w:rFonts w:ascii="宋体" w:hAnsi="宋体"/>
                <w:color w:val="auto"/>
                <w:szCs w:val="21"/>
                <w:highlight w:val="none"/>
              </w:rPr>
            </w:pPr>
          </w:p>
        </w:tc>
      </w:tr>
      <w:tr w14:paraId="562AC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4E53F1F6">
            <w:pPr>
              <w:spacing w:before="120" w:after="60"/>
              <w:jc w:val="center"/>
              <w:rPr>
                <w:rFonts w:ascii="宋体" w:hAnsi="宋体"/>
                <w:color w:val="auto"/>
                <w:szCs w:val="21"/>
                <w:highlight w:val="none"/>
              </w:rPr>
            </w:pPr>
            <w:r>
              <w:rPr>
                <w:rFonts w:ascii="宋体" w:hAnsi="宋体"/>
                <w:color w:val="auto"/>
                <w:szCs w:val="21"/>
                <w:highlight w:val="none"/>
              </w:rPr>
              <w:t>2</w:t>
            </w:r>
          </w:p>
        </w:tc>
        <w:tc>
          <w:tcPr>
            <w:tcW w:w="3884" w:type="dxa"/>
            <w:tcBorders>
              <w:top w:val="single" w:color="auto" w:sz="4" w:space="0"/>
              <w:left w:val="single" w:color="auto" w:sz="4" w:space="0"/>
              <w:bottom w:val="single" w:color="auto" w:sz="4" w:space="0"/>
              <w:right w:val="single" w:color="auto" w:sz="4" w:space="0"/>
            </w:tcBorders>
            <w:vAlign w:val="center"/>
          </w:tcPr>
          <w:p w14:paraId="00598125">
            <w:pPr>
              <w:spacing w:before="120" w:after="60"/>
              <w:jc w:val="center"/>
              <w:rPr>
                <w:rFonts w:ascii="宋体" w:hAnsi="宋体"/>
                <w:color w:val="auto"/>
                <w:szCs w:val="21"/>
                <w:highlight w:val="none"/>
              </w:rPr>
            </w:pPr>
            <w:r>
              <w:rPr>
                <w:rFonts w:hint="eastAsia" w:ascii="宋体" w:hAnsi="宋体"/>
                <w:color w:val="auto"/>
                <w:szCs w:val="21"/>
                <w:highlight w:val="none"/>
              </w:rPr>
              <w:t>投标人均具有独立法人资格，按国家法律经营</w:t>
            </w:r>
          </w:p>
        </w:tc>
        <w:tc>
          <w:tcPr>
            <w:tcW w:w="3294" w:type="dxa"/>
            <w:tcBorders>
              <w:top w:val="single" w:color="auto" w:sz="4" w:space="0"/>
              <w:left w:val="single" w:color="auto" w:sz="4" w:space="0"/>
              <w:bottom w:val="single" w:color="auto" w:sz="4" w:space="0"/>
              <w:right w:val="single" w:color="auto" w:sz="4" w:space="0"/>
            </w:tcBorders>
            <w:vAlign w:val="center"/>
          </w:tcPr>
          <w:p w14:paraId="484F9DFF">
            <w:pPr>
              <w:spacing w:before="120" w:after="60"/>
              <w:jc w:val="center"/>
              <w:rPr>
                <w:rFonts w:hint="eastAsia" w:ascii="宋体" w:hAnsi="宋体"/>
                <w:color w:val="auto"/>
                <w:szCs w:val="21"/>
                <w:highlight w:val="none"/>
                <w:u w:val="none"/>
              </w:rPr>
            </w:pPr>
            <w:r>
              <w:rPr>
                <w:rFonts w:hint="eastAsia" w:ascii="宋体" w:hAnsi="宋体" w:cs="Times New Roman"/>
                <w:color w:val="auto"/>
                <w:szCs w:val="21"/>
                <w:highlight w:val="none"/>
                <w:u w:val="none"/>
              </w:rPr>
              <w:t>营业执照</w:t>
            </w:r>
            <w:r>
              <w:rPr>
                <w:rFonts w:hint="eastAsia" w:ascii="宋体" w:hAnsi="宋体" w:cs="Times New Roman"/>
                <w:b w:val="0"/>
                <w:bCs w:val="0"/>
                <w:color w:val="auto"/>
                <w:szCs w:val="21"/>
                <w:highlight w:val="none"/>
                <w:u w:val="none"/>
              </w:rPr>
              <w:t>扫描件或电子证照</w:t>
            </w:r>
            <w:r>
              <w:rPr>
                <w:rFonts w:hint="eastAsia" w:ascii="宋体" w:hAnsi="宋体"/>
                <w:b w:val="0"/>
                <w:bCs w:val="0"/>
                <w:color w:val="auto"/>
                <w:szCs w:val="21"/>
                <w:highlight w:val="none"/>
                <w:u w:val="none"/>
              </w:rPr>
              <w:t>（联合体投标的，联合体各方均需具有）</w:t>
            </w:r>
          </w:p>
        </w:tc>
        <w:tc>
          <w:tcPr>
            <w:tcW w:w="1287" w:type="dxa"/>
            <w:tcBorders>
              <w:top w:val="single" w:color="auto" w:sz="4" w:space="0"/>
              <w:left w:val="single" w:color="auto" w:sz="4" w:space="0"/>
              <w:bottom w:val="single" w:color="auto" w:sz="4" w:space="0"/>
              <w:right w:val="single" w:color="auto" w:sz="4" w:space="0"/>
            </w:tcBorders>
            <w:vAlign w:val="center"/>
          </w:tcPr>
          <w:p w14:paraId="1526D66D">
            <w:pPr>
              <w:spacing w:before="120" w:after="60"/>
              <w:jc w:val="center"/>
              <w:rPr>
                <w:rFonts w:ascii="宋体" w:hAnsi="宋体"/>
                <w:color w:val="auto"/>
                <w:szCs w:val="21"/>
                <w:highlight w:val="none"/>
              </w:rPr>
            </w:pPr>
          </w:p>
        </w:tc>
      </w:tr>
      <w:tr w14:paraId="61A28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3AEB175D">
            <w:pPr>
              <w:spacing w:before="120" w:after="60"/>
              <w:jc w:val="center"/>
              <w:rPr>
                <w:rFonts w:ascii="宋体" w:hAnsi="宋体"/>
                <w:color w:val="auto"/>
                <w:szCs w:val="21"/>
                <w:highlight w:val="none"/>
              </w:rPr>
            </w:pPr>
            <w:r>
              <w:rPr>
                <w:rFonts w:ascii="宋体" w:hAnsi="宋体"/>
                <w:color w:val="auto"/>
                <w:szCs w:val="21"/>
                <w:highlight w:val="none"/>
              </w:rPr>
              <w:t>3</w:t>
            </w:r>
          </w:p>
        </w:tc>
        <w:tc>
          <w:tcPr>
            <w:tcW w:w="3884" w:type="dxa"/>
            <w:tcBorders>
              <w:top w:val="single" w:color="auto" w:sz="4" w:space="0"/>
              <w:left w:val="single" w:color="auto" w:sz="4" w:space="0"/>
              <w:bottom w:val="single" w:color="auto" w:sz="4" w:space="0"/>
              <w:right w:val="single" w:color="auto" w:sz="4" w:space="0"/>
            </w:tcBorders>
            <w:vAlign w:val="center"/>
          </w:tcPr>
          <w:p w14:paraId="6F97C876">
            <w:pPr>
              <w:spacing w:before="120" w:after="60"/>
              <w:jc w:val="center"/>
              <w:rPr>
                <w:rFonts w:ascii="宋体" w:hAnsi="宋体"/>
                <w:color w:val="auto"/>
                <w:szCs w:val="21"/>
                <w:highlight w:val="none"/>
              </w:rPr>
            </w:pPr>
            <w:r>
              <w:rPr>
                <w:rFonts w:hint="eastAsia" w:ascii="宋体" w:hAnsi="宋体"/>
                <w:color w:val="auto"/>
                <w:szCs w:val="21"/>
                <w:highlight w:val="none"/>
              </w:rPr>
              <w:t>投标人均持有建设行政主管部门颁发</w:t>
            </w:r>
            <w:r>
              <w:rPr>
                <w:rFonts w:hint="eastAsia" w:ascii="宋体" w:hAnsi="宋体"/>
                <w:color w:val="auto"/>
                <w:szCs w:val="21"/>
                <w:highlight w:val="none"/>
                <w:lang w:eastAsia="zh-CN"/>
              </w:rPr>
              <w:t>有效期内</w:t>
            </w:r>
            <w:r>
              <w:rPr>
                <w:rFonts w:hint="eastAsia" w:ascii="宋体" w:hAnsi="宋体"/>
                <w:color w:val="auto"/>
                <w:szCs w:val="21"/>
                <w:highlight w:val="none"/>
              </w:rPr>
              <w:t>的企业资质证书及安全生产许可证；投标人资质符合公告要求</w:t>
            </w:r>
          </w:p>
        </w:tc>
        <w:tc>
          <w:tcPr>
            <w:tcW w:w="3294" w:type="dxa"/>
            <w:tcBorders>
              <w:top w:val="single" w:color="auto" w:sz="4" w:space="0"/>
              <w:left w:val="single" w:color="auto" w:sz="4" w:space="0"/>
              <w:bottom w:val="single" w:color="auto" w:sz="4" w:space="0"/>
              <w:right w:val="single" w:color="auto" w:sz="4" w:space="0"/>
            </w:tcBorders>
            <w:vAlign w:val="center"/>
          </w:tcPr>
          <w:p w14:paraId="442D931D">
            <w:pPr>
              <w:spacing w:before="120" w:after="60"/>
              <w:jc w:val="center"/>
              <w:rPr>
                <w:rFonts w:hint="eastAsia" w:ascii="宋体" w:hAnsi="宋体"/>
                <w:b w:val="0"/>
                <w:bCs w:val="0"/>
                <w:color w:val="auto"/>
                <w:szCs w:val="21"/>
                <w:highlight w:val="none"/>
                <w:u w:val="none"/>
              </w:rPr>
            </w:pPr>
            <w:r>
              <w:rPr>
                <w:rFonts w:hint="eastAsia" w:ascii="宋体" w:hAnsi="宋体"/>
                <w:color w:val="auto"/>
                <w:szCs w:val="21"/>
                <w:highlight w:val="none"/>
                <w:u w:val="none"/>
                <w:lang w:val="en-US" w:eastAsia="zh-CN"/>
              </w:rPr>
              <w:t xml:space="preserve"> </w:t>
            </w:r>
            <w:r>
              <w:rPr>
                <w:rFonts w:hint="eastAsia" w:ascii="宋体" w:hAnsi="宋体"/>
                <w:color w:val="auto"/>
                <w:szCs w:val="21"/>
                <w:highlight w:val="none"/>
                <w:u w:val="none"/>
              </w:rPr>
              <w:t>资质证书</w:t>
            </w:r>
            <w:r>
              <w:rPr>
                <w:rFonts w:hint="eastAsia" w:ascii="宋体" w:hAnsi="宋体"/>
                <w:b w:val="0"/>
                <w:bCs w:val="0"/>
                <w:color w:val="auto"/>
                <w:szCs w:val="21"/>
                <w:highlight w:val="none"/>
                <w:u w:val="none"/>
              </w:rPr>
              <w:t>扫描件或电子证照、</w:t>
            </w:r>
            <w:r>
              <w:rPr>
                <w:rFonts w:hint="eastAsia" w:ascii="宋体" w:hAnsi="宋体"/>
                <w:color w:val="auto"/>
                <w:szCs w:val="21"/>
                <w:highlight w:val="none"/>
                <w:u w:val="none"/>
              </w:rPr>
              <w:t>安全生产许可证</w:t>
            </w:r>
            <w:r>
              <w:rPr>
                <w:rFonts w:hint="eastAsia" w:ascii="宋体" w:hAnsi="宋体"/>
                <w:b w:val="0"/>
                <w:bCs w:val="0"/>
                <w:color w:val="auto"/>
                <w:szCs w:val="21"/>
                <w:highlight w:val="none"/>
                <w:u w:val="none"/>
              </w:rPr>
              <w:t>扫描件或电子证照；（联合体投标的，联合体各方均需具有）</w:t>
            </w:r>
          </w:p>
          <w:p w14:paraId="71571680">
            <w:pPr>
              <w:spacing w:before="120" w:after="60"/>
              <w:jc w:val="center"/>
              <w:rPr>
                <w:rFonts w:hint="eastAsia" w:ascii="宋体" w:hAnsi="宋体"/>
                <w:color w:val="auto"/>
                <w:szCs w:val="21"/>
                <w:highlight w:val="none"/>
                <w:u w:val="none"/>
              </w:rPr>
            </w:pPr>
            <w:r>
              <w:rPr>
                <w:rFonts w:hint="eastAsia" w:ascii="宋体" w:hAnsi="宋体"/>
                <w:b w:val="0"/>
                <w:bCs w:val="0"/>
                <w:color w:val="auto"/>
                <w:szCs w:val="21"/>
                <w:highlight w:val="none"/>
                <w:u w:val="none"/>
                <w:lang w:val="en-US" w:eastAsia="zh-CN"/>
              </w:rPr>
              <w:t xml:space="preserve">  </w:t>
            </w:r>
            <w:r>
              <w:rPr>
                <w:rFonts w:hint="eastAsia" w:ascii="宋体" w:hAnsi="宋体"/>
                <w:b w:val="0"/>
                <w:bCs w:val="0"/>
                <w:color w:val="auto"/>
                <w:szCs w:val="21"/>
                <w:highlight w:val="none"/>
                <w:u w:val="none"/>
              </w:rPr>
              <w:t>投标人的资质不在有效期内，资质延续手续已通过政府有关部门核准的，投标人需提供经核准延续的相关证明材料，资质延续手续未通过政府有关部门核准的，提供延续申请的相关证明材料(如“三库一平台”提交申请截图、申请回执等可以证明已经办理核准延续手续的相关证明文件)，未能按要求提供相关资料的，视为资质已失效</w:t>
            </w:r>
          </w:p>
        </w:tc>
        <w:tc>
          <w:tcPr>
            <w:tcW w:w="1287" w:type="dxa"/>
            <w:tcBorders>
              <w:top w:val="single" w:color="auto" w:sz="4" w:space="0"/>
              <w:left w:val="single" w:color="auto" w:sz="4" w:space="0"/>
              <w:bottom w:val="single" w:color="auto" w:sz="4" w:space="0"/>
              <w:right w:val="single" w:color="auto" w:sz="4" w:space="0"/>
            </w:tcBorders>
            <w:vAlign w:val="center"/>
          </w:tcPr>
          <w:p w14:paraId="08B96A67">
            <w:pPr>
              <w:spacing w:before="120" w:after="60"/>
              <w:jc w:val="center"/>
              <w:rPr>
                <w:rFonts w:ascii="宋体" w:hAnsi="宋体"/>
                <w:color w:val="auto"/>
                <w:szCs w:val="21"/>
                <w:highlight w:val="none"/>
              </w:rPr>
            </w:pPr>
          </w:p>
        </w:tc>
      </w:tr>
      <w:tr w14:paraId="0E066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2DBA907A">
            <w:pPr>
              <w:spacing w:before="120" w:after="60"/>
              <w:jc w:val="center"/>
              <w:rPr>
                <w:rFonts w:ascii="宋体" w:hAnsi="宋体"/>
                <w:color w:val="auto"/>
                <w:szCs w:val="21"/>
                <w:highlight w:val="none"/>
              </w:rPr>
            </w:pPr>
            <w:r>
              <w:rPr>
                <w:rFonts w:ascii="宋体" w:hAnsi="宋体"/>
                <w:color w:val="auto"/>
                <w:szCs w:val="21"/>
                <w:highlight w:val="none"/>
              </w:rPr>
              <w:t>4</w:t>
            </w:r>
          </w:p>
        </w:tc>
        <w:tc>
          <w:tcPr>
            <w:tcW w:w="3884" w:type="dxa"/>
            <w:tcBorders>
              <w:top w:val="single" w:color="auto" w:sz="4" w:space="0"/>
              <w:left w:val="single" w:color="auto" w:sz="4" w:space="0"/>
              <w:bottom w:val="single" w:color="auto" w:sz="4" w:space="0"/>
              <w:right w:val="single" w:color="auto" w:sz="4" w:space="0"/>
            </w:tcBorders>
            <w:vAlign w:val="center"/>
          </w:tcPr>
          <w:p w14:paraId="4E8219E9">
            <w:pPr>
              <w:spacing w:before="120" w:after="60"/>
              <w:jc w:val="center"/>
              <w:rPr>
                <w:rFonts w:ascii="宋体" w:hAnsi="宋体"/>
                <w:color w:val="auto"/>
                <w:szCs w:val="21"/>
                <w:highlight w:val="none"/>
              </w:rPr>
            </w:pPr>
            <w:r>
              <w:rPr>
                <w:rFonts w:hint="eastAsia" w:ascii="宋体" w:hAnsi="宋体"/>
                <w:color w:val="auto"/>
                <w:szCs w:val="21"/>
                <w:highlight w:val="none"/>
              </w:rPr>
              <w:t>投标人拟担任本工程项目负责人符合公告要求</w:t>
            </w:r>
          </w:p>
        </w:tc>
        <w:tc>
          <w:tcPr>
            <w:tcW w:w="3294" w:type="dxa"/>
            <w:tcBorders>
              <w:top w:val="single" w:color="auto" w:sz="4" w:space="0"/>
              <w:left w:val="single" w:color="auto" w:sz="4" w:space="0"/>
              <w:bottom w:val="single" w:color="auto" w:sz="4" w:space="0"/>
              <w:right w:val="single" w:color="auto" w:sz="4" w:space="0"/>
            </w:tcBorders>
            <w:vAlign w:val="center"/>
          </w:tcPr>
          <w:p w14:paraId="6A543138">
            <w:pPr>
              <w:spacing w:before="120" w:after="60"/>
              <w:jc w:val="center"/>
              <w:rPr>
                <w:rFonts w:hint="eastAsia" w:ascii="宋体" w:hAnsi="宋体"/>
                <w:b w:val="0"/>
                <w:bCs w:val="0"/>
                <w:color w:val="auto"/>
                <w:szCs w:val="21"/>
                <w:highlight w:val="none"/>
                <w:u w:val="none"/>
              </w:rPr>
            </w:pPr>
            <w:r>
              <w:rPr>
                <w:rFonts w:hint="eastAsia" w:ascii="宋体" w:hAnsi="宋体" w:eastAsia="宋体" w:cs="Times New Roman"/>
                <w:color w:val="auto"/>
                <w:kern w:val="2"/>
                <w:sz w:val="21"/>
                <w:szCs w:val="21"/>
                <w:highlight w:val="none"/>
                <w:u w:val="none"/>
              </w:rPr>
              <w:t>有效期内的建造师注册证书</w:t>
            </w:r>
            <w:r>
              <w:rPr>
                <w:rFonts w:hint="eastAsia" w:ascii="宋体" w:hAnsi="宋体"/>
                <w:b w:val="0"/>
                <w:bCs w:val="0"/>
                <w:color w:val="auto"/>
                <w:szCs w:val="21"/>
                <w:highlight w:val="none"/>
                <w:u w:val="none"/>
              </w:rPr>
              <w:t>扫描件或电子证书（注：打印建造师电子证书后，在个人签名处手写本人签名再扫描提交。）</w:t>
            </w:r>
          </w:p>
          <w:p w14:paraId="0369F9A3">
            <w:pPr>
              <w:spacing w:before="120" w:after="60"/>
              <w:jc w:val="center"/>
              <w:rPr>
                <w:rFonts w:hint="eastAsia" w:ascii="宋体" w:hAnsi="宋体"/>
                <w:color w:val="auto"/>
                <w:szCs w:val="21"/>
                <w:highlight w:val="none"/>
                <w:u w:val="none"/>
              </w:rPr>
            </w:pPr>
            <w:r>
              <w:rPr>
                <w:rFonts w:hint="eastAsia" w:ascii="宋体" w:hAnsi="宋体"/>
                <w:b w:val="0"/>
                <w:bCs w:val="0"/>
                <w:color w:val="auto"/>
                <w:szCs w:val="21"/>
                <w:highlight w:val="none"/>
                <w:u w:val="none"/>
              </w:rPr>
              <w:t>（联合体投标的，由联合体主办方提供）</w:t>
            </w:r>
          </w:p>
        </w:tc>
        <w:tc>
          <w:tcPr>
            <w:tcW w:w="1287" w:type="dxa"/>
            <w:tcBorders>
              <w:top w:val="single" w:color="auto" w:sz="4" w:space="0"/>
              <w:left w:val="single" w:color="auto" w:sz="4" w:space="0"/>
              <w:bottom w:val="single" w:color="auto" w:sz="4" w:space="0"/>
              <w:right w:val="single" w:color="auto" w:sz="4" w:space="0"/>
            </w:tcBorders>
            <w:vAlign w:val="center"/>
          </w:tcPr>
          <w:p w14:paraId="3CB2BFF9">
            <w:pPr>
              <w:spacing w:before="120" w:after="60"/>
              <w:jc w:val="center"/>
              <w:rPr>
                <w:rFonts w:ascii="宋体" w:hAnsi="宋体"/>
                <w:color w:val="auto"/>
                <w:szCs w:val="21"/>
                <w:highlight w:val="none"/>
              </w:rPr>
            </w:pPr>
          </w:p>
        </w:tc>
      </w:tr>
      <w:tr w14:paraId="327B6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trPr>
        <w:tc>
          <w:tcPr>
            <w:tcW w:w="689" w:type="dxa"/>
            <w:tcBorders>
              <w:top w:val="single" w:color="auto" w:sz="4" w:space="0"/>
              <w:left w:val="single" w:color="auto" w:sz="4" w:space="0"/>
              <w:bottom w:val="single" w:color="auto" w:sz="4" w:space="0"/>
              <w:right w:val="single" w:color="auto" w:sz="4" w:space="0"/>
            </w:tcBorders>
            <w:vAlign w:val="center"/>
          </w:tcPr>
          <w:p w14:paraId="70BD82C7">
            <w:pPr>
              <w:spacing w:before="120" w:after="60"/>
              <w:jc w:val="center"/>
              <w:rPr>
                <w:rFonts w:ascii="宋体" w:hAnsi="宋体"/>
                <w:color w:val="auto"/>
                <w:szCs w:val="21"/>
                <w:highlight w:val="none"/>
              </w:rPr>
            </w:pPr>
            <w:r>
              <w:rPr>
                <w:rFonts w:ascii="宋体" w:hAnsi="宋体"/>
                <w:color w:val="auto"/>
                <w:szCs w:val="21"/>
                <w:highlight w:val="none"/>
              </w:rPr>
              <w:t>5</w:t>
            </w:r>
          </w:p>
        </w:tc>
        <w:tc>
          <w:tcPr>
            <w:tcW w:w="3884" w:type="dxa"/>
            <w:tcBorders>
              <w:top w:val="single" w:color="auto" w:sz="4" w:space="0"/>
              <w:left w:val="single" w:color="auto" w:sz="4" w:space="0"/>
              <w:bottom w:val="single" w:color="auto" w:sz="4" w:space="0"/>
              <w:right w:val="single" w:color="auto" w:sz="4" w:space="0"/>
            </w:tcBorders>
            <w:vAlign w:val="center"/>
          </w:tcPr>
          <w:p w14:paraId="050FDA74">
            <w:pPr>
              <w:spacing w:before="120" w:after="60"/>
              <w:jc w:val="center"/>
              <w:rPr>
                <w:rFonts w:ascii="宋体" w:hAnsi="宋体"/>
                <w:color w:val="auto"/>
                <w:szCs w:val="21"/>
                <w:highlight w:val="none"/>
              </w:rPr>
            </w:pPr>
            <w:r>
              <w:rPr>
                <w:rFonts w:hint="eastAsia" w:ascii="宋体" w:hAnsi="宋体"/>
                <w:color w:val="auto"/>
                <w:szCs w:val="21"/>
                <w:highlight w:val="none"/>
              </w:rPr>
              <w:t>持有项目负责人安全生产考核合格证（B类）或建筑施工企业项目负责人安全生产考核合格证</w:t>
            </w:r>
          </w:p>
        </w:tc>
        <w:tc>
          <w:tcPr>
            <w:tcW w:w="3294" w:type="dxa"/>
            <w:tcBorders>
              <w:top w:val="single" w:color="auto" w:sz="4" w:space="0"/>
              <w:left w:val="single" w:color="auto" w:sz="4" w:space="0"/>
              <w:bottom w:val="single" w:color="auto" w:sz="4" w:space="0"/>
              <w:right w:val="single" w:color="auto" w:sz="4" w:space="0"/>
            </w:tcBorders>
            <w:shd w:val="clear" w:color="auto" w:fill="auto"/>
            <w:vAlign w:val="center"/>
          </w:tcPr>
          <w:p w14:paraId="7BA90B81">
            <w:pPr>
              <w:spacing w:before="120" w:after="60"/>
              <w:jc w:val="center"/>
              <w:rPr>
                <w:rFonts w:hint="eastAsia" w:ascii="宋体" w:hAnsi="宋体" w:eastAsia="宋体" w:cs="Times New Roman"/>
                <w:color w:val="auto"/>
                <w:kern w:val="2"/>
                <w:sz w:val="21"/>
                <w:szCs w:val="21"/>
                <w:highlight w:val="none"/>
                <w:u w:val="none"/>
                <w:lang w:val="en-US" w:eastAsia="zh-CN" w:bidi="ar-SA"/>
              </w:rPr>
            </w:pPr>
            <w:r>
              <w:rPr>
                <w:rFonts w:hint="eastAsia" w:ascii="宋体" w:hAnsi="宋体"/>
                <w:color w:val="auto"/>
                <w:szCs w:val="21"/>
                <w:highlight w:val="none"/>
                <w:u w:val="none"/>
              </w:rPr>
              <w:t>项目负责人安全生产考核合格证（B类）或建筑施工企业项目负责人安全生产考核合格证</w:t>
            </w:r>
            <w:r>
              <w:rPr>
                <w:rFonts w:hint="eastAsia" w:ascii="宋体" w:hAnsi="宋体"/>
                <w:b w:val="0"/>
                <w:bCs w:val="0"/>
                <w:color w:val="auto"/>
                <w:szCs w:val="21"/>
                <w:highlight w:val="none"/>
                <w:u w:val="none"/>
              </w:rPr>
              <w:t>证书扫描件或电子证书（联合体投标的，由联合体主办方提供）</w:t>
            </w:r>
          </w:p>
        </w:tc>
        <w:tc>
          <w:tcPr>
            <w:tcW w:w="1287" w:type="dxa"/>
            <w:tcBorders>
              <w:top w:val="single" w:color="auto" w:sz="4" w:space="0"/>
              <w:left w:val="single" w:color="auto" w:sz="4" w:space="0"/>
              <w:bottom w:val="single" w:color="auto" w:sz="4" w:space="0"/>
              <w:right w:val="single" w:color="auto" w:sz="4" w:space="0"/>
            </w:tcBorders>
            <w:vAlign w:val="center"/>
          </w:tcPr>
          <w:p w14:paraId="63CBCC4D">
            <w:pPr>
              <w:spacing w:before="120" w:after="60"/>
              <w:jc w:val="center"/>
              <w:rPr>
                <w:rFonts w:ascii="宋体" w:hAnsi="宋体"/>
                <w:color w:val="auto"/>
                <w:szCs w:val="21"/>
                <w:highlight w:val="none"/>
              </w:rPr>
            </w:pPr>
          </w:p>
        </w:tc>
      </w:tr>
      <w:tr w14:paraId="3348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01D1FE78">
            <w:pPr>
              <w:spacing w:before="120" w:after="60"/>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6</w:t>
            </w:r>
          </w:p>
        </w:tc>
        <w:tc>
          <w:tcPr>
            <w:tcW w:w="3884" w:type="dxa"/>
            <w:tcBorders>
              <w:top w:val="single" w:color="auto" w:sz="4" w:space="0"/>
              <w:left w:val="single" w:color="auto" w:sz="4" w:space="0"/>
              <w:bottom w:val="single" w:color="auto" w:sz="4" w:space="0"/>
              <w:right w:val="single" w:color="auto" w:sz="4" w:space="0"/>
            </w:tcBorders>
            <w:vAlign w:val="center"/>
          </w:tcPr>
          <w:p w14:paraId="238C6366">
            <w:pPr>
              <w:spacing w:before="120" w:after="60"/>
              <w:jc w:val="center"/>
              <w:rPr>
                <w:rFonts w:ascii="宋体" w:hAnsi="宋体"/>
                <w:color w:val="auto"/>
                <w:szCs w:val="21"/>
                <w:highlight w:val="none"/>
              </w:rPr>
            </w:pPr>
            <w:r>
              <w:rPr>
                <w:rFonts w:hint="eastAsia" w:ascii="宋体" w:hAnsi="宋体"/>
                <w:color w:val="auto"/>
                <w:szCs w:val="21"/>
                <w:highlight w:val="none"/>
              </w:rPr>
              <w:t>拟配备的专职安全员不少于</w:t>
            </w:r>
            <w:r>
              <w:rPr>
                <w:rFonts w:hint="eastAsia" w:ascii="宋体" w:hAnsi="宋体"/>
                <w:color w:val="auto"/>
                <w:szCs w:val="21"/>
                <w:highlight w:val="none"/>
                <w:lang w:val="en-US" w:eastAsia="zh-CN"/>
              </w:rPr>
              <w:t>1</w:t>
            </w:r>
            <w:r>
              <w:rPr>
                <w:rFonts w:hint="eastAsia" w:ascii="宋体" w:hAnsi="宋体"/>
                <w:color w:val="auto"/>
                <w:szCs w:val="21"/>
                <w:highlight w:val="none"/>
              </w:rPr>
              <w:t>人，专职安全员须具有安全生产考核合格证（C类）或建筑施工企业专职安全生产管理人员安全生产考核合格证书（C3）</w:t>
            </w:r>
          </w:p>
        </w:tc>
        <w:tc>
          <w:tcPr>
            <w:tcW w:w="3294" w:type="dxa"/>
            <w:tcBorders>
              <w:top w:val="single" w:color="auto" w:sz="4" w:space="0"/>
              <w:left w:val="single" w:color="auto" w:sz="4" w:space="0"/>
              <w:bottom w:val="single" w:color="auto" w:sz="4" w:space="0"/>
              <w:right w:val="single" w:color="auto" w:sz="4" w:space="0"/>
            </w:tcBorders>
            <w:vAlign w:val="center"/>
          </w:tcPr>
          <w:p w14:paraId="0B32619D">
            <w:pPr>
              <w:spacing w:before="120" w:after="60"/>
              <w:jc w:val="center"/>
              <w:rPr>
                <w:rFonts w:hint="eastAsia" w:ascii="宋体" w:hAnsi="宋体"/>
                <w:color w:val="auto"/>
                <w:szCs w:val="21"/>
                <w:highlight w:val="none"/>
                <w:u w:val="none"/>
              </w:rPr>
            </w:pPr>
            <w:r>
              <w:rPr>
                <w:rFonts w:hint="eastAsia" w:ascii="宋体" w:hAnsi="宋体"/>
                <w:color w:val="auto"/>
                <w:szCs w:val="21"/>
                <w:highlight w:val="none"/>
                <w:u w:val="none"/>
              </w:rPr>
              <w:t>专职安全员的安全生产考核合格证（C类）或建筑施工企业专职安全生产管理人员安全生产考核合格证（C3）</w:t>
            </w:r>
            <w:r>
              <w:rPr>
                <w:rFonts w:hint="eastAsia" w:ascii="宋体" w:hAnsi="宋体"/>
                <w:b w:val="0"/>
                <w:bCs w:val="0"/>
                <w:color w:val="auto"/>
                <w:szCs w:val="21"/>
                <w:highlight w:val="none"/>
                <w:u w:val="none"/>
              </w:rPr>
              <w:t>证书扫描件或电子证书（联合体投标的，由联合体主办方提供）</w:t>
            </w:r>
          </w:p>
        </w:tc>
        <w:tc>
          <w:tcPr>
            <w:tcW w:w="1287" w:type="dxa"/>
            <w:tcBorders>
              <w:top w:val="single" w:color="auto" w:sz="4" w:space="0"/>
              <w:left w:val="single" w:color="auto" w:sz="4" w:space="0"/>
              <w:bottom w:val="single" w:color="auto" w:sz="4" w:space="0"/>
              <w:right w:val="single" w:color="auto" w:sz="4" w:space="0"/>
            </w:tcBorders>
            <w:vAlign w:val="center"/>
          </w:tcPr>
          <w:p w14:paraId="10180952">
            <w:pPr>
              <w:spacing w:before="120" w:after="60"/>
              <w:jc w:val="center"/>
              <w:rPr>
                <w:rFonts w:ascii="宋体" w:hAnsi="宋体"/>
                <w:color w:val="auto"/>
                <w:szCs w:val="21"/>
                <w:highlight w:val="none"/>
              </w:rPr>
            </w:pPr>
          </w:p>
        </w:tc>
      </w:tr>
      <w:tr w14:paraId="28BC5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5B1B9F94">
            <w:pPr>
              <w:spacing w:before="120" w:after="60"/>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7</w:t>
            </w:r>
          </w:p>
        </w:tc>
        <w:tc>
          <w:tcPr>
            <w:tcW w:w="3884" w:type="dxa"/>
            <w:tcBorders>
              <w:top w:val="single" w:color="auto" w:sz="4" w:space="0"/>
              <w:left w:val="single" w:color="auto" w:sz="4" w:space="0"/>
              <w:bottom w:val="single" w:color="auto" w:sz="4" w:space="0"/>
              <w:right w:val="single" w:color="auto" w:sz="4" w:space="0"/>
            </w:tcBorders>
            <w:vAlign w:val="center"/>
          </w:tcPr>
          <w:p w14:paraId="16FE043E">
            <w:pPr>
              <w:spacing w:before="120" w:after="60"/>
              <w:jc w:val="center"/>
              <w:rPr>
                <w:rFonts w:ascii="宋体" w:hAnsi="宋体"/>
                <w:color w:val="auto"/>
                <w:szCs w:val="21"/>
                <w:highlight w:val="none"/>
              </w:rPr>
            </w:pPr>
            <w:r>
              <w:rPr>
                <w:rFonts w:hint="eastAsia" w:ascii="宋体" w:hAnsi="宋体"/>
                <w:color w:val="auto"/>
                <w:szCs w:val="21"/>
                <w:highlight w:val="none"/>
              </w:rPr>
              <w:t>投标人提供的投标人声明符合公告要求</w:t>
            </w:r>
          </w:p>
        </w:tc>
        <w:tc>
          <w:tcPr>
            <w:tcW w:w="3294" w:type="dxa"/>
            <w:tcBorders>
              <w:top w:val="single" w:color="auto" w:sz="4" w:space="0"/>
              <w:left w:val="single" w:color="auto" w:sz="4" w:space="0"/>
              <w:bottom w:val="single" w:color="auto" w:sz="4" w:space="0"/>
              <w:right w:val="single" w:color="auto" w:sz="4" w:space="0"/>
            </w:tcBorders>
            <w:vAlign w:val="center"/>
          </w:tcPr>
          <w:p w14:paraId="277BD6DE">
            <w:pPr>
              <w:spacing w:before="120" w:after="60"/>
              <w:jc w:val="center"/>
              <w:rPr>
                <w:rFonts w:hint="eastAsia" w:ascii="宋体" w:hAnsi="宋体"/>
                <w:color w:val="auto"/>
                <w:szCs w:val="21"/>
                <w:highlight w:val="none"/>
                <w:u w:val="none"/>
              </w:rPr>
            </w:pPr>
            <w:r>
              <w:rPr>
                <w:rFonts w:hint="eastAsia" w:ascii="宋体" w:hAnsi="宋体"/>
                <w:color w:val="auto"/>
                <w:szCs w:val="21"/>
                <w:highlight w:val="none"/>
                <w:u w:val="none"/>
              </w:rPr>
              <w:t>投标人声明</w:t>
            </w:r>
            <w:r>
              <w:rPr>
                <w:rFonts w:hint="eastAsia" w:ascii="宋体" w:hAnsi="宋体"/>
                <w:b w:val="0"/>
                <w:bCs w:val="0"/>
                <w:color w:val="auto"/>
                <w:szCs w:val="21"/>
                <w:highlight w:val="none"/>
                <w:u w:val="none"/>
              </w:rPr>
              <w:t>（按招标公告的要求填写）</w:t>
            </w:r>
          </w:p>
        </w:tc>
        <w:tc>
          <w:tcPr>
            <w:tcW w:w="1287" w:type="dxa"/>
            <w:tcBorders>
              <w:top w:val="single" w:color="auto" w:sz="4" w:space="0"/>
              <w:left w:val="single" w:color="auto" w:sz="4" w:space="0"/>
              <w:bottom w:val="single" w:color="auto" w:sz="4" w:space="0"/>
              <w:right w:val="single" w:color="auto" w:sz="4" w:space="0"/>
            </w:tcBorders>
            <w:vAlign w:val="center"/>
          </w:tcPr>
          <w:p w14:paraId="59B357C5">
            <w:pPr>
              <w:spacing w:before="120" w:after="60"/>
              <w:jc w:val="center"/>
              <w:rPr>
                <w:rFonts w:ascii="宋体" w:hAnsi="宋体"/>
                <w:color w:val="auto"/>
                <w:szCs w:val="21"/>
                <w:highlight w:val="none"/>
              </w:rPr>
            </w:pPr>
          </w:p>
        </w:tc>
      </w:tr>
      <w:tr w14:paraId="16CA7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31F5FBA4">
            <w:pPr>
              <w:spacing w:before="120" w:after="60"/>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8</w:t>
            </w:r>
          </w:p>
        </w:tc>
        <w:tc>
          <w:tcPr>
            <w:tcW w:w="3884" w:type="dxa"/>
            <w:tcBorders>
              <w:top w:val="single" w:color="auto" w:sz="4" w:space="0"/>
              <w:left w:val="single" w:color="auto" w:sz="4" w:space="0"/>
              <w:bottom w:val="single" w:color="auto" w:sz="4" w:space="0"/>
              <w:right w:val="single" w:color="auto" w:sz="4" w:space="0"/>
            </w:tcBorders>
            <w:vAlign w:val="center"/>
          </w:tcPr>
          <w:p w14:paraId="7BD21B2C">
            <w:pPr>
              <w:spacing w:before="120" w:after="60"/>
              <w:jc w:val="center"/>
              <w:rPr>
                <w:rFonts w:ascii="宋体" w:hAnsi="宋体"/>
                <w:color w:val="auto"/>
                <w:szCs w:val="21"/>
                <w:highlight w:val="none"/>
              </w:rPr>
            </w:pPr>
            <w:r>
              <w:rPr>
                <w:rFonts w:hint="eastAsia" w:ascii="宋体" w:hAnsi="宋体"/>
                <w:color w:val="auto"/>
                <w:szCs w:val="21"/>
                <w:highlight w:val="none"/>
              </w:rPr>
              <w:t>投标人声明中签字的项目负责人与本项目拟派的项目负责人一致</w:t>
            </w:r>
          </w:p>
        </w:tc>
        <w:tc>
          <w:tcPr>
            <w:tcW w:w="3294" w:type="dxa"/>
            <w:tcBorders>
              <w:top w:val="single" w:color="auto" w:sz="4" w:space="0"/>
              <w:left w:val="single" w:color="auto" w:sz="4" w:space="0"/>
              <w:bottom w:val="single" w:color="auto" w:sz="4" w:space="0"/>
              <w:right w:val="single" w:color="auto" w:sz="4" w:space="0"/>
            </w:tcBorders>
            <w:vAlign w:val="center"/>
          </w:tcPr>
          <w:p w14:paraId="076194C6">
            <w:pPr>
              <w:spacing w:before="120" w:after="60"/>
              <w:jc w:val="center"/>
              <w:rPr>
                <w:rFonts w:hint="eastAsia" w:ascii="宋体" w:hAnsi="宋体"/>
                <w:color w:val="auto"/>
                <w:szCs w:val="21"/>
                <w:highlight w:val="none"/>
                <w:u w:val="none"/>
              </w:rPr>
            </w:pPr>
            <w:r>
              <w:rPr>
                <w:rFonts w:hint="eastAsia" w:ascii="宋体" w:hAnsi="宋体"/>
                <w:color w:val="auto"/>
                <w:szCs w:val="21"/>
                <w:highlight w:val="none"/>
                <w:u w:val="none"/>
              </w:rPr>
              <w:t>网上投标时选择拟投标的项目负责人及投标人声明</w:t>
            </w:r>
          </w:p>
        </w:tc>
        <w:tc>
          <w:tcPr>
            <w:tcW w:w="1287" w:type="dxa"/>
            <w:tcBorders>
              <w:top w:val="single" w:color="auto" w:sz="4" w:space="0"/>
              <w:left w:val="single" w:color="auto" w:sz="4" w:space="0"/>
              <w:bottom w:val="single" w:color="auto" w:sz="4" w:space="0"/>
              <w:right w:val="single" w:color="auto" w:sz="4" w:space="0"/>
            </w:tcBorders>
            <w:vAlign w:val="center"/>
          </w:tcPr>
          <w:p w14:paraId="09BFD6D4">
            <w:pPr>
              <w:spacing w:before="120" w:after="60"/>
              <w:jc w:val="center"/>
              <w:rPr>
                <w:rFonts w:ascii="宋体" w:hAnsi="宋体"/>
                <w:color w:val="auto"/>
                <w:szCs w:val="21"/>
                <w:highlight w:val="none"/>
              </w:rPr>
            </w:pPr>
          </w:p>
        </w:tc>
      </w:tr>
      <w:tr w14:paraId="6C362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0DFB0B2C">
            <w:pPr>
              <w:spacing w:before="120" w:after="60"/>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9</w:t>
            </w:r>
          </w:p>
        </w:tc>
        <w:tc>
          <w:tcPr>
            <w:tcW w:w="3884" w:type="dxa"/>
            <w:tcBorders>
              <w:top w:val="single" w:color="auto" w:sz="4" w:space="0"/>
              <w:left w:val="single" w:color="auto" w:sz="4" w:space="0"/>
              <w:bottom w:val="single" w:color="auto" w:sz="4" w:space="0"/>
              <w:right w:val="single" w:color="auto" w:sz="4" w:space="0"/>
            </w:tcBorders>
            <w:vAlign w:val="center"/>
          </w:tcPr>
          <w:p w14:paraId="7E742691">
            <w:pPr>
              <w:spacing w:before="120" w:after="60"/>
              <w:jc w:val="center"/>
              <w:rPr>
                <w:rFonts w:hint="eastAsia" w:ascii="宋体" w:hAnsi="宋体"/>
                <w:color w:val="auto"/>
                <w:szCs w:val="21"/>
                <w:highlight w:val="none"/>
              </w:rPr>
            </w:pPr>
            <w:r>
              <w:rPr>
                <w:rFonts w:hint="eastAsia" w:ascii="宋体" w:hAnsi="宋体"/>
                <w:color w:val="auto"/>
                <w:szCs w:val="21"/>
                <w:highlight w:val="none"/>
                <w:lang w:val="en-US" w:eastAsia="zh-CN"/>
              </w:rPr>
              <w:t>政府投资项目，</w:t>
            </w:r>
            <w:r>
              <w:rPr>
                <w:rFonts w:hint="eastAsia" w:ascii="宋体" w:hAnsi="宋体"/>
                <w:color w:val="auto"/>
                <w:szCs w:val="21"/>
                <w:highlight w:val="none"/>
              </w:rPr>
              <w:t>在投标截止时间前，</w:t>
            </w:r>
            <w:r>
              <w:rPr>
                <w:rFonts w:hint="eastAsia" w:ascii="宋体" w:hAnsi="宋体"/>
                <w:color w:val="auto"/>
                <w:szCs w:val="21"/>
                <w:highlight w:val="none"/>
                <w:lang w:val="en-US" w:eastAsia="zh-CN"/>
              </w:rPr>
              <w:t>投标人（如为联合体，则联合体各方）未被列入“失信被执行人”名单</w:t>
            </w:r>
          </w:p>
        </w:tc>
        <w:tc>
          <w:tcPr>
            <w:tcW w:w="3294" w:type="dxa"/>
            <w:tcBorders>
              <w:top w:val="single" w:color="auto" w:sz="4" w:space="0"/>
              <w:left w:val="single" w:color="auto" w:sz="4" w:space="0"/>
              <w:bottom w:val="single" w:color="auto" w:sz="4" w:space="0"/>
              <w:right w:val="single" w:color="auto" w:sz="4" w:space="0"/>
            </w:tcBorders>
            <w:vAlign w:val="center"/>
          </w:tcPr>
          <w:p w14:paraId="4C0C7F7C">
            <w:pPr>
              <w:spacing w:before="120" w:after="60"/>
              <w:jc w:val="center"/>
              <w:rPr>
                <w:rFonts w:hint="eastAsia" w:ascii="宋体" w:hAnsi="宋体"/>
                <w:color w:val="auto"/>
                <w:szCs w:val="21"/>
                <w:highlight w:val="none"/>
                <w:u w:val="none"/>
              </w:rPr>
            </w:pPr>
            <w:r>
              <w:rPr>
                <w:rFonts w:hint="eastAsia" w:ascii="宋体" w:hAnsi="宋体"/>
                <w:color w:val="auto"/>
                <w:szCs w:val="21"/>
                <w:highlight w:val="none"/>
                <w:u w:val="none"/>
              </w:rPr>
              <w:t>投标人无需提供资料，按交易系统比对的结果进行评审</w:t>
            </w:r>
          </w:p>
        </w:tc>
        <w:tc>
          <w:tcPr>
            <w:tcW w:w="1287" w:type="dxa"/>
            <w:tcBorders>
              <w:top w:val="single" w:color="auto" w:sz="4" w:space="0"/>
              <w:left w:val="single" w:color="auto" w:sz="4" w:space="0"/>
              <w:bottom w:val="single" w:color="auto" w:sz="4" w:space="0"/>
              <w:right w:val="single" w:color="auto" w:sz="4" w:space="0"/>
            </w:tcBorders>
            <w:vAlign w:val="center"/>
          </w:tcPr>
          <w:p w14:paraId="568E5664">
            <w:pPr>
              <w:spacing w:before="120" w:after="60"/>
              <w:jc w:val="center"/>
              <w:rPr>
                <w:rFonts w:ascii="宋体" w:hAnsi="宋体"/>
                <w:color w:val="auto"/>
                <w:szCs w:val="21"/>
                <w:highlight w:val="none"/>
              </w:rPr>
            </w:pPr>
          </w:p>
        </w:tc>
      </w:tr>
      <w:tr w14:paraId="34AD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3E9A88DB">
            <w:pPr>
              <w:spacing w:before="120" w:after="60"/>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0</w:t>
            </w:r>
          </w:p>
        </w:tc>
        <w:tc>
          <w:tcPr>
            <w:tcW w:w="3884" w:type="dxa"/>
            <w:tcBorders>
              <w:top w:val="single" w:color="auto" w:sz="4" w:space="0"/>
              <w:left w:val="single" w:color="auto" w:sz="4" w:space="0"/>
              <w:bottom w:val="single" w:color="auto" w:sz="4" w:space="0"/>
              <w:right w:val="single" w:color="auto" w:sz="4" w:space="0"/>
            </w:tcBorders>
            <w:vAlign w:val="center"/>
          </w:tcPr>
          <w:p w14:paraId="5B7C8A0F">
            <w:pPr>
              <w:spacing w:before="120" w:after="60"/>
              <w:jc w:val="center"/>
              <w:rPr>
                <w:rFonts w:hint="eastAsia" w:ascii="宋体" w:hAnsi="宋体"/>
                <w:color w:val="auto"/>
                <w:szCs w:val="21"/>
                <w:highlight w:val="none"/>
              </w:rPr>
            </w:pPr>
            <w:r>
              <w:rPr>
                <w:rFonts w:hint="eastAsia" w:ascii="宋体" w:hAnsi="宋体"/>
                <w:color w:val="auto"/>
                <w:szCs w:val="21"/>
                <w:highlight w:val="none"/>
              </w:rPr>
              <w:t>投标人未出现以下情形：与其它投标人的单位负责人为同一人或者存在控股、管理关系的（按投标人提供的《投标人声明》第八条内容进行评审）</w:t>
            </w:r>
          </w:p>
        </w:tc>
        <w:tc>
          <w:tcPr>
            <w:tcW w:w="3294" w:type="dxa"/>
            <w:tcBorders>
              <w:top w:val="single" w:color="auto" w:sz="4" w:space="0"/>
              <w:left w:val="single" w:color="auto" w:sz="4" w:space="0"/>
              <w:bottom w:val="single" w:color="auto" w:sz="4" w:space="0"/>
              <w:right w:val="single" w:color="auto" w:sz="4" w:space="0"/>
            </w:tcBorders>
            <w:vAlign w:val="center"/>
          </w:tcPr>
          <w:p w14:paraId="58EAE2C9">
            <w:pPr>
              <w:spacing w:before="120" w:after="60"/>
              <w:jc w:val="center"/>
              <w:rPr>
                <w:rFonts w:hint="eastAsia" w:ascii="宋体" w:hAnsi="宋体"/>
                <w:color w:val="auto"/>
                <w:szCs w:val="21"/>
                <w:highlight w:val="none"/>
                <w:u w:val="none"/>
              </w:rPr>
            </w:pPr>
            <w:r>
              <w:rPr>
                <w:rFonts w:hint="eastAsia" w:ascii="宋体" w:hAnsi="宋体"/>
                <w:color w:val="auto"/>
                <w:szCs w:val="21"/>
                <w:highlight w:val="none"/>
                <w:u w:val="none"/>
              </w:rPr>
              <w:t>投标人声明</w:t>
            </w:r>
          </w:p>
        </w:tc>
        <w:tc>
          <w:tcPr>
            <w:tcW w:w="1287" w:type="dxa"/>
            <w:tcBorders>
              <w:top w:val="single" w:color="auto" w:sz="4" w:space="0"/>
              <w:left w:val="single" w:color="auto" w:sz="4" w:space="0"/>
              <w:bottom w:val="single" w:color="auto" w:sz="4" w:space="0"/>
              <w:right w:val="single" w:color="auto" w:sz="4" w:space="0"/>
            </w:tcBorders>
            <w:vAlign w:val="center"/>
          </w:tcPr>
          <w:p w14:paraId="6747CBC1">
            <w:pPr>
              <w:spacing w:before="120" w:after="60"/>
              <w:jc w:val="center"/>
              <w:rPr>
                <w:rFonts w:ascii="宋体" w:hAnsi="宋体"/>
                <w:color w:val="auto"/>
                <w:szCs w:val="21"/>
                <w:highlight w:val="none"/>
              </w:rPr>
            </w:pPr>
          </w:p>
        </w:tc>
      </w:tr>
      <w:tr w14:paraId="7546F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70BE6063">
            <w:pPr>
              <w:spacing w:before="120" w:after="60"/>
              <w:jc w:val="center"/>
              <w:rPr>
                <w:rFonts w:hint="eastAsia" w:ascii="宋体" w:hAnsi="宋体" w:eastAsia="宋体"/>
                <w:color w:val="auto"/>
                <w:szCs w:val="21"/>
                <w:highlight w:val="none"/>
                <w:lang w:eastAsia="zh-CN"/>
              </w:rPr>
            </w:pPr>
            <w:r>
              <w:rPr>
                <w:rFonts w:hint="eastAsia" w:ascii="宋体" w:hAnsi="宋体"/>
                <w:color w:val="auto"/>
                <w:szCs w:val="21"/>
                <w:highlight w:val="none"/>
              </w:rPr>
              <w:t>1</w:t>
            </w:r>
            <w:r>
              <w:rPr>
                <w:rFonts w:hint="eastAsia" w:ascii="宋体" w:hAnsi="宋体"/>
                <w:color w:val="auto"/>
                <w:szCs w:val="21"/>
                <w:highlight w:val="none"/>
                <w:lang w:val="en-US" w:eastAsia="zh-CN"/>
              </w:rPr>
              <w:t>1</w:t>
            </w:r>
          </w:p>
        </w:tc>
        <w:tc>
          <w:tcPr>
            <w:tcW w:w="3884" w:type="dxa"/>
            <w:tcBorders>
              <w:top w:val="single" w:color="auto" w:sz="4" w:space="0"/>
              <w:left w:val="single" w:color="auto" w:sz="4" w:space="0"/>
              <w:bottom w:val="single" w:color="auto" w:sz="4" w:space="0"/>
              <w:right w:val="single" w:color="auto" w:sz="4" w:space="0"/>
            </w:tcBorders>
            <w:vAlign w:val="center"/>
          </w:tcPr>
          <w:p w14:paraId="697B75A6">
            <w:pPr>
              <w:spacing w:before="120" w:after="60"/>
              <w:jc w:val="center"/>
              <w:rPr>
                <w:rFonts w:hint="eastAsia" w:ascii="宋体" w:hAnsi="宋体"/>
                <w:color w:val="auto"/>
                <w:szCs w:val="21"/>
                <w:highlight w:val="none"/>
              </w:rPr>
            </w:pPr>
            <w:r>
              <w:rPr>
                <w:rFonts w:hint="eastAsia" w:ascii="宋体" w:hAnsi="宋体"/>
                <w:color w:val="auto"/>
                <w:szCs w:val="21"/>
                <w:highlight w:val="none"/>
              </w:rPr>
              <w:t>未被列入拖欠农民工工资失信联合惩戒对象名单</w:t>
            </w:r>
          </w:p>
        </w:tc>
        <w:tc>
          <w:tcPr>
            <w:tcW w:w="3294" w:type="dxa"/>
            <w:tcBorders>
              <w:top w:val="single" w:color="auto" w:sz="4" w:space="0"/>
              <w:left w:val="single" w:color="auto" w:sz="4" w:space="0"/>
              <w:bottom w:val="single" w:color="auto" w:sz="4" w:space="0"/>
              <w:right w:val="single" w:color="auto" w:sz="4" w:space="0"/>
            </w:tcBorders>
            <w:vAlign w:val="center"/>
          </w:tcPr>
          <w:p w14:paraId="750E38A9">
            <w:pPr>
              <w:spacing w:before="120" w:after="60"/>
              <w:jc w:val="center"/>
              <w:rPr>
                <w:rFonts w:hint="eastAsia" w:ascii="宋体" w:hAnsi="宋体"/>
                <w:color w:val="auto"/>
                <w:szCs w:val="21"/>
                <w:highlight w:val="none"/>
                <w:u w:val="none"/>
              </w:rPr>
            </w:pPr>
            <w:r>
              <w:rPr>
                <w:rFonts w:hint="eastAsia" w:ascii="宋体" w:hAnsi="宋体"/>
                <w:color w:val="auto"/>
                <w:szCs w:val="21"/>
                <w:highlight w:val="none"/>
                <w:u w:val="none"/>
              </w:rPr>
              <w:t>投标人无需提供资料，按交易系统比对的结果进行评审</w:t>
            </w:r>
          </w:p>
        </w:tc>
        <w:tc>
          <w:tcPr>
            <w:tcW w:w="1287" w:type="dxa"/>
            <w:tcBorders>
              <w:top w:val="single" w:color="auto" w:sz="4" w:space="0"/>
              <w:left w:val="single" w:color="auto" w:sz="4" w:space="0"/>
              <w:bottom w:val="single" w:color="auto" w:sz="4" w:space="0"/>
              <w:right w:val="single" w:color="auto" w:sz="4" w:space="0"/>
            </w:tcBorders>
            <w:vAlign w:val="center"/>
          </w:tcPr>
          <w:p w14:paraId="2308A97C">
            <w:pPr>
              <w:spacing w:before="120" w:after="60"/>
              <w:jc w:val="center"/>
              <w:rPr>
                <w:rFonts w:ascii="宋体" w:hAnsi="宋体"/>
                <w:color w:val="auto"/>
                <w:szCs w:val="21"/>
                <w:highlight w:val="none"/>
              </w:rPr>
            </w:pPr>
          </w:p>
        </w:tc>
      </w:tr>
      <w:tr w14:paraId="374D9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6E2E51DE">
            <w:pPr>
              <w:spacing w:before="120" w:after="6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12</w:t>
            </w:r>
          </w:p>
        </w:tc>
        <w:tc>
          <w:tcPr>
            <w:tcW w:w="3884" w:type="dxa"/>
            <w:tcBorders>
              <w:top w:val="single" w:color="auto" w:sz="4" w:space="0"/>
              <w:left w:val="single" w:color="auto" w:sz="4" w:space="0"/>
              <w:bottom w:val="single" w:color="auto" w:sz="4" w:space="0"/>
              <w:right w:val="single" w:color="auto" w:sz="4" w:space="0"/>
            </w:tcBorders>
            <w:vAlign w:val="center"/>
          </w:tcPr>
          <w:p w14:paraId="0351CFCD">
            <w:pPr>
              <w:spacing w:before="120" w:after="60"/>
              <w:jc w:val="center"/>
              <w:rPr>
                <w:rFonts w:hint="eastAsia" w:ascii="宋体" w:hAnsi="宋体"/>
                <w:color w:val="auto"/>
                <w:szCs w:val="21"/>
                <w:highlight w:val="none"/>
              </w:rPr>
            </w:pPr>
            <w:r>
              <w:rPr>
                <w:rFonts w:hint="eastAsia" w:ascii="宋体" w:hAnsi="宋体"/>
                <w:b w:val="0"/>
                <w:bCs w:val="0"/>
                <w:color w:val="auto"/>
                <w:szCs w:val="21"/>
                <w:highlight w:val="none"/>
                <w:u w:val="none"/>
              </w:rPr>
              <w:t>资格审查前，投标人须在广州交易集团有限公司（广州公共资源交易中心）办理信息登记等相关投标登记手续及拟担任本工程项目负责人、专职安全员须是本企业的在册人员且与广州交易集团有限公司（广州公共资源交易中心）办理信息登记一致。</w:t>
            </w:r>
          </w:p>
        </w:tc>
        <w:tc>
          <w:tcPr>
            <w:tcW w:w="3294" w:type="dxa"/>
            <w:tcBorders>
              <w:top w:val="single" w:color="auto" w:sz="4" w:space="0"/>
              <w:left w:val="single" w:color="auto" w:sz="4" w:space="0"/>
              <w:bottom w:val="single" w:color="auto" w:sz="4" w:space="0"/>
              <w:right w:val="single" w:color="auto" w:sz="4" w:space="0"/>
            </w:tcBorders>
            <w:vAlign w:val="center"/>
          </w:tcPr>
          <w:p w14:paraId="4590A9B7">
            <w:pPr>
              <w:spacing w:before="120" w:after="60"/>
              <w:jc w:val="center"/>
              <w:rPr>
                <w:rFonts w:hint="eastAsia" w:ascii="宋体" w:hAnsi="宋体"/>
                <w:color w:val="auto"/>
                <w:szCs w:val="21"/>
                <w:highlight w:val="none"/>
                <w:u w:val="none"/>
              </w:rPr>
            </w:pPr>
            <w:r>
              <w:rPr>
                <w:rFonts w:hint="eastAsia" w:ascii="宋体" w:hAnsi="宋体" w:cs="Times New Roman"/>
                <w:b w:val="0"/>
                <w:bCs w:val="0"/>
                <w:color w:val="auto"/>
                <w:szCs w:val="21"/>
                <w:highlight w:val="none"/>
                <w:u w:val="none"/>
              </w:rPr>
              <w:t>投标人在广州交易集团有限公司（广州公共资源交易中心）企业信息库内的企业和人员信息相关网页截图</w:t>
            </w:r>
          </w:p>
        </w:tc>
        <w:tc>
          <w:tcPr>
            <w:tcW w:w="1287" w:type="dxa"/>
            <w:tcBorders>
              <w:top w:val="single" w:color="auto" w:sz="4" w:space="0"/>
              <w:left w:val="single" w:color="auto" w:sz="4" w:space="0"/>
              <w:bottom w:val="single" w:color="auto" w:sz="4" w:space="0"/>
              <w:right w:val="single" w:color="auto" w:sz="4" w:space="0"/>
            </w:tcBorders>
            <w:vAlign w:val="center"/>
          </w:tcPr>
          <w:p w14:paraId="677A2B4F">
            <w:pPr>
              <w:spacing w:before="120" w:after="60"/>
              <w:jc w:val="center"/>
              <w:rPr>
                <w:rFonts w:ascii="宋体" w:hAnsi="宋体"/>
                <w:color w:val="auto"/>
                <w:szCs w:val="21"/>
                <w:highlight w:val="none"/>
              </w:rPr>
            </w:pPr>
          </w:p>
        </w:tc>
      </w:tr>
      <w:tr w14:paraId="191CC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00FDD7B9">
            <w:pPr>
              <w:spacing w:before="120" w:after="60"/>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13</w:t>
            </w:r>
          </w:p>
        </w:tc>
        <w:tc>
          <w:tcPr>
            <w:tcW w:w="3884" w:type="dxa"/>
            <w:tcBorders>
              <w:top w:val="single" w:color="auto" w:sz="4" w:space="0"/>
              <w:left w:val="single" w:color="auto" w:sz="4" w:space="0"/>
              <w:bottom w:val="single" w:color="auto" w:sz="4" w:space="0"/>
              <w:right w:val="single" w:color="auto" w:sz="4" w:space="0"/>
            </w:tcBorders>
            <w:shd w:val="clear" w:color="auto" w:fill="auto"/>
            <w:vAlign w:val="center"/>
          </w:tcPr>
          <w:p w14:paraId="34660286">
            <w:pPr>
              <w:spacing w:before="120" w:after="6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提供联合体工作协议。投标人拟任本工程项目负责人应为主办方正式员工。联合体工作协议应明确约定各方拟承担的工作和责任（如有）</w:t>
            </w:r>
          </w:p>
        </w:tc>
        <w:tc>
          <w:tcPr>
            <w:tcW w:w="3294" w:type="dxa"/>
            <w:tcBorders>
              <w:top w:val="single" w:color="auto" w:sz="4" w:space="0"/>
              <w:left w:val="single" w:color="auto" w:sz="4" w:space="0"/>
              <w:bottom w:val="single" w:color="auto" w:sz="4" w:space="0"/>
              <w:right w:val="single" w:color="auto" w:sz="4" w:space="0"/>
            </w:tcBorders>
            <w:shd w:val="clear" w:color="auto" w:fill="auto"/>
            <w:vAlign w:val="center"/>
          </w:tcPr>
          <w:p w14:paraId="4A0B7762">
            <w:pPr>
              <w:spacing w:before="120" w:after="60"/>
              <w:jc w:val="center"/>
              <w:rPr>
                <w:rFonts w:hint="eastAsia" w:ascii="宋体" w:hAnsi="宋体" w:eastAsia="宋体" w:cs="Times New Roman"/>
                <w:color w:val="auto"/>
                <w:kern w:val="2"/>
                <w:sz w:val="21"/>
                <w:szCs w:val="21"/>
                <w:highlight w:val="none"/>
                <w:u w:val="none"/>
                <w:lang w:val="en-US" w:eastAsia="zh-CN" w:bidi="ar-SA"/>
              </w:rPr>
            </w:pPr>
            <w:r>
              <w:rPr>
                <w:rFonts w:hint="eastAsia" w:ascii="宋体" w:hAnsi="宋体" w:cs="Times New Roman"/>
                <w:color w:val="auto"/>
                <w:szCs w:val="21"/>
                <w:highlight w:val="none"/>
                <w:u w:val="none"/>
                <w:lang w:bidi="ar"/>
              </w:rPr>
              <w:t>联合体工作协议；项目负责人为主办方正式员工在广州交易集团有限公司（广州公共资源交易中心）</w:t>
            </w:r>
            <w:r>
              <w:rPr>
                <w:rFonts w:hint="eastAsia" w:ascii="宋体" w:hAnsi="宋体" w:cs="Times New Roman"/>
                <w:b w:val="0"/>
                <w:bCs w:val="0"/>
                <w:color w:val="auto"/>
                <w:szCs w:val="21"/>
                <w:highlight w:val="none"/>
                <w:u w:val="none"/>
              </w:rPr>
              <w:t>企业信息库内企业和人员信息相关网页截图</w:t>
            </w:r>
          </w:p>
        </w:tc>
        <w:tc>
          <w:tcPr>
            <w:tcW w:w="1287" w:type="dxa"/>
            <w:tcBorders>
              <w:top w:val="single" w:color="auto" w:sz="4" w:space="0"/>
              <w:left w:val="single" w:color="auto" w:sz="4" w:space="0"/>
              <w:bottom w:val="single" w:color="auto" w:sz="4" w:space="0"/>
              <w:right w:val="single" w:color="auto" w:sz="4" w:space="0"/>
            </w:tcBorders>
            <w:vAlign w:val="center"/>
          </w:tcPr>
          <w:p w14:paraId="61940C70">
            <w:pPr>
              <w:spacing w:before="120" w:after="60"/>
              <w:jc w:val="center"/>
              <w:rPr>
                <w:rFonts w:ascii="宋体" w:hAnsi="宋体"/>
                <w:color w:val="auto"/>
                <w:szCs w:val="21"/>
                <w:highlight w:val="none"/>
              </w:rPr>
            </w:pPr>
          </w:p>
        </w:tc>
      </w:tr>
      <w:tr w14:paraId="21F7A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9" w:type="dxa"/>
            <w:tcBorders>
              <w:top w:val="single" w:color="auto" w:sz="4" w:space="0"/>
              <w:left w:val="single" w:color="auto" w:sz="4" w:space="0"/>
              <w:bottom w:val="single" w:color="auto" w:sz="4" w:space="0"/>
              <w:right w:val="single" w:color="auto" w:sz="4" w:space="0"/>
            </w:tcBorders>
            <w:vAlign w:val="center"/>
          </w:tcPr>
          <w:p w14:paraId="37973764">
            <w:pPr>
              <w:spacing w:before="120" w:after="60"/>
              <w:jc w:val="center"/>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14</w:t>
            </w:r>
          </w:p>
        </w:tc>
        <w:tc>
          <w:tcPr>
            <w:tcW w:w="3884" w:type="dxa"/>
            <w:tcBorders>
              <w:top w:val="single" w:color="auto" w:sz="4" w:space="0"/>
              <w:left w:val="single" w:color="auto" w:sz="4" w:space="0"/>
              <w:bottom w:val="single" w:color="auto" w:sz="4" w:space="0"/>
              <w:right w:val="single" w:color="auto" w:sz="4" w:space="0"/>
            </w:tcBorders>
            <w:shd w:val="clear" w:color="auto" w:fill="auto"/>
            <w:vAlign w:val="center"/>
          </w:tcPr>
          <w:p w14:paraId="74C03BFB">
            <w:pPr>
              <w:spacing w:before="120" w:after="60"/>
              <w:jc w:val="center"/>
              <w:rPr>
                <w:rFonts w:hint="eastAsia"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未在以往工程中因不充分履约行为被本项目招标人书面拒绝投标的</w:t>
            </w:r>
          </w:p>
        </w:tc>
        <w:tc>
          <w:tcPr>
            <w:tcW w:w="3294" w:type="dxa"/>
            <w:tcBorders>
              <w:top w:val="single" w:color="auto" w:sz="4" w:space="0"/>
              <w:left w:val="single" w:color="auto" w:sz="4" w:space="0"/>
              <w:bottom w:val="single" w:color="auto" w:sz="4" w:space="0"/>
              <w:right w:val="single" w:color="auto" w:sz="4" w:space="0"/>
            </w:tcBorders>
            <w:shd w:val="clear" w:color="auto" w:fill="auto"/>
            <w:vAlign w:val="center"/>
          </w:tcPr>
          <w:p w14:paraId="21473506">
            <w:pPr>
              <w:spacing w:before="120" w:after="60"/>
              <w:jc w:val="center"/>
              <w:rPr>
                <w:rFonts w:hint="eastAsia" w:ascii="宋体" w:hAnsi="宋体" w:eastAsia="宋体" w:cs="Times New Roman"/>
                <w:color w:val="auto"/>
                <w:kern w:val="2"/>
                <w:sz w:val="21"/>
                <w:szCs w:val="21"/>
                <w:highlight w:val="none"/>
                <w:u w:val="none"/>
                <w:lang w:val="en-US" w:eastAsia="zh-CN" w:bidi="ar-SA"/>
              </w:rPr>
            </w:pPr>
            <w:r>
              <w:rPr>
                <w:rFonts w:hint="eastAsia" w:ascii="宋体" w:hAnsi="宋体" w:cs="Times New Roman"/>
                <w:b w:val="0"/>
                <w:bCs w:val="0"/>
                <w:color w:val="auto"/>
                <w:szCs w:val="21"/>
                <w:highlight w:val="none"/>
                <w:u w:val="none"/>
              </w:rPr>
              <w:t>按招标公告附件</w:t>
            </w:r>
            <w:r>
              <w:rPr>
                <w:rFonts w:hint="eastAsia" w:ascii="宋体" w:hAnsi="宋体" w:cs="Times New Roman"/>
                <w:b w:val="0"/>
                <w:bCs w:val="0"/>
                <w:color w:val="auto"/>
                <w:szCs w:val="21"/>
                <w:highlight w:val="none"/>
                <w:u w:val="none"/>
                <w:lang w:val="en-US" w:eastAsia="zh-CN"/>
              </w:rPr>
              <w:t>四</w:t>
            </w:r>
            <w:r>
              <w:rPr>
                <w:rFonts w:hint="eastAsia" w:ascii="宋体" w:hAnsi="宋体" w:cs="Times New Roman"/>
                <w:b w:val="0"/>
                <w:bCs w:val="0"/>
                <w:color w:val="auto"/>
                <w:szCs w:val="21"/>
                <w:highlight w:val="none"/>
                <w:u w:val="none"/>
              </w:rPr>
              <w:t>《被招标人拒绝投标的企业名单》进行评审</w:t>
            </w:r>
          </w:p>
        </w:tc>
        <w:tc>
          <w:tcPr>
            <w:tcW w:w="1287" w:type="dxa"/>
            <w:tcBorders>
              <w:top w:val="single" w:color="auto" w:sz="4" w:space="0"/>
              <w:left w:val="single" w:color="auto" w:sz="4" w:space="0"/>
              <w:bottom w:val="single" w:color="auto" w:sz="4" w:space="0"/>
              <w:right w:val="single" w:color="auto" w:sz="4" w:space="0"/>
            </w:tcBorders>
            <w:vAlign w:val="center"/>
          </w:tcPr>
          <w:p w14:paraId="3FD74AA6">
            <w:pPr>
              <w:spacing w:before="120" w:after="60"/>
              <w:jc w:val="center"/>
              <w:rPr>
                <w:rFonts w:ascii="宋体" w:hAnsi="宋体"/>
                <w:color w:val="auto"/>
                <w:szCs w:val="21"/>
                <w:highlight w:val="none"/>
              </w:rPr>
            </w:pPr>
          </w:p>
        </w:tc>
      </w:tr>
    </w:tbl>
    <w:p w14:paraId="5DA031A9">
      <w:pPr>
        <w:spacing w:line="480" w:lineRule="auto"/>
        <w:rPr>
          <w:color w:val="auto"/>
          <w:sz w:val="24"/>
          <w:szCs w:val="24"/>
          <w:highlight w:val="none"/>
        </w:rPr>
      </w:pPr>
      <w:r>
        <w:rPr>
          <w:rFonts w:hint="eastAsia"/>
          <w:color w:val="auto"/>
          <w:sz w:val="24"/>
          <w:szCs w:val="24"/>
          <w:highlight w:val="none"/>
        </w:rPr>
        <w:t>投标人名称：</w:t>
      </w:r>
    </w:p>
    <w:p w14:paraId="4993EFD9">
      <w:pPr>
        <w:spacing w:line="480" w:lineRule="auto"/>
        <w:ind w:firstLine="470" w:firstLineChars="224"/>
        <w:rPr>
          <w:rFonts w:ascii="宋体" w:hAnsi="宋体"/>
          <w:color w:val="auto"/>
          <w:szCs w:val="21"/>
          <w:highlight w:val="none"/>
        </w:rPr>
      </w:pPr>
      <w:r>
        <w:rPr>
          <w:rFonts w:hint="eastAsia" w:ascii="宋体" w:hAnsi="宋体"/>
          <w:color w:val="auto"/>
          <w:szCs w:val="21"/>
          <w:highlight w:val="none"/>
        </w:rPr>
        <w:t>备注：</w:t>
      </w:r>
    </w:p>
    <w:p w14:paraId="7662B6A7">
      <w:pPr>
        <w:spacing w:line="480" w:lineRule="auto"/>
        <w:ind w:firstLine="470" w:firstLineChars="224"/>
        <w:rPr>
          <w:rFonts w:ascii="宋体" w:hAnsi="宋体"/>
          <w:color w:val="auto"/>
          <w:szCs w:val="21"/>
          <w:highlight w:val="none"/>
        </w:rPr>
      </w:pPr>
      <w:r>
        <w:rPr>
          <w:rFonts w:hint="eastAsia" w:ascii="宋体" w:hAnsi="宋体"/>
          <w:color w:val="auto"/>
          <w:szCs w:val="21"/>
          <w:highlight w:val="none"/>
        </w:rPr>
        <w:t xml:space="preserve">1、每一项目符合的打“○”，不符合的打“×”； </w:t>
      </w:r>
    </w:p>
    <w:p w14:paraId="75D4DEE6">
      <w:pPr>
        <w:spacing w:line="480" w:lineRule="auto"/>
        <w:ind w:firstLine="470" w:firstLineChars="224"/>
        <w:rPr>
          <w:rFonts w:ascii="宋体" w:hAnsi="宋体"/>
          <w:color w:val="auto"/>
          <w:szCs w:val="21"/>
          <w:highlight w:val="none"/>
        </w:rPr>
      </w:pPr>
      <w:r>
        <w:rPr>
          <w:rFonts w:hint="eastAsia" w:ascii="宋体" w:hAnsi="宋体"/>
          <w:color w:val="auto"/>
          <w:szCs w:val="21"/>
          <w:highlight w:val="none"/>
        </w:rPr>
        <w:t>2、若评委意见不一致时，则按少数服从多数的原则，作出评审结论。汇总后，出现一个“×”的结论为“不通过”。</w:t>
      </w:r>
    </w:p>
    <w:p w14:paraId="6BDE3567">
      <w:pPr>
        <w:spacing w:line="480" w:lineRule="auto"/>
        <w:ind w:firstLine="470" w:firstLineChars="224"/>
        <w:rPr>
          <w:rFonts w:ascii="宋体" w:hAnsi="宋体"/>
          <w:color w:val="auto"/>
          <w:szCs w:val="21"/>
          <w:highlight w:val="none"/>
        </w:rPr>
      </w:pPr>
      <w:r>
        <w:rPr>
          <w:rFonts w:hint="eastAsia" w:ascii="宋体" w:hAnsi="宋体"/>
          <w:color w:val="auto"/>
          <w:szCs w:val="21"/>
          <w:highlight w:val="none"/>
        </w:rPr>
        <w:t>3.不得将文件顺序、明显的</w:t>
      </w:r>
      <w:r>
        <w:rPr>
          <w:rFonts w:hint="eastAsia" w:ascii="宋体" w:hAnsi="宋体"/>
          <w:color w:val="auto"/>
          <w:szCs w:val="21"/>
          <w:highlight w:val="none"/>
          <w:lang w:val="en-US" w:eastAsia="zh-CN"/>
        </w:rPr>
        <w:t>格式或</w:t>
      </w:r>
      <w:r>
        <w:rPr>
          <w:rFonts w:hint="eastAsia" w:ascii="宋体" w:hAnsi="宋体"/>
          <w:color w:val="auto"/>
          <w:szCs w:val="21"/>
          <w:highlight w:val="none"/>
        </w:rPr>
        <w:t>文字错误等列为否决投标的情形。评委发现资格审查文件中含义不明确、对同类问题表述不一致、有明显</w:t>
      </w:r>
      <w:r>
        <w:rPr>
          <w:rFonts w:hint="eastAsia" w:ascii="宋体" w:hAnsi="宋体"/>
          <w:color w:val="auto"/>
          <w:szCs w:val="21"/>
          <w:highlight w:val="none"/>
          <w:lang w:val="en-US" w:eastAsia="zh-CN"/>
        </w:rPr>
        <w:t>格式或</w:t>
      </w:r>
      <w:r>
        <w:rPr>
          <w:rFonts w:hint="eastAsia" w:ascii="宋体" w:hAnsi="宋体"/>
          <w:color w:val="auto"/>
          <w:szCs w:val="21"/>
          <w:highlight w:val="none"/>
        </w:rPr>
        <w:t>文字</w:t>
      </w:r>
      <w:r>
        <w:rPr>
          <w:rFonts w:hint="eastAsia" w:ascii="宋体" w:hAnsi="宋体"/>
          <w:color w:val="auto"/>
          <w:szCs w:val="21"/>
          <w:highlight w:val="none"/>
          <w:lang w:eastAsia="zh-CN"/>
        </w:rPr>
        <w:t>、</w:t>
      </w:r>
      <w:r>
        <w:rPr>
          <w:rFonts w:hint="eastAsia" w:ascii="宋体" w:hAnsi="宋体"/>
          <w:color w:val="auto"/>
          <w:szCs w:val="21"/>
          <w:highlight w:val="none"/>
        </w:rPr>
        <w:t>计算错误的，应当要求投标人作必要的澄清、说明后再判定投标人是否通过资格审查，不得直接认定其不通过资格审查。</w:t>
      </w:r>
    </w:p>
    <w:p w14:paraId="71AD8A7E">
      <w:pPr>
        <w:rPr>
          <w:color w:val="auto"/>
          <w:highlight w:val="none"/>
        </w:rPr>
        <w:sectPr>
          <w:footerReference r:id="rId10" w:type="first"/>
          <w:footerReference r:id="rId9" w:type="default"/>
          <w:endnotePr>
            <w:numFmt w:val="decimal"/>
          </w:endnotePr>
          <w:pgSz w:w="11906" w:h="16838"/>
          <w:pgMar w:top="1134" w:right="1418" w:bottom="1247" w:left="1418" w:header="851" w:footer="907" w:gutter="0"/>
          <w:pgBorders>
            <w:top w:val="none" w:sz="0" w:space="0"/>
            <w:left w:val="none" w:sz="0" w:space="0"/>
            <w:bottom w:val="none" w:sz="0" w:space="0"/>
            <w:right w:val="none" w:sz="0" w:space="0"/>
          </w:pgBorders>
          <w:pgNumType w:fmt="decimal" w:start="1"/>
          <w:cols w:space="425" w:num="1"/>
          <w:titlePg/>
          <w:docGrid w:type="lines" w:linePitch="312" w:charSpace="0"/>
        </w:sectPr>
      </w:pPr>
    </w:p>
    <w:p w14:paraId="20BD40A7">
      <w:pPr>
        <w:rPr>
          <w:color w:val="auto"/>
          <w:sz w:val="28"/>
          <w:szCs w:val="28"/>
          <w:highlight w:val="none"/>
        </w:rPr>
      </w:pPr>
      <w:r>
        <w:rPr>
          <w:rFonts w:hint="eastAsia"/>
          <w:color w:val="auto"/>
          <w:sz w:val="28"/>
          <w:szCs w:val="28"/>
          <w:highlight w:val="none"/>
        </w:rPr>
        <w:t>附表二</w:t>
      </w:r>
    </w:p>
    <w:p w14:paraId="63B4E8C5">
      <w:pPr>
        <w:jc w:val="center"/>
        <w:rPr>
          <w:b/>
          <w:color w:val="auto"/>
          <w:sz w:val="36"/>
          <w:szCs w:val="36"/>
          <w:highlight w:val="none"/>
        </w:rPr>
      </w:pPr>
      <w:r>
        <w:rPr>
          <w:rFonts w:hint="eastAsia"/>
          <w:b/>
          <w:color w:val="auto"/>
          <w:sz w:val="36"/>
          <w:szCs w:val="36"/>
          <w:highlight w:val="none"/>
        </w:rPr>
        <w:t>技术标有效性审查表</w:t>
      </w:r>
    </w:p>
    <w:p w14:paraId="4E990279">
      <w:pPr>
        <w:rPr>
          <w:color w:val="auto"/>
          <w:szCs w:val="21"/>
          <w:highlight w:val="none"/>
        </w:rPr>
      </w:pPr>
      <w:r>
        <w:rPr>
          <w:rFonts w:hint="eastAsia"/>
          <w:color w:val="auto"/>
          <w:szCs w:val="21"/>
          <w:highlight w:val="none"/>
        </w:rPr>
        <w:t>工程名称：</w:t>
      </w:r>
    </w:p>
    <w:tbl>
      <w:tblPr>
        <w:tblStyle w:val="37"/>
        <w:tblW w:w="14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4299"/>
        <w:gridCol w:w="1602"/>
        <w:gridCol w:w="1603"/>
        <w:gridCol w:w="1603"/>
        <w:gridCol w:w="1603"/>
        <w:gridCol w:w="1603"/>
        <w:gridCol w:w="1603"/>
      </w:tblGrid>
      <w:tr w14:paraId="7923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1C8DC434">
            <w:pPr>
              <w:adjustRightInd w:val="0"/>
              <w:rPr>
                <w:rFonts w:ascii="宋体" w:hAnsi="宋体"/>
                <w:color w:val="auto"/>
                <w:szCs w:val="21"/>
                <w:highlight w:val="none"/>
              </w:rPr>
            </w:pPr>
            <w:r>
              <w:rPr>
                <w:rFonts w:hint="eastAsia" w:ascii="宋体" w:hAnsi="宋体"/>
                <w:color w:val="auto"/>
                <w:szCs w:val="21"/>
                <w:highlight w:val="none"/>
              </w:rPr>
              <w:t>序号</w:t>
            </w:r>
          </w:p>
        </w:tc>
        <w:tc>
          <w:tcPr>
            <w:tcW w:w="4299" w:type="dxa"/>
            <w:tcBorders>
              <w:top w:val="single" w:color="auto" w:sz="4" w:space="0"/>
              <w:left w:val="single" w:color="auto" w:sz="4" w:space="0"/>
              <w:bottom w:val="single" w:color="auto" w:sz="4" w:space="0"/>
              <w:right w:val="single" w:color="auto" w:sz="4" w:space="0"/>
              <w:tl2br w:val="single" w:color="auto" w:sz="4" w:space="0"/>
            </w:tcBorders>
          </w:tcPr>
          <w:p w14:paraId="18239D9E">
            <w:pPr>
              <w:adjustRightInd w:val="0"/>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投标人</w:t>
            </w:r>
          </w:p>
          <w:p w14:paraId="7388C4CD">
            <w:pPr>
              <w:adjustRightInd w:val="0"/>
              <w:rPr>
                <w:rFonts w:ascii="宋体" w:hAnsi="宋体"/>
                <w:color w:val="auto"/>
                <w:szCs w:val="21"/>
                <w:highlight w:val="none"/>
              </w:rPr>
            </w:pPr>
          </w:p>
          <w:p w14:paraId="695B3D36">
            <w:pPr>
              <w:adjustRightInd w:val="0"/>
              <w:rPr>
                <w:rFonts w:ascii="宋体" w:hAnsi="宋体"/>
                <w:color w:val="auto"/>
                <w:szCs w:val="21"/>
                <w:highlight w:val="none"/>
              </w:rPr>
            </w:pPr>
            <w:r>
              <w:rPr>
                <w:rFonts w:hint="eastAsia" w:ascii="宋体" w:hAnsi="宋体"/>
                <w:color w:val="auto"/>
                <w:szCs w:val="21"/>
                <w:highlight w:val="none"/>
              </w:rPr>
              <w:t>评审内容</w:t>
            </w:r>
          </w:p>
        </w:tc>
        <w:tc>
          <w:tcPr>
            <w:tcW w:w="1602" w:type="dxa"/>
            <w:tcBorders>
              <w:top w:val="single" w:color="auto" w:sz="4" w:space="0"/>
              <w:left w:val="single" w:color="auto" w:sz="4" w:space="0"/>
              <w:bottom w:val="single" w:color="auto" w:sz="4" w:space="0"/>
              <w:right w:val="single" w:color="auto" w:sz="4" w:space="0"/>
            </w:tcBorders>
          </w:tcPr>
          <w:p w14:paraId="6D86EA5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C6D7848">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F0B0BA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79BA04F">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CA5658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12A75A7">
            <w:pPr>
              <w:adjustRightInd w:val="0"/>
              <w:rPr>
                <w:rFonts w:ascii="宋体" w:hAnsi="宋体"/>
                <w:color w:val="auto"/>
                <w:szCs w:val="21"/>
                <w:highlight w:val="none"/>
              </w:rPr>
            </w:pPr>
          </w:p>
        </w:tc>
      </w:tr>
      <w:tr w14:paraId="7522C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4F1221B1">
            <w:pPr>
              <w:adjustRightInd w:val="0"/>
              <w:rPr>
                <w:rFonts w:ascii="宋体" w:hAnsi="宋体"/>
                <w:color w:val="auto"/>
                <w:szCs w:val="21"/>
                <w:highlight w:val="none"/>
              </w:rPr>
            </w:pPr>
            <w:r>
              <w:rPr>
                <w:rFonts w:hint="eastAsia" w:ascii="宋体" w:hAnsi="宋体"/>
                <w:color w:val="auto"/>
                <w:szCs w:val="21"/>
                <w:highlight w:val="none"/>
              </w:rPr>
              <w:t>1</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2E136890">
            <w:pPr>
              <w:adjustRightInd w:val="0"/>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《广州建设工程施工招标投标书》中工期不能满足完成投标项</w:t>
            </w:r>
            <w:r>
              <w:rPr>
                <w:rFonts w:hint="eastAsia" w:ascii="宋体" w:hAnsi="宋体"/>
                <w:color w:val="auto"/>
                <w:szCs w:val="21"/>
                <w:highlight w:val="none"/>
                <w:lang w:val="en-US" w:eastAsia="zh-CN"/>
              </w:rPr>
              <w:t>目</w:t>
            </w:r>
            <w:r>
              <w:rPr>
                <w:rFonts w:hint="eastAsia" w:ascii="宋体" w:hAnsi="宋体"/>
                <w:color w:val="auto"/>
                <w:szCs w:val="21"/>
                <w:highlight w:val="none"/>
              </w:rPr>
              <w:t>工期的</w:t>
            </w:r>
            <w:r>
              <w:rPr>
                <w:rFonts w:hint="eastAsia" w:ascii="宋体" w:hAnsi="宋体"/>
                <w:color w:val="auto"/>
                <w:szCs w:val="21"/>
                <w:highlight w:val="none"/>
                <w:lang w:eastAsia="zh-CN"/>
              </w:rPr>
              <w:t>；</w:t>
            </w:r>
          </w:p>
        </w:tc>
        <w:tc>
          <w:tcPr>
            <w:tcW w:w="1602" w:type="dxa"/>
            <w:tcBorders>
              <w:top w:val="single" w:color="auto" w:sz="4" w:space="0"/>
              <w:left w:val="single" w:color="auto" w:sz="4" w:space="0"/>
              <w:bottom w:val="single" w:color="auto" w:sz="4" w:space="0"/>
              <w:right w:val="single" w:color="auto" w:sz="4" w:space="0"/>
            </w:tcBorders>
          </w:tcPr>
          <w:p w14:paraId="5714656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6EBFA9A">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2496DA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E591E74">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248F5D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B4F2808">
            <w:pPr>
              <w:adjustRightInd w:val="0"/>
              <w:rPr>
                <w:rFonts w:ascii="宋体" w:hAnsi="宋体"/>
                <w:color w:val="auto"/>
                <w:szCs w:val="21"/>
                <w:highlight w:val="none"/>
              </w:rPr>
            </w:pPr>
          </w:p>
        </w:tc>
      </w:tr>
      <w:tr w14:paraId="25625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2AFCC2A7">
            <w:pPr>
              <w:adjustRightInd w:val="0"/>
              <w:rPr>
                <w:rFonts w:ascii="宋体" w:hAnsi="宋体"/>
                <w:color w:val="auto"/>
                <w:szCs w:val="21"/>
                <w:highlight w:val="none"/>
              </w:rPr>
            </w:pPr>
            <w:r>
              <w:rPr>
                <w:rFonts w:hint="eastAsia" w:ascii="宋体" w:hAnsi="宋体"/>
                <w:color w:val="auto"/>
                <w:szCs w:val="21"/>
                <w:highlight w:val="none"/>
              </w:rPr>
              <w:t>2</w:t>
            </w:r>
          </w:p>
        </w:tc>
        <w:tc>
          <w:tcPr>
            <w:tcW w:w="4299" w:type="dxa"/>
            <w:tcBorders>
              <w:top w:val="single" w:color="auto" w:sz="4" w:space="0"/>
              <w:left w:val="single" w:color="auto" w:sz="4" w:space="0"/>
              <w:bottom w:val="single" w:color="auto" w:sz="4" w:space="0"/>
              <w:right w:val="single" w:color="auto" w:sz="4" w:space="0"/>
            </w:tcBorders>
            <w:vAlign w:val="center"/>
          </w:tcPr>
          <w:p w14:paraId="437F4042">
            <w:pPr>
              <w:adjustRightInd w:val="0"/>
              <w:rPr>
                <w:rFonts w:ascii="宋体" w:hAnsi="宋体"/>
                <w:color w:val="auto"/>
                <w:szCs w:val="21"/>
                <w:highlight w:val="none"/>
              </w:rPr>
            </w:pPr>
            <w:r>
              <w:rPr>
                <w:rFonts w:hint="eastAsia" w:ascii="宋体" w:hAnsi="宋体"/>
                <w:color w:val="auto"/>
                <w:szCs w:val="21"/>
                <w:highlight w:val="none"/>
              </w:rPr>
              <w:t>《广州建设工程施工招标投标书》中质量标准不符合招标文件的；</w:t>
            </w:r>
          </w:p>
        </w:tc>
        <w:tc>
          <w:tcPr>
            <w:tcW w:w="1602" w:type="dxa"/>
            <w:tcBorders>
              <w:top w:val="single" w:color="auto" w:sz="4" w:space="0"/>
              <w:left w:val="single" w:color="auto" w:sz="4" w:space="0"/>
              <w:bottom w:val="single" w:color="auto" w:sz="4" w:space="0"/>
              <w:right w:val="single" w:color="auto" w:sz="4" w:space="0"/>
            </w:tcBorders>
          </w:tcPr>
          <w:p w14:paraId="786BD61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CE84B2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3B0091A">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68F2A56">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E575C0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D52D22E">
            <w:pPr>
              <w:adjustRightInd w:val="0"/>
              <w:rPr>
                <w:rFonts w:ascii="宋体" w:hAnsi="宋体"/>
                <w:color w:val="auto"/>
                <w:szCs w:val="21"/>
                <w:highlight w:val="none"/>
              </w:rPr>
            </w:pPr>
          </w:p>
        </w:tc>
      </w:tr>
      <w:tr w14:paraId="0904B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0632AC7D">
            <w:pPr>
              <w:adjustRightInd w:val="0"/>
              <w:rPr>
                <w:rFonts w:ascii="宋体" w:hAnsi="宋体"/>
                <w:color w:val="auto"/>
                <w:szCs w:val="21"/>
                <w:highlight w:val="none"/>
              </w:rPr>
            </w:pPr>
            <w:r>
              <w:rPr>
                <w:rFonts w:hint="eastAsia" w:ascii="宋体" w:hAnsi="宋体"/>
                <w:color w:val="auto"/>
                <w:szCs w:val="21"/>
                <w:highlight w:val="none"/>
              </w:rPr>
              <w:t>3</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71CE7ECE">
            <w:pPr>
              <w:adjustRightInd w:val="0"/>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投标文件中没有有效的法定代表人证明书，或由委托代理人签署的投标文件中没有法定代表人授权书；</w:t>
            </w:r>
          </w:p>
        </w:tc>
        <w:tc>
          <w:tcPr>
            <w:tcW w:w="1602" w:type="dxa"/>
            <w:tcBorders>
              <w:top w:val="single" w:color="auto" w:sz="4" w:space="0"/>
              <w:left w:val="single" w:color="auto" w:sz="4" w:space="0"/>
              <w:bottom w:val="single" w:color="auto" w:sz="4" w:space="0"/>
              <w:right w:val="single" w:color="auto" w:sz="4" w:space="0"/>
            </w:tcBorders>
          </w:tcPr>
          <w:p w14:paraId="7152C64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BCDB0B2">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06DF65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4ACD9E1">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D2936EF">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8DDC4D6">
            <w:pPr>
              <w:adjustRightInd w:val="0"/>
              <w:rPr>
                <w:rFonts w:ascii="宋体" w:hAnsi="宋体"/>
                <w:color w:val="auto"/>
                <w:szCs w:val="21"/>
                <w:highlight w:val="none"/>
              </w:rPr>
            </w:pPr>
          </w:p>
        </w:tc>
      </w:tr>
      <w:tr w14:paraId="2F999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0DA7C655">
            <w:pPr>
              <w:adjustRightInd w:val="0"/>
              <w:rPr>
                <w:rFonts w:ascii="宋体" w:hAnsi="宋体"/>
                <w:color w:val="auto"/>
                <w:szCs w:val="21"/>
                <w:highlight w:val="none"/>
              </w:rPr>
            </w:pPr>
            <w:r>
              <w:rPr>
                <w:rFonts w:hint="eastAsia" w:ascii="宋体" w:hAnsi="宋体"/>
                <w:color w:val="auto"/>
                <w:szCs w:val="21"/>
                <w:highlight w:val="none"/>
              </w:rPr>
              <w:t>4</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063E2A4C">
            <w:pPr>
              <w:adjustRightInd w:val="0"/>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投标文件未按规定的格式填写，或主要内容不全，或关键字迹模糊、无法辨认的；</w:t>
            </w:r>
          </w:p>
        </w:tc>
        <w:tc>
          <w:tcPr>
            <w:tcW w:w="1602" w:type="dxa"/>
            <w:tcBorders>
              <w:top w:val="single" w:color="auto" w:sz="4" w:space="0"/>
              <w:left w:val="single" w:color="auto" w:sz="4" w:space="0"/>
              <w:bottom w:val="single" w:color="auto" w:sz="4" w:space="0"/>
              <w:right w:val="single" w:color="auto" w:sz="4" w:space="0"/>
            </w:tcBorders>
          </w:tcPr>
          <w:p w14:paraId="15903FE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80E061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93E9BA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0A6DBF4">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92BA062">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D0191D0">
            <w:pPr>
              <w:adjustRightInd w:val="0"/>
              <w:rPr>
                <w:rFonts w:ascii="宋体" w:hAnsi="宋体"/>
                <w:color w:val="auto"/>
                <w:szCs w:val="21"/>
                <w:highlight w:val="none"/>
              </w:rPr>
            </w:pPr>
          </w:p>
        </w:tc>
      </w:tr>
      <w:tr w14:paraId="19E22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6ED2F97B">
            <w:pPr>
              <w:adjustRightInd w:val="0"/>
              <w:rPr>
                <w:rFonts w:ascii="宋体" w:hAnsi="宋体"/>
                <w:color w:val="auto"/>
                <w:szCs w:val="21"/>
                <w:highlight w:val="none"/>
              </w:rPr>
            </w:pPr>
            <w:r>
              <w:rPr>
                <w:rFonts w:ascii="宋体" w:hAnsi="宋体"/>
                <w:color w:val="auto"/>
                <w:szCs w:val="21"/>
                <w:highlight w:val="none"/>
              </w:rPr>
              <w:t>5</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75A49422">
            <w:pPr>
              <w:adjustRightInd w:val="0"/>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rPr>
              <w:t>投标人之间存在《广东省实施&lt;中华人民共和国招标投标法&gt;》第十六条所禁止的情形的；</w:t>
            </w:r>
          </w:p>
        </w:tc>
        <w:tc>
          <w:tcPr>
            <w:tcW w:w="1602" w:type="dxa"/>
            <w:tcBorders>
              <w:top w:val="single" w:color="auto" w:sz="4" w:space="0"/>
              <w:left w:val="single" w:color="auto" w:sz="4" w:space="0"/>
              <w:bottom w:val="single" w:color="auto" w:sz="4" w:space="0"/>
              <w:right w:val="single" w:color="auto" w:sz="4" w:space="0"/>
            </w:tcBorders>
          </w:tcPr>
          <w:p w14:paraId="1E730E4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C077691">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9467F1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F341EA1">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EE2B2C4">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F4DB9F5">
            <w:pPr>
              <w:adjustRightInd w:val="0"/>
              <w:rPr>
                <w:rFonts w:ascii="宋体" w:hAnsi="宋体"/>
                <w:color w:val="auto"/>
                <w:szCs w:val="21"/>
                <w:highlight w:val="none"/>
              </w:rPr>
            </w:pPr>
          </w:p>
        </w:tc>
      </w:tr>
      <w:tr w14:paraId="57F21F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55ABD390">
            <w:pPr>
              <w:adjustRightInd w:val="0"/>
              <w:rPr>
                <w:rFonts w:ascii="宋体" w:hAnsi="宋体"/>
                <w:color w:val="auto"/>
                <w:szCs w:val="21"/>
                <w:highlight w:val="none"/>
              </w:rPr>
            </w:pPr>
            <w:r>
              <w:rPr>
                <w:rFonts w:ascii="宋体" w:hAnsi="宋体"/>
                <w:color w:val="auto"/>
                <w:szCs w:val="21"/>
                <w:highlight w:val="none"/>
              </w:rPr>
              <w:t>6</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7F51B190">
            <w:pPr>
              <w:adjustRightInd w:val="0"/>
              <w:rPr>
                <w:rFonts w:ascii="宋体" w:hAnsi="宋体" w:eastAsia="宋体" w:cs="Times New Roman"/>
                <w:color w:val="auto"/>
                <w:kern w:val="2"/>
                <w:sz w:val="21"/>
                <w:szCs w:val="21"/>
                <w:highlight w:val="none"/>
                <w:lang w:val="en-US" w:eastAsia="zh-CN" w:bidi="ar-SA"/>
              </w:rPr>
            </w:pPr>
            <w:r>
              <w:rPr>
                <w:rFonts w:hint="eastAsia" w:ascii="宋体" w:hAnsi="宋体" w:eastAsia="Times New Roman"/>
                <w:color w:val="auto"/>
                <w:szCs w:val="21"/>
                <w:highlight w:val="none"/>
                <w:u w:val="single"/>
              </w:rPr>
              <w:t>投标人未按规定的格式及内容要求签署《投标函》；</w:t>
            </w:r>
          </w:p>
        </w:tc>
        <w:tc>
          <w:tcPr>
            <w:tcW w:w="1602" w:type="dxa"/>
            <w:tcBorders>
              <w:top w:val="single" w:color="auto" w:sz="4" w:space="0"/>
              <w:left w:val="single" w:color="auto" w:sz="4" w:space="0"/>
              <w:bottom w:val="single" w:color="auto" w:sz="4" w:space="0"/>
              <w:right w:val="single" w:color="auto" w:sz="4" w:space="0"/>
            </w:tcBorders>
          </w:tcPr>
          <w:p w14:paraId="482A618E">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72EA9220">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2624B89B">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50239B97">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60B6AA92">
            <w:pPr>
              <w:adjustRightInd w:val="0"/>
              <w:rPr>
                <w:rFonts w:ascii="宋体" w:hAnsi="宋体"/>
                <w:color w:val="auto"/>
                <w:szCs w:val="21"/>
                <w:highlight w:val="none"/>
                <w:shd w:val="pct10" w:color="auto" w:fill="FFFFFF"/>
              </w:rPr>
            </w:pPr>
          </w:p>
        </w:tc>
        <w:tc>
          <w:tcPr>
            <w:tcW w:w="1603" w:type="dxa"/>
            <w:tcBorders>
              <w:top w:val="single" w:color="auto" w:sz="4" w:space="0"/>
              <w:left w:val="single" w:color="auto" w:sz="4" w:space="0"/>
              <w:bottom w:val="single" w:color="auto" w:sz="4" w:space="0"/>
              <w:right w:val="single" w:color="auto" w:sz="4" w:space="0"/>
            </w:tcBorders>
          </w:tcPr>
          <w:p w14:paraId="1BFC397D">
            <w:pPr>
              <w:adjustRightInd w:val="0"/>
              <w:rPr>
                <w:rFonts w:ascii="宋体" w:hAnsi="宋体"/>
                <w:color w:val="auto"/>
                <w:szCs w:val="21"/>
                <w:highlight w:val="none"/>
                <w:shd w:val="pct10" w:color="auto" w:fill="FFFFFF"/>
              </w:rPr>
            </w:pPr>
          </w:p>
        </w:tc>
      </w:tr>
      <w:tr w14:paraId="6D79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61CBFDF8">
            <w:pPr>
              <w:adjustRightInd w:val="0"/>
              <w:rPr>
                <w:rFonts w:ascii="宋体" w:hAnsi="宋体"/>
                <w:color w:val="auto"/>
                <w:szCs w:val="21"/>
                <w:highlight w:val="none"/>
              </w:rPr>
            </w:pPr>
            <w:r>
              <w:rPr>
                <w:rFonts w:ascii="宋体" w:hAnsi="宋体"/>
                <w:color w:val="auto"/>
                <w:szCs w:val="21"/>
                <w:highlight w:val="none"/>
              </w:rPr>
              <w:t>7</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2A96F4A1">
            <w:pPr>
              <w:adjustRightInd w:val="0"/>
              <w:rPr>
                <w:rFonts w:ascii="宋体" w:hAnsi="宋体" w:eastAsia="宋体" w:cs="Times New Roman"/>
                <w:color w:val="auto"/>
                <w:kern w:val="2"/>
                <w:sz w:val="21"/>
                <w:szCs w:val="21"/>
                <w:highlight w:val="none"/>
                <w:lang w:val="en-US" w:eastAsia="zh-CN" w:bidi="ar-SA"/>
              </w:rPr>
            </w:pPr>
            <w:r>
              <w:rPr>
                <w:rFonts w:hint="eastAsia" w:ascii="宋体" w:hAnsi="宋体" w:eastAsia="Times New Roman"/>
                <w:color w:val="auto"/>
                <w:szCs w:val="21"/>
                <w:highlight w:val="none"/>
                <w:u w:val="single"/>
              </w:rPr>
              <w:t>投标人未按规定的格式及内容要求签署《技术承诺函》；</w:t>
            </w:r>
          </w:p>
        </w:tc>
        <w:tc>
          <w:tcPr>
            <w:tcW w:w="1602" w:type="dxa"/>
            <w:tcBorders>
              <w:top w:val="single" w:color="auto" w:sz="4" w:space="0"/>
              <w:left w:val="single" w:color="auto" w:sz="4" w:space="0"/>
              <w:bottom w:val="single" w:color="auto" w:sz="4" w:space="0"/>
              <w:right w:val="single" w:color="auto" w:sz="4" w:space="0"/>
            </w:tcBorders>
          </w:tcPr>
          <w:p w14:paraId="59CC00E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7E38195">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568D24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FDE981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052C9F1">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F2CED2D">
            <w:pPr>
              <w:adjustRightInd w:val="0"/>
              <w:rPr>
                <w:rFonts w:ascii="宋体" w:hAnsi="宋体"/>
                <w:color w:val="auto"/>
                <w:szCs w:val="21"/>
                <w:highlight w:val="none"/>
              </w:rPr>
            </w:pPr>
          </w:p>
        </w:tc>
      </w:tr>
      <w:tr w14:paraId="50EC2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5A826161">
            <w:pPr>
              <w:adjustRightInd w:val="0"/>
              <w:rPr>
                <w:rFonts w:ascii="宋体" w:hAnsi="宋体"/>
                <w:color w:val="auto"/>
                <w:szCs w:val="21"/>
                <w:highlight w:val="none"/>
              </w:rPr>
            </w:pPr>
            <w:r>
              <w:rPr>
                <w:rFonts w:ascii="宋体" w:hAnsi="宋体"/>
                <w:color w:val="auto"/>
                <w:szCs w:val="21"/>
                <w:highlight w:val="none"/>
              </w:rPr>
              <w:t>8</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0D6761C4">
            <w:pPr>
              <w:adjustRightInd w:val="0"/>
              <w:rPr>
                <w:rFonts w:hint="default" w:ascii="宋体" w:hAnsi="宋体" w:eastAsia="宋体" w:cs="Times New Roman"/>
                <w:color w:val="auto"/>
                <w:kern w:val="2"/>
                <w:sz w:val="21"/>
                <w:szCs w:val="21"/>
                <w:highlight w:val="none"/>
                <w:lang w:val="en-US" w:eastAsia="zh-CN" w:bidi="ar-SA"/>
              </w:rPr>
            </w:pPr>
            <w:r>
              <w:rPr>
                <w:rFonts w:hint="eastAsia" w:ascii="宋体" w:hAnsi="宋体" w:eastAsia="Times New Roman"/>
                <w:color w:val="auto"/>
                <w:szCs w:val="21"/>
                <w:highlight w:val="none"/>
                <w:u w:val="single"/>
              </w:rPr>
              <w:t>投标人未按规定的格式及内容要求签署《施工项目管理团队人员信息表》</w:t>
            </w:r>
          </w:p>
        </w:tc>
        <w:tc>
          <w:tcPr>
            <w:tcW w:w="1602" w:type="dxa"/>
            <w:tcBorders>
              <w:top w:val="single" w:color="auto" w:sz="4" w:space="0"/>
              <w:left w:val="single" w:color="auto" w:sz="4" w:space="0"/>
              <w:bottom w:val="single" w:color="auto" w:sz="4" w:space="0"/>
              <w:right w:val="single" w:color="auto" w:sz="4" w:space="0"/>
            </w:tcBorders>
          </w:tcPr>
          <w:p w14:paraId="76CFA77A">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135DDB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7F68ED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FFB571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9D100C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F4793BB">
            <w:pPr>
              <w:adjustRightInd w:val="0"/>
              <w:rPr>
                <w:rFonts w:ascii="宋体" w:hAnsi="宋体"/>
                <w:color w:val="auto"/>
                <w:szCs w:val="21"/>
                <w:highlight w:val="none"/>
              </w:rPr>
            </w:pPr>
          </w:p>
        </w:tc>
      </w:tr>
      <w:tr w14:paraId="7BE2B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531" w:type="dxa"/>
            <w:tcBorders>
              <w:top w:val="single" w:color="auto" w:sz="4" w:space="0"/>
              <w:left w:val="single" w:color="auto" w:sz="4" w:space="0"/>
              <w:bottom w:val="single" w:color="auto" w:sz="4" w:space="0"/>
              <w:right w:val="single" w:color="auto" w:sz="4" w:space="0"/>
            </w:tcBorders>
            <w:vAlign w:val="center"/>
          </w:tcPr>
          <w:p w14:paraId="657ECDA0">
            <w:pPr>
              <w:adjustRightInd w:val="0"/>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9</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72BEDDAD">
            <w:pPr>
              <w:adjustRightInd w:val="0"/>
              <w:rPr>
                <w:rFonts w:hint="eastAsia" w:ascii="宋体" w:hAnsi="宋体" w:eastAsia="Times New Roman"/>
                <w:color w:val="auto"/>
                <w:szCs w:val="21"/>
                <w:highlight w:val="none"/>
                <w:u w:val="single"/>
              </w:rPr>
            </w:pPr>
            <w:r>
              <w:rPr>
                <w:rFonts w:hint="eastAsia" w:ascii="宋体" w:hAnsi="宋体" w:eastAsia="宋体"/>
                <w:b w:val="0"/>
                <w:bCs w:val="0"/>
                <w:szCs w:val="21"/>
                <w:highlight w:val="none"/>
                <w:u w:val="single"/>
              </w:rPr>
              <w:t>投标人未按规定的格式及内容要求签署《投标人廉洁承诺书》；</w:t>
            </w:r>
          </w:p>
        </w:tc>
        <w:tc>
          <w:tcPr>
            <w:tcW w:w="1602" w:type="dxa"/>
            <w:tcBorders>
              <w:top w:val="single" w:color="auto" w:sz="4" w:space="0"/>
              <w:left w:val="single" w:color="auto" w:sz="4" w:space="0"/>
              <w:bottom w:val="single" w:color="auto" w:sz="4" w:space="0"/>
              <w:right w:val="single" w:color="auto" w:sz="4" w:space="0"/>
            </w:tcBorders>
          </w:tcPr>
          <w:p w14:paraId="17FDCB0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0CD16C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7CC34E2">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F25D186">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9C0DF14">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6744205">
            <w:pPr>
              <w:adjustRightInd w:val="0"/>
              <w:rPr>
                <w:rFonts w:ascii="宋体" w:hAnsi="宋体"/>
                <w:color w:val="auto"/>
                <w:szCs w:val="21"/>
                <w:highlight w:val="none"/>
              </w:rPr>
            </w:pPr>
          </w:p>
        </w:tc>
      </w:tr>
      <w:tr w14:paraId="1A94C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44265995">
            <w:pPr>
              <w:adjustRightIn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10</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771A90E0">
            <w:pPr>
              <w:adjustRightInd w:val="0"/>
              <w:rPr>
                <w:rFonts w:ascii="宋体" w:hAnsi="宋体" w:eastAsia="宋体" w:cs="Times New Roman"/>
                <w:color w:val="auto"/>
                <w:kern w:val="2"/>
                <w:sz w:val="21"/>
                <w:szCs w:val="21"/>
                <w:highlight w:val="none"/>
                <w:lang w:val="en-US" w:eastAsia="zh-CN" w:bidi="ar-SA"/>
              </w:rPr>
            </w:pPr>
            <w:r>
              <w:rPr>
                <w:rFonts w:hint="eastAsia" w:ascii="宋体" w:hAnsi="宋体" w:eastAsia="Times New Roman"/>
                <w:color w:val="auto"/>
                <w:szCs w:val="21"/>
                <w:highlight w:val="none"/>
              </w:rPr>
              <w:t>投标人未按规定的格式及内容要求签署《响应招标文件所附施工组织设计要点的承诺书》</w:t>
            </w:r>
          </w:p>
        </w:tc>
        <w:tc>
          <w:tcPr>
            <w:tcW w:w="1602" w:type="dxa"/>
            <w:tcBorders>
              <w:top w:val="single" w:color="auto" w:sz="4" w:space="0"/>
              <w:left w:val="single" w:color="auto" w:sz="4" w:space="0"/>
              <w:bottom w:val="single" w:color="auto" w:sz="4" w:space="0"/>
              <w:right w:val="single" w:color="auto" w:sz="4" w:space="0"/>
            </w:tcBorders>
          </w:tcPr>
          <w:p w14:paraId="55EAF59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B67A61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B949798">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050A268">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B3727D4">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6B720F3">
            <w:pPr>
              <w:adjustRightInd w:val="0"/>
              <w:rPr>
                <w:rFonts w:ascii="宋体" w:hAnsi="宋体"/>
                <w:color w:val="auto"/>
                <w:szCs w:val="21"/>
                <w:highlight w:val="none"/>
              </w:rPr>
            </w:pPr>
          </w:p>
          <w:p w14:paraId="4B3FD127">
            <w:pPr>
              <w:adjustRightInd w:val="0"/>
              <w:rPr>
                <w:rFonts w:ascii="宋体" w:hAnsi="宋体"/>
                <w:color w:val="auto"/>
                <w:szCs w:val="21"/>
                <w:highlight w:val="none"/>
              </w:rPr>
            </w:pPr>
          </w:p>
        </w:tc>
      </w:tr>
      <w:tr w14:paraId="5F981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52711FF3">
            <w:pPr>
              <w:adjustRightIn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11</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36B5441C">
            <w:pPr>
              <w:adjustRightInd w:val="0"/>
              <w:rPr>
                <w:rFonts w:hint="eastAsia" w:ascii="宋体" w:hAnsi="宋体" w:eastAsia="宋体" w:cs="Times New Roman"/>
                <w:color w:val="auto"/>
                <w:kern w:val="2"/>
                <w:sz w:val="21"/>
                <w:szCs w:val="21"/>
                <w:highlight w:val="none"/>
                <w:lang w:val="en-US" w:eastAsia="zh-CN" w:bidi="ar-SA"/>
              </w:rPr>
            </w:pPr>
            <w:r>
              <w:rPr>
                <w:rFonts w:hint="eastAsia" w:ascii="宋体" w:hAnsi="宋体" w:eastAsia="Times New Roman"/>
                <w:color w:val="auto"/>
                <w:szCs w:val="21"/>
                <w:highlight w:val="none"/>
              </w:rPr>
              <w:t>投标人未按规定的格式及内容要求签署《对投标文件编制的承诺》</w:t>
            </w:r>
          </w:p>
        </w:tc>
        <w:tc>
          <w:tcPr>
            <w:tcW w:w="1602" w:type="dxa"/>
            <w:tcBorders>
              <w:top w:val="single" w:color="auto" w:sz="4" w:space="0"/>
              <w:left w:val="single" w:color="auto" w:sz="4" w:space="0"/>
              <w:bottom w:val="single" w:color="auto" w:sz="4" w:space="0"/>
              <w:right w:val="single" w:color="auto" w:sz="4" w:space="0"/>
            </w:tcBorders>
          </w:tcPr>
          <w:p w14:paraId="3D565E7A">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F8178D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3104AB1">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8FDF18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1047945">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AAA79B6">
            <w:pPr>
              <w:adjustRightInd w:val="0"/>
              <w:rPr>
                <w:rFonts w:ascii="宋体" w:hAnsi="宋体"/>
                <w:color w:val="auto"/>
                <w:szCs w:val="21"/>
                <w:highlight w:val="none"/>
              </w:rPr>
            </w:pPr>
          </w:p>
        </w:tc>
      </w:tr>
      <w:tr w14:paraId="00CF1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4CCEA83C">
            <w:pPr>
              <w:adjustRightIn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12</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1ED4E8ED">
            <w:pPr>
              <w:adjustRightInd w:val="0"/>
              <w:rPr>
                <w:rFonts w:hint="eastAsia" w:ascii="宋体" w:hAnsi="宋体" w:eastAsia="宋体" w:cs="Times New Roman"/>
                <w:color w:val="auto"/>
                <w:kern w:val="2"/>
                <w:sz w:val="21"/>
                <w:szCs w:val="21"/>
                <w:highlight w:val="none"/>
                <w:lang w:val="en-US" w:eastAsia="zh-CN" w:bidi="ar-SA"/>
              </w:rPr>
            </w:pPr>
            <w:r>
              <w:rPr>
                <w:rFonts w:hint="eastAsia" w:ascii="宋体" w:hAnsi="宋体" w:eastAsia="Times New Roman"/>
                <w:color w:val="auto"/>
                <w:szCs w:val="21"/>
                <w:highlight w:val="none"/>
              </w:rPr>
              <w:t>投标人未按规定的格式及内容要求签署《承诺书》</w:t>
            </w:r>
          </w:p>
        </w:tc>
        <w:tc>
          <w:tcPr>
            <w:tcW w:w="1602" w:type="dxa"/>
            <w:tcBorders>
              <w:top w:val="single" w:color="auto" w:sz="4" w:space="0"/>
              <w:left w:val="single" w:color="auto" w:sz="4" w:space="0"/>
              <w:bottom w:val="single" w:color="auto" w:sz="4" w:space="0"/>
              <w:right w:val="single" w:color="auto" w:sz="4" w:space="0"/>
            </w:tcBorders>
          </w:tcPr>
          <w:p w14:paraId="7CD3ABC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EF5B17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4D1FD2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0177DE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450446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4C9C351">
            <w:pPr>
              <w:adjustRightInd w:val="0"/>
              <w:rPr>
                <w:rFonts w:ascii="宋体" w:hAnsi="宋体"/>
                <w:color w:val="auto"/>
                <w:szCs w:val="21"/>
                <w:highlight w:val="none"/>
              </w:rPr>
            </w:pPr>
          </w:p>
        </w:tc>
      </w:tr>
      <w:tr w14:paraId="09FF5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419F018E">
            <w:pPr>
              <w:adjustRightInd w:val="0"/>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13</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0953B681">
            <w:pPr>
              <w:adjustRightInd w:val="0"/>
              <w:rPr>
                <w:rFonts w:hint="eastAsia" w:ascii="宋体" w:hAnsi="宋体" w:eastAsia="Times New Roman"/>
                <w:color w:val="auto"/>
                <w:szCs w:val="21"/>
                <w:highlight w:val="none"/>
              </w:rPr>
            </w:pPr>
            <w:r>
              <w:rPr>
                <w:rFonts w:hint="eastAsia" w:ascii="宋体" w:hAnsi="宋体" w:eastAsia="Times New Roman"/>
                <w:color w:val="auto"/>
                <w:szCs w:val="21"/>
                <w:highlight w:val="none"/>
                <w:u w:val="single"/>
              </w:rPr>
              <w:t>投标人未按规定的格式及内容要求签署</w:t>
            </w:r>
            <w:r>
              <w:rPr>
                <w:rFonts w:hint="eastAsia" w:ascii="宋体" w:hAnsi="宋体"/>
                <w:szCs w:val="21"/>
                <w:highlight w:val="none"/>
                <w:u w:val="single"/>
              </w:rPr>
              <w:t>《关于参与广州市番禺区“百千万工程”的承诺书》</w:t>
            </w:r>
          </w:p>
        </w:tc>
        <w:tc>
          <w:tcPr>
            <w:tcW w:w="1602" w:type="dxa"/>
            <w:tcBorders>
              <w:top w:val="single" w:color="auto" w:sz="4" w:space="0"/>
              <w:left w:val="single" w:color="auto" w:sz="4" w:space="0"/>
              <w:bottom w:val="single" w:color="auto" w:sz="4" w:space="0"/>
              <w:right w:val="single" w:color="auto" w:sz="4" w:space="0"/>
            </w:tcBorders>
          </w:tcPr>
          <w:p w14:paraId="451261C4">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A95215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FA2911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A414910">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12EC21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A73EF41">
            <w:pPr>
              <w:adjustRightInd w:val="0"/>
              <w:rPr>
                <w:rFonts w:ascii="宋体" w:hAnsi="宋体"/>
                <w:color w:val="auto"/>
                <w:szCs w:val="21"/>
                <w:highlight w:val="none"/>
              </w:rPr>
            </w:pPr>
          </w:p>
        </w:tc>
      </w:tr>
      <w:tr w14:paraId="4349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3C9BB85E">
            <w:pPr>
              <w:adjustRightIn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14</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76C08440">
            <w:pPr>
              <w:adjustRightInd w:val="0"/>
              <w:rPr>
                <w:rFonts w:hint="eastAsia" w:ascii="宋体" w:hAnsi="宋体" w:eastAsia="宋体" w:cs="Times New Roman"/>
                <w:color w:val="auto"/>
                <w:kern w:val="2"/>
                <w:sz w:val="21"/>
                <w:szCs w:val="21"/>
                <w:highlight w:val="none"/>
                <w:lang w:val="en-US" w:eastAsia="zh-CN" w:bidi="ar-SA"/>
              </w:rPr>
            </w:pPr>
            <w:r>
              <w:rPr>
                <w:rFonts w:hint="eastAsia" w:ascii="宋体" w:hAnsi="宋体" w:eastAsia="Times New Roman"/>
                <w:color w:val="auto"/>
                <w:szCs w:val="21"/>
                <w:highlight w:val="none"/>
              </w:rPr>
              <w:t>无《参与编制技术标投标文件人员名单》的</w:t>
            </w:r>
          </w:p>
        </w:tc>
        <w:tc>
          <w:tcPr>
            <w:tcW w:w="1602" w:type="dxa"/>
            <w:tcBorders>
              <w:top w:val="single" w:color="auto" w:sz="4" w:space="0"/>
              <w:left w:val="single" w:color="auto" w:sz="4" w:space="0"/>
              <w:bottom w:val="single" w:color="auto" w:sz="4" w:space="0"/>
              <w:right w:val="single" w:color="auto" w:sz="4" w:space="0"/>
            </w:tcBorders>
          </w:tcPr>
          <w:p w14:paraId="1ABCDB52">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D297E9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FC6467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DE08D4E">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B14131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22EE4F4A">
            <w:pPr>
              <w:adjustRightInd w:val="0"/>
              <w:rPr>
                <w:rFonts w:ascii="宋体" w:hAnsi="宋体"/>
                <w:color w:val="auto"/>
                <w:szCs w:val="21"/>
                <w:highlight w:val="none"/>
              </w:rPr>
            </w:pPr>
          </w:p>
        </w:tc>
      </w:tr>
      <w:tr w14:paraId="4D8C9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6EBE3064">
            <w:pPr>
              <w:adjustRightIn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15</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030362E7">
            <w:pPr>
              <w:adjustRightInd w:val="0"/>
              <w:rPr>
                <w:rFonts w:hint="eastAsia" w:ascii="宋体" w:hAnsi="宋体" w:eastAsia="宋体" w:cs="Times New Roman"/>
                <w:color w:val="auto"/>
                <w:kern w:val="2"/>
                <w:sz w:val="21"/>
                <w:szCs w:val="21"/>
                <w:highlight w:val="none"/>
                <w:lang w:val="en-US" w:eastAsia="zh-CN" w:bidi="ar-SA"/>
              </w:rPr>
            </w:pPr>
            <w:r>
              <w:rPr>
                <w:rFonts w:hint="eastAsia" w:ascii="宋体" w:hAnsi="宋体" w:eastAsia="Times New Roman"/>
                <w:color w:val="auto"/>
                <w:szCs w:val="21"/>
                <w:highlight w:val="none"/>
                <w:u w:val="single"/>
              </w:rPr>
              <w:t>投标人未按规定的格式及内容要求签署《危险性较大的分部分项工程清单及超过一定规模的危险性较大的分部分项工程清单》</w:t>
            </w:r>
          </w:p>
        </w:tc>
        <w:tc>
          <w:tcPr>
            <w:tcW w:w="1602" w:type="dxa"/>
            <w:tcBorders>
              <w:top w:val="single" w:color="auto" w:sz="4" w:space="0"/>
              <w:left w:val="single" w:color="auto" w:sz="4" w:space="0"/>
              <w:bottom w:val="single" w:color="auto" w:sz="4" w:space="0"/>
              <w:right w:val="single" w:color="auto" w:sz="4" w:space="0"/>
            </w:tcBorders>
          </w:tcPr>
          <w:p w14:paraId="1AA7957B">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37E2B15">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450A7D7F">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812C21F">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1AB59DB8">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1D9C2AE">
            <w:pPr>
              <w:adjustRightInd w:val="0"/>
              <w:rPr>
                <w:rFonts w:ascii="宋体" w:hAnsi="宋体"/>
                <w:color w:val="auto"/>
                <w:szCs w:val="21"/>
                <w:highlight w:val="none"/>
              </w:rPr>
            </w:pPr>
          </w:p>
        </w:tc>
      </w:tr>
      <w:tr w14:paraId="6629F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3B26A9E0">
            <w:pPr>
              <w:adjustRightIn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16</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1E640F2A">
            <w:pPr>
              <w:adjustRightInd w:val="0"/>
              <w:rPr>
                <w:rFonts w:hint="eastAsia" w:ascii="宋体" w:hAnsi="宋体" w:eastAsia="宋体" w:cs="Times New Roman"/>
                <w:color w:val="auto"/>
                <w:kern w:val="2"/>
                <w:sz w:val="21"/>
                <w:szCs w:val="21"/>
                <w:highlight w:val="none"/>
                <w:lang w:val="en-US" w:eastAsia="zh-CN" w:bidi="ar-SA"/>
              </w:rPr>
            </w:pPr>
            <w:r>
              <w:rPr>
                <w:rFonts w:hint="eastAsia" w:ascii="宋体" w:hAnsi="宋体" w:eastAsia="Times New Roman"/>
                <w:color w:val="auto"/>
                <w:szCs w:val="21"/>
                <w:highlight w:val="none"/>
                <w:u w:val="single"/>
              </w:rPr>
              <w:t>投标人未按规定的格式及内容要求签署《关于投标保证金的承诺》</w:t>
            </w:r>
          </w:p>
        </w:tc>
        <w:tc>
          <w:tcPr>
            <w:tcW w:w="1602" w:type="dxa"/>
            <w:tcBorders>
              <w:top w:val="single" w:color="auto" w:sz="4" w:space="0"/>
              <w:left w:val="single" w:color="auto" w:sz="4" w:space="0"/>
              <w:bottom w:val="single" w:color="auto" w:sz="4" w:space="0"/>
              <w:right w:val="single" w:color="auto" w:sz="4" w:space="0"/>
            </w:tcBorders>
          </w:tcPr>
          <w:p w14:paraId="7A917BF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6D8E1C24">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2A5786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C109BA9">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C07B1A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FD9CE20">
            <w:pPr>
              <w:adjustRightInd w:val="0"/>
              <w:rPr>
                <w:rFonts w:ascii="宋体" w:hAnsi="宋体"/>
                <w:color w:val="auto"/>
                <w:szCs w:val="21"/>
                <w:highlight w:val="none"/>
              </w:rPr>
            </w:pPr>
          </w:p>
        </w:tc>
      </w:tr>
      <w:tr w14:paraId="1573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1" w:type="dxa"/>
            <w:tcBorders>
              <w:top w:val="single" w:color="auto" w:sz="4" w:space="0"/>
              <w:left w:val="single" w:color="auto" w:sz="4" w:space="0"/>
              <w:bottom w:val="single" w:color="auto" w:sz="4" w:space="0"/>
              <w:right w:val="single" w:color="auto" w:sz="4" w:space="0"/>
            </w:tcBorders>
            <w:vAlign w:val="center"/>
          </w:tcPr>
          <w:p w14:paraId="2102C4C2">
            <w:pPr>
              <w:adjustRightInd w:val="0"/>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17</w:t>
            </w:r>
          </w:p>
        </w:tc>
        <w:tc>
          <w:tcPr>
            <w:tcW w:w="4299" w:type="dxa"/>
            <w:tcBorders>
              <w:top w:val="single" w:color="auto" w:sz="4" w:space="0"/>
              <w:left w:val="single" w:color="auto" w:sz="4" w:space="0"/>
              <w:bottom w:val="single" w:color="auto" w:sz="4" w:space="0"/>
              <w:right w:val="single" w:color="auto" w:sz="4" w:space="0"/>
            </w:tcBorders>
            <w:shd w:val="clear" w:color="auto" w:fill="auto"/>
            <w:vAlign w:val="center"/>
          </w:tcPr>
          <w:p w14:paraId="0FFDB704">
            <w:pPr>
              <w:adjustRightInd w:val="0"/>
              <w:rPr>
                <w:rFonts w:hint="eastAsia" w:ascii="宋体" w:hAnsi="宋体" w:eastAsia="宋体" w:cs="Times New Roman"/>
                <w:color w:val="auto"/>
                <w:kern w:val="2"/>
                <w:sz w:val="21"/>
                <w:szCs w:val="21"/>
                <w:highlight w:val="none"/>
                <w:lang w:val="en-US" w:eastAsia="zh-CN" w:bidi="ar-SA"/>
              </w:rPr>
            </w:pPr>
            <w:r>
              <w:rPr>
                <w:rFonts w:hint="eastAsia" w:ascii="宋体" w:hAnsi="宋体" w:eastAsia="Times New Roman" w:cs="Times New Roman"/>
                <w:color w:val="auto"/>
                <w:kern w:val="2"/>
                <w:sz w:val="21"/>
                <w:szCs w:val="21"/>
                <w:highlight w:val="none"/>
              </w:rPr>
              <w:t>投标人与</w:t>
            </w:r>
            <w:r>
              <w:rPr>
                <w:rFonts w:hint="eastAsia" w:ascii="宋体" w:hAnsi="宋体" w:eastAsia="Times New Roman" w:cs="Times New Roman"/>
                <w:b w:val="0"/>
                <w:bCs w:val="0"/>
                <w:color w:val="auto"/>
                <w:kern w:val="2"/>
                <w:sz w:val="21"/>
                <w:szCs w:val="21"/>
                <w:highlight w:val="none"/>
              </w:rPr>
              <w:t>本项目</w:t>
            </w:r>
            <w:r>
              <w:rPr>
                <w:rFonts w:hint="eastAsia" w:ascii="宋体" w:hAnsi="宋体" w:eastAsia="Times New Roman" w:cs="Times New Roman"/>
                <w:color w:val="auto"/>
                <w:kern w:val="2"/>
                <w:sz w:val="21"/>
                <w:szCs w:val="21"/>
                <w:highlight w:val="none"/>
              </w:rPr>
              <w:t>其他投标人加密打包投标文件电脑机器特征码一致的(以</w:t>
            </w:r>
            <w:r>
              <w:rPr>
                <w:rFonts w:hint="eastAsia" w:ascii="宋体" w:hAnsi="宋体" w:eastAsia="宋体" w:cs="Times New Roman"/>
                <w:color w:val="auto"/>
                <w:kern w:val="2"/>
                <w:sz w:val="21"/>
                <w:szCs w:val="21"/>
                <w:highlight w:val="none"/>
                <w:lang w:eastAsia="zh-CN"/>
              </w:rPr>
              <w:t>广州交易集团有限公司（广州公共资源交易中心）</w:t>
            </w:r>
            <w:r>
              <w:rPr>
                <w:rFonts w:hint="eastAsia" w:ascii="宋体" w:hAnsi="宋体" w:eastAsia="Times New Roman" w:cs="Times New Roman"/>
                <w:color w:val="auto"/>
                <w:kern w:val="2"/>
                <w:sz w:val="21"/>
                <w:szCs w:val="21"/>
                <w:highlight w:val="none"/>
              </w:rPr>
              <w:t>交易平台评标系统的检索信息为准)</w:t>
            </w:r>
          </w:p>
        </w:tc>
        <w:tc>
          <w:tcPr>
            <w:tcW w:w="1602" w:type="dxa"/>
            <w:tcBorders>
              <w:top w:val="single" w:color="auto" w:sz="4" w:space="0"/>
              <w:left w:val="single" w:color="auto" w:sz="4" w:space="0"/>
              <w:bottom w:val="single" w:color="auto" w:sz="4" w:space="0"/>
              <w:right w:val="single" w:color="auto" w:sz="4" w:space="0"/>
            </w:tcBorders>
          </w:tcPr>
          <w:p w14:paraId="48122BF3">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0386D197">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3CDC3A7D">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5BD2F08C">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FB6203F">
            <w:pPr>
              <w:adjustRightInd w:val="0"/>
              <w:rPr>
                <w:rFonts w:ascii="宋体" w:hAnsi="宋体"/>
                <w:color w:val="auto"/>
                <w:szCs w:val="21"/>
                <w:highlight w:val="none"/>
              </w:rPr>
            </w:pPr>
          </w:p>
        </w:tc>
        <w:tc>
          <w:tcPr>
            <w:tcW w:w="1603" w:type="dxa"/>
            <w:tcBorders>
              <w:top w:val="single" w:color="auto" w:sz="4" w:space="0"/>
              <w:left w:val="single" w:color="auto" w:sz="4" w:space="0"/>
              <w:bottom w:val="single" w:color="auto" w:sz="4" w:space="0"/>
              <w:right w:val="single" w:color="auto" w:sz="4" w:space="0"/>
            </w:tcBorders>
          </w:tcPr>
          <w:p w14:paraId="714B953B">
            <w:pPr>
              <w:adjustRightInd w:val="0"/>
              <w:rPr>
                <w:rFonts w:ascii="宋体" w:hAnsi="宋体"/>
                <w:color w:val="auto"/>
                <w:szCs w:val="21"/>
                <w:highlight w:val="none"/>
              </w:rPr>
            </w:pPr>
          </w:p>
        </w:tc>
      </w:tr>
    </w:tbl>
    <w:p w14:paraId="0920EFE7">
      <w:pPr>
        <w:rPr>
          <w:rFonts w:ascii="宋体" w:hAnsi="宋体"/>
          <w:color w:val="auto"/>
          <w:szCs w:val="21"/>
          <w:highlight w:val="none"/>
        </w:rPr>
      </w:pPr>
      <w:r>
        <w:rPr>
          <w:rFonts w:hint="eastAsia" w:ascii="宋体" w:hAnsi="宋体"/>
          <w:color w:val="auto"/>
          <w:szCs w:val="21"/>
          <w:highlight w:val="none"/>
        </w:rPr>
        <w:t>注：1.本表使用招标文件范本，与范本内容不同之处均以下划线标明。技术标评审中，响应性、承诺性内容不应作为评分因素，可在该表中对上述内容进行符合性审查。审查标准须具备可操作性。</w:t>
      </w:r>
    </w:p>
    <w:p w14:paraId="26B07A1F">
      <w:pPr>
        <w:rPr>
          <w:rFonts w:ascii="宋体" w:hAnsi="宋体"/>
          <w:color w:val="auto"/>
          <w:szCs w:val="21"/>
          <w:highlight w:val="none"/>
        </w:rPr>
      </w:pPr>
      <w:r>
        <w:rPr>
          <w:rFonts w:hint="eastAsia" w:ascii="宋体" w:hAnsi="宋体"/>
          <w:color w:val="auto"/>
          <w:szCs w:val="21"/>
          <w:highlight w:val="none"/>
        </w:rPr>
        <w:t>2.不得将文件顺序、明显的文字错误等列为否决投标的情形。评委发现投标文件中含义不明确、对同类问题表述不一致、有明显</w:t>
      </w:r>
      <w:r>
        <w:rPr>
          <w:rFonts w:hint="eastAsia" w:ascii="宋体" w:hAnsi="宋体"/>
          <w:color w:val="auto"/>
          <w:szCs w:val="21"/>
          <w:highlight w:val="none"/>
          <w:lang w:val="en-US" w:eastAsia="zh-CN"/>
        </w:rPr>
        <w:t>格式或</w:t>
      </w:r>
      <w:r>
        <w:rPr>
          <w:rFonts w:hint="eastAsia" w:ascii="宋体" w:hAnsi="宋体"/>
          <w:color w:val="auto"/>
          <w:szCs w:val="21"/>
          <w:highlight w:val="none"/>
        </w:rPr>
        <w:t>文字</w:t>
      </w:r>
      <w:r>
        <w:rPr>
          <w:rFonts w:hint="eastAsia" w:ascii="宋体" w:hAnsi="宋体"/>
          <w:color w:val="auto"/>
          <w:szCs w:val="21"/>
          <w:highlight w:val="none"/>
          <w:lang w:eastAsia="zh-CN"/>
        </w:rPr>
        <w:t>、</w:t>
      </w:r>
      <w:r>
        <w:rPr>
          <w:rFonts w:hint="eastAsia" w:ascii="宋体" w:hAnsi="宋体"/>
          <w:color w:val="auto"/>
          <w:szCs w:val="21"/>
          <w:highlight w:val="none"/>
        </w:rPr>
        <w:t>计算错误的，应当要求投标人作必要的澄清、说明后再判定投标人是否通过有效性审查，不得直接否决投标，若出现评标委员会否决投标的，应在评标报告中载明否决投标的具体情形、原因；</w:t>
      </w:r>
    </w:p>
    <w:p w14:paraId="6A9F1782">
      <w:pPr>
        <w:rPr>
          <w:rFonts w:ascii="宋体" w:hAnsi="宋体"/>
          <w:color w:val="auto"/>
          <w:szCs w:val="21"/>
          <w:highlight w:val="none"/>
        </w:rPr>
      </w:pPr>
      <w:r>
        <w:rPr>
          <w:rFonts w:hint="eastAsia" w:ascii="宋体" w:hAnsi="宋体"/>
          <w:color w:val="auto"/>
          <w:szCs w:val="21"/>
          <w:highlight w:val="none"/>
        </w:rPr>
        <w:t>3.凡出现以上任何一项情形，结论均为无效，否则就为有效。</w:t>
      </w:r>
    </w:p>
    <w:p w14:paraId="419CF1BD">
      <w:pPr>
        <w:rPr>
          <w:color w:val="auto"/>
          <w:szCs w:val="21"/>
          <w:highlight w:val="none"/>
        </w:rPr>
      </w:pPr>
      <w:r>
        <w:rPr>
          <w:rFonts w:hint="eastAsia" w:ascii="宋体" w:hAnsi="宋体"/>
          <w:color w:val="auto"/>
          <w:szCs w:val="21"/>
          <w:highlight w:val="none"/>
        </w:rPr>
        <w:t>4.如对本表中某种情形的评审意见不一致时，以评标委员会过半数成员的意见作为评标委员会对该情形的认定结论。</w:t>
      </w:r>
      <w:r>
        <w:rPr>
          <w:color w:val="auto"/>
          <w:highlight w:val="none"/>
        </w:rPr>
        <w:br w:type="page"/>
      </w:r>
      <w:r>
        <w:rPr>
          <w:rFonts w:hint="eastAsia"/>
          <w:color w:val="auto"/>
          <w:sz w:val="28"/>
          <w:szCs w:val="28"/>
          <w:highlight w:val="none"/>
        </w:rPr>
        <w:t>附表三</w:t>
      </w:r>
    </w:p>
    <w:p w14:paraId="1D8F6124">
      <w:pPr>
        <w:jc w:val="center"/>
        <w:rPr>
          <w:b/>
          <w:color w:val="auto"/>
          <w:sz w:val="36"/>
          <w:szCs w:val="36"/>
          <w:highlight w:val="none"/>
        </w:rPr>
      </w:pPr>
      <w:r>
        <w:rPr>
          <w:rFonts w:hint="eastAsia"/>
          <w:b/>
          <w:color w:val="auto"/>
          <w:sz w:val="36"/>
          <w:szCs w:val="36"/>
          <w:highlight w:val="none"/>
        </w:rPr>
        <w:t>经济标有效性审查表</w:t>
      </w:r>
    </w:p>
    <w:p w14:paraId="4512E8DD">
      <w:pPr>
        <w:rPr>
          <w:color w:val="auto"/>
          <w:szCs w:val="21"/>
          <w:highlight w:val="none"/>
        </w:rPr>
      </w:pPr>
      <w:r>
        <w:rPr>
          <w:rFonts w:hint="eastAsia"/>
          <w:color w:val="auto"/>
          <w:szCs w:val="21"/>
          <w:highlight w:val="none"/>
        </w:rPr>
        <w:t>工程名称：</w:t>
      </w:r>
    </w:p>
    <w:tbl>
      <w:tblPr>
        <w:tblStyle w:val="37"/>
        <w:tblW w:w="150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
        <w:gridCol w:w="6102"/>
        <w:gridCol w:w="1397"/>
        <w:gridCol w:w="1397"/>
        <w:gridCol w:w="1397"/>
        <w:gridCol w:w="1396"/>
        <w:gridCol w:w="1397"/>
        <w:gridCol w:w="1397"/>
      </w:tblGrid>
      <w:tr w14:paraId="764F5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5" w:hRule="atLeast"/>
        </w:trPr>
        <w:tc>
          <w:tcPr>
            <w:tcW w:w="532" w:type="dxa"/>
            <w:tcBorders>
              <w:top w:val="single" w:color="auto" w:sz="4" w:space="0"/>
              <w:left w:val="single" w:color="auto" w:sz="4" w:space="0"/>
              <w:bottom w:val="single" w:color="auto" w:sz="4" w:space="0"/>
              <w:right w:val="single" w:color="auto" w:sz="4" w:space="0"/>
            </w:tcBorders>
            <w:vAlign w:val="center"/>
          </w:tcPr>
          <w:p w14:paraId="19FD9985">
            <w:pPr>
              <w:rPr>
                <w:rFonts w:ascii="宋体" w:hAnsi="宋体"/>
                <w:color w:val="auto"/>
                <w:szCs w:val="21"/>
                <w:highlight w:val="none"/>
              </w:rPr>
            </w:pPr>
            <w:r>
              <w:rPr>
                <w:rFonts w:hint="eastAsia" w:ascii="宋体" w:hAnsi="宋体"/>
                <w:color w:val="auto"/>
                <w:szCs w:val="21"/>
                <w:highlight w:val="none"/>
              </w:rPr>
              <w:t>序号</w:t>
            </w:r>
          </w:p>
        </w:tc>
        <w:tc>
          <w:tcPr>
            <w:tcW w:w="6102" w:type="dxa"/>
            <w:tcBorders>
              <w:top w:val="single" w:color="auto" w:sz="4" w:space="0"/>
              <w:left w:val="single" w:color="auto" w:sz="4" w:space="0"/>
              <w:bottom w:val="single" w:color="auto" w:sz="4" w:space="0"/>
              <w:right w:val="single" w:color="auto" w:sz="4" w:space="0"/>
              <w:tl2br w:val="single" w:color="auto" w:sz="4" w:space="0"/>
            </w:tcBorders>
          </w:tcPr>
          <w:p w14:paraId="7EDED93D">
            <w:pPr>
              <w:rPr>
                <w:rFonts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投标人</w:t>
            </w:r>
          </w:p>
          <w:p w14:paraId="63B430CF">
            <w:pPr>
              <w:rPr>
                <w:rFonts w:ascii="宋体" w:hAnsi="宋体"/>
                <w:color w:val="auto"/>
                <w:szCs w:val="21"/>
                <w:highlight w:val="none"/>
              </w:rPr>
            </w:pPr>
          </w:p>
          <w:p w14:paraId="3B72E01B">
            <w:pPr>
              <w:rPr>
                <w:rFonts w:ascii="宋体" w:hAnsi="宋体"/>
                <w:color w:val="auto"/>
                <w:szCs w:val="21"/>
                <w:highlight w:val="none"/>
              </w:rPr>
            </w:pPr>
            <w:r>
              <w:rPr>
                <w:rFonts w:hint="eastAsia" w:ascii="宋体" w:hAnsi="宋体"/>
                <w:color w:val="auto"/>
                <w:szCs w:val="21"/>
                <w:highlight w:val="none"/>
              </w:rPr>
              <w:t>评审内容</w:t>
            </w:r>
          </w:p>
        </w:tc>
        <w:tc>
          <w:tcPr>
            <w:tcW w:w="1397" w:type="dxa"/>
            <w:tcBorders>
              <w:top w:val="single" w:color="auto" w:sz="4" w:space="0"/>
              <w:left w:val="single" w:color="auto" w:sz="4" w:space="0"/>
              <w:bottom w:val="single" w:color="auto" w:sz="4" w:space="0"/>
              <w:right w:val="single" w:color="auto" w:sz="4" w:space="0"/>
            </w:tcBorders>
          </w:tcPr>
          <w:p w14:paraId="341D76D9">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1100EA51">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1169E8B9">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5F7F5D23">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41DEFF0">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EFAF3EA">
            <w:pPr>
              <w:rPr>
                <w:rFonts w:ascii="宋体" w:hAnsi="宋体"/>
                <w:color w:val="auto"/>
                <w:szCs w:val="21"/>
                <w:highlight w:val="none"/>
              </w:rPr>
            </w:pPr>
          </w:p>
        </w:tc>
      </w:tr>
      <w:tr w14:paraId="5F477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0A443F6D">
            <w:pPr>
              <w:jc w:val="center"/>
              <w:rPr>
                <w:rFonts w:ascii="宋体" w:hAnsi="宋体"/>
                <w:color w:val="auto"/>
                <w:szCs w:val="21"/>
                <w:highlight w:val="none"/>
              </w:rPr>
            </w:pPr>
            <w:r>
              <w:rPr>
                <w:rFonts w:ascii="宋体" w:hAnsi="宋体"/>
                <w:color w:val="auto"/>
                <w:szCs w:val="21"/>
                <w:highlight w:val="none"/>
              </w:rPr>
              <w:t>1</w:t>
            </w:r>
          </w:p>
        </w:tc>
        <w:tc>
          <w:tcPr>
            <w:tcW w:w="6102" w:type="dxa"/>
            <w:tcBorders>
              <w:top w:val="single" w:color="auto" w:sz="4" w:space="0"/>
              <w:left w:val="single" w:color="auto" w:sz="4" w:space="0"/>
              <w:bottom w:val="single" w:color="auto" w:sz="4" w:space="0"/>
              <w:right w:val="single" w:color="auto" w:sz="4" w:space="0"/>
            </w:tcBorders>
            <w:vAlign w:val="center"/>
          </w:tcPr>
          <w:p w14:paraId="7A312ACB">
            <w:pPr>
              <w:rPr>
                <w:rFonts w:ascii="宋体" w:hAnsi="宋体"/>
                <w:color w:val="auto"/>
                <w:szCs w:val="21"/>
                <w:highlight w:val="none"/>
              </w:rPr>
            </w:pPr>
            <w:r>
              <w:rPr>
                <w:rFonts w:hint="eastAsia" w:ascii="宋体" w:hAnsi="宋体"/>
                <w:color w:val="auto"/>
                <w:szCs w:val="21"/>
                <w:highlight w:val="none"/>
              </w:rPr>
              <w:t>对同一招标项目出现两个或以上的投标报价，且没有申明哪个有效；</w:t>
            </w:r>
          </w:p>
        </w:tc>
        <w:tc>
          <w:tcPr>
            <w:tcW w:w="1397" w:type="dxa"/>
            <w:tcBorders>
              <w:top w:val="single" w:color="auto" w:sz="4" w:space="0"/>
              <w:left w:val="single" w:color="auto" w:sz="4" w:space="0"/>
              <w:bottom w:val="single" w:color="auto" w:sz="4" w:space="0"/>
              <w:right w:val="single" w:color="auto" w:sz="4" w:space="0"/>
            </w:tcBorders>
          </w:tcPr>
          <w:p w14:paraId="679789FF">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17AF7E6D">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74C05AC">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56E56818">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1F8F6B75">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EA6B6B7">
            <w:pPr>
              <w:rPr>
                <w:rFonts w:ascii="宋体" w:hAnsi="宋体"/>
                <w:color w:val="auto"/>
                <w:szCs w:val="21"/>
                <w:highlight w:val="none"/>
              </w:rPr>
            </w:pPr>
          </w:p>
        </w:tc>
      </w:tr>
      <w:tr w14:paraId="31515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690BD446">
            <w:pPr>
              <w:jc w:val="center"/>
              <w:rPr>
                <w:rFonts w:ascii="宋体" w:hAnsi="宋体"/>
                <w:color w:val="auto"/>
                <w:szCs w:val="21"/>
                <w:highlight w:val="none"/>
              </w:rPr>
            </w:pPr>
            <w:r>
              <w:rPr>
                <w:rFonts w:ascii="宋体" w:hAnsi="宋体"/>
                <w:color w:val="auto"/>
                <w:szCs w:val="21"/>
                <w:highlight w:val="none"/>
              </w:rPr>
              <w:t>2</w:t>
            </w:r>
          </w:p>
        </w:tc>
        <w:tc>
          <w:tcPr>
            <w:tcW w:w="6102" w:type="dxa"/>
            <w:tcBorders>
              <w:top w:val="single" w:color="auto" w:sz="4" w:space="0"/>
              <w:left w:val="single" w:color="auto" w:sz="4" w:space="0"/>
              <w:bottom w:val="single" w:color="auto" w:sz="4" w:space="0"/>
              <w:right w:val="single" w:color="auto" w:sz="4" w:space="0"/>
            </w:tcBorders>
            <w:vAlign w:val="center"/>
          </w:tcPr>
          <w:p w14:paraId="3290B408">
            <w:pPr>
              <w:rPr>
                <w:rFonts w:ascii="宋体" w:hAnsi="宋体"/>
                <w:color w:val="auto"/>
                <w:szCs w:val="21"/>
                <w:highlight w:val="none"/>
              </w:rPr>
            </w:pPr>
            <w:r>
              <w:rPr>
                <w:rFonts w:hint="eastAsia" w:ascii="宋体" w:hAnsi="宋体"/>
                <w:color w:val="auto"/>
                <w:szCs w:val="21"/>
                <w:highlight w:val="none"/>
                <w:u w:val="single"/>
              </w:rPr>
              <w:t>投标总报价高于最高投标限价或投标报价中任一项投标综合单价高于最高投标限价公布函或工程量清单（综合单价限价）文件中相应的综合单价最高价；</w:t>
            </w:r>
          </w:p>
        </w:tc>
        <w:tc>
          <w:tcPr>
            <w:tcW w:w="1397" w:type="dxa"/>
            <w:tcBorders>
              <w:top w:val="single" w:color="auto" w:sz="4" w:space="0"/>
              <w:left w:val="single" w:color="auto" w:sz="4" w:space="0"/>
              <w:bottom w:val="single" w:color="auto" w:sz="4" w:space="0"/>
              <w:right w:val="single" w:color="auto" w:sz="4" w:space="0"/>
            </w:tcBorders>
          </w:tcPr>
          <w:p w14:paraId="210A5E47">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512C20DB">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6D84BE5B">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4CF2228F">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38FE6FBD">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621C3568">
            <w:pPr>
              <w:rPr>
                <w:rFonts w:ascii="宋体" w:hAnsi="宋体"/>
                <w:color w:val="auto"/>
                <w:szCs w:val="21"/>
                <w:highlight w:val="none"/>
              </w:rPr>
            </w:pPr>
          </w:p>
        </w:tc>
      </w:tr>
      <w:tr w14:paraId="327F1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7ADAC9BF">
            <w:pPr>
              <w:jc w:val="center"/>
              <w:rPr>
                <w:rFonts w:ascii="宋体" w:hAnsi="宋体"/>
                <w:color w:val="auto"/>
                <w:szCs w:val="21"/>
                <w:highlight w:val="none"/>
              </w:rPr>
            </w:pPr>
            <w:r>
              <w:rPr>
                <w:rFonts w:ascii="宋体" w:hAnsi="宋体"/>
                <w:color w:val="auto"/>
                <w:szCs w:val="21"/>
                <w:highlight w:val="none"/>
              </w:rPr>
              <w:t>3</w:t>
            </w:r>
          </w:p>
        </w:tc>
        <w:tc>
          <w:tcPr>
            <w:tcW w:w="6102" w:type="dxa"/>
            <w:tcBorders>
              <w:top w:val="single" w:color="auto" w:sz="4" w:space="0"/>
              <w:left w:val="single" w:color="auto" w:sz="4" w:space="0"/>
              <w:bottom w:val="single" w:color="auto" w:sz="4" w:space="0"/>
              <w:right w:val="single" w:color="auto" w:sz="4" w:space="0"/>
            </w:tcBorders>
            <w:vAlign w:val="center"/>
          </w:tcPr>
          <w:p w14:paraId="5BCFEB44">
            <w:pPr>
              <w:autoSpaceDE w:val="0"/>
              <w:autoSpaceDN w:val="0"/>
              <w:adjustRightInd w:val="0"/>
              <w:ind w:left="-2" w:leftChars="-1"/>
              <w:jc w:val="left"/>
              <w:rPr>
                <w:rFonts w:ascii="宋体" w:hAnsi="宋体"/>
                <w:color w:val="auto"/>
                <w:szCs w:val="21"/>
                <w:highlight w:val="none"/>
              </w:rPr>
            </w:pPr>
            <w:r>
              <w:rPr>
                <w:rFonts w:hint="eastAsia" w:ascii="宋体" w:hAnsi="宋体"/>
                <w:color w:val="auto"/>
                <w:szCs w:val="21"/>
                <w:highlight w:val="none"/>
              </w:rPr>
              <w:t>投标报价低于成本的；</w:t>
            </w:r>
          </w:p>
        </w:tc>
        <w:tc>
          <w:tcPr>
            <w:tcW w:w="1397" w:type="dxa"/>
            <w:tcBorders>
              <w:top w:val="single" w:color="auto" w:sz="4" w:space="0"/>
              <w:left w:val="single" w:color="auto" w:sz="4" w:space="0"/>
              <w:bottom w:val="single" w:color="auto" w:sz="4" w:space="0"/>
              <w:right w:val="single" w:color="auto" w:sz="4" w:space="0"/>
            </w:tcBorders>
          </w:tcPr>
          <w:p w14:paraId="72EE01B5">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D109400">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651CD9CF">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7DB26CF9">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201D8F0">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769CA267">
            <w:pPr>
              <w:rPr>
                <w:rFonts w:ascii="宋体" w:hAnsi="宋体"/>
                <w:color w:val="auto"/>
                <w:szCs w:val="21"/>
                <w:highlight w:val="none"/>
              </w:rPr>
            </w:pPr>
          </w:p>
        </w:tc>
      </w:tr>
      <w:tr w14:paraId="3DAF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409EA922">
            <w:pPr>
              <w:jc w:val="center"/>
              <w:rPr>
                <w:rFonts w:ascii="宋体" w:hAnsi="宋体"/>
                <w:color w:val="auto"/>
                <w:szCs w:val="21"/>
                <w:highlight w:val="none"/>
              </w:rPr>
            </w:pPr>
            <w:r>
              <w:rPr>
                <w:rFonts w:hint="eastAsia" w:ascii="宋体" w:hAnsi="宋体"/>
                <w:color w:val="auto"/>
                <w:szCs w:val="21"/>
                <w:highlight w:val="none"/>
                <w:lang w:val="en-US" w:eastAsia="zh-CN"/>
              </w:rPr>
              <w:t>4</w:t>
            </w:r>
          </w:p>
        </w:tc>
        <w:tc>
          <w:tcPr>
            <w:tcW w:w="6102" w:type="dxa"/>
            <w:tcBorders>
              <w:top w:val="single" w:color="auto" w:sz="4" w:space="0"/>
              <w:left w:val="single" w:color="auto" w:sz="4" w:space="0"/>
              <w:bottom w:val="single" w:color="auto" w:sz="4" w:space="0"/>
              <w:right w:val="single" w:color="auto" w:sz="4" w:space="0"/>
            </w:tcBorders>
            <w:vAlign w:val="center"/>
          </w:tcPr>
          <w:p w14:paraId="6F55A73E">
            <w:pPr>
              <w:rPr>
                <w:rFonts w:hint="eastAsia" w:ascii="宋体" w:hAnsi="宋体"/>
                <w:color w:val="auto"/>
                <w:szCs w:val="21"/>
                <w:highlight w:val="none"/>
              </w:rPr>
            </w:pPr>
            <w:r>
              <w:rPr>
                <w:rFonts w:hint="eastAsia" w:ascii="宋体" w:hAnsi="宋体"/>
                <w:color w:val="auto"/>
                <w:szCs w:val="21"/>
                <w:highlight w:val="none"/>
                <w:u w:val="single"/>
              </w:rPr>
              <w:t>投标报价中对招标文件规定的绿色施工安全防护措施费进行浮动或改变的，由评标委员会按照招标文件规定的金额进行修正后，投标人不接受修正后的报价；</w:t>
            </w:r>
          </w:p>
        </w:tc>
        <w:tc>
          <w:tcPr>
            <w:tcW w:w="1397" w:type="dxa"/>
            <w:tcBorders>
              <w:top w:val="single" w:color="auto" w:sz="4" w:space="0"/>
              <w:left w:val="single" w:color="auto" w:sz="4" w:space="0"/>
              <w:bottom w:val="single" w:color="auto" w:sz="4" w:space="0"/>
              <w:right w:val="single" w:color="auto" w:sz="4" w:space="0"/>
            </w:tcBorders>
          </w:tcPr>
          <w:p w14:paraId="6007E26E">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8BE88B6">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8CD79BE">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54F4F6A3">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79FE69AA">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EA22377">
            <w:pPr>
              <w:rPr>
                <w:rFonts w:ascii="宋体" w:hAnsi="宋体"/>
                <w:color w:val="auto"/>
                <w:szCs w:val="21"/>
                <w:highlight w:val="none"/>
              </w:rPr>
            </w:pPr>
          </w:p>
        </w:tc>
      </w:tr>
      <w:tr w14:paraId="43DA8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7CAF9330">
            <w:pPr>
              <w:jc w:val="center"/>
              <w:rPr>
                <w:rFonts w:ascii="宋体" w:hAnsi="宋体"/>
                <w:color w:val="auto"/>
                <w:szCs w:val="21"/>
                <w:highlight w:val="none"/>
              </w:rPr>
            </w:pPr>
            <w:r>
              <w:rPr>
                <w:rFonts w:ascii="宋体" w:hAnsi="宋体"/>
                <w:color w:val="auto"/>
                <w:szCs w:val="21"/>
                <w:highlight w:val="none"/>
              </w:rPr>
              <w:t>5</w:t>
            </w:r>
          </w:p>
        </w:tc>
        <w:tc>
          <w:tcPr>
            <w:tcW w:w="6102" w:type="dxa"/>
            <w:tcBorders>
              <w:top w:val="single" w:color="auto" w:sz="4" w:space="0"/>
              <w:left w:val="single" w:color="auto" w:sz="4" w:space="0"/>
              <w:bottom w:val="single" w:color="auto" w:sz="4" w:space="0"/>
              <w:right w:val="single" w:color="auto" w:sz="4" w:space="0"/>
            </w:tcBorders>
            <w:vAlign w:val="center"/>
          </w:tcPr>
          <w:p w14:paraId="47CB401F">
            <w:pPr>
              <w:rPr>
                <w:rFonts w:ascii="宋体" w:hAnsi="宋体"/>
                <w:color w:val="auto"/>
                <w:szCs w:val="21"/>
                <w:highlight w:val="none"/>
              </w:rPr>
            </w:pPr>
            <w:r>
              <w:rPr>
                <w:rFonts w:hint="eastAsia" w:ascii="宋体" w:hAnsi="宋体"/>
                <w:color w:val="auto"/>
                <w:szCs w:val="21"/>
                <w:highlight w:val="none"/>
              </w:rPr>
              <w:t>投标文件未按规定的格式填写，或主要内容不全，或关键字迹模糊、无法辨认的；</w:t>
            </w:r>
          </w:p>
        </w:tc>
        <w:tc>
          <w:tcPr>
            <w:tcW w:w="1397" w:type="dxa"/>
            <w:tcBorders>
              <w:top w:val="single" w:color="auto" w:sz="4" w:space="0"/>
              <w:left w:val="single" w:color="auto" w:sz="4" w:space="0"/>
              <w:bottom w:val="single" w:color="auto" w:sz="4" w:space="0"/>
              <w:right w:val="single" w:color="auto" w:sz="4" w:space="0"/>
            </w:tcBorders>
          </w:tcPr>
          <w:p w14:paraId="443AC988">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6D249548">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286B03FD">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0F7901B0">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949DF0E">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CA05A97">
            <w:pPr>
              <w:rPr>
                <w:rFonts w:ascii="宋体" w:hAnsi="宋体"/>
                <w:color w:val="auto"/>
                <w:szCs w:val="21"/>
                <w:highlight w:val="none"/>
              </w:rPr>
            </w:pPr>
          </w:p>
        </w:tc>
      </w:tr>
      <w:tr w14:paraId="31009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753BEA2D">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6</w:t>
            </w:r>
          </w:p>
        </w:tc>
        <w:tc>
          <w:tcPr>
            <w:tcW w:w="6102" w:type="dxa"/>
            <w:tcBorders>
              <w:top w:val="single" w:color="auto" w:sz="4" w:space="0"/>
              <w:left w:val="single" w:color="auto" w:sz="4" w:space="0"/>
              <w:bottom w:val="single" w:color="auto" w:sz="4" w:space="0"/>
              <w:right w:val="single" w:color="auto" w:sz="4" w:space="0"/>
            </w:tcBorders>
            <w:vAlign w:val="center"/>
          </w:tcPr>
          <w:p w14:paraId="33BB1BDC">
            <w:pPr>
              <w:rPr>
                <w:rFonts w:ascii="宋体" w:hAnsi="宋体"/>
                <w:color w:val="auto"/>
                <w:szCs w:val="21"/>
                <w:highlight w:val="none"/>
              </w:rPr>
            </w:pPr>
            <w:r>
              <w:rPr>
                <w:rFonts w:hint="eastAsia" w:ascii="宋体" w:hAnsi="宋体"/>
                <w:color w:val="auto"/>
                <w:szCs w:val="21"/>
                <w:highlight w:val="none"/>
              </w:rPr>
              <w:t>投标人之间存在《广东省实施&lt;中华人民共和国招标投标法&gt;》第十六条所禁止的情形的；</w:t>
            </w:r>
          </w:p>
        </w:tc>
        <w:tc>
          <w:tcPr>
            <w:tcW w:w="1397" w:type="dxa"/>
            <w:tcBorders>
              <w:top w:val="single" w:color="auto" w:sz="4" w:space="0"/>
              <w:left w:val="single" w:color="auto" w:sz="4" w:space="0"/>
              <w:bottom w:val="single" w:color="auto" w:sz="4" w:space="0"/>
              <w:right w:val="single" w:color="auto" w:sz="4" w:space="0"/>
            </w:tcBorders>
          </w:tcPr>
          <w:p w14:paraId="1E899201">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7C8181D0">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3967E3FB">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1F97C418">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8DAC7D8">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4880C75C">
            <w:pPr>
              <w:rPr>
                <w:rFonts w:ascii="宋体" w:hAnsi="宋体"/>
                <w:color w:val="auto"/>
                <w:szCs w:val="21"/>
                <w:highlight w:val="none"/>
              </w:rPr>
            </w:pPr>
          </w:p>
        </w:tc>
      </w:tr>
      <w:tr w14:paraId="377A5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3DDDBCA0">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7</w:t>
            </w:r>
          </w:p>
        </w:tc>
        <w:tc>
          <w:tcPr>
            <w:tcW w:w="6102" w:type="dxa"/>
            <w:tcBorders>
              <w:top w:val="single" w:color="auto" w:sz="4" w:space="0"/>
              <w:left w:val="single" w:color="auto" w:sz="4" w:space="0"/>
              <w:bottom w:val="single" w:color="auto" w:sz="4" w:space="0"/>
              <w:right w:val="single" w:color="auto" w:sz="4" w:space="0"/>
            </w:tcBorders>
            <w:vAlign w:val="center"/>
          </w:tcPr>
          <w:p w14:paraId="77F0103E">
            <w:pPr>
              <w:rPr>
                <w:rFonts w:ascii="宋体" w:hAnsi="宋体"/>
                <w:color w:val="auto"/>
                <w:szCs w:val="21"/>
                <w:highlight w:val="none"/>
              </w:rPr>
            </w:pPr>
            <w:r>
              <w:rPr>
                <w:rFonts w:hint="eastAsia" w:ascii="宋体" w:hAnsi="宋体"/>
                <w:color w:val="auto"/>
                <w:szCs w:val="21"/>
                <w:highlight w:val="none"/>
              </w:rPr>
              <w:t>无《参与编制经济标投标文件人员名单》的；</w:t>
            </w:r>
          </w:p>
        </w:tc>
        <w:tc>
          <w:tcPr>
            <w:tcW w:w="1397" w:type="dxa"/>
            <w:tcBorders>
              <w:top w:val="single" w:color="auto" w:sz="4" w:space="0"/>
              <w:left w:val="single" w:color="auto" w:sz="4" w:space="0"/>
              <w:bottom w:val="single" w:color="auto" w:sz="4" w:space="0"/>
              <w:right w:val="single" w:color="auto" w:sz="4" w:space="0"/>
            </w:tcBorders>
          </w:tcPr>
          <w:p w14:paraId="1AFB7A5F">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7D60E6A2">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62FFB68C">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5D0617D0">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70DC943D">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0D801CA2">
            <w:pPr>
              <w:rPr>
                <w:rFonts w:ascii="宋体" w:hAnsi="宋体"/>
                <w:color w:val="auto"/>
                <w:szCs w:val="21"/>
                <w:highlight w:val="none"/>
              </w:rPr>
            </w:pPr>
          </w:p>
        </w:tc>
      </w:tr>
      <w:tr w14:paraId="7FC49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32" w:type="dxa"/>
            <w:tcBorders>
              <w:top w:val="single" w:color="auto" w:sz="4" w:space="0"/>
              <w:left w:val="single" w:color="auto" w:sz="4" w:space="0"/>
              <w:bottom w:val="single" w:color="auto" w:sz="4" w:space="0"/>
              <w:right w:val="single" w:color="auto" w:sz="4" w:space="0"/>
            </w:tcBorders>
            <w:vAlign w:val="center"/>
          </w:tcPr>
          <w:p w14:paraId="5CCCAF7F">
            <w:pPr>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8</w:t>
            </w:r>
          </w:p>
        </w:tc>
        <w:tc>
          <w:tcPr>
            <w:tcW w:w="6102" w:type="dxa"/>
            <w:tcBorders>
              <w:top w:val="single" w:color="auto" w:sz="4" w:space="0"/>
              <w:left w:val="single" w:color="auto" w:sz="4" w:space="0"/>
              <w:bottom w:val="single" w:color="auto" w:sz="4" w:space="0"/>
              <w:right w:val="single" w:color="auto" w:sz="4" w:space="0"/>
            </w:tcBorders>
            <w:vAlign w:val="center"/>
          </w:tcPr>
          <w:p w14:paraId="4E7D2896">
            <w:pPr>
              <w:rPr>
                <w:rFonts w:ascii="宋体" w:hAnsi="宋体"/>
                <w:color w:val="auto"/>
                <w:szCs w:val="21"/>
                <w:highlight w:val="none"/>
              </w:rPr>
            </w:pPr>
            <w:r>
              <w:rPr>
                <w:rFonts w:hint="eastAsia" w:ascii="宋体" w:hAnsi="宋体"/>
                <w:color w:val="auto"/>
                <w:szCs w:val="21"/>
                <w:highlight w:val="none"/>
              </w:rPr>
              <w:t>投标人与本项目其他投标人的投标文件工程量清单编制机器硬件信息一致的（以交易平台评标系统的检索信息为准）</w:t>
            </w:r>
          </w:p>
        </w:tc>
        <w:tc>
          <w:tcPr>
            <w:tcW w:w="1397" w:type="dxa"/>
            <w:tcBorders>
              <w:top w:val="single" w:color="auto" w:sz="4" w:space="0"/>
              <w:left w:val="single" w:color="auto" w:sz="4" w:space="0"/>
              <w:bottom w:val="single" w:color="auto" w:sz="4" w:space="0"/>
              <w:right w:val="single" w:color="auto" w:sz="4" w:space="0"/>
            </w:tcBorders>
          </w:tcPr>
          <w:p w14:paraId="73981283">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1A523095">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6384A3B7">
            <w:pPr>
              <w:rPr>
                <w:rFonts w:ascii="宋体" w:hAnsi="宋体"/>
                <w:color w:val="auto"/>
                <w:szCs w:val="21"/>
                <w:highlight w:val="none"/>
              </w:rPr>
            </w:pPr>
          </w:p>
        </w:tc>
        <w:tc>
          <w:tcPr>
            <w:tcW w:w="1396" w:type="dxa"/>
            <w:tcBorders>
              <w:top w:val="single" w:color="auto" w:sz="4" w:space="0"/>
              <w:left w:val="single" w:color="auto" w:sz="4" w:space="0"/>
              <w:bottom w:val="single" w:color="auto" w:sz="4" w:space="0"/>
              <w:right w:val="single" w:color="auto" w:sz="4" w:space="0"/>
            </w:tcBorders>
          </w:tcPr>
          <w:p w14:paraId="489085E8">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5C79C47B">
            <w:pPr>
              <w:rPr>
                <w:rFonts w:ascii="宋体" w:hAnsi="宋体"/>
                <w:color w:val="auto"/>
                <w:szCs w:val="21"/>
                <w:highlight w:val="none"/>
              </w:rPr>
            </w:pPr>
          </w:p>
        </w:tc>
        <w:tc>
          <w:tcPr>
            <w:tcW w:w="1397" w:type="dxa"/>
            <w:tcBorders>
              <w:top w:val="single" w:color="auto" w:sz="4" w:space="0"/>
              <w:left w:val="single" w:color="auto" w:sz="4" w:space="0"/>
              <w:bottom w:val="single" w:color="auto" w:sz="4" w:space="0"/>
              <w:right w:val="single" w:color="auto" w:sz="4" w:space="0"/>
            </w:tcBorders>
          </w:tcPr>
          <w:p w14:paraId="57A9023F">
            <w:pPr>
              <w:rPr>
                <w:rFonts w:ascii="宋体" w:hAnsi="宋体"/>
                <w:color w:val="auto"/>
                <w:szCs w:val="21"/>
                <w:highlight w:val="none"/>
              </w:rPr>
            </w:pPr>
          </w:p>
        </w:tc>
      </w:tr>
    </w:tbl>
    <w:p w14:paraId="3AC4ABEE">
      <w:pPr>
        <w:ind w:firstLine="458"/>
        <w:rPr>
          <w:rFonts w:ascii="宋体" w:hAnsi="宋体"/>
          <w:color w:val="auto"/>
          <w:szCs w:val="21"/>
          <w:highlight w:val="none"/>
        </w:rPr>
      </w:pPr>
      <w:r>
        <w:rPr>
          <w:rFonts w:hint="eastAsia" w:ascii="宋体" w:hAnsi="宋体"/>
          <w:color w:val="auto"/>
          <w:szCs w:val="21"/>
          <w:highlight w:val="none"/>
        </w:rPr>
        <w:t>注：1.本表使用招标文件范本，与范本内容不同之处均以下划线标明。</w:t>
      </w:r>
    </w:p>
    <w:p w14:paraId="4B0EDD33">
      <w:pPr>
        <w:ind w:firstLine="458"/>
        <w:rPr>
          <w:rFonts w:ascii="宋体" w:hAnsi="宋体"/>
          <w:color w:val="auto"/>
          <w:szCs w:val="21"/>
          <w:highlight w:val="none"/>
        </w:rPr>
      </w:pPr>
      <w:r>
        <w:rPr>
          <w:rFonts w:hint="eastAsia" w:ascii="宋体" w:hAnsi="宋体"/>
          <w:color w:val="auto"/>
          <w:szCs w:val="21"/>
          <w:highlight w:val="none"/>
        </w:rPr>
        <w:t>2.凡出现以上任何一项情形，结论均为无效，否则就为有效。</w:t>
      </w:r>
    </w:p>
    <w:p w14:paraId="407B2CAA">
      <w:pPr>
        <w:ind w:firstLine="458"/>
        <w:rPr>
          <w:rFonts w:ascii="宋体" w:hAnsi="宋体"/>
          <w:color w:val="auto"/>
          <w:szCs w:val="21"/>
          <w:highlight w:val="none"/>
        </w:rPr>
      </w:pPr>
      <w:r>
        <w:rPr>
          <w:rFonts w:hint="eastAsia" w:ascii="宋体" w:hAnsi="宋体"/>
          <w:color w:val="auto"/>
          <w:szCs w:val="21"/>
          <w:highlight w:val="none"/>
        </w:rPr>
        <w:t>3.如对本表中某种情形的评审意见不一致时，以评标委员会过半数成员的意见作为评标委员会对该情形的认定结论。</w:t>
      </w:r>
    </w:p>
    <w:p w14:paraId="6167E354">
      <w:pPr>
        <w:ind w:firstLine="458"/>
        <w:rPr>
          <w:rFonts w:hint="eastAsia" w:ascii="宋体" w:hAnsi="宋体"/>
          <w:color w:val="auto"/>
          <w:szCs w:val="21"/>
          <w:highlight w:val="none"/>
        </w:rPr>
      </w:pPr>
    </w:p>
    <w:p w14:paraId="6E66D24D">
      <w:pPr>
        <w:ind w:firstLine="458"/>
        <w:rPr>
          <w:rFonts w:ascii="宋体" w:hAnsi="宋体"/>
          <w:color w:val="auto"/>
          <w:szCs w:val="21"/>
          <w:highlight w:val="none"/>
        </w:rPr>
      </w:pPr>
      <w:r>
        <w:rPr>
          <w:rFonts w:hint="eastAsia" w:ascii="宋体" w:hAnsi="宋体"/>
          <w:color w:val="auto"/>
          <w:szCs w:val="21"/>
          <w:highlight w:val="none"/>
        </w:rPr>
        <w:t>4.不得将文件顺序、明显的文字错误等列为否决投标的情形。评委发现投标文件中含义不明确、对同类问题表述不一致、有明显</w:t>
      </w:r>
      <w:r>
        <w:rPr>
          <w:rFonts w:hint="eastAsia" w:ascii="宋体" w:hAnsi="宋体"/>
          <w:color w:val="auto"/>
          <w:szCs w:val="21"/>
          <w:highlight w:val="none"/>
          <w:lang w:val="en-US" w:eastAsia="zh-CN"/>
        </w:rPr>
        <w:t>格式或</w:t>
      </w:r>
      <w:r>
        <w:rPr>
          <w:rFonts w:hint="eastAsia" w:ascii="宋体" w:hAnsi="宋体"/>
          <w:color w:val="auto"/>
          <w:szCs w:val="21"/>
          <w:highlight w:val="none"/>
        </w:rPr>
        <w:t>文字</w:t>
      </w:r>
      <w:r>
        <w:rPr>
          <w:rFonts w:hint="eastAsia" w:ascii="宋体" w:hAnsi="宋体"/>
          <w:color w:val="auto"/>
          <w:szCs w:val="21"/>
          <w:highlight w:val="none"/>
          <w:lang w:eastAsia="zh-CN"/>
        </w:rPr>
        <w:t>、</w:t>
      </w:r>
      <w:r>
        <w:rPr>
          <w:rFonts w:hint="eastAsia" w:ascii="宋体" w:hAnsi="宋体"/>
          <w:color w:val="auto"/>
          <w:szCs w:val="21"/>
          <w:highlight w:val="none"/>
        </w:rPr>
        <w:t>计算错误、投标报价可能低于成本影响履约的，应当要求投标人作必要的澄清、说明后再判定投标人是否通过有效性审查，不得直接否决投标。</w:t>
      </w:r>
    </w:p>
    <w:p w14:paraId="7C6213D5">
      <w:pPr>
        <w:pStyle w:val="4"/>
        <w:ind w:firstLine="458"/>
        <w:rPr>
          <w:rFonts w:hint="eastAsia" w:ascii="宋体" w:hAnsi="宋体"/>
          <w:color w:val="auto"/>
          <w:szCs w:val="21"/>
          <w:highlight w:val="none"/>
        </w:rPr>
      </w:pPr>
    </w:p>
    <w:p w14:paraId="031DD833">
      <w:pPr>
        <w:pStyle w:val="4"/>
        <w:ind w:firstLine="458"/>
        <w:rPr>
          <w:rFonts w:ascii="宋体" w:hAnsi="宋体"/>
          <w:color w:val="auto"/>
          <w:szCs w:val="21"/>
          <w:highlight w:val="none"/>
        </w:rPr>
        <w:sectPr>
          <w:endnotePr>
            <w:numFmt w:val="decimal"/>
          </w:endnotePr>
          <w:pgSz w:w="16838" w:h="11906" w:orient="landscape"/>
          <w:pgMar w:top="1418" w:right="1247" w:bottom="1418" w:left="1134" w:header="851" w:footer="907" w:gutter="0"/>
          <w:pgBorders>
            <w:top w:val="none" w:sz="0" w:space="0"/>
            <w:left w:val="none" w:sz="0" w:space="0"/>
            <w:bottom w:val="none" w:sz="0" w:space="0"/>
            <w:right w:val="none" w:sz="0" w:space="0"/>
          </w:pgBorders>
          <w:pgNumType w:fmt="decimal"/>
          <w:cols w:space="425" w:num="1"/>
          <w:titlePg/>
          <w:docGrid w:type="lines" w:linePitch="312" w:charSpace="0"/>
        </w:sectPr>
      </w:pPr>
      <w:r>
        <w:rPr>
          <w:rFonts w:hint="eastAsia" w:ascii="宋体" w:hAnsi="宋体"/>
          <w:color w:val="auto"/>
          <w:szCs w:val="21"/>
          <w:highlight w:val="none"/>
        </w:rPr>
        <w:t>评委签名：</w:t>
      </w:r>
    </w:p>
    <w:p w14:paraId="33165D64">
      <w:pPr>
        <w:rPr>
          <w:color w:val="auto"/>
          <w:szCs w:val="21"/>
          <w:highlight w:val="none"/>
        </w:rPr>
      </w:pPr>
      <w:r>
        <w:rPr>
          <w:rFonts w:hint="eastAsia"/>
          <w:color w:val="auto"/>
          <w:sz w:val="28"/>
          <w:szCs w:val="28"/>
          <w:highlight w:val="none"/>
        </w:rPr>
        <w:t>附表四</w:t>
      </w:r>
    </w:p>
    <w:p w14:paraId="2B743513">
      <w:pPr>
        <w:jc w:val="center"/>
        <w:rPr>
          <w:rFonts w:hint="eastAsia" w:ascii="Tahoma" w:hAnsi="Tahoma" w:cs="Tahoma"/>
          <w:b/>
          <w:color w:val="auto"/>
          <w:sz w:val="36"/>
          <w:szCs w:val="36"/>
          <w:highlight w:val="none"/>
        </w:rPr>
      </w:pPr>
      <w:r>
        <w:rPr>
          <w:rFonts w:hint="eastAsia" w:ascii="Tahoma" w:hAnsi="Tahoma" w:cs="Tahoma"/>
          <w:b/>
          <w:color w:val="auto"/>
          <w:sz w:val="36"/>
          <w:szCs w:val="36"/>
          <w:highlight w:val="none"/>
        </w:rPr>
        <w:t>技术标详细审查评分表</w:t>
      </w:r>
    </w:p>
    <w:tbl>
      <w:tblPr>
        <w:tblStyle w:val="37"/>
        <w:tblW w:w="14862" w:type="dxa"/>
        <w:jc w:val="center"/>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1832"/>
        <w:gridCol w:w="644"/>
        <w:gridCol w:w="11343"/>
      </w:tblGrid>
      <w:tr w14:paraId="3716BF13">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tblHeader/>
          <w:jc w:val="center"/>
        </w:trPr>
        <w:tc>
          <w:tcPr>
            <w:tcW w:w="1043" w:type="dxa"/>
            <w:tcBorders>
              <w:top w:val="single" w:color="auto" w:sz="8" w:space="0"/>
              <w:left w:val="single" w:color="auto" w:sz="8" w:space="0"/>
              <w:bottom w:val="single" w:color="auto" w:sz="4" w:space="0"/>
              <w:right w:val="single" w:color="auto" w:sz="4" w:space="0"/>
            </w:tcBorders>
            <w:noWrap w:val="0"/>
            <w:vAlign w:val="center"/>
          </w:tcPr>
          <w:p w14:paraId="30B55C1E">
            <w:pPr>
              <w:widowControl/>
              <w:adjustRightInd w:val="0"/>
              <w:snapToGrid w:val="0"/>
              <w:jc w:val="center"/>
              <w:rPr>
                <w:rFonts w:ascii="宋体" w:hAnsi="宋体" w:eastAsia="Times New Roman"/>
                <w:color w:val="auto"/>
                <w:szCs w:val="21"/>
                <w:highlight w:val="none"/>
              </w:rPr>
            </w:pPr>
            <w:r>
              <w:rPr>
                <w:rFonts w:hint="eastAsia" w:ascii="宋体" w:hAnsi="宋体" w:eastAsia="Times New Roman"/>
                <w:color w:val="auto"/>
                <w:szCs w:val="21"/>
                <w:highlight w:val="none"/>
              </w:rPr>
              <w:t>评分</w:t>
            </w:r>
          </w:p>
          <w:p w14:paraId="18D15CB8">
            <w:pPr>
              <w:widowControl/>
              <w:adjustRightInd w:val="0"/>
              <w:snapToGrid w:val="0"/>
              <w:jc w:val="center"/>
              <w:rPr>
                <w:rFonts w:ascii="宋体" w:hAnsi="宋体" w:eastAsia="Times New Roman"/>
                <w:color w:val="auto"/>
                <w:szCs w:val="21"/>
                <w:highlight w:val="none"/>
              </w:rPr>
            </w:pPr>
            <w:r>
              <w:rPr>
                <w:rFonts w:hint="eastAsia" w:ascii="宋体" w:hAnsi="宋体" w:eastAsia="Times New Roman"/>
                <w:color w:val="auto"/>
                <w:szCs w:val="21"/>
                <w:highlight w:val="none"/>
              </w:rPr>
              <w:t>项目</w:t>
            </w:r>
          </w:p>
        </w:tc>
        <w:tc>
          <w:tcPr>
            <w:tcW w:w="1832" w:type="dxa"/>
            <w:tcBorders>
              <w:top w:val="single" w:color="auto" w:sz="8" w:space="0"/>
              <w:left w:val="single" w:color="auto" w:sz="4" w:space="0"/>
              <w:bottom w:val="single" w:color="auto" w:sz="4" w:space="0"/>
              <w:right w:val="single" w:color="auto" w:sz="4" w:space="0"/>
            </w:tcBorders>
            <w:noWrap w:val="0"/>
            <w:vAlign w:val="center"/>
          </w:tcPr>
          <w:p w14:paraId="5F884F26">
            <w:pPr>
              <w:widowControl/>
              <w:adjustRightInd w:val="0"/>
              <w:snapToGrid w:val="0"/>
              <w:jc w:val="center"/>
              <w:rPr>
                <w:rFonts w:ascii="宋体" w:hAnsi="宋体" w:eastAsia="Times New Roman"/>
                <w:color w:val="auto"/>
                <w:szCs w:val="21"/>
                <w:highlight w:val="none"/>
              </w:rPr>
            </w:pPr>
            <w:r>
              <w:rPr>
                <w:rFonts w:hint="eastAsia" w:ascii="宋体" w:hAnsi="宋体" w:eastAsia="Times New Roman"/>
                <w:color w:val="auto"/>
                <w:szCs w:val="21"/>
                <w:highlight w:val="none"/>
              </w:rPr>
              <w:t>评分内容</w:t>
            </w:r>
          </w:p>
        </w:tc>
        <w:tc>
          <w:tcPr>
            <w:tcW w:w="644" w:type="dxa"/>
            <w:tcBorders>
              <w:top w:val="single" w:color="auto" w:sz="8" w:space="0"/>
              <w:left w:val="single" w:color="auto" w:sz="4" w:space="0"/>
              <w:bottom w:val="single" w:color="auto" w:sz="4" w:space="0"/>
              <w:right w:val="single" w:color="auto" w:sz="4" w:space="0"/>
            </w:tcBorders>
            <w:noWrap w:val="0"/>
            <w:vAlign w:val="center"/>
          </w:tcPr>
          <w:p w14:paraId="048BF316">
            <w:pPr>
              <w:widowControl/>
              <w:adjustRightInd w:val="0"/>
              <w:snapToGrid w:val="0"/>
              <w:jc w:val="center"/>
              <w:rPr>
                <w:rFonts w:ascii="宋体" w:hAnsi="宋体" w:eastAsia="Times New Roman"/>
                <w:color w:val="auto"/>
                <w:szCs w:val="21"/>
                <w:highlight w:val="none"/>
              </w:rPr>
            </w:pPr>
            <w:r>
              <w:rPr>
                <w:rFonts w:hint="eastAsia" w:ascii="宋体" w:hAnsi="宋体" w:eastAsia="Times New Roman"/>
                <w:color w:val="auto"/>
                <w:szCs w:val="21"/>
                <w:highlight w:val="none"/>
              </w:rPr>
              <w:t>分值</w:t>
            </w:r>
          </w:p>
        </w:tc>
        <w:tc>
          <w:tcPr>
            <w:tcW w:w="11343" w:type="dxa"/>
            <w:tcBorders>
              <w:top w:val="single" w:color="auto" w:sz="8" w:space="0"/>
              <w:left w:val="single" w:color="auto" w:sz="4" w:space="0"/>
              <w:bottom w:val="single" w:color="auto" w:sz="4" w:space="0"/>
              <w:right w:val="single" w:color="auto" w:sz="4" w:space="0"/>
            </w:tcBorders>
            <w:noWrap w:val="0"/>
            <w:vAlign w:val="center"/>
          </w:tcPr>
          <w:p w14:paraId="1D5C9C14">
            <w:pPr>
              <w:widowControl/>
              <w:adjustRightInd w:val="0"/>
              <w:snapToGrid w:val="0"/>
              <w:jc w:val="center"/>
              <w:rPr>
                <w:rFonts w:ascii="宋体" w:hAnsi="宋体" w:eastAsia="Times New Roman"/>
                <w:color w:val="auto"/>
                <w:szCs w:val="21"/>
                <w:highlight w:val="none"/>
              </w:rPr>
            </w:pPr>
            <w:r>
              <w:rPr>
                <w:rFonts w:hint="eastAsia" w:ascii="宋体" w:hAnsi="宋体" w:eastAsia="Times New Roman"/>
                <w:color w:val="auto"/>
                <w:szCs w:val="21"/>
                <w:highlight w:val="none"/>
              </w:rPr>
              <w:t>评审标准</w:t>
            </w:r>
          </w:p>
        </w:tc>
      </w:tr>
      <w:tr w14:paraId="76EEDCF8">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1043" w:type="dxa"/>
            <w:vMerge w:val="restart"/>
            <w:tcBorders>
              <w:left w:val="single" w:color="auto" w:sz="8" w:space="0"/>
              <w:right w:val="single" w:color="auto" w:sz="4" w:space="0"/>
            </w:tcBorders>
            <w:noWrap w:val="0"/>
            <w:vAlign w:val="center"/>
          </w:tcPr>
          <w:p w14:paraId="2E61CF38">
            <w:pPr>
              <w:widowControl/>
              <w:jc w:val="left"/>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一、企业业绩、信誉</w:t>
            </w:r>
          </w:p>
          <w:p w14:paraId="3DA5229D">
            <w:pPr>
              <w:widowControl/>
              <w:jc w:val="left"/>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w:t>
            </w:r>
            <w:r>
              <w:rPr>
                <w:rFonts w:ascii="宋体" w:hAnsi="宋体"/>
                <w:color w:val="auto"/>
                <w:sz w:val="18"/>
                <w:szCs w:val="18"/>
                <w:highlight w:val="none"/>
              </w:rPr>
              <w:t>20</w:t>
            </w:r>
            <w:r>
              <w:rPr>
                <w:rFonts w:hint="eastAsia" w:ascii="宋体" w:hAnsi="宋体" w:eastAsia="Times New Roman"/>
                <w:color w:val="auto"/>
                <w:sz w:val="18"/>
                <w:szCs w:val="18"/>
                <w:highlight w:val="none"/>
              </w:rPr>
              <w:t>分）</w:t>
            </w:r>
          </w:p>
        </w:tc>
        <w:tc>
          <w:tcPr>
            <w:tcW w:w="1832" w:type="dxa"/>
            <w:tcBorders>
              <w:top w:val="single" w:color="auto" w:sz="4" w:space="0"/>
              <w:left w:val="single" w:color="auto" w:sz="4" w:space="0"/>
              <w:right w:val="single" w:color="auto" w:sz="4" w:space="0"/>
            </w:tcBorders>
            <w:noWrap w:val="0"/>
            <w:vAlign w:val="center"/>
          </w:tcPr>
          <w:p w14:paraId="71A0DC6E">
            <w:pPr>
              <w:snapToGrid w:val="0"/>
              <w:spacing w:line="280" w:lineRule="exact"/>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企业类似工程业绩</w:t>
            </w:r>
          </w:p>
        </w:tc>
        <w:tc>
          <w:tcPr>
            <w:tcW w:w="644" w:type="dxa"/>
            <w:tcBorders>
              <w:top w:val="single" w:color="auto" w:sz="4" w:space="0"/>
              <w:left w:val="single" w:color="auto" w:sz="4" w:space="0"/>
              <w:right w:val="single" w:color="auto" w:sz="4" w:space="0"/>
            </w:tcBorders>
            <w:noWrap w:val="0"/>
            <w:vAlign w:val="center"/>
          </w:tcPr>
          <w:p w14:paraId="62E26668">
            <w:pPr>
              <w:adjustRightInd w:val="0"/>
              <w:snapToGrid w:val="0"/>
              <w:ind w:firstLine="180" w:firstLineChars="100"/>
              <w:rPr>
                <w:rFonts w:ascii="宋体" w:hAnsi="宋体"/>
                <w:color w:val="auto"/>
                <w:sz w:val="18"/>
                <w:szCs w:val="18"/>
                <w:highlight w:val="none"/>
              </w:rPr>
            </w:pPr>
            <w:r>
              <w:rPr>
                <w:rFonts w:ascii="宋体" w:hAnsi="宋体"/>
                <w:color w:val="auto"/>
                <w:sz w:val="18"/>
                <w:szCs w:val="18"/>
                <w:highlight w:val="none"/>
              </w:rPr>
              <w:t>1</w:t>
            </w:r>
            <w:r>
              <w:rPr>
                <w:rFonts w:hint="eastAsia" w:ascii="宋体" w:hAnsi="宋体"/>
                <w:color w:val="auto"/>
                <w:sz w:val="18"/>
                <w:szCs w:val="18"/>
                <w:highlight w:val="none"/>
                <w:lang w:val="en-US" w:eastAsia="zh-CN"/>
              </w:rPr>
              <w:t>8</w:t>
            </w:r>
          </w:p>
        </w:tc>
        <w:tc>
          <w:tcPr>
            <w:tcW w:w="11343" w:type="dxa"/>
            <w:tcBorders>
              <w:top w:val="single" w:color="auto" w:sz="4" w:space="0"/>
              <w:left w:val="single" w:color="auto" w:sz="4" w:space="0"/>
              <w:right w:val="single" w:color="auto" w:sz="4" w:space="0"/>
            </w:tcBorders>
            <w:noWrap w:val="0"/>
            <w:vAlign w:val="center"/>
          </w:tcPr>
          <w:p w14:paraId="219E69A4">
            <w:pPr>
              <w:spacing w:line="280" w:lineRule="exact"/>
              <w:rPr>
                <w:rFonts w:ascii="宋体" w:hAnsi="宋体"/>
                <w:color w:val="auto"/>
                <w:sz w:val="18"/>
                <w:szCs w:val="18"/>
                <w:highlight w:val="none"/>
              </w:rPr>
            </w:pPr>
            <w:r>
              <w:rPr>
                <w:rFonts w:hint="eastAsia" w:ascii="宋体" w:hAnsi="宋体"/>
                <w:color w:val="auto"/>
                <w:sz w:val="18"/>
                <w:szCs w:val="18"/>
                <w:highlight w:val="none"/>
              </w:rPr>
              <w:t>投标人自2020年1月1日至今完成过质量合格且中标金额</w:t>
            </w:r>
            <w:r>
              <w:rPr>
                <w:rFonts w:hint="eastAsia" w:ascii="宋体" w:hAnsi="宋体"/>
                <w:color w:val="auto"/>
                <w:sz w:val="18"/>
                <w:szCs w:val="18"/>
                <w:highlight w:val="none"/>
                <w:u w:val="single"/>
                <w:lang w:val="en-US" w:eastAsia="zh-CN"/>
              </w:rPr>
              <w:t>4800</w:t>
            </w:r>
            <w:r>
              <w:rPr>
                <w:rFonts w:ascii="宋体" w:hAnsi="宋体"/>
                <w:color w:val="auto"/>
                <w:sz w:val="18"/>
                <w:szCs w:val="18"/>
                <w:highlight w:val="none"/>
                <w:u w:val="single"/>
              </w:rPr>
              <w:t>万元</w:t>
            </w:r>
            <w:r>
              <w:rPr>
                <w:rFonts w:hint="eastAsia" w:ascii="宋体" w:hAnsi="宋体"/>
                <w:color w:val="auto"/>
                <w:sz w:val="18"/>
                <w:szCs w:val="18"/>
                <w:highlight w:val="none"/>
              </w:rPr>
              <w:t>（或以上）的</w:t>
            </w:r>
            <w:r>
              <w:rPr>
                <w:rFonts w:hint="eastAsia" w:ascii="宋体" w:hAnsi="宋体"/>
                <w:color w:val="auto"/>
                <w:sz w:val="18"/>
                <w:szCs w:val="18"/>
                <w:highlight w:val="none"/>
                <w:u w:val="single"/>
              </w:rPr>
              <w:t>市政公用工程</w:t>
            </w:r>
            <w:r>
              <w:rPr>
                <w:rFonts w:hint="eastAsia" w:ascii="宋体" w:hAnsi="宋体"/>
                <w:color w:val="auto"/>
                <w:sz w:val="18"/>
                <w:szCs w:val="18"/>
                <w:highlight w:val="none"/>
                <w:u w:val="single"/>
                <w:lang w:eastAsia="zh-CN"/>
              </w:rPr>
              <w:t>或类似城市道路工程</w:t>
            </w:r>
            <w:r>
              <w:rPr>
                <w:rFonts w:hint="eastAsia" w:ascii="宋体" w:hAnsi="宋体"/>
                <w:color w:val="auto"/>
                <w:sz w:val="18"/>
                <w:szCs w:val="18"/>
                <w:highlight w:val="none"/>
              </w:rPr>
              <w:t>业绩。</w:t>
            </w:r>
          </w:p>
          <w:p w14:paraId="0CD0FAC2">
            <w:pPr>
              <w:snapToGrid w:val="0"/>
              <w:spacing w:line="280" w:lineRule="exact"/>
              <w:rPr>
                <w:rFonts w:ascii="宋体" w:hAnsi="宋体" w:eastAsia="Times New Roman"/>
                <w:color w:val="auto"/>
                <w:sz w:val="18"/>
                <w:szCs w:val="18"/>
                <w:highlight w:val="none"/>
              </w:rPr>
            </w:pPr>
            <w:r>
              <w:rPr>
                <w:rFonts w:hint="eastAsia" w:ascii="宋体" w:hAnsi="宋体"/>
                <w:color w:val="auto"/>
                <w:sz w:val="18"/>
                <w:szCs w:val="18"/>
                <w:highlight w:val="none"/>
              </w:rPr>
              <w:t>提供一个业绩得</w:t>
            </w:r>
            <w:r>
              <w:rPr>
                <w:rFonts w:hint="eastAsia" w:ascii="宋体" w:hAnsi="宋体"/>
                <w:b/>
                <w:bCs/>
                <w:color w:val="auto"/>
                <w:sz w:val="18"/>
                <w:szCs w:val="18"/>
                <w:highlight w:val="none"/>
                <w:lang w:val="en-US" w:eastAsia="zh-CN"/>
              </w:rPr>
              <w:t>6</w:t>
            </w:r>
            <w:r>
              <w:rPr>
                <w:rFonts w:hint="eastAsia" w:ascii="宋体" w:hAnsi="宋体"/>
                <w:b/>
                <w:color w:val="auto"/>
                <w:sz w:val="18"/>
                <w:szCs w:val="18"/>
                <w:highlight w:val="none"/>
              </w:rPr>
              <w:t>分</w:t>
            </w:r>
            <w:r>
              <w:rPr>
                <w:rFonts w:hint="eastAsia" w:ascii="宋体" w:hAnsi="宋体"/>
                <w:color w:val="auto"/>
                <w:sz w:val="18"/>
                <w:szCs w:val="18"/>
                <w:highlight w:val="none"/>
              </w:rPr>
              <w:t>，本项最高得</w:t>
            </w:r>
            <w:r>
              <w:rPr>
                <w:rFonts w:ascii="宋体" w:hAnsi="宋体"/>
                <w:b/>
                <w:color w:val="auto"/>
                <w:sz w:val="18"/>
                <w:szCs w:val="18"/>
                <w:highlight w:val="none"/>
              </w:rPr>
              <w:t>1</w:t>
            </w:r>
            <w:r>
              <w:rPr>
                <w:rFonts w:hint="eastAsia" w:ascii="宋体" w:hAnsi="宋体"/>
                <w:b/>
                <w:color w:val="auto"/>
                <w:sz w:val="18"/>
                <w:szCs w:val="18"/>
                <w:highlight w:val="none"/>
                <w:lang w:val="en-US" w:eastAsia="zh-CN"/>
              </w:rPr>
              <w:t>8</w:t>
            </w:r>
            <w:r>
              <w:rPr>
                <w:rFonts w:hint="eastAsia" w:ascii="宋体" w:hAnsi="宋体"/>
                <w:b/>
                <w:color w:val="auto"/>
                <w:sz w:val="18"/>
                <w:szCs w:val="18"/>
                <w:highlight w:val="none"/>
              </w:rPr>
              <w:t>分</w:t>
            </w:r>
            <w:r>
              <w:rPr>
                <w:rFonts w:hint="eastAsia" w:ascii="宋体" w:hAnsi="宋体"/>
                <w:color w:val="auto"/>
                <w:sz w:val="18"/>
                <w:szCs w:val="18"/>
                <w:highlight w:val="none"/>
              </w:rPr>
              <w:t>。</w:t>
            </w:r>
          </w:p>
        </w:tc>
      </w:tr>
      <w:tr w14:paraId="0C6D78F7">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4" w:hRule="atLeast"/>
          <w:jc w:val="center"/>
        </w:trPr>
        <w:tc>
          <w:tcPr>
            <w:tcW w:w="1043" w:type="dxa"/>
            <w:vMerge w:val="continue"/>
            <w:tcBorders>
              <w:left w:val="single" w:color="auto" w:sz="8" w:space="0"/>
              <w:right w:val="single" w:color="auto" w:sz="4" w:space="0"/>
            </w:tcBorders>
            <w:noWrap w:val="0"/>
            <w:vAlign w:val="center"/>
          </w:tcPr>
          <w:p w14:paraId="23F27FFC">
            <w:pPr>
              <w:rPr>
                <w:rFonts w:ascii="宋体" w:hAnsi="宋体" w:eastAsia="Times New Roman"/>
                <w:color w:val="auto"/>
                <w:sz w:val="18"/>
                <w:szCs w:val="18"/>
                <w:highlight w:val="none"/>
              </w:rPr>
            </w:pPr>
          </w:p>
        </w:tc>
        <w:tc>
          <w:tcPr>
            <w:tcW w:w="1832" w:type="dxa"/>
            <w:tcBorders>
              <w:left w:val="single" w:color="auto" w:sz="4" w:space="0"/>
              <w:right w:val="single" w:color="auto" w:sz="4" w:space="0"/>
            </w:tcBorders>
            <w:noWrap w:val="0"/>
            <w:vAlign w:val="center"/>
          </w:tcPr>
          <w:p w14:paraId="1B92A760">
            <w:pPr>
              <w:snapToGrid w:val="0"/>
              <w:spacing w:line="280" w:lineRule="exact"/>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第三方评价</w:t>
            </w:r>
          </w:p>
        </w:tc>
        <w:tc>
          <w:tcPr>
            <w:tcW w:w="644" w:type="dxa"/>
            <w:tcBorders>
              <w:left w:val="single" w:color="auto" w:sz="4" w:space="0"/>
              <w:right w:val="single" w:color="auto" w:sz="4" w:space="0"/>
            </w:tcBorders>
            <w:noWrap w:val="0"/>
            <w:vAlign w:val="center"/>
          </w:tcPr>
          <w:p w14:paraId="2DCF7553">
            <w:pPr>
              <w:adjustRightInd w:val="0"/>
              <w:snapToGrid w:val="0"/>
              <w:jc w:val="center"/>
              <w:rPr>
                <w:rFonts w:hint="eastAsia" w:ascii="宋体" w:hAnsi="宋体" w:eastAsia="宋体"/>
                <w:color w:val="auto"/>
                <w:sz w:val="18"/>
                <w:szCs w:val="18"/>
                <w:highlight w:val="none"/>
                <w:lang w:eastAsia="zh-CN"/>
              </w:rPr>
            </w:pPr>
            <w:r>
              <w:rPr>
                <w:rFonts w:hint="eastAsia" w:ascii="宋体" w:hAnsi="宋体"/>
                <w:color w:val="auto"/>
                <w:sz w:val="18"/>
                <w:szCs w:val="18"/>
                <w:highlight w:val="none"/>
                <w:lang w:val="en-US" w:eastAsia="zh-CN"/>
              </w:rPr>
              <w:t>2</w:t>
            </w:r>
          </w:p>
        </w:tc>
        <w:tc>
          <w:tcPr>
            <w:tcW w:w="11343" w:type="dxa"/>
            <w:tcBorders>
              <w:top w:val="single" w:color="auto" w:sz="4" w:space="0"/>
              <w:left w:val="single" w:color="auto" w:sz="4" w:space="0"/>
              <w:right w:val="single" w:color="auto" w:sz="4" w:space="0"/>
            </w:tcBorders>
            <w:noWrap w:val="0"/>
            <w:vAlign w:val="center"/>
          </w:tcPr>
          <w:p w14:paraId="188FE610">
            <w:pPr>
              <w:snapToGrid w:val="0"/>
              <w:spacing w:line="280" w:lineRule="exact"/>
              <w:jc w:val="left"/>
              <w:rPr>
                <w:rFonts w:ascii="宋体" w:hAnsi="宋体" w:eastAsia="Times New Roman" w:cs="宋体"/>
                <w:color w:val="auto"/>
                <w:sz w:val="18"/>
                <w:szCs w:val="18"/>
                <w:highlight w:val="none"/>
              </w:rPr>
            </w:pPr>
            <w:r>
              <w:rPr>
                <w:rFonts w:hint="eastAsia" w:ascii="宋体" w:hAnsi="宋体"/>
                <w:color w:val="auto"/>
                <w:sz w:val="18"/>
                <w:szCs w:val="18"/>
                <w:highlight w:val="none"/>
              </w:rPr>
              <w:t>企业获得在有效期内且年检合格的质量管理体系认证的，得</w:t>
            </w:r>
            <w:r>
              <w:rPr>
                <w:rFonts w:hint="eastAsia" w:ascii="宋体" w:hAnsi="宋体"/>
                <w:b/>
                <w:color w:val="auto"/>
                <w:sz w:val="18"/>
                <w:szCs w:val="18"/>
                <w:highlight w:val="none"/>
                <w:lang w:val="en-US" w:eastAsia="zh-CN"/>
              </w:rPr>
              <w:t>1</w:t>
            </w:r>
            <w:r>
              <w:rPr>
                <w:rFonts w:hint="eastAsia" w:ascii="宋体" w:hAnsi="宋体"/>
                <w:b/>
                <w:color w:val="auto"/>
                <w:sz w:val="18"/>
                <w:szCs w:val="18"/>
                <w:highlight w:val="none"/>
              </w:rPr>
              <w:t>分</w:t>
            </w:r>
            <w:r>
              <w:rPr>
                <w:rFonts w:hint="eastAsia" w:ascii="宋体" w:hAnsi="宋体"/>
                <w:color w:val="auto"/>
                <w:sz w:val="18"/>
                <w:szCs w:val="18"/>
                <w:highlight w:val="none"/>
              </w:rPr>
              <w:t>；企业获得在有效期内且年检合格的职业健康安全管理体系认证，得</w:t>
            </w:r>
            <w:r>
              <w:rPr>
                <w:rFonts w:hint="eastAsia" w:ascii="宋体" w:hAnsi="宋体"/>
                <w:b/>
                <w:color w:val="auto"/>
                <w:sz w:val="18"/>
                <w:szCs w:val="18"/>
                <w:highlight w:val="none"/>
                <w:lang w:val="en-US" w:eastAsia="zh-CN"/>
              </w:rPr>
              <w:t>1</w:t>
            </w:r>
            <w:r>
              <w:rPr>
                <w:rFonts w:hint="eastAsia" w:ascii="宋体" w:hAnsi="宋体"/>
                <w:b/>
                <w:color w:val="auto"/>
                <w:sz w:val="18"/>
                <w:szCs w:val="18"/>
                <w:highlight w:val="none"/>
              </w:rPr>
              <w:t>分</w:t>
            </w:r>
            <w:r>
              <w:rPr>
                <w:rFonts w:hint="eastAsia" w:ascii="宋体" w:hAnsi="宋体"/>
                <w:color w:val="auto"/>
                <w:sz w:val="18"/>
                <w:szCs w:val="18"/>
                <w:highlight w:val="none"/>
              </w:rPr>
              <w:t>；不满足前述要求者不得分。本项最高得</w:t>
            </w:r>
            <w:r>
              <w:rPr>
                <w:rFonts w:hint="eastAsia" w:ascii="宋体" w:hAnsi="宋体"/>
                <w:b/>
                <w:color w:val="auto"/>
                <w:sz w:val="18"/>
                <w:szCs w:val="18"/>
                <w:highlight w:val="none"/>
                <w:lang w:val="en-US" w:eastAsia="zh-CN"/>
              </w:rPr>
              <w:t>2</w:t>
            </w:r>
            <w:r>
              <w:rPr>
                <w:rFonts w:hint="eastAsia" w:ascii="宋体" w:hAnsi="宋体"/>
                <w:b/>
                <w:color w:val="auto"/>
                <w:sz w:val="18"/>
                <w:szCs w:val="18"/>
                <w:highlight w:val="none"/>
              </w:rPr>
              <w:t>分</w:t>
            </w:r>
            <w:r>
              <w:rPr>
                <w:rFonts w:hint="eastAsia" w:ascii="宋体" w:hAnsi="宋体" w:eastAsia="Times New Roman"/>
                <w:color w:val="auto"/>
                <w:sz w:val="18"/>
                <w:szCs w:val="18"/>
                <w:highlight w:val="none"/>
              </w:rPr>
              <w:t>。</w:t>
            </w:r>
          </w:p>
        </w:tc>
      </w:tr>
      <w:tr w14:paraId="78D966F1">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4" w:hRule="atLeast"/>
          <w:jc w:val="center"/>
        </w:trPr>
        <w:tc>
          <w:tcPr>
            <w:tcW w:w="1043" w:type="dxa"/>
            <w:vMerge w:val="restart"/>
            <w:tcBorders>
              <w:top w:val="single" w:color="auto" w:sz="4" w:space="0"/>
              <w:left w:val="single" w:color="auto" w:sz="8" w:space="0"/>
              <w:right w:val="single" w:color="auto" w:sz="4" w:space="0"/>
            </w:tcBorders>
            <w:noWrap w:val="0"/>
            <w:vAlign w:val="center"/>
          </w:tcPr>
          <w:p w14:paraId="56EFDE93">
            <w:pPr>
              <w:widowControl/>
              <w:jc w:val="left"/>
              <w:rPr>
                <w:rFonts w:ascii="宋体" w:hAnsi="宋体" w:eastAsia="Times New Roman"/>
                <w:strike/>
                <w:color w:val="auto"/>
                <w:sz w:val="18"/>
                <w:szCs w:val="18"/>
                <w:highlight w:val="none"/>
              </w:rPr>
            </w:pPr>
            <w:r>
              <w:rPr>
                <w:rFonts w:hint="eastAsia" w:ascii="宋体" w:hAnsi="宋体" w:eastAsia="Times New Roman"/>
                <w:color w:val="auto"/>
                <w:sz w:val="18"/>
                <w:szCs w:val="18"/>
                <w:highlight w:val="none"/>
              </w:rPr>
              <w:t>二、项目管理机构能力（</w:t>
            </w:r>
            <w:r>
              <w:rPr>
                <w:rFonts w:hint="eastAsia" w:ascii="宋体" w:hAnsi="宋体"/>
                <w:color w:val="auto"/>
                <w:sz w:val="18"/>
                <w:szCs w:val="18"/>
                <w:highlight w:val="none"/>
              </w:rPr>
              <w:t>7</w:t>
            </w:r>
            <w:r>
              <w:rPr>
                <w:rFonts w:ascii="宋体" w:hAnsi="宋体"/>
                <w:color w:val="auto"/>
                <w:sz w:val="18"/>
                <w:szCs w:val="18"/>
                <w:highlight w:val="none"/>
              </w:rPr>
              <w:t>0</w:t>
            </w:r>
            <w:r>
              <w:rPr>
                <w:rFonts w:hint="eastAsia" w:ascii="宋体" w:hAnsi="宋体" w:eastAsia="Times New Roman"/>
                <w:color w:val="auto"/>
                <w:sz w:val="18"/>
                <w:szCs w:val="18"/>
                <w:highlight w:val="none"/>
              </w:rPr>
              <w:t>分）</w:t>
            </w:r>
          </w:p>
        </w:tc>
        <w:tc>
          <w:tcPr>
            <w:tcW w:w="1832" w:type="dxa"/>
            <w:vMerge w:val="restart"/>
            <w:tcBorders>
              <w:top w:val="single" w:color="auto" w:sz="4" w:space="0"/>
              <w:left w:val="single" w:color="auto" w:sz="8" w:space="0"/>
              <w:right w:val="single" w:color="auto" w:sz="4" w:space="0"/>
            </w:tcBorders>
            <w:noWrap w:val="0"/>
            <w:vAlign w:val="center"/>
          </w:tcPr>
          <w:p w14:paraId="61923EBF">
            <w:pPr>
              <w:widowControl/>
              <w:adjustRightInd w:val="0"/>
              <w:snapToGrid w:val="0"/>
              <w:jc w:val="center"/>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项目负责人情况</w:t>
            </w:r>
          </w:p>
        </w:tc>
        <w:tc>
          <w:tcPr>
            <w:tcW w:w="644" w:type="dxa"/>
            <w:tcBorders>
              <w:top w:val="single" w:color="auto" w:sz="4" w:space="0"/>
              <w:left w:val="single" w:color="auto" w:sz="4" w:space="0"/>
              <w:right w:val="single" w:color="auto" w:sz="4" w:space="0"/>
            </w:tcBorders>
            <w:noWrap w:val="0"/>
            <w:vAlign w:val="center"/>
          </w:tcPr>
          <w:p w14:paraId="2E11CC14">
            <w:pPr>
              <w:widowControl/>
              <w:adjustRightInd w:val="0"/>
              <w:snapToGrid w:val="0"/>
              <w:jc w:val="center"/>
              <w:rPr>
                <w:rFonts w:ascii="宋体" w:hAnsi="宋体" w:eastAsia="Times New Roman"/>
                <w:color w:val="auto"/>
                <w:sz w:val="18"/>
                <w:szCs w:val="18"/>
                <w:highlight w:val="none"/>
              </w:rPr>
            </w:pPr>
            <w:r>
              <w:rPr>
                <w:rFonts w:ascii="宋体" w:hAnsi="宋体" w:eastAsia="Times New Roman"/>
                <w:color w:val="auto"/>
                <w:sz w:val="18"/>
                <w:szCs w:val="18"/>
                <w:highlight w:val="none"/>
              </w:rPr>
              <w:t>10</w:t>
            </w:r>
          </w:p>
        </w:tc>
        <w:tc>
          <w:tcPr>
            <w:tcW w:w="11343" w:type="dxa"/>
            <w:tcBorders>
              <w:top w:val="single" w:color="auto" w:sz="4" w:space="0"/>
              <w:left w:val="single" w:color="auto" w:sz="4" w:space="0"/>
              <w:right w:val="single" w:color="auto" w:sz="4" w:space="0"/>
            </w:tcBorders>
            <w:noWrap w:val="0"/>
            <w:vAlign w:val="center"/>
          </w:tcPr>
          <w:p w14:paraId="77E99F8E">
            <w:pPr>
              <w:snapToGrid w:val="0"/>
              <w:spacing w:line="280" w:lineRule="exact"/>
              <w:rPr>
                <w:rFonts w:ascii="宋体" w:hAnsi="宋体"/>
                <w:color w:val="auto"/>
                <w:sz w:val="18"/>
                <w:szCs w:val="18"/>
                <w:highlight w:val="none"/>
              </w:rPr>
            </w:pPr>
            <w:r>
              <w:rPr>
                <w:rFonts w:hint="eastAsia" w:ascii="宋体" w:hAnsi="宋体"/>
                <w:color w:val="auto"/>
                <w:sz w:val="18"/>
                <w:szCs w:val="18"/>
                <w:highlight w:val="none"/>
              </w:rPr>
              <w:t>1.项目负责人的</w:t>
            </w:r>
            <w:r>
              <w:rPr>
                <w:rFonts w:hint="eastAsia" w:ascii="宋体" w:hAnsi="宋体"/>
                <w:color w:val="auto"/>
                <w:sz w:val="18"/>
                <w:szCs w:val="18"/>
                <w:highlight w:val="none"/>
                <w:u w:val="single"/>
              </w:rPr>
              <w:t>市政公用工程</w:t>
            </w:r>
            <w:r>
              <w:rPr>
                <w:rFonts w:hint="eastAsia" w:ascii="宋体" w:hAnsi="宋体"/>
                <w:color w:val="auto"/>
                <w:sz w:val="18"/>
                <w:szCs w:val="18"/>
                <w:highlight w:val="none"/>
              </w:rPr>
              <w:t>专业壹级建造师执业注册年限≥5年的，得10分；项目负责人的</w:t>
            </w:r>
            <w:r>
              <w:rPr>
                <w:rFonts w:hint="eastAsia" w:ascii="宋体" w:hAnsi="宋体"/>
                <w:color w:val="auto"/>
                <w:sz w:val="18"/>
                <w:szCs w:val="18"/>
                <w:highlight w:val="none"/>
                <w:u w:val="single"/>
              </w:rPr>
              <w:t>市政公用工程</w:t>
            </w:r>
            <w:r>
              <w:rPr>
                <w:rFonts w:hint="eastAsia" w:ascii="宋体" w:hAnsi="宋体"/>
                <w:color w:val="auto"/>
                <w:sz w:val="18"/>
                <w:szCs w:val="18"/>
                <w:highlight w:val="none"/>
              </w:rPr>
              <w:t>专业壹级建造师执业注册年限为[3,5)年的，得8分；项目负责人的</w:t>
            </w:r>
            <w:r>
              <w:rPr>
                <w:rFonts w:hint="eastAsia" w:ascii="宋体" w:hAnsi="宋体"/>
                <w:color w:val="auto"/>
                <w:sz w:val="18"/>
                <w:szCs w:val="18"/>
                <w:highlight w:val="none"/>
                <w:u w:val="single"/>
              </w:rPr>
              <w:t>市政公用工程</w:t>
            </w:r>
            <w:r>
              <w:rPr>
                <w:rFonts w:hint="eastAsia" w:ascii="宋体" w:hAnsi="宋体"/>
                <w:color w:val="auto"/>
                <w:sz w:val="18"/>
                <w:szCs w:val="18"/>
                <w:highlight w:val="none"/>
              </w:rPr>
              <w:t>专业壹级建造师执业注册年限为（0,3）年的，得6分，其余不得分。</w:t>
            </w:r>
          </w:p>
          <w:p w14:paraId="1FA5B8B6">
            <w:pPr>
              <w:snapToGrid w:val="0"/>
              <w:spacing w:line="280" w:lineRule="exact"/>
              <w:rPr>
                <w:rFonts w:ascii="宋体" w:hAnsi="宋体"/>
                <w:color w:val="auto"/>
                <w:sz w:val="18"/>
                <w:szCs w:val="18"/>
                <w:highlight w:val="none"/>
              </w:rPr>
            </w:pPr>
            <w:r>
              <w:rPr>
                <w:rFonts w:hint="eastAsia" w:ascii="宋体" w:hAnsi="宋体"/>
                <w:color w:val="auto"/>
                <w:sz w:val="18"/>
                <w:szCs w:val="18"/>
                <w:highlight w:val="none"/>
              </w:rPr>
              <w:t>2.项目负责人的</w:t>
            </w:r>
            <w:r>
              <w:rPr>
                <w:rFonts w:hint="eastAsia" w:ascii="宋体" w:hAnsi="宋体"/>
                <w:color w:val="auto"/>
                <w:sz w:val="18"/>
                <w:szCs w:val="18"/>
                <w:highlight w:val="none"/>
                <w:u w:val="single"/>
              </w:rPr>
              <w:t>市政公用工程</w:t>
            </w:r>
            <w:r>
              <w:rPr>
                <w:rFonts w:hint="eastAsia" w:ascii="宋体" w:hAnsi="宋体"/>
                <w:color w:val="auto"/>
                <w:sz w:val="18"/>
                <w:szCs w:val="18"/>
                <w:highlight w:val="none"/>
              </w:rPr>
              <w:t>专业贰级建造师执业注册年限≥5年的，得5分；项目负责人的</w:t>
            </w:r>
            <w:r>
              <w:rPr>
                <w:rFonts w:hint="eastAsia" w:ascii="宋体" w:hAnsi="宋体"/>
                <w:color w:val="auto"/>
                <w:sz w:val="18"/>
                <w:szCs w:val="18"/>
                <w:highlight w:val="none"/>
                <w:u w:val="single"/>
              </w:rPr>
              <w:t>市政公用工程</w:t>
            </w:r>
            <w:r>
              <w:rPr>
                <w:rFonts w:hint="eastAsia" w:ascii="宋体" w:hAnsi="宋体"/>
                <w:color w:val="auto"/>
                <w:sz w:val="18"/>
                <w:szCs w:val="18"/>
                <w:highlight w:val="none"/>
              </w:rPr>
              <w:t>专业贰级建造师执业注册年限为[3,5)年的，得3分；项目负责人的</w:t>
            </w:r>
            <w:r>
              <w:rPr>
                <w:rFonts w:hint="eastAsia" w:ascii="宋体" w:hAnsi="宋体"/>
                <w:color w:val="auto"/>
                <w:sz w:val="18"/>
                <w:szCs w:val="18"/>
                <w:highlight w:val="none"/>
                <w:u w:val="single"/>
              </w:rPr>
              <w:t>市政公用工程</w:t>
            </w:r>
            <w:r>
              <w:rPr>
                <w:rFonts w:hint="eastAsia" w:ascii="宋体" w:hAnsi="宋体"/>
                <w:color w:val="auto"/>
                <w:sz w:val="18"/>
                <w:szCs w:val="18"/>
                <w:highlight w:val="none"/>
              </w:rPr>
              <w:t>专业贰级建造师执业注册年限为（0,3）年的，得1分，其余不得分。</w:t>
            </w:r>
          </w:p>
          <w:p w14:paraId="084BDE69">
            <w:pPr>
              <w:pStyle w:val="5"/>
              <w:rPr>
                <w:color w:val="auto"/>
                <w:highlight w:val="none"/>
              </w:rPr>
            </w:pPr>
            <w:r>
              <w:rPr>
                <w:rFonts w:hint="eastAsia" w:ascii="宋体" w:hAnsi="宋体"/>
                <w:color w:val="auto"/>
                <w:sz w:val="18"/>
                <w:szCs w:val="18"/>
                <w:highlight w:val="none"/>
              </w:rPr>
              <w:t>备注：项目负责人的建造师执业注册年限以建造师有效执业注册累计年限为准，须提供建造师注册证书或相关建造师执业注册证明资料，否则不计分。</w:t>
            </w:r>
          </w:p>
        </w:tc>
      </w:tr>
      <w:tr w14:paraId="52453C2C">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0" w:hRule="atLeast"/>
          <w:jc w:val="center"/>
        </w:trPr>
        <w:tc>
          <w:tcPr>
            <w:tcW w:w="1043" w:type="dxa"/>
            <w:vMerge w:val="continue"/>
            <w:tcBorders>
              <w:left w:val="single" w:color="auto" w:sz="8" w:space="0"/>
              <w:right w:val="single" w:color="auto" w:sz="4" w:space="0"/>
            </w:tcBorders>
            <w:noWrap w:val="0"/>
            <w:vAlign w:val="center"/>
          </w:tcPr>
          <w:p w14:paraId="7D0E13CC">
            <w:pPr>
              <w:widowControl/>
              <w:adjustRightInd w:val="0"/>
              <w:snapToGrid w:val="0"/>
              <w:jc w:val="center"/>
              <w:rPr>
                <w:rFonts w:ascii="宋体" w:hAnsi="宋体" w:eastAsia="Times New Roman"/>
                <w:color w:val="auto"/>
                <w:sz w:val="18"/>
                <w:szCs w:val="18"/>
                <w:highlight w:val="none"/>
              </w:rPr>
            </w:pPr>
          </w:p>
        </w:tc>
        <w:tc>
          <w:tcPr>
            <w:tcW w:w="1832" w:type="dxa"/>
            <w:vMerge w:val="continue"/>
            <w:tcBorders>
              <w:left w:val="single" w:color="auto" w:sz="8" w:space="0"/>
              <w:right w:val="single" w:color="auto" w:sz="4" w:space="0"/>
            </w:tcBorders>
            <w:noWrap w:val="0"/>
            <w:vAlign w:val="center"/>
          </w:tcPr>
          <w:p w14:paraId="46BA9D66">
            <w:pPr>
              <w:widowControl/>
              <w:adjustRightInd w:val="0"/>
              <w:snapToGrid w:val="0"/>
              <w:jc w:val="center"/>
              <w:rPr>
                <w:rFonts w:ascii="宋体" w:hAnsi="宋体" w:eastAsia="Times New Roman"/>
                <w:color w:val="auto"/>
                <w:sz w:val="18"/>
                <w:szCs w:val="18"/>
                <w:highlight w:val="none"/>
              </w:rPr>
            </w:pPr>
          </w:p>
        </w:tc>
        <w:tc>
          <w:tcPr>
            <w:tcW w:w="644" w:type="dxa"/>
            <w:tcBorders>
              <w:top w:val="single" w:color="auto" w:sz="4" w:space="0"/>
              <w:left w:val="single" w:color="auto" w:sz="4" w:space="0"/>
              <w:right w:val="single" w:color="auto" w:sz="4" w:space="0"/>
            </w:tcBorders>
            <w:noWrap w:val="0"/>
            <w:vAlign w:val="center"/>
          </w:tcPr>
          <w:p w14:paraId="3AEDB7A8">
            <w:pPr>
              <w:widowControl/>
              <w:adjustRightInd w:val="0"/>
              <w:snapToGrid w:val="0"/>
              <w:jc w:val="center"/>
              <w:rPr>
                <w:rFonts w:ascii="宋体" w:hAnsi="宋体" w:eastAsia="Times New Roman"/>
                <w:color w:val="auto"/>
                <w:sz w:val="18"/>
                <w:szCs w:val="18"/>
                <w:highlight w:val="none"/>
              </w:rPr>
            </w:pPr>
            <w:r>
              <w:rPr>
                <w:rFonts w:ascii="宋体" w:hAnsi="宋体" w:eastAsia="Times New Roman"/>
                <w:color w:val="auto"/>
                <w:sz w:val="18"/>
                <w:szCs w:val="18"/>
                <w:highlight w:val="none"/>
              </w:rPr>
              <w:t>5</w:t>
            </w:r>
          </w:p>
        </w:tc>
        <w:tc>
          <w:tcPr>
            <w:tcW w:w="11343" w:type="dxa"/>
            <w:tcBorders>
              <w:left w:val="single" w:color="auto" w:sz="4" w:space="0"/>
              <w:right w:val="single" w:color="auto" w:sz="4" w:space="0"/>
            </w:tcBorders>
            <w:noWrap w:val="0"/>
            <w:vAlign w:val="center"/>
          </w:tcPr>
          <w:p w14:paraId="428FF3C6">
            <w:pPr>
              <w:snapToGrid w:val="0"/>
              <w:spacing w:line="280" w:lineRule="exact"/>
              <w:jc w:val="left"/>
              <w:rPr>
                <w:rFonts w:ascii="宋体" w:hAnsi="宋体" w:eastAsia="Times New Roman"/>
                <w:color w:val="auto"/>
                <w:sz w:val="18"/>
                <w:szCs w:val="18"/>
                <w:highlight w:val="none"/>
              </w:rPr>
            </w:pPr>
            <w:r>
              <w:rPr>
                <w:rFonts w:hint="eastAsia" w:ascii="宋体" w:hAnsi="宋体"/>
                <w:color w:val="auto"/>
                <w:sz w:val="18"/>
                <w:szCs w:val="18"/>
                <w:highlight w:val="none"/>
              </w:rPr>
              <w:t>项目负责人为</w:t>
            </w:r>
            <w:r>
              <w:rPr>
                <w:rFonts w:hint="eastAsia" w:ascii="宋体" w:hAnsi="宋体" w:eastAsia="Times New Roman"/>
                <w:bCs/>
                <w:color w:val="auto"/>
                <w:sz w:val="18"/>
                <w:szCs w:val="18"/>
                <w:highlight w:val="none"/>
                <w:u w:val="single"/>
              </w:rPr>
              <w:t>市政道路或路桥</w:t>
            </w:r>
            <w:r>
              <w:rPr>
                <w:rFonts w:hint="eastAsia" w:ascii="宋体" w:hAnsi="宋体"/>
                <w:color w:val="auto"/>
                <w:sz w:val="18"/>
                <w:szCs w:val="18"/>
                <w:highlight w:val="none"/>
                <w:u w:val="single"/>
              </w:rPr>
              <w:t>相关</w:t>
            </w:r>
            <w:r>
              <w:rPr>
                <w:rFonts w:hint="eastAsia" w:ascii="宋体" w:hAnsi="宋体"/>
                <w:color w:val="auto"/>
                <w:sz w:val="18"/>
                <w:szCs w:val="18"/>
                <w:highlight w:val="none"/>
              </w:rPr>
              <w:t>专业的高级工程师或以上职称，得</w:t>
            </w:r>
            <w:r>
              <w:rPr>
                <w:rFonts w:ascii="宋体" w:hAnsi="宋体"/>
                <w:color w:val="auto"/>
                <w:sz w:val="18"/>
                <w:szCs w:val="18"/>
                <w:highlight w:val="none"/>
              </w:rPr>
              <w:t>5</w:t>
            </w:r>
            <w:r>
              <w:rPr>
                <w:rFonts w:hint="eastAsia" w:ascii="宋体" w:hAnsi="宋体"/>
                <w:color w:val="auto"/>
                <w:sz w:val="18"/>
                <w:szCs w:val="18"/>
                <w:highlight w:val="none"/>
              </w:rPr>
              <w:t>分；项目负责人为</w:t>
            </w:r>
            <w:r>
              <w:rPr>
                <w:rFonts w:hint="eastAsia" w:ascii="宋体" w:hAnsi="宋体" w:eastAsia="Times New Roman"/>
                <w:bCs/>
                <w:color w:val="auto"/>
                <w:sz w:val="18"/>
                <w:szCs w:val="18"/>
                <w:highlight w:val="none"/>
                <w:u w:val="single"/>
              </w:rPr>
              <w:t>市政道路或路桥</w:t>
            </w:r>
            <w:r>
              <w:rPr>
                <w:rFonts w:hint="eastAsia" w:ascii="宋体" w:hAnsi="宋体"/>
                <w:color w:val="auto"/>
                <w:sz w:val="18"/>
                <w:szCs w:val="18"/>
                <w:highlight w:val="none"/>
                <w:u w:val="single"/>
              </w:rPr>
              <w:t>相关</w:t>
            </w:r>
            <w:r>
              <w:rPr>
                <w:rFonts w:hint="eastAsia" w:ascii="宋体" w:hAnsi="宋体"/>
                <w:color w:val="auto"/>
                <w:sz w:val="18"/>
                <w:szCs w:val="18"/>
                <w:highlight w:val="none"/>
              </w:rPr>
              <w:t>专业的工程师，得</w:t>
            </w:r>
            <w:r>
              <w:rPr>
                <w:rFonts w:ascii="宋体" w:hAnsi="宋体"/>
                <w:color w:val="auto"/>
                <w:sz w:val="18"/>
                <w:szCs w:val="18"/>
                <w:highlight w:val="none"/>
              </w:rPr>
              <w:t>3</w:t>
            </w:r>
            <w:r>
              <w:rPr>
                <w:rFonts w:hint="eastAsia" w:ascii="宋体" w:hAnsi="宋体"/>
                <w:color w:val="auto"/>
                <w:sz w:val="18"/>
                <w:szCs w:val="18"/>
                <w:highlight w:val="none"/>
              </w:rPr>
              <w:t>分，其他不得分。</w:t>
            </w:r>
          </w:p>
        </w:tc>
      </w:tr>
      <w:tr w14:paraId="61DC1B73">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 w:hRule="atLeast"/>
          <w:jc w:val="center"/>
        </w:trPr>
        <w:tc>
          <w:tcPr>
            <w:tcW w:w="1043" w:type="dxa"/>
            <w:vMerge w:val="continue"/>
            <w:tcBorders>
              <w:left w:val="single" w:color="auto" w:sz="8" w:space="0"/>
              <w:right w:val="single" w:color="auto" w:sz="4" w:space="0"/>
            </w:tcBorders>
            <w:noWrap w:val="0"/>
            <w:vAlign w:val="center"/>
          </w:tcPr>
          <w:p w14:paraId="41A29405">
            <w:pPr>
              <w:widowControl/>
              <w:adjustRightInd w:val="0"/>
              <w:snapToGrid w:val="0"/>
              <w:jc w:val="center"/>
              <w:rPr>
                <w:rFonts w:ascii="宋体" w:hAnsi="宋体" w:eastAsia="Times New Roman"/>
                <w:color w:val="auto"/>
                <w:sz w:val="18"/>
                <w:szCs w:val="18"/>
                <w:highlight w:val="none"/>
              </w:rPr>
            </w:pPr>
          </w:p>
        </w:tc>
        <w:tc>
          <w:tcPr>
            <w:tcW w:w="1832" w:type="dxa"/>
            <w:vMerge w:val="continue"/>
            <w:tcBorders>
              <w:left w:val="single" w:color="auto" w:sz="8" w:space="0"/>
              <w:bottom w:val="single" w:color="auto" w:sz="4" w:space="0"/>
              <w:right w:val="single" w:color="auto" w:sz="4" w:space="0"/>
            </w:tcBorders>
            <w:noWrap w:val="0"/>
            <w:vAlign w:val="center"/>
          </w:tcPr>
          <w:p w14:paraId="5CB3CE62">
            <w:pPr>
              <w:widowControl/>
              <w:adjustRightInd w:val="0"/>
              <w:snapToGrid w:val="0"/>
              <w:jc w:val="center"/>
              <w:rPr>
                <w:rFonts w:ascii="宋体" w:hAnsi="宋体" w:eastAsia="Times New Roman"/>
                <w:color w:val="auto"/>
                <w:sz w:val="18"/>
                <w:szCs w:val="18"/>
                <w:highlight w:val="none"/>
              </w:rPr>
            </w:pPr>
          </w:p>
        </w:tc>
        <w:tc>
          <w:tcPr>
            <w:tcW w:w="644" w:type="dxa"/>
            <w:tcBorders>
              <w:top w:val="single" w:color="auto" w:sz="4" w:space="0"/>
              <w:left w:val="single" w:color="auto" w:sz="4" w:space="0"/>
              <w:right w:val="single" w:color="auto" w:sz="4" w:space="0"/>
            </w:tcBorders>
            <w:noWrap w:val="0"/>
            <w:vAlign w:val="center"/>
          </w:tcPr>
          <w:p w14:paraId="45AD1D20">
            <w:pPr>
              <w:widowControl/>
              <w:adjustRightInd w:val="0"/>
              <w:snapToGrid w:val="0"/>
              <w:jc w:val="center"/>
              <w:rPr>
                <w:rFonts w:ascii="宋体" w:hAnsi="宋体" w:eastAsia="Times New Roman"/>
                <w:color w:val="auto"/>
                <w:sz w:val="18"/>
                <w:szCs w:val="18"/>
                <w:highlight w:val="none"/>
              </w:rPr>
            </w:pPr>
            <w:r>
              <w:rPr>
                <w:rFonts w:ascii="宋体" w:hAnsi="宋体" w:eastAsia="Times New Roman"/>
                <w:color w:val="auto"/>
                <w:sz w:val="18"/>
                <w:szCs w:val="18"/>
                <w:highlight w:val="none"/>
              </w:rPr>
              <w:t>5</w:t>
            </w:r>
          </w:p>
        </w:tc>
        <w:tc>
          <w:tcPr>
            <w:tcW w:w="11343" w:type="dxa"/>
            <w:tcBorders>
              <w:left w:val="single" w:color="auto" w:sz="4" w:space="0"/>
              <w:right w:val="single" w:color="auto" w:sz="4" w:space="0"/>
            </w:tcBorders>
            <w:noWrap w:val="0"/>
            <w:vAlign w:val="center"/>
          </w:tcPr>
          <w:p w14:paraId="14EA1A36">
            <w:pPr>
              <w:snapToGrid w:val="0"/>
              <w:spacing w:line="280" w:lineRule="exact"/>
              <w:rPr>
                <w:rFonts w:ascii="宋体" w:hAnsi="宋体" w:eastAsia="Times New Roman"/>
                <w:bCs/>
                <w:color w:val="auto"/>
                <w:sz w:val="18"/>
                <w:szCs w:val="18"/>
                <w:highlight w:val="none"/>
              </w:rPr>
            </w:pPr>
            <w:r>
              <w:rPr>
                <w:rFonts w:hint="eastAsia" w:ascii="宋体" w:hAnsi="宋体" w:eastAsia="Times New Roman"/>
                <w:bCs/>
                <w:color w:val="auto"/>
                <w:sz w:val="18"/>
                <w:szCs w:val="18"/>
                <w:highlight w:val="none"/>
              </w:rPr>
              <w:t>项目负责人曾</w:t>
            </w:r>
            <w:r>
              <w:rPr>
                <w:rFonts w:hint="eastAsia" w:ascii="宋体" w:hAnsi="宋体"/>
                <w:bCs/>
                <w:color w:val="auto"/>
                <w:sz w:val="18"/>
                <w:szCs w:val="18"/>
                <w:highlight w:val="none"/>
              </w:rPr>
              <w:t>参与</w:t>
            </w:r>
            <w:r>
              <w:rPr>
                <w:rFonts w:hint="eastAsia" w:ascii="宋体" w:hAnsi="宋体" w:eastAsia="Times New Roman"/>
                <w:bCs/>
                <w:color w:val="auto"/>
                <w:sz w:val="18"/>
                <w:szCs w:val="18"/>
                <w:highlight w:val="none"/>
              </w:rPr>
              <w:t>过质量合格且</w:t>
            </w:r>
            <w:r>
              <w:rPr>
                <w:rFonts w:ascii="宋体" w:hAnsi="宋体" w:eastAsia="Times New Roman"/>
                <w:bCs/>
                <w:color w:val="auto"/>
                <w:sz w:val="18"/>
                <w:szCs w:val="18"/>
                <w:highlight w:val="none"/>
              </w:rPr>
              <w:t>中标金额</w:t>
            </w:r>
            <w:r>
              <w:rPr>
                <w:rFonts w:hint="eastAsia" w:ascii="宋体" w:hAnsi="宋体"/>
                <w:color w:val="auto"/>
                <w:sz w:val="18"/>
                <w:szCs w:val="18"/>
                <w:highlight w:val="none"/>
                <w:u w:val="single"/>
                <w:lang w:val="en-US" w:eastAsia="zh-CN"/>
              </w:rPr>
              <w:t>4800</w:t>
            </w:r>
            <w:r>
              <w:rPr>
                <w:rFonts w:ascii="宋体" w:hAnsi="宋体"/>
                <w:bCs/>
                <w:color w:val="auto"/>
                <w:sz w:val="18"/>
                <w:szCs w:val="18"/>
                <w:highlight w:val="none"/>
                <w:u w:val="single"/>
              </w:rPr>
              <w:t>万元</w:t>
            </w:r>
            <w:r>
              <w:rPr>
                <w:rFonts w:ascii="宋体" w:hAnsi="宋体" w:eastAsia="Times New Roman"/>
                <w:bCs/>
                <w:color w:val="auto"/>
                <w:sz w:val="18"/>
                <w:szCs w:val="18"/>
                <w:highlight w:val="none"/>
              </w:rPr>
              <w:t>（或以上）</w:t>
            </w:r>
            <w:r>
              <w:rPr>
                <w:rFonts w:hint="eastAsia" w:ascii="宋体" w:hAnsi="宋体" w:eastAsia="Times New Roman"/>
                <w:bCs/>
                <w:color w:val="auto"/>
                <w:sz w:val="18"/>
                <w:szCs w:val="18"/>
                <w:highlight w:val="none"/>
              </w:rPr>
              <w:t>的</w:t>
            </w:r>
            <w:r>
              <w:rPr>
                <w:rFonts w:hint="eastAsia" w:ascii="宋体" w:hAnsi="宋体"/>
                <w:color w:val="auto"/>
                <w:sz w:val="18"/>
                <w:szCs w:val="18"/>
                <w:highlight w:val="none"/>
                <w:u w:val="single"/>
              </w:rPr>
              <w:t>市政公用工程</w:t>
            </w:r>
            <w:r>
              <w:rPr>
                <w:rFonts w:hint="eastAsia" w:ascii="宋体" w:hAnsi="宋体"/>
                <w:color w:val="auto"/>
                <w:sz w:val="18"/>
                <w:szCs w:val="18"/>
                <w:highlight w:val="none"/>
                <w:u w:val="single"/>
                <w:lang w:eastAsia="zh-CN"/>
              </w:rPr>
              <w:t>或类似城市道路工程</w:t>
            </w:r>
            <w:r>
              <w:rPr>
                <w:rFonts w:hint="eastAsia" w:ascii="宋体" w:hAnsi="宋体" w:eastAsia="Times New Roman"/>
                <w:bCs/>
                <w:color w:val="auto"/>
                <w:sz w:val="18"/>
                <w:szCs w:val="18"/>
                <w:highlight w:val="none"/>
              </w:rPr>
              <w:t>项目的，每项得</w:t>
            </w:r>
            <w:r>
              <w:rPr>
                <w:rFonts w:ascii="宋体" w:hAnsi="宋体" w:eastAsia="Times New Roman"/>
                <w:b/>
                <w:color w:val="auto"/>
                <w:sz w:val="18"/>
                <w:szCs w:val="18"/>
                <w:highlight w:val="none"/>
              </w:rPr>
              <w:t>2.5</w:t>
            </w:r>
            <w:r>
              <w:rPr>
                <w:rFonts w:hint="eastAsia" w:ascii="宋体" w:hAnsi="宋体" w:eastAsia="Times New Roman"/>
                <w:b/>
                <w:color w:val="auto"/>
                <w:sz w:val="18"/>
                <w:szCs w:val="18"/>
                <w:highlight w:val="none"/>
              </w:rPr>
              <w:t>分</w:t>
            </w:r>
            <w:r>
              <w:rPr>
                <w:rFonts w:hint="eastAsia" w:ascii="宋体" w:hAnsi="宋体" w:eastAsia="Times New Roman"/>
                <w:bCs/>
                <w:color w:val="auto"/>
                <w:sz w:val="18"/>
                <w:szCs w:val="18"/>
                <w:highlight w:val="none"/>
              </w:rPr>
              <w:t>，最高得</w:t>
            </w:r>
            <w:r>
              <w:rPr>
                <w:rFonts w:ascii="宋体" w:hAnsi="宋体" w:eastAsia="Times New Roman"/>
                <w:b/>
                <w:color w:val="auto"/>
                <w:sz w:val="18"/>
                <w:szCs w:val="18"/>
                <w:highlight w:val="none"/>
              </w:rPr>
              <w:t>5</w:t>
            </w:r>
            <w:r>
              <w:rPr>
                <w:rFonts w:hint="eastAsia" w:ascii="宋体" w:hAnsi="宋体" w:eastAsia="Times New Roman"/>
                <w:b/>
                <w:color w:val="auto"/>
                <w:sz w:val="18"/>
                <w:szCs w:val="18"/>
                <w:highlight w:val="none"/>
              </w:rPr>
              <w:t>分</w:t>
            </w:r>
            <w:r>
              <w:rPr>
                <w:rFonts w:hint="eastAsia" w:ascii="宋体" w:hAnsi="宋体" w:eastAsia="Times New Roman"/>
                <w:bCs/>
                <w:color w:val="auto"/>
                <w:sz w:val="18"/>
                <w:szCs w:val="18"/>
                <w:highlight w:val="none"/>
              </w:rPr>
              <w:t>。</w:t>
            </w:r>
          </w:p>
          <w:p w14:paraId="32B5E9B5">
            <w:pPr>
              <w:snapToGrid w:val="0"/>
              <w:spacing w:line="280" w:lineRule="exact"/>
              <w:rPr>
                <w:rFonts w:ascii="宋体" w:hAnsi="宋体"/>
                <w:bCs/>
                <w:color w:val="auto"/>
                <w:sz w:val="18"/>
                <w:szCs w:val="18"/>
                <w:highlight w:val="none"/>
              </w:rPr>
            </w:pPr>
            <w:r>
              <w:rPr>
                <w:rFonts w:hint="eastAsia" w:ascii="宋体" w:hAnsi="宋体"/>
                <w:bCs/>
                <w:color w:val="auto"/>
                <w:sz w:val="18"/>
                <w:szCs w:val="18"/>
                <w:highlight w:val="none"/>
              </w:rPr>
              <w:t>注：1、项目负责人曾参与的业绩指拟派项目负责人曾以项目负责人或技术负责人或质量负责人或安全负责人或造价负责人等负责人职务身份完成的业绩。</w:t>
            </w:r>
          </w:p>
          <w:p w14:paraId="4D1F198D">
            <w:pPr>
              <w:pStyle w:val="21"/>
              <w:rPr>
                <w:color w:val="auto"/>
                <w:highlight w:val="none"/>
              </w:rPr>
            </w:pPr>
            <w:r>
              <w:rPr>
                <w:rFonts w:hint="eastAsia" w:hAnsi="宋体"/>
                <w:bCs/>
                <w:color w:val="auto"/>
                <w:sz w:val="18"/>
                <w:szCs w:val="18"/>
                <w:highlight w:val="none"/>
              </w:rPr>
              <w:t>2、职务身份的认定以中标通知书或施工合同或竣工验收报告或竣工验收证明或工程竣工验收备案表或其他竣工验收证明材料显示担任的职务身份内容为准。</w:t>
            </w:r>
          </w:p>
        </w:tc>
      </w:tr>
      <w:tr w14:paraId="4D0D2E56">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6" w:hRule="atLeast"/>
          <w:jc w:val="center"/>
        </w:trPr>
        <w:tc>
          <w:tcPr>
            <w:tcW w:w="1043" w:type="dxa"/>
            <w:vMerge w:val="continue"/>
            <w:tcBorders>
              <w:left w:val="single" w:color="auto" w:sz="8" w:space="0"/>
              <w:right w:val="single" w:color="auto" w:sz="4" w:space="0"/>
            </w:tcBorders>
            <w:noWrap w:val="0"/>
            <w:vAlign w:val="center"/>
          </w:tcPr>
          <w:p w14:paraId="2DD48AA4">
            <w:pPr>
              <w:widowControl/>
              <w:adjustRightInd w:val="0"/>
              <w:snapToGrid w:val="0"/>
              <w:jc w:val="center"/>
              <w:rPr>
                <w:rFonts w:ascii="宋体" w:hAnsi="宋体" w:eastAsia="Times New Roman"/>
                <w:color w:val="auto"/>
                <w:sz w:val="18"/>
                <w:szCs w:val="18"/>
                <w:highlight w:val="none"/>
              </w:rPr>
            </w:pPr>
          </w:p>
        </w:tc>
        <w:tc>
          <w:tcPr>
            <w:tcW w:w="1832" w:type="dxa"/>
            <w:vMerge w:val="restart"/>
            <w:tcBorders>
              <w:top w:val="single" w:color="auto" w:sz="4" w:space="0"/>
              <w:left w:val="single" w:color="auto" w:sz="8" w:space="0"/>
              <w:right w:val="single" w:color="auto" w:sz="4" w:space="0"/>
            </w:tcBorders>
            <w:noWrap w:val="0"/>
            <w:vAlign w:val="center"/>
          </w:tcPr>
          <w:p w14:paraId="4875F900">
            <w:pPr>
              <w:snapToGrid w:val="0"/>
              <w:spacing w:line="280" w:lineRule="exact"/>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其他管理人员情况</w:t>
            </w:r>
          </w:p>
          <w:p w14:paraId="4299356F">
            <w:pPr>
              <w:widowControl/>
              <w:adjustRightInd w:val="0"/>
              <w:snapToGrid w:val="0"/>
              <w:jc w:val="center"/>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（质量</w:t>
            </w:r>
            <w:r>
              <w:rPr>
                <w:rFonts w:hint="eastAsia" w:ascii="宋体" w:hAnsi="宋体"/>
                <w:color w:val="auto"/>
                <w:sz w:val="18"/>
                <w:szCs w:val="18"/>
                <w:highlight w:val="none"/>
              </w:rPr>
              <w:t>负责人</w:t>
            </w:r>
            <w:r>
              <w:rPr>
                <w:rFonts w:hint="eastAsia" w:ascii="宋体" w:hAnsi="宋体" w:eastAsia="Times New Roman"/>
                <w:color w:val="auto"/>
                <w:sz w:val="18"/>
                <w:szCs w:val="18"/>
                <w:highlight w:val="none"/>
              </w:rPr>
              <w:t>和安全</w:t>
            </w:r>
            <w:r>
              <w:rPr>
                <w:rFonts w:hint="eastAsia" w:ascii="宋体" w:hAnsi="宋体"/>
                <w:color w:val="auto"/>
                <w:sz w:val="18"/>
                <w:szCs w:val="18"/>
                <w:highlight w:val="none"/>
              </w:rPr>
              <w:t>负责人</w:t>
            </w:r>
            <w:r>
              <w:rPr>
                <w:rFonts w:hint="eastAsia" w:ascii="宋体" w:hAnsi="宋体" w:eastAsia="Times New Roman"/>
                <w:color w:val="auto"/>
                <w:sz w:val="18"/>
                <w:szCs w:val="18"/>
                <w:highlight w:val="none"/>
              </w:rPr>
              <w:t>为同一人的，只计一项得分）</w:t>
            </w:r>
          </w:p>
        </w:tc>
        <w:tc>
          <w:tcPr>
            <w:tcW w:w="644" w:type="dxa"/>
            <w:tcBorders>
              <w:left w:val="single" w:color="auto" w:sz="4" w:space="0"/>
              <w:right w:val="single" w:color="auto" w:sz="4" w:space="0"/>
            </w:tcBorders>
            <w:noWrap w:val="0"/>
            <w:vAlign w:val="center"/>
          </w:tcPr>
          <w:p w14:paraId="06840B6C">
            <w:pPr>
              <w:widowControl/>
              <w:adjustRightInd w:val="0"/>
              <w:snapToGrid w:val="0"/>
              <w:jc w:val="center"/>
              <w:rPr>
                <w:rFonts w:ascii="宋体" w:hAnsi="宋体"/>
                <w:color w:val="auto"/>
                <w:sz w:val="18"/>
                <w:szCs w:val="18"/>
                <w:highlight w:val="none"/>
              </w:rPr>
            </w:pPr>
            <w:r>
              <w:rPr>
                <w:rFonts w:ascii="宋体" w:hAnsi="宋体"/>
                <w:color w:val="auto"/>
                <w:sz w:val="18"/>
                <w:szCs w:val="18"/>
                <w:highlight w:val="none"/>
              </w:rPr>
              <w:t>1</w:t>
            </w:r>
            <w:r>
              <w:rPr>
                <w:rFonts w:hint="eastAsia" w:ascii="宋体" w:hAnsi="宋体"/>
                <w:color w:val="auto"/>
                <w:sz w:val="18"/>
                <w:szCs w:val="18"/>
                <w:highlight w:val="none"/>
              </w:rPr>
              <w:t>0</w:t>
            </w:r>
          </w:p>
        </w:tc>
        <w:tc>
          <w:tcPr>
            <w:tcW w:w="11343" w:type="dxa"/>
            <w:tcBorders>
              <w:left w:val="single" w:color="auto" w:sz="4" w:space="0"/>
              <w:right w:val="single" w:color="auto" w:sz="4" w:space="0"/>
            </w:tcBorders>
            <w:noWrap w:val="0"/>
            <w:vAlign w:val="center"/>
          </w:tcPr>
          <w:p w14:paraId="3363FF9D">
            <w:pPr>
              <w:rPr>
                <w:color w:val="auto"/>
                <w:highlight w:val="none"/>
              </w:rPr>
            </w:pPr>
            <w:r>
              <w:rPr>
                <w:rFonts w:hint="eastAsia" w:ascii="宋体" w:hAnsi="宋体"/>
                <w:color w:val="auto"/>
                <w:sz w:val="18"/>
                <w:szCs w:val="18"/>
                <w:highlight w:val="none"/>
              </w:rPr>
              <w:t>拟派的</w:t>
            </w:r>
            <w:r>
              <w:rPr>
                <w:rFonts w:hint="eastAsia" w:ascii="宋体" w:hAnsi="宋体" w:eastAsia="Times New Roman"/>
                <w:bCs/>
                <w:color w:val="auto"/>
                <w:sz w:val="18"/>
                <w:szCs w:val="18"/>
                <w:highlight w:val="none"/>
              </w:rPr>
              <w:t>技术负责人为</w:t>
            </w:r>
            <w:r>
              <w:rPr>
                <w:rFonts w:hint="eastAsia" w:ascii="宋体" w:hAnsi="宋体" w:eastAsia="Times New Roman"/>
                <w:bCs/>
                <w:color w:val="auto"/>
                <w:sz w:val="18"/>
                <w:szCs w:val="18"/>
                <w:highlight w:val="none"/>
                <w:u w:val="single"/>
              </w:rPr>
              <w:t>市政道路或路桥</w:t>
            </w:r>
            <w:r>
              <w:rPr>
                <w:rFonts w:hint="eastAsia" w:ascii="宋体" w:hAnsi="宋体" w:eastAsia="Times New Roman"/>
                <w:bCs/>
                <w:color w:val="auto"/>
                <w:sz w:val="18"/>
                <w:szCs w:val="18"/>
                <w:highlight w:val="none"/>
              </w:rPr>
              <w:t>相关专业的高级工程师或以上职称，得</w:t>
            </w:r>
            <w:r>
              <w:rPr>
                <w:rFonts w:ascii="宋体" w:hAnsi="宋体"/>
                <w:b/>
                <w:bCs/>
                <w:color w:val="auto"/>
                <w:sz w:val="18"/>
                <w:szCs w:val="18"/>
                <w:highlight w:val="none"/>
              </w:rPr>
              <w:t>1</w:t>
            </w:r>
            <w:r>
              <w:rPr>
                <w:rFonts w:hint="eastAsia" w:ascii="宋体" w:hAnsi="宋体"/>
                <w:b/>
                <w:bCs/>
                <w:color w:val="auto"/>
                <w:sz w:val="18"/>
                <w:szCs w:val="18"/>
                <w:highlight w:val="none"/>
              </w:rPr>
              <w:t>0</w:t>
            </w:r>
            <w:r>
              <w:rPr>
                <w:rFonts w:hint="eastAsia" w:ascii="宋体" w:hAnsi="宋体" w:eastAsia="Times New Roman"/>
                <w:b/>
                <w:bCs/>
                <w:color w:val="auto"/>
                <w:sz w:val="18"/>
                <w:szCs w:val="18"/>
                <w:highlight w:val="none"/>
              </w:rPr>
              <w:t>分；</w:t>
            </w:r>
            <w:r>
              <w:rPr>
                <w:rFonts w:hint="eastAsia" w:ascii="宋体" w:hAnsi="宋体" w:eastAsia="Times New Roman"/>
                <w:bCs/>
                <w:color w:val="auto"/>
                <w:sz w:val="18"/>
                <w:szCs w:val="18"/>
                <w:highlight w:val="none"/>
              </w:rPr>
              <w:t>技术负责人为</w:t>
            </w:r>
            <w:r>
              <w:rPr>
                <w:rFonts w:hint="eastAsia" w:ascii="宋体" w:hAnsi="宋体" w:eastAsia="Times New Roman"/>
                <w:bCs/>
                <w:color w:val="auto"/>
                <w:sz w:val="18"/>
                <w:szCs w:val="18"/>
                <w:highlight w:val="none"/>
                <w:u w:val="single"/>
              </w:rPr>
              <w:t>市政道路或路桥</w:t>
            </w:r>
            <w:r>
              <w:rPr>
                <w:rFonts w:hint="eastAsia" w:ascii="宋体" w:hAnsi="宋体" w:eastAsia="Times New Roman"/>
                <w:bCs/>
                <w:color w:val="auto"/>
                <w:sz w:val="18"/>
                <w:szCs w:val="18"/>
                <w:highlight w:val="none"/>
              </w:rPr>
              <w:t>相关专业</w:t>
            </w:r>
            <w:r>
              <w:rPr>
                <w:rFonts w:hint="eastAsia" w:ascii="宋体" w:hAnsi="宋体"/>
                <w:color w:val="auto"/>
                <w:sz w:val="18"/>
                <w:szCs w:val="18"/>
                <w:highlight w:val="none"/>
              </w:rPr>
              <w:t>的工程师职称，得5分，其他不得分</w:t>
            </w:r>
            <w:r>
              <w:rPr>
                <w:rFonts w:hint="eastAsia" w:ascii="宋体" w:hAnsi="宋体" w:eastAsia="Times New Roman"/>
                <w:bCs/>
                <w:color w:val="auto"/>
                <w:sz w:val="18"/>
                <w:szCs w:val="18"/>
                <w:highlight w:val="none"/>
              </w:rPr>
              <w:t>。</w:t>
            </w:r>
          </w:p>
        </w:tc>
      </w:tr>
      <w:tr w14:paraId="552CA777">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1043" w:type="dxa"/>
            <w:vMerge w:val="continue"/>
            <w:tcBorders>
              <w:left w:val="single" w:color="auto" w:sz="8" w:space="0"/>
              <w:right w:val="single" w:color="auto" w:sz="4" w:space="0"/>
            </w:tcBorders>
            <w:noWrap w:val="0"/>
            <w:vAlign w:val="center"/>
          </w:tcPr>
          <w:p w14:paraId="6ADFCE58">
            <w:pPr>
              <w:widowControl/>
              <w:adjustRightInd w:val="0"/>
              <w:snapToGrid w:val="0"/>
              <w:jc w:val="center"/>
              <w:rPr>
                <w:rFonts w:ascii="宋体" w:hAnsi="宋体" w:eastAsia="Times New Roman"/>
                <w:color w:val="auto"/>
                <w:sz w:val="18"/>
                <w:szCs w:val="18"/>
                <w:highlight w:val="none"/>
              </w:rPr>
            </w:pPr>
          </w:p>
        </w:tc>
        <w:tc>
          <w:tcPr>
            <w:tcW w:w="1832" w:type="dxa"/>
            <w:vMerge w:val="continue"/>
            <w:tcBorders>
              <w:left w:val="single" w:color="auto" w:sz="8" w:space="0"/>
              <w:right w:val="single" w:color="auto" w:sz="4" w:space="0"/>
            </w:tcBorders>
            <w:noWrap w:val="0"/>
            <w:vAlign w:val="center"/>
          </w:tcPr>
          <w:p w14:paraId="0A289FAE">
            <w:pPr>
              <w:snapToGrid w:val="0"/>
              <w:spacing w:line="280" w:lineRule="exact"/>
              <w:rPr>
                <w:rFonts w:ascii="宋体" w:hAnsi="宋体" w:eastAsia="Times New Roman"/>
                <w:color w:val="auto"/>
                <w:sz w:val="18"/>
                <w:szCs w:val="18"/>
                <w:highlight w:val="none"/>
              </w:rPr>
            </w:pPr>
          </w:p>
        </w:tc>
        <w:tc>
          <w:tcPr>
            <w:tcW w:w="644" w:type="dxa"/>
            <w:tcBorders>
              <w:left w:val="single" w:color="auto" w:sz="4" w:space="0"/>
              <w:right w:val="single" w:color="auto" w:sz="4" w:space="0"/>
            </w:tcBorders>
            <w:noWrap w:val="0"/>
            <w:vAlign w:val="center"/>
          </w:tcPr>
          <w:p w14:paraId="1F1F5297">
            <w:pPr>
              <w:widowControl/>
              <w:adjustRightInd w:val="0"/>
              <w:snapToGrid w:val="0"/>
              <w:jc w:val="center"/>
              <w:rPr>
                <w:rFonts w:ascii="宋体" w:hAnsi="宋体"/>
                <w:color w:val="auto"/>
                <w:sz w:val="18"/>
                <w:szCs w:val="18"/>
                <w:highlight w:val="none"/>
              </w:rPr>
            </w:pPr>
            <w:r>
              <w:rPr>
                <w:rFonts w:ascii="宋体" w:hAnsi="宋体"/>
                <w:color w:val="auto"/>
                <w:sz w:val="18"/>
                <w:szCs w:val="18"/>
                <w:highlight w:val="none"/>
              </w:rPr>
              <w:t>1</w:t>
            </w:r>
            <w:r>
              <w:rPr>
                <w:rFonts w:hint="eastAsia" w:ascii="宋体" w:hAnsi="宋体"/>
                <w:color w:val="auto"/>
                <w:sz w:val="18"/>
                <w:szCs w:val="18"/>
                <w:highlight w:val="none"/>
              </w:rPr>
              <w:t>0</w:t>
            </w:r>
          </w:p>
        </w:tc>
        <w:tc>
          <w:tcPr>
            <w:tcW w:w="11343" w:type="dxa"/>
            <w:tcBorders>
              <w:left w:val="single" w:color="auto" w:sz="4" w:space="0"/>
              <w:right w:val="single" w:color="auto" w:sz="4" w:space="0"/>
            </w:tcBorders>
            <w:noWrap w:val="0"/>
            <w:vAlign w:val="center"/>
          </w:tcPr>
          <w:p w14:paraId="3E832A60">
            <w:pPr>
              <w:snapToGrid w:val="0"/>
              <w:spacing w:line="280" w:lineRule="exact"/>
              <w:rPr>
                <w:rFonts w:ascii="宋体" w:hAnsi="宋体"/>
                <w:color w:val="auto"/>
                <w:sz w:val="18"/>
                <w:szCs w:val="18"/>
                <w:highlight w:val="none"/>
              </w:rPr>
            </w:pPr>
            <w:r>
              <w:rPr>
                <w:rFonts w:hint="eastAsia" w:ascii="宋体" w:hAnsi="宋体"/>
                <w:color w:val="auto"/>
                <w:sz w:val="18"/>
                <w:szCs w:val="18"/>
                <w:highlight w:val="none"/>
              </w:rPr>
              <w:t>拟派的质量负责人为</w:t>
            </w:r>
            <w:r>
              <w:rPr>
                <w:rFonts w:hint="eastAsia" w:ascii="宋体" w:hAnsi="宋体" w:eastAsia="Times New Roman"/>
                <w:bCs/>
                <w:color w:val="auto"/>
                <w:sz w:val="18"/>
                <w:szCs w:val="18"/>
                <w:highlight w:val="none"/>
                <w:u w:val="single"/>
              </w:rPr>
              <w:t>市政道路或路桥</w:t>
            </w:r>
            <w:r>
              <w:rPr>
                <w:rFonts w:hint="eastAsia" w:ascii="宋体" w:hAnsi="宋体"/>
                <w:color w:val="auto"/>
                <w:sz w:val="18"/>
                <w:szCs w:val="18"/>
                <w:highlight w:val="none"/>
              </w:rPr>
              <w:t>相关专业的高级工程师或以上职称，得</w:t>
            </w:r>
            <w:r>
              <w:rPr>
                <w:rFonts w:ascii="宋体" w:hAnsi="宋体"/>
                <w:color w:val="auto"/>
                <w:sz w:val="18"/>
                <w:szCs w:val="18"/>
                <w:highlight w:val="none"/>
              </w:rPr>
              <w:t>1</w:t>
            </w:r>
            <w:r>
              <w:rPr>
                <w:rFonts w:hint="eastAsia" w:ascii="宋体" w:hAnsi="宋体"/>
                <w:color w:val="auto"/>
                <w:sz w:val="18"/>
                <w:szCs w:val="18"/>
                <w:highlight w:val="none"/>
              </w:rPr>
              <w:t>0分；质量负责人为</w:t>
            </w:r>
            <w:r>
              <w:rPr>
                <w:rFonts w:hint="eastAsia" w:ascii="宋体" w:hAnsi="宋体" w:eastAsia="Times New Roman"/>
                <w:bCs/>
                <w:color w:val="auto"/>
                <w:sz w:val="18"/>
                <w:szCs w:val="18"/>
                <w:highlight w:val="none"/>
                <w:u w:val="single"/>
              </w:rPr>
              <w:t>市政道路或路桥</w:t>
            </w:r>
            <w:r>
              <w:rPr>
                <w:rFonts w:hint="eastAsia" w:ascii="宋体" w:hAnsi="宋体"/>
                <w:color w:val="auto"/>
                <w:sz w:val="18"/>
                <w:szCs w:val="18"/>
                <w:highlight w:val="none"/>
              </w:rPr>
              <w:t>相关专业的工程师职称，得5分，其他不得分。</w:t>
            </w:r>
          </w:p>
          <w:p w14:paraId="63150D04">
            <w:pPr>
              <w:pStyle w:val="21"/>
              <w:rPr>
                <w:color w:val="auto"/>
                <w:highlight w:val="none"/>
              </w:rPr>
            </w:pPr>
            <w:r>
              <w:rPr>
                <w:rFonts w:hint="eastAsia" w:hAnsi="宋体"/>
                <w:color w:val="auto"/>
                <w:sz w:val="18"/>
                <w:szCs w:val="18"/>
                <w:highlight w:val="none"/>
              </w:rPr>
              <w:t>注：质量负责人应具有住房和城乡建设领域施工现场专业人员职业培训合格证（岗位名称为“市政工程质量员”）或建设部授权的建设企事业单位成立岗位培训资格考核办公室签发的建设企事业单位专业管理人员岗位证书（岗位名称为“市政工程质量员”）。</w:t>
            </w:r>
          </w:p>
        </w:tc>
      </w:tr>
      <w:tr w14:paraId="5E277759">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jc w:val="center"/>
        </w:trPr>
        <w:tc>
          <w:tcPr>
            <w:tcW w:w="1043" w:type="dxa"/>
            <w:vMerge w:val="continue"/>
            <w:tcBorders>
              <w:left w:val="single" w:color="auto" w:sz="8" w:space="0"/>
              <w:right w:val="single" w:color="auto" w:sz="4" w:space="0"/>
            </w:tcBorders>
            <w:noWrap w:val="0"/>
            <w:vAlign w:val="center"/>
          </w:tcPr>
          <w:p w14:paraId="55191941">
            <w:pPr>
              <w:widowControl/>
              <w:adjustRightInd w:val="0"/>
              <w:snapToGrid w:val="0"/>
              <w:jc w:val="center"/>
              <w:rPr>
                <w:rFonts w:ascii="宋体" w:hAnsi="宋体" w:eastAsia="Times New Roman"/>
                <w:color w:val="auto"/>
                <w:sz w:val="18"/>
                <w:szCs w:val="18"/>
                <w:highlight w:val="none"/>
              </w:rPr>
            </w:pPr>
          </w:p>
        </w:tc>
        <w:tc>
          <w:tcPr>
            <w:tcW w:w="1832" w:type="dxa"/>
            <w:vMerge w:val="continue"/>
            <w:tcBorders>
              <w:left w:val="single" w:color="auto" w:sz="8" w:space="0"/>
              <w:right w:val="single" w:color="auto" w:sz="4" w:space="0"/>
            </w:tcBorders>
            <w:noWrap w:val="0"/>
            <w:vAlign w:val="center"/>
          </w:tcPr>
          <w:p w14:paraId="50F61B1B">
            <w:pPr>
              <w:snapToGrid w:val="0"/>
              <w:spacing w:line="280" w:lineRule="exact"/>
              <w:rPr>
                <w:rFonts w:ascii="宋体" w:hAnsi="宋体" w:eastAsia="Times New Roman"/>
                <w:color w:val="auto"/>
                <w:sz w:val="18"/>
                <w:szCs w:val="18"/>
                <w:highlight w:val="none"/>
              </w:rPr>
            </w:pPr>
          </w:p>
        </w:tc>
        <w:tc>
          <w:tcPr>
            <w:tcW w:w="644" w:type="dxa"/>
            <w:tcBorders>
              <w:left w:val="single" w:color="auto" w:sz="4" w:space="0"/>
              <w:right w:val="single" w:color="auto" w:sz="4" w:space="0"/>
            </w:tcBorders>
            <w:noWrap w:val="0"/>
            <w:vAlign w:val="center"/>
          </w:tcPr>
          <w:p w14:paraId="2D1DEE28">
            <w:pPr>
              <w:widowControl/>
              <w:adjustRightInd w:val="0"/>
              <w:snapToGrid w:val="0"/>
              <w:jc w:val="center"/>
              <w:rPr>
                <w:rFonts w:ascii="宋体" w:hAnsi="宋体"/>
                <w:color w:val="auto"/>
                <w:sz w:val="18"/>
                <w:szCs w:val="18"/>
                <w:highlight w:val="none"/>
              </w:rPr>
            </w:pPr>
            <w:r>
              <w:rPr>
                <w:rFonts w:ascii="宋体" w:hAnsi="宋体"/>
                <w:color w:val="auto"/>
                <w:sz w:val="18"/>
                <w:szCs w:val="18"/>
                <w:highlight w:val="none"/>
              </w:rPr>
              <w:t>1</w:t>
            </w:r>
            <w:r>
              <w:rPr>
                <w:rFonts w:hint="eastAsia" w:ascii="宋体" w:hAnsi="宋体"/>
                <w:color w:val="auto"/>
                <w:sz w:val="18"/>
                <w:szCs w:val="18"/>
                <w:highlight w:val="none"/>
              </w:rPr>
              <w:t>0</w:t>
            </w:r>
          </w:p>
        </w:tc>
        <w:tc>
          <w:tcPr>
            <w:tcW w:w="11343" w:type="dxa"/>
            <w:tcBorders>
              <w:left w:val="single" w:color="auto" w:sz="4" w:space="0"/>
              <w:right w:val="single" w:color="auto" w:sz="4" w:space="0"/>
            </w:tcBorders>
            <w:noWrap w:val="0"/>
            <w:vAlign w:val="center"/>
          </w:tcPr>
          <w:p w14:paraId="514A9ECE">
            <w:pPr>
              <w:snapToGrid w:val="0"/>
              <w:spacing w:line="280" w:lineRule="exact"/>
              <w:rPr>
                <w:rFonts w:ascii="宋体" w:hAnsi="宋体"/>
                <w:bCs/>
                <w:color w:val="auto"/>
                <w:sz w:val="18"/>
                <w:szCs w:val="18"/>
                <w:highlight w:val="none"/>
              </w:rPr>
            </w:pPr>
            <w:r>
              <w:rPr>
                <w:rFonts w:hint="eastAsia" w:ascii="宋体" w:hAnsi="宋体" w:eastAsia="Times New Roman"/>
                <w:bCs/>
                <w:color w:val="auto"/>
                <w:sz w:val="18"/>
                <w:szCs w:val="18"/>
                <w:highlight w:val="none"/>
              </w:rPr>
              <w:t>安全</w:t>
            </w:r>
            <w:r>
              <w:rPr>
                <w:rFonts w:hint="eastAsia" w:ascii="宋体" w:hAnsi="宋体"/>
                <w:bCs/>
                <w:color w:val="auto"/>
                <w:sz w:val="18"/>
                <w:szCs w:val="18"/>
                <w:highlight w:val="none"/>
              </w:rPr>
              <w:t>负责人</w:t>
            </w:r>
            <w:r>
              <w:rPr>
                <w:rFonts w:hint="eastAsia" w:ascii="宋体" w:hAnsi="宋体" w:eastAsia="Times New Roman"/>
                <w:bCs/>
                <w:color w:val="auto"/>
                <w:sz w:val="18"/>
                <w:szCs w:val="18"/>
                <w:highlight w:val="none"/>
              </w:rPr>
              <w:t>为</w:t>
            </w:r>
            <w:r>
              <w:rPr>
                <w:rFonts w:hint="eastAsia" w:ascii="宋体" w:hAnsi="宋体" w:eastAsia="Times New Roman"/>
                <w:bCs/>
                <w:color w:val="auto"/>
                <w:sz w:val="18"/>
                <w:szCs w:val="18"/>
                <w:highlight w:val="none"/>
                <w:u w:val="single"/>
              </w:rPr>
              <w:t>市政道路或路桥</w:t>
            </w:r>
            <w:r>
              <w:rPr>
                <w:rFonts w:hint="eastAsia" w:ascii="宋体" w:hAnsi="宋体"/>
                <w:color w:val="auto"/>
                <w:sz w:val="18"/>
                <w:szCs w:val="18"/>
                <w:highlight w:val="none"/>
              </w:rPr>
              <w:t>相关</w:t>
            </w:r>
            <w:r>
              <w:rPr>
                <w:rFonts w:hint="eastAsia" w:ascii="宋体" w:hAnsi="宋体" w:eastAsia="Times New Roman"/>
                <w:bCs/>
                <w:color w:val="auto"/>
                <w:sz w:val="18"/>
                <w:szCs w:val="18"/>
                <w:highlight w:val="none"/>
              </w:rPr>
              <w:t>专业的高级工程师或以上职称，得</w:t>
            </w:r>
            <w:r>
              <w:rPr>
                <w:rFonts w:ascii="宋体" w:hAnsi="宋体" w:eastAsia="Times New Roman"/>
                <w:b/>
                <w:bCs/>
                <w:color w:val="auto"/>
                <w:sz w:val="18"/>
                <w:szCs w:val="18"/>
                <w:highlight w:val="none"/>
              </w:rPr>
              <w:t>1</w:t>
            </w:r>
            <w:r>
              <w:rPr>
                <w:rFonts w:hint="eastAsia" w:ascii="宋体" w:hAnsi="宋体"/>
                <w:b/>
                <w:bCs/>
                <w:color w:val="auto"/>
                <w:sz w:val="18"/>
                <w:szCs w:val="18"/>
                <w:highlight w:val="none"/>
              </w:rPr>
              <w:t>0</w:t>
            </w:r>
            <w:r>
              <w:rPr>
                <w:rFonts w:hint="eastAsia" w:ascii="宋体" w:hAnsi="宋体" w:eastAsia="Times New Roman"/>
                <w:b/>
                <w:bCs/>
                <w:color w:val="auto"/>
                <w:sz w:val="18"/>
                <w:szCs w:val="18"/>
                <w:highlight w:val="none"/>
              </w:rPr>
              <w:t>分</w:t>
            </w:r>
            <w:r>
              <w:rPr>
                <w:rFonts w:hint="eastAsia" w:ascii="宋体" w:hAnsi="宋体" w:eastAsia="Times New Roman"/>
                <w:bCs/>
                <w:color w:val="auto"/>
                <w:sz w:val="18"/>
                <w:szCs w:val="18"/>
                <w:highlight w:val="none"/>
              </w:rPr>
              <w:t>；安全</w:t>
            </w:r>
            <w:r>
              <w:rPr>
                <w:rFonts w:hint="eastAsia" w:ascii="宋体" w:hAnsi="宋体"/>
                <w:bCs/>
                <w:color w:val="auto"/>
                <w:sz w:val="18"/>
                <w:szCs w:val="18"/>
                <w:highlight w:val="none"/>
              </w:rPr>
              <w:t>负责人</w:t>
            </w:r>
            <w:r>
              <w:rPr>
                <w:rFonts w:hint="eastAsia" w:ascii="宋体" w:hAnsi="宋体" w:eastAsia="Times New Roman"/>
                <w:bCs/>
                <w:color w:val="auto"/>
                <w:sz w:val="18"/>
                <w:szCs w:val="18"/>
                <w:highlight w:val="none"/>
              </w:rPr>
              <w:t>为</w:t>
            </w:r>
            <w:r>
              <w:rPr>
                <w:rFonts w:hint="eastAsia" w:ascii="宋体" w:hAnsi="宋体" w:eastAsia="Times New Roman"/>
                <w:bCs/>
                <w:color w:val="auto"/>
                <w:sz w:val="18"/>
                <w:szCs w:val="18"/>
                <w:highlight w:val="none"/>
                <w:u w:val="single"/>
              </w:rPr>
              <w:t>市政道路或路桥</w:t>
            </w:r>
            <w:r>
              <w:rPr>
                <w:rFonts w:hint="eastAsia" w:ascii="宋体" w:hAnsi="宋体"/>
                <w:color w:val="auto"/>
                <w:sz w:val="18"/>
                <w:szCs w:val="18"/>
                <w:highlight w:val="none"/>
              </w:rPr>
              <w:t>相关</w:t>
            </w:r>
            <w:r>
              <w:rPr>
                <w:rFonts w:hint="eastAsia" w:ascii="宋体" w:hAnsi="宋体" w:eastAsia="Times New Roman"/>
                <w:bCs/>
                <w:color w:val="auto"/>
                <w:sz w:val="18"/>
                <w:szCs w:val="18"/>
                <w:highlight w:val="none"/>
              </w:rPr>
              <w:t>专业的工程师职称，得</w:t>
            </w:r>
            <w:r>
              <w:rPr>
                <w:rFonts w:hint="eastAsia" w:ascii="宋体" w:hAnsi="宋体"/>
                <w:b/>
                <w:bCs/>
                <w:color w:val="auto"/>
                <w:sz w:val="18"/>
                <w:szCs w:val="18"/>
                <w:highlight w:val="none"/>
              </w:rPr>
              <w:t>5</w:t>
            </w:r>
            <w:r>
              <w:rPr>
                <w:rFonts w:hint="eastAsia" w:ascii="宋体" w:hAnsi="宋体" w:eastAsia="Times New Roman"/>
                <w:b/>
                <w:bCs/>
                <w:color w:val="auto"/>
                <w:sz w:val="18"/>
                <w:szCs w:val="18"/>
                <w:highlight w:val="none"/>
              </w:rPr>
              <w:t>分</w:t>
            </w:r>
            <w:r>
              <w:rPr>
                <w:rFonts w:hint="eastAsia" w:ascii="宋体" w:hAnsi="宋体" w:eastAsia="Times New Roman"/>
                <w:bCs/>
                <w:color w:val="auto"/>
                <w:sz w:val="18"/>
                <w:szCs w:val="18"/>
                <w:highlight w:val="none"/>
              </w:rPr>
              <w:t>，其他不得分。</w:t>
            </w:r>
          </w:p>
          <w:p w14:paraId="763A8750">
            <w:pPr>
              <w:snapToGrid w:val="0"/>
              <w:spacing w:line="280" w:lineRule="exact"/>
              <w:rPr>
                <w:rFonts w:ascii="宋体" w:hAnsi="宋体"/>
                <w:bCs/>
                <w:color w:val="auto"/>
                <w:sz w:val="18"/>
                <w:szCs w:val="18"/>
                <w:highlight w:val="none"/>
              </w:rPr>
            </w:pPr>
            <w:r>
              <w:rPr>
                <w:rFonts w:hint="eastAsia" w:ascii="宋体" w:hAnsi="宋体"/>
                <w:bCs/>
                <w:color w:val="auto"/>
                <w:sz w:val="18"/>
                <w:szCs w:val="18"/>
                <w:highlight w:val="none"/>
              </w:rPr>
              <w:t>注：安全负责人应具有安全生产考核合格证（C类）或建筑施工企业专职安全生产管理人员安全生产考核合格证书（C3类）</w:t>
            </w:r>
          </w:p>
        </w:tc>
      </w:tr>
      <w:tr w14:paraId="3AEDBAED">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43" w:type="dxa"/>
            <w:vMerge w:val="continue"/>
            <w:tcBorders>
              <w:left w:val="single" w:color="auto" w:sz="8" w:space="0"/>
              <w:right w:val="single" w:color="auto" w:sz="4" w:space="0"/>
            </w:tcBorders>
            <w:noWrap w:val="0"/>
            <w:vAlign w:val="center"/>
          </w:tcPr>
          <w:p w14:paraId="57322995">
            <w:pPr>
              <w:widowControl/>
              <w:adjustRightInd w:val="0"/>
              <w:snapToGrid w:val="0"/>
              <w:jc w:val="center"/>
              <w:rPr>
                <w:rFonts w:ascii="宋体" w:hAnsi="宋体" w:eastAsia="Times New Roman"/>
                <w:color w:val="auto"/>
                <w:sz w:val="18"/>
                <w:szCs w:val="18"/>
                <w:highlight w:val="none"/>
              </w:rPr>
            </w:pPr>
          </w:p>
        </w:tc>
        <w:tc>
          <w:tcPr>
            <w:tcW w:w="1832" w:type="dxa"/>
            <w:vMerge w:val="continue"/>
            <w:tcBorders>
              <w:left w:val="single" w:color="auto" w:sz="8" w:space="0"/>
              <w:right w:val="single" w:color="auto" w:sz="4" w:space="0"/>
            </w:tcBorders>
            <w:noWrap w:val="0"/>
            <w:vAlign w:val="center"/>
          </w:tcPr>
          <w:p w14:paraId="6C4525BB">
            <w:pPr>
              <w:snapToGrid w:val="0"/>
              <w:spacing w:line="280" w:lineRule="exact"/>
              <w:rPr>
                <w:rFonts w:ascii="宋体" w:hAnsi="宋体" w:eastAsia="Times New Roman"/>
                <w:color w:val="auto"/>
                <w:sz w:val="18"/>
                <w:szCs w:val="18"/>
                <w:highlight w:val="none"/>
              </w:rPr>
            </w:pPr>
          </w:p>
        </w:tc>
        <w:tc>
          <w:tcPr>
            <w:tcW w:w="644" w:type="dxa"/>
            <w:tcBorders>
              <w:left w:val="single" w:color="auto" w:sz="4" w:space="0"/>
              <w:right w:val="single" w:color="auto" w:sz="4" w:space="0"/>
            </w:tcBorders>
            <w:noWrap w:val="0"/>
            <w:vAlign w:val="center"/>
          </w:tcPr>
          <w:p w14:paraId="5DE12AA9">
            <w:pPr>
              <w:widowControl/>
              <w:adjustRightInd w:val="0"/>
              <w:snapToGrid w:val="0"/>
              <w:jc w:val="center"/>
              <w:rPr>
                <w:rFonts w:ascii="宋体" w:hAnsi="宋体"/>
                <w:color w:val="auto"/>
                <w:sz w:val="18"/>
                <w:szCs w:val="18"/>
                <w:highlight w:val="none"/>
              </w:rPr>
            </w:pPr>
            <w:r>
              <w:rPr>
                <w:rFonts w:hint="eastAsia" w:ascii="宋体" w:hAnsi="宋体"/>
                <w:color w:val="auto"/>
                <w:sz w:val="18"/>
                <w:szCs w:val="18"/>
                <w:highlight w:val="none"/>
              </w:rPr>
              <w:t>8</w:t>
            </w:r>
          </w:p>
        </w:tc>
        <w:tc>
          <w:tcPr>
            <w:tcW w:w="11343" w:type="dxa"/>
            <w:tcBorders>
              <w:left w:val="single" w:color="auto" w:sz="4" w:space="0"/>
              <w:right w:val="single" w:color="auto" w:sz="4" w:space="0"/>
            </w:tcBorders>
            <w:noWrap w:val="0"/>
            <w:vAlign w:val="center"/>
          </w:tcPr>
          <w:p w14:paraId="7F7FF618">
            <w:pPr>
              <w:snapToGrid w:val="0"/>
              <w:spacing w:line="280" w:lineRule="exact"/>
              <w:rPr>
                <w:rFonts w:ascii="宋体" w:hAnsi="宋体" w:eastAsia="Times New Roman"/>
                <w:bCs/>
                <w:color w:val="auto"/>
                <w:sz w:val="18"/>
                <w:szCs w:val="18"/>
                <w:highlight w:val="none"/>
              </w:rPr>
            </w:pPr>
            <w:r>
              <w:rPr>
                <w:rFonts w:hint="eastAsia" w:ascii="宋体" w:hAnsi="宋体"/>
                <w:bCs/>
                <w:color w:val="auto"/>
                <w:sz w:val="18"/>
                <w:szCs w:val="18"/>
                <w:highlight w:val="none"/>
              </w:rPr>
              <w:t>造价负责人为一级注册造价工程师，得</w:t>
            </w:r>
            <w:r>
              <w:rPr>
                <w:rFonts w:hint="eastAsia" w:ascii="宋体" w:hAnsi="宋体"/>
                <w:b/>
                <w:bCs/>
                <w:color w:val="auto"/>
                <w:sz w:val="18"/>
                <w:szCs w:val="18"/>
                <w:highlight w:val="none"/>
              </w:rPr>
              <w:t>8分</w:t>
            </w:r>
            <w:r>
              <w:rPr>
                <w:rFonts w:hint="eastAsia" w:ascii="宋体" w:hAnsi="宋体"/>
                <w:bCs/>
                <w:color w:val="auto"/>
                <w:sz w:val="18"/>
                <w:szCs w:val="18"/>
                <w:highlight w:val="none"/>
              </w:rPr>
              <w:t>；其他不得分。</w:t>
            </w:r>
          </w:p>
        </w:tc>
      </w:tr>
      <w:tr w14:paraId="0004CA7F">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043" w:type="dxa"/>
            <w:vMerge w:val="continue"/>
            <w:tcBorders>
              <w:left w:val="single" w:color="auto" w:sz="8" w:space="0"/>
              <w:right w:val="single" w:color="auto" w:sz="4" w:space="0"/>
            </w:tcBorders>
            <w:noWrap w:val="0"/>
            <w:vAlign w:val="center"/>
          </w:tcPr>
          <w:p w14:paraId="1907E9B7">
            <w:pPr>
              <w:widowControl/>
              <w:adjustRightInd w:val="0"/>
              <w:snapToGrid w:val="0"/>
              <w:jc w:val="center"/>
              <w:rPr>
                <w:rFonts w:ascii="宋体" w:hAnsi="宋体" w:eastAsia="Times New Roman"/>
                <w:color w:val="auto"/>
                <w:sz w:val="18"/>
                <w:szCs w:val="18"/>
                <w:highlight w:val="none"/>
              </w:rPr>
            </w:pPr>
          </w:p>
        </w:tc>
        <w:tc>
          <w:tcPr>
            <w:tcW w:w="1832" w:type="dxa"/>
            <w:vMerge w:val="continue"/>
            <w:tcBorders>
              <w:left w:val="single" w:color="auto" w:sz="8" w:space="0"/>
              <w:bottom w:val="single" w:color="auto" w:sz="4" w:space="0"/>
              <w:right w:val="single" w:color="auto" w:sz="4" w:space="0"/>
            </w:tcBorders>
            <w:noWrap w:val="0"/>
            <w:vAlign w:val="center"/>
          </w:tcPr>
          <w:p w14:paraId="1252D29B">
            <w:pPr>
              <w:snapToGrid w:val="0"/>
              <w:spacing w:line="280" w:lineRule="exact"/>
              <w:rPr>
                <w:rFonts w:ascii="宋体" w:hAnsi="宋体" w:eastAsia="Times New Roman"/>
                <w:color w:val="auto"/>
                <w:sz w:val="18"/>
                <w:szCs w:val="18"/>
                <w:highlight w:val="none"/>
              </w:rPr>
            </w:pPr>
          </w:p>
        </w:tc>
        <w:tc>
          <w:tcPr>
            <w:tcW w:w="644" w:type="dxa"/>
            <w:tcBorders>
              <w:left w:val="single" w:color="auto" w:sz="4" w:space="0"/>
              <w:right w:val="single" w:color="auto" w:sz="4" w:space="0"/>
            </w:tcBorders>
            <w:noWrap w:val="0"/>
            <w:vAlign w:val="center"/>
          </w:tcPr>
          <w:p w14:paraId="54462319">
            <w:pPr>
              <w:widowControl/>
              <w:adjustRightInd w:val="0"/>
              <w:snapToGrid w:val="0"/>
              <w:jc w:val="center"/>
              <w:rPr>
                <w:rFonts w:ascii="宋体" w:hAnsi="宋体"/>
                <w:color w:val="auto"/>
                <w:sz w:val="18"/>
                <w:szCs w:val="18"/>
                <w:highlight w:val="none"/>
              </w:rPr>
            </w:pPr>
            <w:r>
              <w:rPr>
                <w:rFonts w:hint="eastAsia" w:ascii="宋体" w:hAnsi="宋体"/>
                <w:color w:val="auto"/>
                <w:sz w:val="18"/>
                <w:szCs w:val="18"/>
                <w:highlight w:val="none"/>
              </w:rPr>
              <w:t>2</w:t>
            </w:r>
          </w:p>
        </w:tc>
        <w:tc>
          <w:tcPr>
            <w:tcW w:w="11343" w:type="dxa"/>
            <w:tcBorders>
              <w:left w:val="single" w:color="auto" w:sz="4" w:space="0"/>
              <w:right w:val="single" w:color="auto" w:sz="4" w:space="0"/>
            </w:tcBorders>
            <w:noWrap w:val="0"/>
            <w:vAlign w:val="center"/>
          </w:tcPr>
          <w:p w14:paraId="658C685B">
            <w:pPr>
              <w:snapToGrid w:val="0"/>
              <w:spacing w:line="280" w:lineRule="exact"/>
              <w:rPr>
                <w:rFonts w:ascii="宋体" w:hAnsi="宋体"/>
                <w:bCs/>
                <w:color w:val="auto"/>
                <w:sz w:val="18"/>
                <w:szCs w:val="18"/>
                <w:highlight w:val="none"/>
              </w:rPr>
            </w:pPr>
            <w:r>
              <w:rPr>
                <w:rFonts w:hint="eastAsia" w:ascii="宋体" w:hAnsi="宋体"/>
                <w:bCs/>
                <w:color w:val="auto"/>
                <w:sz w:val="18"/>
                <w:szCs w:val="18"/>
                <w:highlight w:val="none"/>
              </w:rPr>
              <w:t>资料员为</w:t>
            </w:r>
            <w:r>
              <w:rPr>
                <w:rFonts w:hint="eastAsia" w:ascii="宋体" w:hAnsi="宋体" w:eastAsia="Times New Roman"/>
                <w:bCs/>
                <w:color w:val="auto"/>
                <w:sz w:val="18"/>
                <w:szCs w:val="18"/>
                <w:highlight w:val="none"/>
                <w:u w:val="single"/>
              </w:rPr>
              <w:t>市政道路或路桥</w:t>
            </w:r>
            <w:r>
              <w:rPr>
                <w:rFonts w:hint="eastAsia" w:ascii="宋体" w:hAnsi="宋体"/>
                <w:color w:val="auto"/>
                <w:sz w:val="18"/>
                <w:szCs w:val="18"/>
                <w:highlight w:val="none"/>
              </w:rPr>
              <w:t>相关</w:t>
            </w:r>
            <w:r>
              <w:rPr>
                <w:rFonts w:hint="eastAsia" w:ascii="宋体" w:hAnsi="宋体"/>
                <w:color w:val="auto"/>
                <w:sz w:val="18"/>
                <w:szCs w:val="18"/>
                <w:highlight w:val="none"/>
                <w:u w:val="single"/>
              </w:rPr>
              <w:t>的</w:t>
            </w:r>
            <w:r>
              <w:rPr>
                <w:rFonts w:hint="eastAsia" w:ascii="宋体" w:hAnsi="宋体"/>
                <w:bCs/>
                <w:color w:val="auto"/>
                <w:sz w:val="18"/>
                <w:szCs w:val="18"/>
                <w:highlight w:val="none"/>
              </w:rPr>
              <w:t>专业工程师（或以上）职称的，得2分；资料员为其他专业工程师（或以上）职称的，得1分；</w:t>
            </w:r>
          </w:p>
          <w:p w14:paraId="6C116502">
            <w:pPr>
              <w:snapToGrid w:val="0"/>
              <w:spacing w:line="280" w:lineRule="exact"/>
              <w:rPr>
                <w:rFonts w:ascii="宋体" w:hAnsi="宋体"/>
                <w:bCs/>
                <w:color w:val="auto"/>
                <w:sz w:val="18"/>
                <w:szCs w:val="18"/>
                <w:highlight w:val="none"/>
              </w:rPr>
            </w:pPr>
            <w:r>
              <w:rPr>
                <w:rFonts w:hint="eastAsia" w:ascii="宋体" w:hAnsi="宋体"/>
                <w:bCs/>
                <w:color w:val="auto"/>
                <w:sz w:val="18"/>
                <w:szCs w:val="18"/>
                <w:highlight w:val="none"/>
              </w:rPr>
              <w:t>资料员无工程师（或以上）职称的不得分。</w:t>
            </w:r>
          </w:p>
        </w:tc>
      </w:tr>
      <w:tr w14:paraId="19AFBCB6">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1043" w:type="dxa"/>
            <w:vMerge w:val="continue"/>
            <w:tcBorders>
              <w:left w:val="single" w:color="auto" w:sz="8" w:space="0"/>
              <w:bottom w:val="single" w:color="auto" w:sz="4" w:space="0"/>
              <w:right w:val="single" w:color="auto" w:sz="4" w:space="0"/>
            </w:tcBorders>
            <w:noWrap w:val="0"/>
            <w:vAlign w:val="center"/>
          </w:tcPr>
          <w:p w14:paraId="48849932">
            <w:pPr>
              <w:widowControl/>
              <w:adjustRightInd w:val="0"/>
              <w:snapToGrid w:val="0"/>
              <w:jc w:val="center"/>
              <w:rPr>
                <w:rFonts w:ascii="宋体" w:hAnsi="宋体" w:eastAsia="Times New Roman"/>
                <w:color w:val="auto"/>
                <w:sz w:val="18"/>
                <w:szCs w:val="18"/>
                <w:highlight w:val="none"/>
              </w:rPr>
            </w:pPr>
          </w:p>
        </w:tc>
        <w:tc>
          <w:tcPr>
            <w:tcW w:w="1832" w:type="dxa"/>
            <w:tcBorders>
              <w:top w:val="single" w:color="auto" w:sz="4" w:space="0"/>
              <w:left w:val="single" w:color="auto" w:sz="8" w:space="0"/>
              <w:bottom w:val="single" w:color="auto" w:sz="4" w:space="0"/>
              <w:right w:val="single" w:color="auto" w:sz="4" w:space="0"/>
            </w:tcBorders>
            <w:noWrap w:val="0"/>
            <w:vAlign w:val="center"/>
          </w:tcPr>
          <w:p w14:paraId="154F6822">
            <w:pPr>
              <w:widowControl/>
              <w:adjustRightInd w:val="0"/>
              <w:snapToGrid w:val="0"/>
              <w:jc w:val="center"/>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项目管理机构资源调动能力</w:t>
            </w:r>
          </w:p>
        </w:tc>
        <w:tc>
          <w:tcPr>
            <w:tcW w:w="644" w:type="dxa"/>
            <w:tcBorders>
              <w:left w:val="single" w:color="auto" w:sz="4" w:space="0"/>
              <w:bottom w:val="single" w:color="auto" w:sz="4" w:space="0"/>
              <w:right w:val="single" w:color="auto" w:sz="4" w:space="0"/>
            </w:tcBorders>
            <w:noWrap w:val="0"/>
            <w:vAlign w:val="center"/>
          </w:tcPr>
          <w:p w14:paraId="11C696A4">
            <w:pPr>
              <w:widowControl/>
              <w:adjustRightInd w:val="0"/>
              <w:snapToGrid w:val="0"/>
              <w:jc w:val="center"/>
              <w:rPr>
                <w:rFonts w:ascii="宋体" w:hAnsi="宋体" w:eastAsia="Times New Roman"/>
                <w:color w:val="auto"/>
                <w:sz w:val="18"/>
                <w:szCs w:val="18"/>
                <w:highlight w:val="none"/>
              </w:rPr>
            </w:pPr>
            <w:r>
              <w:rPr>
                <w:rFonts w:ascii="宋体" w:hAnsi="宋体" w:eastAsia="Times New Roman"/>
                <w:color w:val="auto"/>
                <w:sz w:val="18"/>
                <w:szCs w:val="18"/>
                <w:highlight w:val="none"/>
              </w:rPr>
              <w:t>10</w:t>
            </w:r>
          </w:p>
        </w:tc>
        <w:tc>
          <w:tcPr>
            <w:tcW w:w="11343" w:type="dxa"/>
            <w:tcBorders>
              <w:left w:val="single" w:color="auto" w:sz="4" w:space="0"/>
              <w:bottom w:val="single" w:color="auto" w:sz="4" w:space="0"/>
              <w:right w:val="single" w:color="auto" w:sz="4" w:space="0"/>
            </w:tcBorders>
            <w:noWrap w:val="0"/>
            <w:vAlign w:val="center"/>
          </w:tcPr>
          <w:p w14:paraId="066D88FD">
            <w:pPr>
              <w:adjustRightInd w:val="0"/>
              <w:snapToGrid w:val="0"/>
              <w:rPr>
                <w:rFonts w:ascii="宋体" w:hAnsi="宋体"/>
                <w:color w:val="auto"/>
                <w:sz w:val="18"/>
                <w:szCs w:val="18"/>
                <w:highlight w:val="none"/>
              </w:rPr>
            </w:pPr>
            <w:r>
              <w:rPr>
                <w:rFonts w:hint="eastAsia" w:ascii="宋体" w:hAnsi="宋体" w:eastAsia="Times New Roman"/>
                <w:color w:val="auto"/>
                <w:sz w:val="18"/>
                <w:szCs w:val="18"/>
                <w:highlight w:val="none"/>
              </w:rPr>
              <w:t>投标人安排</w:t>
            </w:r>
            <w:r>
              <w:rPr>
                <w:rFonts w:hint="eastAsia" w:ascii="宋体" w:hAnsi="宋体"/>
                <w:color w:val="auto"/>
                <w:sz w:val="18"/>
                <w:szCs w:val="18"/>
                <w:highlight w:val="none"/>
              </w:rPr>
              <w:t>企业总工程师</w:t>
            </w:r>
            <w:r>
              <w:rPr>
                <w:rFonts w:hint="eastAsia" w:ascii="宋体" w:hAnsi="宋体" w:eastAsia="Times New Roman"/>
                <w:color w:val="auto"/>
                <w:sz w:val="18"/>
                <w:szCs w:val="18"/>
                <w:highlight w:val="none"/>
              </w:rPr>
              <w:t>担任项目指挥长并承诺每月至少组织一次工地例会，得</w:t>
            </w:r>
            <w:r>
              <w:rPr>
                <w:rFonts w:ascii="宋体" w:hAnsi="宋体" w:eastAsia="Times New Roman"/>
                <w:b/>
                <w:color w:val="auto"/>
                <w:sz w:val="18"/>
                <w:szCs w:val="18"/>
                <w:highlight w:val="none"/>
              </w:rPr>
              <w:t>10</w:t>
            </w:r>
            <w:r>
              <w:rPr>
                <w:rFonts w:hint="eastAsia" w:ascii="宋体" w:hAnsi="宋体" w:eastAsia="Times New Roman"/>
                <w:b/>
                <w:color w:val="auto"/>
                <w:sz w:val="18"/>
                <w:szCs w:val="18"/>
                <w:highlight w:val="none"/>
              </w:rPr>
              <w:t>分</w:t>
            </w:r>
            <w:r>
              <w:rPr>
                <w:rFonts w:hint="eastAsia" w:ascii="宋体" w:hAnsi="宋体" w:eastAsia="Times New Roman"/>
                <w:color w:val="auto"/>
                <w:sz w:val="18"/>
                <w:szCs w:val="18"/>
                <w:highlight w:val="none"/>
              </w:rPr>
              <w:t>；不满足前述要求者，得</w:t>
            </w:r>
            <w:r>
              <w:rPr>
                <w:rFonts w:hint="eastAsia" w:ascii="宋体" w:hAnsi="宋体" w:eastAsia="Times New Roman"/>
                <w:b/>
                <w:bCs/>
                <w:color w:val="auto"/>
                <w:sz w:val="18"/>
                <w:szCs w:val="18"/>
                <w:highlight w:val="none"/>
              </w:rPr>
              <w:t>0</w:t>
            </w:r>
            <w:r>
              <w:rPr>
                <w:rFonts w:hint="eastAsia" w:ascii="宋体" w:hAnsi="宋体" w:eastAsia="Times New Roman"/>
                <w:b/>
                <w:color w:val="auto"/>
                <w:sz w:val="18"/>
                <w:szCs w:val="18"/>
                <w:highlight w:val="none"/>
              </w:rPr>
              <w:t>分</w:t>
            </w:r>
            <w:r>
              <w:rPr>
                <w:rFonts w:hint="eastAsia" w:ascii="宋体" w:hAnsi="宋体" w:eastAsia="Times New Roman"/>
                <w:color w:val="auto"/>
                <w:sz w:val="18"/>
                <w:szCs w:val="18"/>
                <w:highlight w:val="none"/>
              </w:rPr>
              <w:t>。</w:t>
            </w:r>
          </w:p>
          <w:p w14:paraId="6CA39BBC">
            <w:pPr>
              <w:adjustRightInd w:val="0"/>
              <w:snapToGrid w:val="0"/>
              <w:rPr>
                <w:rFonts w:ascii="宋体" w:hAnsi="宋体"/>
                <w:color w:val="auto"/>
                <w:sz w:val="18"/>
                <w:szCs w:val="18"/>
                <w:highlight w:val="none"/>
              </w:rPr>
            </w:pPr>
            <w:r>
              <w:rPr>
                <w:rFonts w:hint="eastAsia" w:ascii="宋体" w:hAnsi="宋体"/>
                <w:color w:val="auto"/>
                <w:sz w:val="18"/>
                <w:szCs w:val="18"/>
                <w:highlight w:val="none"/>
              </w:rPr>
              <w:t>注：项目指挥长需提供下列两项证明文件：1、投标截止前一个月（2025年</w:t>
            </w:r>
            <w:r>
              <w:rPr>
                <w:rFonts w:hint="eastAsia" w:ascii="宋体" w:hAnsi="宋体"/>
                <w:color w:val="auto"/>
                <w:sz w:val="18"/>
                <w:szCs w:val="18"/>
                <w:highlight w:val="none"/>
                <w:lang w:val="en-US" w:eastAsia="zh-CN"/>
              </w:rPr>
              <w:t>7</w:t>
            </w:r>
            <w:r>
              <w:rPr>
                <w:rFonts w:hint="eastAsia" w:ascii="宋体" w:hAnsi="宋体"/>
                <w:color w:val="auto"/>
                <w:sz w:val="18"/>
                <w:szCs w:val="18"/>
                <w:highlight w:val="none"/>
              </w:rPr>
              <w:t>月）在单位购买社保的证明；2、任职企业总工程师满一个月的证明文件或能反映其任职情况的企业资质证书或公司章程等证明文件扫描件，否则不计分。</w:t>
            </w:r>
          </w:p>
        </w:tc>
      </w:tr>
      <w:tr w14:paraId="7C62FD06">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0" w:hRule="atLeast"/>
          <w:jc w:val="center"/>
        </w:trPr>
        <w:tc>
          <w:tcPr>
            <w:tcW w:w="1043" w:type="dxa"/>
            <w:tcBorders>
              <w:left w:val="single" w:color="auto" w:sz="8" w:space="0"/>
              <w:bottom w:val="single" w:color="auto" w:sz="4" w:space="0"/>
              <w:right w:val="single" w:color="auto" w:sz="4" w:space="0"/>
            </w:tcBorders>
            <w:noWrap w:val="0"/>
            <w:vAlign w:val="center"/>
          </w:tcPr>
          <w:p w14:paraId="4CFF9325">
            <w:pPr>
              <w:widowControl/>
              <w:adjustRightInd w:val="0"/>
              <w:snapToGrid w:val="0"/>
              <w:jc w:val="center"/>
              <w:rPr>
                <w:rFonts w:ascii="宋体" w:hAnsi="宋体" w:eastAsia="Times New Roman"/>
                <w:color w:val="auto"/>
                <w:sz w:val="18"/>
                <w:szCs w:val="18"/>
                <w:highlight w:val="none"/>
              </w:rPr>
            </w:pPr>
            <w:r>
              <w:rPr>
                <w:rFonts w:ascii="宋体" w:hAnsi="宋体" w:eastAsia="Times New Roman"/>
                <w:color w:val="auto"/>
                <w:sz w:val="18"/>
                <w:szCs w:val="18"/>
                <w:highlight w:val="none"/>
              </w:rPr>
              <w:t>三、施工进度</w:t>
            </w:r>
            <w:r>
              <w:rPr>
                <w:rFonts w:hint="eastAsia" w:ascii="宋体" w:hAnsi="宋体"/>
                <w:color w:val="auto"/>
                <w:sz w:val="18"/>
                <w:szCs w:val="18"/>
                <w:highlight w:val="none"/>
              </w:rPr>
              <w:t>计划</w:t>
            </w:r>
          </w:p>
        </w:tc>
        <w:tc>
          <w:tcPr>
            <w:tcW w:w="1832" w:type="dxa"/>
            <w:tcBorders>
              <w:top w:val="single" w:color="auto" w:sz="4" w:space="0"/>
              <w:left w:val="single" w:color="auto" w:sz="8" w:space="0"/>
              <w:bottom w:val="single" w:color="auto" w:sz="4" w:space="0"/>
              <w:right w:val="single" w:color="auto" w:sz="4" w:space="0"/>
            </w:tcBorders>
            <w:noWrap w:val="0"/>
            <w:vAlign w:val="center"/>
          </w:tcPr>
          <w:p w14:paraId="30DC4E9A">
            <w:pPr>
              <w:widowControl/>
              <w:adjustRightInd w:val="0"/>
              <w:snapToGrid w:val="0"/>
              <w:jc w:val="center"/>
              <w:rPr>
                <w:rFonts w:hint="eastAsia" w:ascii="宋体" w:hAnsi="宋体" w:eastAsia="Times New Roman"/>
                <w:color w:val="auto"/>
                <w:sz w:val="18"/>
                <w:szCs w:val="18"/>
                <w:highlight w:val="none"/>
              </w:rPr>
            </w:pPr>
            <w:r>
              <w:rPr>
                <w:rFonts w:ascii="宋体" w:hAnsi="宋体" w:eastAsia="Times New Roman"/>
                <w:color w:val="auto"/>
                <w:sz w:val="18"/>
                <w:szCs w:val="18"/>
                <w:highlight w:val="none"/>
              </w:rPr>
              <w:t>施工进度</w:t>
            </w:r>
            <w:r>
              <w:rPr>
                <w:rFonts w:hint="eastAsia" w:ascii="宋体" w:hAnsi="宋体"/>
                <w:color w:val="auto"/>
                <w:sz w:val="18"/>
                <w:szCs w:val="18"/>
                <w:highlight w:val="none"/>
              </w:rPr>
              <w:t>计划</w:t>
            </w:r>
          </w:p>
        </w:tc>
        <w:tc>
          <w:tcPr>
            <w:tcW w:w="644" w:type="dxa"/>
            <w:tcBorders>
              <w:left w:val="single" w:color="auto" w:sz="4" w:space="0"/>
              <w:bottom w:val="single" w:color="auto" w:sz="4" w:space="0"/>
              <w:right w:val="single" w:color="auto" w:sz="4" w:space="0"/>
            </w:tcBorders>
            <w:noWrap w:val="0"/>
            <w:vAlign w:val="center"/>
          </w:tcPr>
          <w:p w14:paraId="5C19095F">
            <w:pPr>
              <w:widowControl/>
              <w:adjustRightInd w:val="0"/>
              <w:snapToGrid w:val="0"/>
              <w:jc w:val="center"/>
              <w:rPr>
                <w:rFonts w:hint="eastAsia" w:ascii="宋体" w:hAnsi="宋体" w:eastAsia="宋体"/>
                <w:color w:val="auto"/>
                <w:sz w:val="18"/>
                <w:szCs w:val="18"/>
                <w:highlight w:val="none"/>
              </w:rPr>
            </w:pPr>
            <w:r>
              <w:rPr>
                <w:rFonts w:hint="eastAsia" w:ascii="宋体" w:hAnsi="宋体"/>
                <w:color w:val="auto"/>
                <w:sz w:val="18"/>
                <w:szCs w:val="18"/>
                <w:highlight w:val="none"/>
              </w:rPr>
              <w:t>10</w:t>
            </w:r>
          </w:p>
        </w:tc>
        <w:tc>
          <w:tcPr>
            <w:tcW w:w="11343" w:type="dxa"/>
            <w:tcBorders>
              <w:left w:val="single" w:color="auto" w:sz="4" w:space="0"/>
              <w:bottom w:val="single" w:color="auto" w:sz="4" w:space="0"/>
              <w:right w:val="single" w:color="auto" w:sz="4" w:space="0"/>
            </w:tcBorders>
            <w:noWrap w:val="0"/>
            <w:vAlign w:val="top"/>
          </w:tcPr>
          <w:p w14:paraId="3D15ACAC">
            <w:pPr>
              <w:rPr>
                <w:rFonts w:hint="eastAsia" w:ascii="宋体" w:hAnsi="宋体"/>
                <w:color w:val="auto"/>
                <w:sz w:val="18"/>
                <w:szCs w:val="18"/>
                <w:highlight w:val="none"/>
              </w:rPr>
            </w:pPr>
            <w:r>
              <w:rPr>
                <w:rFonts w:hint="eastAsia" w:ascii="宋体" w:hAnsi="宋体"/>
                <w:color w:val="auto"/>
                <w:sz w:val="18"/>
                <w:szCs w:val="18"/>
                <w:highlight w:val="none"/>
              </w:rPr>
              <w:t>根据总工期要求及关键节点施工进度要求，结合自身的工程进度管理经验及实际情况，</w:t>
            </w:r>
            <w:r>
              <w:rPr>
                <w:rFonts w:ascii="宋体" w:hAnsi="宋体"/>
                <w:color w:val="auto"/>
                <w:sz w:val="18"/>
                <w:szCs w:val="18"/>
                <w:highlight w:val="none"/>
              </w:rPr>
              <w:t>施工进度计划按照每15天为最大间隔来编排，必须包括每个阶段</w:t>
            </w:r>
            <w:r>
              <w:rPr>
                <w:rFonts w:hint="eastAsia" w:ascii="宋体" w:hAnsi="宋体"/>
                <w:color w:val="auto"/>
                <w:sz w:val="18"/>
                <w:szCs w:val="18"/>
                <w:highlight w:val="none"/>
              </w:rPr>
              <w:t>人员、材料、机械及资金等方面的投入满足开工及竣工工期要求，</w:t>
            </w:r>
            <w:r>
              <w:rPr>
                <w:rFonts w:ascii="宋体" w:hAnsi="宋体"/>
                <w:color w:val="auto"/>
                <w:sz w:val="18"/>
                <w:szCs w:val="18"/>
                <w:highlight w:val="none"/>
              </w:rPr>
              <w:t>且具备较强的可实操性</w:t>
            </w:r>
            <w:r>
              <w:rPr>
                <w:rFonts w:hint="eastAsia" w:ascii="宋体" w:hAnsi="宋体"/>
                <w:color w:val="auto"/>
                <w:sz w:val="18"/>
                <w:szCs w:val="18"/>
                <w:highlight w:val="none"/>
              </w:rPr>
              <w:t>。</w:t>
            </w:r>
          </w:p>
          <w:p w14:paraId="54BF257F">
            <w:pPr>
              <w:rPr>
                <w:color w:val="auto"/>
                <w:highlight w:val="none"/>
              </w:rPr>
            </w:pPr>
            <w:r>
              <w:rPr>
                <w:rFonts w:hint="eastAsia" w:ascii="宋体" w:hAnsi="宋体"/>
                <w:color w:val="auto"/>
                <w:sz w:val="18"/>
                <w:szCs w:val="18"/>
                <w:highlight w:val="none"/>
                <w:lang w:eastAsia="zh-CN"/>
              </w:rPr>
              <w:t>优得（</w:t>
            </w:r>
            <w:r>
              <w:rPr>
                <w:rFonts w:hint="eastAsia" w:ascii="宋体" w:hAnsi="宋体"/>
                <w:color w:val="auto"/>
                <w:sz w:val="18"/>
                <w:szCs w:val="18"/>
                <w:highlight w:val="none"/>
                <w:lang w:val="en-US" w:eastAsia="zh-CN"/>
              </w:rPr>
              <w:t>8,10]分；良得（6,8]分；中得（4,6]分；差得[2,4]分；</w:t>
            </w:r>
          </w:p>
          <w:p w14:paraId="1AF89E35">
            <w:pPr>
              <w:adjustRightInd w:val="0"/>
              <w:snapToGrid w:val="0"/>
              <w:rPr>
                <w:rFonts w:hint="default" w:ascii="宋体" w:hAnsi="宋体" w:eastAsia="Times New Roman"/>
                <w:color w:val="auto"/>
                <w:sz w:val="18"/>
                <w:szCs w:val="18"/>
                <w:highlight w:val="none"/>
                <w:lang w:val="en-US"/>
              </w:rPr>
            </w:pPr>
            <w:r>
              <w:rPr>
                <w:rFonts w:hint="eastAsia" w:ascii="宋体" w:hAnsi="宋体"/>
                <w:color w:val="auto"/>
                <w:sz w:val="18"/>
                <w:szCs w:val="18"/>
                <w:highlight w:val="none"/>
                <w:lang w:val="en-US" w:eastAsia="zh-CN"/>
              </w:rPr>
              <w:t>无此部分内容或内容不符合本项要求的得0分。</w:t>
            </w:r>
          </w:p>
        </w:tc>
      </w:tr>
      <w:tr w14:paraId="7E74723B">
        <w:tblPrEx>
          <w:tblBorders>
            <w:top w:val="single" w:color="auto" w:sz="8" w:space="0"/>
            <w:left w:val="single" w:color="auto" w:sz="8"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4" w:hRule="atLeast"/>
          <w:jc w:val="center"/>
        </w:trPr>
        <w:tc>
          <w:tcPr>
            <w:tcW w:w="2875" w:type="dxa"/>
            <w:gridSpan w:val="2"/>
            <w:tcBorders>
              <w:top w:val="single" w:color="auto" w:sz="4" w:space="0"/>
              <w:left w:val="single" w:color="auto" w:sz="8" w:space="0"/>
              <w:bottom w:val="single" w:color="auto" w:sz="4" w:space="0"/>
              <w:right w:val="single" w:color="auto" w:sz="4" w:space="0"/>
            </w:tcBorders>
            <w:noWrap w:val="0"/>
            <w:vAlign w:val="center"/>
          </w:tcPr>
          <w:p w14:paraId="6A68874A">
            <w:pPr>
              <w:widowControl/>
              <w:adjustRightInd w:val="0"/>
              <w:snapToGrid w:val="0"/>
              <w:jc w:val="center"/>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合计（一+二）</w:t>
            </w:r>
          </w:p>
        </w:tc>
        <w:tc>
          <w:tcPr>
            <w:tcW w:w="644" w:type="dxa"/>
            <w:tcBorders>
              <w:top w:val="single" w:color="auto" w:sz="4" w:space="0"/>
              <w:left w:val="single" w:color="auto" w:sz="4" w:space="0"/>
              <w:bottom w:val="single" w:color="auto" w:sz="4" w:space="0"/>
              <w:right w:val="single" w:color="auto" w:sz="4" w:space="0"/>
            </w:tcBorders>
            <w:noWrap w:val="0"/>
            <w:vAlign w:val="center"/>
          </w:tcPr>
          <w:p w14:paraId="3F6DA186">
            <w:pPr>
              <w:widowControl/>
              <w:adjustRightInd w:val="0"/>
              <w:snapToGrid w:val="0"/>
              <w:jc w:val="center"/>
              <w:rPr>
                <w:rFonts w:ascii="宋体" w:hAnsi="宋体" w:eastAsia="Times New Roman"/>
                <w:color w:val="auto"/>
                <w:sz w:val="18"/>
                <w:szCs w:val="18"/>
                <w:highlight w:val="none"/>
              </w:rPr>
            </w:pPr>
            <w:r>
              <w:rPr>
                <w:rFonts w:hint="eastAsia" w:ascii="宋体" w:hAnsi="宋体" w:eastAsia="Times New Roman"/>
                <w:color w:val="auto"/>
                <w:sz w:val="18"/>
                <w:szCs w:val="18"/>
                <w:highlight w:val="none"/>
              </w:rPr>
              <w:t>100</w:t>
            </w:r>
          </w:p>
        </w:tc>
        <w:tc>
          <w:tcPr>
            <w:tcW w:w="11343" w:type="dxa"/>
            <w:tcBorders>
              <w:top w:val="single" w:color="auto" w:sz="4" w:space="0"/>
              <w:left w:val="single" w:color="auto" w:sz="4" w:space="0"/>
              <w:bottom w:val="single" w:color="auto" w:sz="4" w:space="0"/>
              <w:right w:val="single" w:color="auto" w:sz="4" w:space="0"/>
            </w:tcBorders>
            <w:noWrap w:val="0"/>
            <w:vAlign w:val="center"/>
          </w:tcPr>
          <w:p w14:paraId="06F22DDD">
            <w:pPr>
              <w:adjustRightInd w:val="0"/>
              <w:snapToGrid w:val="0"/>
              <w:rPr>
                <w:rFonts w:ascii="宋体" w:hAnsi="宋体" w:eastAsia="Times New Roman"/>
                <w:color w:val="auto"/>
                <w:sz w:val="18"/>
                <w:szCs w:val="18"/>
                <w:highlight w:val="none"/>
              </w:rPr>
            </w:pPr>
          </w:p>
        </w:tc>
      </w:tr>
    </w:tbl>
    <w:p w14:paraId="3113C43A">
      <w:pPr>
        <w:rPr>
          <w:rFonts w:ascii="宋体" w:hAnsi="宋体"/>
          <w:color w:val="auto"/>
          <w:sz w:val="18"/>
          <w:szCs w:val="18"/>
          <w:highlight w:val="none"/>
        </w:rPr>
      </w:pPr>
      <w:r>
        <w:rPr>
          <w:rFonts w:hint="eastAsia" w:ascii="宋体" w:hAnsi="宋体"/>
          <w:color w:val="auto"/>
          <w:sz w:val="18"/>
          <w:szCs w:val="18"/>
          <w:highlight w:val="none"/>
        </w:rPr>
        <w:t>注: 1、类似工程业绩是指：投标人自2020年1月1日至投标截止时间止，完成过质量合格且中标金额</w:t>
      </w:r>
      <w:r>
        <w:rPr>
          <w:rFonts w:hint="eastAsia" w:ascii="宋体" w:hAnsi="宋体"/>
          <w:color w:val="auto"/>
          <w:sz w:val="18"/>
          <w:szCs w:val="18"/>
          <w:highlight w:val="none"/>
          <w:u w:val="single"/>
          <w:lang w:val="en-US" w:eastAsia="zh-CN"/>
        </w:rPr>
        <w:t>4800</w:t>
      </w:r>
      <w:r>
        <w:rPr>
          <w:rFonts w:hint="eastAsia" w:ascii="宋体" w:hAnsi="宋体"/>
          <w:color w:val="auto"/>
          <w:sz w:val="18"/>
          <w:szCs w:val="18"/>
          <w:highlight w:val="none"/>
        </w:rPr>
        <w:t>万元（或以上）的</w:t>
      </w:r>
      <w:r>
        <w:rPr>
          <w:rFonts w:hint="eastAsia" w:ascii="宋体" w:hAnsi="宋体"/>
          <w:color w:val="auto"/>
          <w:sz w:val="18"/>
          <w:szCs w:val="18"/>
          <w:highlight w:val="none"/>
          <w:u w:val="single"/>
        </w:rPr>
        <w:t>市政公用工程施工</w:t>
      </w:r>
      <w:r>
        <w:rPr>
          <w:rFonts w:hint="eastAsia" w:ascii="宋体" w:hAnsi="宋体"/>
          <w:color w:val="auto"/>
          <w:sz w:val="18"/>
          <w:szCs w:val="18"/>
          <w:highlight w:val="none"/>
          <w:u w:val="single"/>
          <w:lang w:eastAsia="zh-CN"/>
        </w:rPr>
        <w:t>或类似城市道路工程</w:t>
      </w:r>
      <w:r>
        <w:rPr>
          <w:rFonts w:hint="eastAsia" w:ascii="宋体" w:hAnsi="宋体"/>
          <w:color w:val="auto"/>
          <w:sz w:val="18"/>
          <w:szCs w:val="18"/>
          <w:highlight w:val="none"/>
        </w:rPr>
        <w:t>业绩，时间以竣工验收时间为准，中标金额以中标通知书为准）。投标人需提供下列三项证明文件：1、中标通知书（如为免招标项目无须提供中标通知书，但须提供相应的免招标证明文件）2、合同（协议书部分）3、竣工验收文件，以上文件如提供复印件须加盖公章。金额以中标通知书为准，中标通知书上没有金额或免招标的，以施工合同（不含补充合同）为准。完成时间以竣工验收文件为准。验收文件至少具有建设单位、设计、施工和监理单位盖章。如以上资料不能证明业绩规模的，须另提供可证明业绩技术指标或经济指标的其他资料（招标人在中标结果公示时同时公示）。</w:t>
      </w:r>
    </w:p>
    <w:p w14:paraId="51640774">
      <w:pPr>
        <w:ind w:firstLine="0" w:firstLineChars="0"/>
        <w:rPr>
          <w:rFonts w:ascii="宋体" w:hAnsi="宋体"/>
          <w:color w:val="auto"/>
          <w:sz w:val="18"/>
          <w:szCs w:val="18"/>
          <w:highlight w:val="none"/>
        </w:rPr>
      </w:pPr>
      <w:r>
        <w:rPr>
          <w:rFonts w:hint="eastAsia" w:ascii="宋体" w:hAnsi="宋体"/>
          <w:color w:val="auto"/>
          <w:sz w:val="18"/>
          <w:szCs w:val="18"/>
          <w:highlight w:val="none"/>
        </w:rPr>
        <w:t>2、项目负责人曾参与的业绩，投标人需同时提交下列三项证明文件：1、中标通知书或免招标的相关证明2、施工合同3、竣工验收报告或竣工验收证明或工程竣工验收备案表或其他竣工验收证明材料，以上文件如提供扫描件须并加盖投标单位公章，以供核对（不符合条件或无提交证明材料或扫描件无加盖投标单位公章的不计分）。</w:t>
      </w:r>
    </w:p>
    <w:p w14:paraId="3EC3F9FB">
      <w:pPr>
        <w:ind w:firstLine="0" w:firstLineChars="0"/>
        <w:rPr>
          <w:rFonts w:ascii="宋体" w:hAnsi="宋体"/>
          <w:color w:val="auto"/>
          <w:sz w:val="18"/>
          <w:szCs w:val="18"/>
          <w:highlight w:val="none"/>
        </w:rPr>
      </w:pPr>
      <w:r>
        <w:rPr>
          <w:rFonts w:hint="eastAsia" w:ascii="宋体" w:hAnsi="宋体"/>
          <w:color w:val="auto"/>
          <w:sz w:val="18"/>
          <w:szCs w:val="18"/>
          <w:highlight w:val="none"/>
        </w:rPr>
        <w:t>3、“项目负责人情况”和“其他管理人员情况”所涉及的负责人资格证明无效或相关人员年龄超过</w:t>
      </w:r>
      <w:r>
        <w:rPr>
          <w:rFonts w:ascii="宋体" w:hAnsi="宋体"/>
          <w:color w:val="auto"/>
          <w:sz w:val="18"/>
          <w:szCs w:val="18"/>
          <w:highlight w:val="none"/>
        </w:rPr>
        <w:t>65周岁(即出生日期在</w:t>
      </w:r>
      <w:r>
        <w:rPr>
          <w:rFonts w:hint="eastAsia" w:ascii="宋体" w:hAnsi="宋体"/>
          <w:color w:val="auto"/>
          <w:sz w:val="18"/>
          <w:szCs w:val="18"/>
          <w:highlight w:val="none"/>
          <w:lang w:val="en-US" w:eastAsia="zh-CN"/>
        </w:rPr>
        <w:t>1962</w:t>
      </w:r>
      <w:r>
        <w:rPr>
          <w:rFonts w:hint="eastAsia" w:ascii="宋体" w:hAnsi="宋体"/>
          <w:color w:val="auto"/>
          <w:sz w:val="18"/>
          <w:szCs w:val="18"/>
          <w:highlight w:val="none"/>
        </w:rPr>
        <w:t>年</w:t>
      </w:r>
      <w:r>
        <w:rPr>
          <w:rFonts w:hint="eastAsia" w:ascii="宋体" w:hAnsi="宋体"/>
          <w:color w:val="auto"/>
          <w:sz w:val="18"/>
          <w:szCs w:val="18"/>
          <w:highlight w:val="none"/>
          <w:lang w:val="en-US" w:eastAsia="zh-CN"/>
        </w:rPr>
        <w:t>2</w:t>
      </w:r>
      <w:r>
        <w:rPr>
          <w:rFonts w:hint="eastAsia" w:ascii="宋体" w:hAnsi="宋体"/>
          <w:color w:val="auto"/>
          <w:sz w:val="18"/>
          <w:szCs w:val="18"/>
          <w:highlight w:val="none"/>
        </w:rPr>
        <w:t>月</w:t>
      </w:r>
      <w:r>
        <w:rPr>
          <w:rFonts w:hint="eastAsia" w:ascii="宋体" w:hAnsi="宋体"/>
          <w:color w:val="auto"/>
          <w:sz w:val="18"/>
          <w:szCs w:val="18"/>
          <w:highlight w:val="none"/>
          <w:lang w:val="en-US" w:eastAsia="zh-CN"/>
        </w:rPr>
        <w:t>17</w:t>
      </w:r>
      <w:r>
        <w:rPr>
          <w:rFonts w:hint="eastAsia" w:ascii="宋体" w:hAnsi="宋体"/>
          <w:color w:val="auto"/>
          <w:sz w:val="18"/>
          <w:szCs w:val="18"/>
          <w:highlight w:val="none"/>
        </w:rPr>
        <w:t>日前</w:t>
      </w:r>
      <w:r>
        <w:rPr>
          <w:rFonts w:ascii="宋体" w:hAnsi="宋体"/>
          <w:color w:val="auto"/>
          <w:sz w:val="18"/>
          <w:szCs w:val="18"/>
          <w:highlight w:val="none"/>
        </w:rPr>
        <w:t>)</w:t>
      </w:r>
      <w:r>
        <w:rPr>
          <w:rFonts w:hint="eastAsia" w:ascii="宋体" w:hAnsi="宋体"/>
          <w:color w:val="auto"/>
          <w:sz w:val="18"/>
          <w:szCs w:val="18"/>
          <w:highlight w:val="none"/>
        </w:rPr>
        <w:t>不能覆盖本项目工期者，该项均不得分。“项目管理机构能力”中的“项目负责人情况”、“其他管理人员情况”配备人数，须满足招标文件第四章《施工项目管理团队人员信息表》配备最低人数要求，提供各人员须与《施工项目管理团队人员信息表》中相应岗位的人员信息一致并已按《施工项目管理团队人员信息表》要求提供相关证书扫描件等资料,否则不得分。</w:t>
      </w:r>
    </w:p>
    <w:p w14:paraId="1A6314FE">
      <w:pPr>
        <w:rPr>
          <w:rFonts w:ascii="宋体" w:hAnsi="宋体"/>
          <w:color w:val="auto"/>
          <w:sz w:val="18"/>
          <w:szCs w:val="18"/>
          <w:highlight w:val="none"/>
        </w:rPr>
      </w:pPr>
      <w:r>
        <w:rPr>
          <w:rFonts w:hint="eastAsia" w:ascii="宋体" w:hAnsi="宋体"/>
          <w:color w:val="auto"/>
          <w:sz w:val="18"/>
          <w:szCs w:val="18"/>
          <w:highlight w:val="none"/>
        </w:rPr>
        <w:t xml:space="preserve"> 4、投标人拟配备人员若为香港专业人士，并已在广东省住房和城乡建设主管部门备案，且备案的业务范围符合本项目对应要求的亦给予认可。香港专业人士的备案业务范围依据《广东省住房和城乡建设厅关于印发香港工程建设咨询企业和专业人士在粤港澳大湾区内地城市开业执业试点管理暂行办法的通知》（粤建规范〔2020〕1号）确定。</w:t>
      </w:r>
    </w:p>
    <w:p w14:paraId="3A62C2C1">
      <w:pPr>
        <w:rPr>
          <w:rFonts w:hint="eastAsia" w:ascii="宋体" w:hAnsi="宋体" w:eastAsia="宋体"/>
          <w:color w:val="auto"/>
          <w:sz w:val="18"/>
          <w:szCs w:val="18"/>
          <w:highlight w:val="none"/>
          <w:lang w:val="en-US" w:eastAsia="zh-CN"/>
        </w:rPr>
      </w:pPr>
      <w:r>
        <w:rPr>
          <w:rFonts w:hint="eastAsia" w:ascii="宋体" w:hAnsi="宋体"/>
          <w:color w:val="auto"/>
          <w:sz w:val="18"/>
          <w:szCs w:val="18"/>
          <w:highlight w:val="none"/>
          <w:lang w:val="en-US" w:eastAsia="zh-CN"/>
        </w:rPr>
        <w:t>5、</w:t>
      </w:r>
      <w:r>
        <w:rPr>
          <w:rFonts w:hint="eastAsia" w:ascii="宋体" w:hAnsi="宋体"/>
          <w:color w:val="auto"/>
          <w:sz w:val="18"/>
          <w:szCs w:val="18"/>
          <w:highlight w:val="none"/>
        </w:rPr>
        <w:t>项目管理机构资源调动能力中要求的项目指挥长需提供</w:t>
      </w:r>
      <w:r>
        <w:rPr>
          <w:rFonts w:hint="eastAsia" w:ascii="宋体" w:hAnsi="宋体"/>
          <w:strike w:val="0"/>
          <w:color w:val="auto"/>
          <w:sz w:val="18"/>
          <w:szCs w:val="18"/>
          <w:highlight w:val="none"/>
        </w:rPr>
        <w:t>投标截止前一个月(20</w:t>
      </w:r>
      <w:r>
        <w:rPr>
          <w:rFonts w:hint="eastAsia" w:ascii="宋体" w:hAnsi="宋体"/>
          <w:strike w:val="0"/>
          <w:color w:val="auto"/>
          <w:sz w:val="18"/>
          <w:szCs w:val="18"/>
          <w:highlight w:val="none"/>
          <w:lang w:eastAsia="zh-CN"/>
        </w:rPr>
        <w:t>25</w:t>
      </w:r>
      <w:r>
        <w:rPr>
          <w:rFonts w:hint="eastAsia" w:ascii="宋体" w:hAnsi="宋体"/>
          <w:strike w:val="0"/>
          <w:color w:val="auto"/>
          <w:sz w:val="18"/>
          <w:szCs w:val="18"/>
          <w:highlight w:val="none"/>
        </w:rPr>
        <w:t>年</w:t>
      </w:r>
      <w:r>
        <w:rPr>
          <w:rFonts w:hint="eastAsia" w:ascii="宋体" w:hAnsi="宋体"/>
          <w:strike w:val="0"/>
          <w:color w:val="auto"/>
          <w:sz w:val="18"/>
          <w:szCs w:val="18"/>
          <w:highlight w:val="none"/>
          <w:lang w:val="en-US" w:eastAsia="zh-CN"/>
        </w:rPr>
        <w:t>7</w:t>
      </w:r>
      <w:r>
        <w:rPr>
          <w:rFonts w:hint="eastAsia" w:ascii="宋体" w:hAnsi="宋体"/>
          <w:strike w:val="0"/>
          <w:color w:val="auto"/>
          <w:sz w:val="18"/>
          <w:szCs w:val="18"/>
          <w:highlight w:val="none"/>
        </w:rPr>
        <w:t>月)在单位（含分公司）购买社保的证明及</w:t>
      </w:r>
      <w:r>
        <w:rPr>
          <w:rFonts w:hint="eastAsia" w:ascii="宋体" w:hAnsi="宋体"/>
          <w:color w:val="auto"/>
          <w:sz w:val="18"/>
          <w:szCs w:val="18"/>
          <w:highlight w:val="none"/>
        </w:rPr>
        <w:t>任职满一个月的证明文件或能反映其任职情况的企业资质证书或公司章程等证明文件扫描件，否则不计分。</w:t>
      </w:r>
    </w:p>
    <w:p w14:paraId="7E5D71DF">
      <w:pPr>
        <w:rPr>
          <w:rFonts w:ascii="宋体" w:hAnsi="宋体"/>
          <w:color w:val="auto"/>
          <w:sz w:val="18"/>
          <w:szCs w:val="18"/>
          <w:highlight w:val="none"/>
        </w:rPr>
      </w:pPr>
      <w:r>
        <w:rPr>
          <w:rFonts w:hint="eastAsia" w:ascii="宋体" w:hAnsi="宋体"/>
          <w:color w:val="auto"/>
          <w:sz w:val="18"/>
          <w:szCs w:val="18"/>
          <w:highlight w:val="none"/>
        </w:rPr>
        <w:t xml:space="preserve"> </w:t>
      </w:r>
      <w:r>
        <w:rPr>
          <w:rFonts w:hint="eastAsia" w:ascii="宋体" w:hAnsi="宋体"/>
          <w:color w:val="auto"/>
          <w:sz w:val="18"/>
          <w:szCs w:val="18"/>
          <w:highlight w:val="none"/>
          <w:lang w:val="en-US" w:eastAsia="zh-CN"/>
        </w:rPr>
        <w:t>6</w:t>
      </w:r>
      <w:r>
        <w:rPr>
          <w:rFonts w:hint="eastAsia" w:ascii="宋体" w:hAnsi="宋体"/>
          <w:color w:val="auto"/>
          <w:sz w:val="18"/>
          <w:szCs w:val="18"/>
          <w:highlight w:val="none"/>
        </w:rPr>
        <w:t>、根据住房城乡建设部、交通运输部、水利部、人力资源社会保障部关于印发《造价工程师职业资格制度规定》 《造价工程师职业资格考试实施办法》的通知（建人〔2018〕67号）第三十二条规定，根据原人事部、原建设部发布的《造价工程师执业资格制度暂行规定》（人发〔1996〕77号）取得的造价工程师注册执业证书与一级造价工程师注册执业证书效用等同。</w:t>
      </w:r>
    </w:p>
    <w:p w14:paraId="581A2B39">
      <w:pPr>
        <w:ind w:firstLine="0"/>
        <w:rPr>
          <w:rFonts w:hint="eastAsia" w:ascii="宋体" w:hAnsi="宋体" w:cs="宋体"/>
          <w:sz w:val="18"/>
          <w:szCs w:val="18"/>
          <w:highlight w:val="none"/>
        </w:rPr>
      </w:pPr>
      <w:r>
        <w:rPr>
          <w:rFonts w:hint="eastAsia" w:ascii="宋体" w:hAnsi="宋体" w:cs="宋体"/>
          <w:sz w:val="18"/>
          <w:szCs w:val="18"/>
          <w:highlight w:val="none"/>
          <w:lang w:val="en-US" w:eastAsia="zh-CN"/>
        </w:rPr>
        <w:t>7、</w:t>
      </w:r>
      <w:r>
        <w:rPr>
          <w:rFonts w:hint="eastAsia" w:ascii="宋体" w:hAnsi="宋体" w:cs="宋体"/>
          <w:sz w:val="18"/>
          <w:szCs w:val="18"/>
          <w:highlight w:val="none"/>
        </w:rPr>
        <w:t>若为联合体投标，联合体各方可以合拼计算评分项目得分。</w:t>
      </w:r>
    </w:p>
    <w:p w14:paraId="3155556C">
      <w:pPr>
        <w:ind w:firstLine="0"/>
        <w:rPr>
          <w:rFonts w:hint="eastAsia" w:ascii="宋体" w:hAnsi="宋体"/>
          <w:color w:val="auto"/>
          <w:sz w:val="18"/>
          <w:szCs w:val="18"/>
          <w:highlight w:val="none"/>
        </w:rPr>
      </w:pPr>
      <w:r>
        <w:rPr>
          <w:rFonts w:hint="eastAsia" w:ascii="宋体" w:hAnsi="宋体"/>
          <w:color w:val="auto"/>
          <w:sz w:val="18"/>
          <w:szCs w:val="18"/>
          <w:highlight w:val="none"/>
          <w:lang w:val="en-US" w:eastAsia="zh-CN"/>
        </w:rPr>
        <w:t>8</w:t>
      </w:r>
      <w:r>
        <w:rPr>
          <w:rFonts w:hint="eastAsia" w:ascii="宋体" w:hAnsi="宋体"/>
          <w:color w:val="auto"/>
          <w:sz w:val="18"/>
          <w:szCs w:val="18"/>
          <w:highlight w:val="none"/>
        </w:rPr>
        <w:t>、本表按百分制评分，所有评委每个分项的分数汇总后去掉一个最高分和一个最低分的算术平均值为投标人的最终得分。分数出现小数点，保留小数点后二位小数，第三位小数四舍五入。</w:t>
      </w:r>
    </w:p>
    <w:p w14:paraId="34E09800">
      <w:pPr>
        <w:rPr>
          <w:color w:val="auto"/>
          <w:highlight w:val="none"/>
        </w:rPr>
      </w:pPr>
      <w:r>
        <w:rPr>
          <w:rFonts w:hint="eastAsia" w:ascii="宋体" w:hAnsi="宋体"/>
          <w:color w:val="auto"/>
          <w:sz w:val="18"/>
          <w:szCs w:val="18"/>
          <w:highlight w:val="none"/>
          <w:lang w:val="en-US" w:eastAsia="zh-CN"/>
        </w:rPr>
        <w:t>9</w:t>
      </w:r>
      <w:r>
        <w:rPr>
          <w:rFonts w:hint="eastAsia" w:ascii="宋体" w:hAnsi="宋体"/>
          <w:color w:val="auto"/>
          <w:sz w:val="18"/>
          <w:szCs w:val="18"/>
          <w:highlight w:val="none"/>
        </w:rPr>
        <w:t>、[a，b)为包含a，不包含b；（a，b]为包含b,不包含a。</w:t>
      </w:r>
    </w:p>
    <w:p w14:paraId="24B52744">
      <w:pPr>
        <w:spacing w:line="360" w:lineRule="auto"/>
        <w:ind w:firstLine="420"/>
        <w:jc w:val="left"/>
        <w:rPr>
          <w:rFonts w:hint="eastAsia" w:ascii="宋体" w:hAnsi="宋体" w:cs="仿宋_GB2312"/>
          <w:color w:val="auto"/>
          <w:szCs w:val="21"/>
          <w:highlight w:val="none"/>
        </w:rPr>
      </w:pPr>
    </w:p>
    <w:p w14:paraId="7BFF199C">
      <w:pPr>
        <w:spacing w:line="360" w:lineRule="auto"/>
        <w:ind w:firstLine="420"/>
        <w:jc w:val="left"/>
        <w:rPr>
          <w:rFonts w:hint="eastAsia" w:ascii="宋体" w:hAnsi="宋体" w:cs="仿宋_GB2312"/>
          <w:color w:val="auto"/>
          <w:szCs w:val="21"/>
          <w:highlight w:val="none"/>
        </w:rPr>
      </w:pPr>
    </w:p>
    <w:p w14:paraId="0009E54B">
      <w:pPr>
        <w:widowControl/>
        <w:jc w:val="left"/>
        <w:rPr>
          <w:color w:val="auto"/>
          <w:highlight w:val="none"/>
        </w:rPr>
      </w:pPr>
      <w:r>
        <w:rPr>
          <w:color w:val="auto"/>
          <w:highlight w:val="none"/>
        </w:rPr>
        <w:br w:type="page"/>
      </w:r>
    </w:p>
    <w:p w14:paraId="19140700">
      <w:pPr>
        <w:rPr>
          <w:rFonts w:hint="eastAsia"/>
          <w:color w:val="auto"/>
          <w:sz w:val="28"/>
          <w:szCs w:val="28"/>
          <w:highlight w:val="none"/>
        </w:rPr>
      </w:pPr>
      <w:r>
        <w:rPr>
          <w:rFonts w:hint="eastAsia"/>
          <w:color w:val="auto"/>
          <w:sz w:val="28"/>
          <w:szCs w:val="28"/>
          <w:highlight w:val="none"/>
        </w:rPr>
        <w:t>附表</w:t>
      </w:r>
      <w:r>
        <w:rPr>
          <w:rFonts w:hint="eastAsia"/>
          <w:color w:val="auto"/>
          <w:sz w:val="28"/>
          <w:szCs w:val="28"/>
          <w:highlight w:val="none"/>
          <w:lang w:eastAsia="zh-CN"/>
        </w:rPr>
        <w:t>五</w:t>
      </w:r>
      <w:r>
        <w:rPr>
          <w:rFonts w:hint="eastAsia"/>
          <w:color w:val="auto"/>
          <w:sz w:val="28"/>
          <w:szCs w:val="28"/>
          <w:highlight w:val="none"/>
        </w:rPr>
        <w:t>（适用于区间抽取法）</w:t>
      </w:r>
    </w:p>
    <w:p w14:paraId="2D6BA55B">
      <w:pPr>
        <w:jc w:val="center"/>
        <w:rPr>
          <w:b/>
          <w:color w:val="auto"/>
          <w:sz w:val="36"/>
          <w:szCs w:val="36"/>
          <w:highlight w:val="none"/>
        </w:rPr>
      </w:pPr>
      <w:r>
        <w:rPr>
          <w:rFonts w:hint="eastAsia"/>
          <w:b/>
          <w:color w:val="auto"/>
          <w:sz w:val="36"/>
          <w:szCs w:val="36"/>
          <w:highlight w:val="none"/>
        </w:rPr>
        <w:t>经济标评分表</w:t>
      </w:r>
    </w:p>
    <w:p w14:paraId="71F41A8D">
      <w:pPr>
        <w:rPr>
          <w:color w:val="auto"/>
          <w:szCs w:val="21"/>
          <w:highlight w:val="none"/>
        </w:rPr>
      </w:pPr>
      <w:r>
        <w:rPr>
          <w:rFonts w:hint="eastAsia"/>
          <w:color w:val="auto"/>
          <w:szCs w:val="21"/>
          <w:highlight w:val="none"/>
        </w:rPr>
        <w:t>工程名称：</w:t>
      </w:r>
    </w:p>
    <w:tbl>
      <w:tblPr>
        <w:tblStyle w:val="37"/>
        <w:tblW w:w="144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1031"/>
        <w:gridCol w:w="1031"/>
        <w:gridCol w:w="1031"/>
        <w:gridCol w:w="1031"/>
        <w:gridCol w:w="1031"/>
        <w:gridCol w:w="1031"/>
        <w:gridCol w:w="1031"/>
        <w:gridCol w:w="1031"/>
        <w:gridCol w:w="1031"/>
        <w:gridCol w:w="1031"/>
        <w:gridCol w:w="1031"/>
        <w:gridCol w:w="1032"/>
      </w:tblGrid>
      <w:tr w14:paraId="3E2E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074" w:type="dxa"/>
            <w:tcBorders>
              <w:top w:val="single" w:color="auto" w:sz="4" w:space="0"/>
              <w:left w:val="single" w:color="auto" w:sz="4" w:space="0"/>
              <w:bottom w:val="single" w:color="auto" w:sz="4" w:space="0"/>
              <w:right w:val="single" w:color="auto" w:sz="4" w:space="0"/>
            </w:tcBorders>
            <w:vAlign w:val="center"/>
          </w:tcPr>
          <w:p w14:paraId="7000E81F">
            <w:pPr>
              <w:rPr>
                <w:rFonts w:ascii="宋体" w:hAnsi="宋体"/>
                <w:color w:val="auto"/>
                <w:szCs w:val="21"/>
                <w:highlight w:val="none"/>
              </w:rPr>
            </w:pPr>
            <w:r>
              <w:rPr>
                <w:rFonts w:hint="eastAsia" w:ascii="宋体" w:hAnsi="宋体"/>
                <w:color w:val="auto"/>
                <w:szCs w:val="21"/>
                <w:highlight w:val="none"/>
              </w:rPr>
              <w:t>投标人名称</w:t>
            </w:r>
          </w:p>
        </w:tc>
        <w:tc>
          <w:tcPr>
            <w:tcW w:w="1031" w:type="dxa"/>
            <w:tcBorders>
              <w:top w:val="single" w:color="auto" w:sz="4" w:space="0"/>
              <w:left w:val="single" w:color="auto" w:sz="4" w:space="0"/>
              <w:bottom w:val="single" w:color="auto" w:sz="4" w:space="0"/>
              <w:right w:val="single" w:color="auto" w:sz="4" w:space="0"/>
            </w:tcBorders>
            <w:vAlign w:val="center"/>
          </w:tcPr>
          <w:p w14:paraId="2D8780F4">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420A85D">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06F4100">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36DF6FA">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528F1C5">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78236D7">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133363C">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6124BAC">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880ADA1">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12E2057">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BD232DB">
            <w:pPr>
              <w:rPr>
                <w:rFonts w:ascii="宋体" w:hAnsi="宋体"/>
                <w:color w:val="auto"/>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5A9E743">
            <w:pPr>
              <w:rPr>
                <w:rFonts w:ascii="宋体" w:hAnsi="宋体"/>
                <w:color w:val="auto"/>
                <w:szCs w:val="21"/>
                <w:highlight w:val="none"/>
              </w:rPr>
            </w:pPr>
          </w:p>
        </w:tc>
      </w:tr>
      <w:tr w14:paraId="00EDC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74" w:type="dxa"/>
            <w:tcBorders>
              <w:top w:val="single" w:color="auto" w:sz="4" w:space="0"/>
              <w:left w:val="single" w:color="auto" w:sz="4" w:space="0"/>
              <w:bottom w:val="single" w:color="auto" w:sz="4" w:space="0"/>
              <w:right w:val="single" w:color="auto" w:sz="4" w:space="0"/>
            </w:tcBorders>
            <w:vAlign w:val="center"/>
          </w:tcPr>
          <w:p w14:paraId="4183396F">
            <w:pPr>
              <w:rPr>
                <w:rFonts w:ascii="宋体" w:hAnsi="宋体"/>
                <w:color w:val="auto"/>
                <w:szCs w:val="21"/>
                <w:highlight w:val="none"/>
              </w:rPr>
            </w:pPr>
            <w:r>
              <w:rPr>
                <w:rFonts w:hint="eastAsia" w:ascii="宋体" w:hAnsi="宋体"/>
                <w:color w:val="auto"/>
                <w:szCs w:val="21"/>
                <w:highlight w:val="none"/>
              </w:rPr>
              <w:t>投标报价</w:t>
            </w:r>
            <w:r>
              <w:rPr>
                <w:rFonts w:ascii="宋体" w:hAnsi="宋体"/>
                <w:color w:val="auto"/>
                <w:szCs w:val="21"/>
                <w:highlight w:val="none"/>
              </w:rPr>
              <w:t>PT</w:t>
            </w:r>
            <w:r>
              <w:rPr>
                <w:rFonts w:hint="eastAsia" w:ascii="宋体" w:hAnsi="宋体"/>
                <w:color w:val="auto"/>
                <w:szCs w:val="21"/>
                <w:highlight w:val="none"/>
              </w:rPr>
              <w:t>（元）</w:t>
            </w:r>
          </w:p>
        </w:tc>
        <w:tc>
          <w:tcPr>
            <w:tcW w:w="1031" w:type="dxa"/>
            <w:tcBorders>
              <w:top w:val="single" w:color="auto" w:sz="4" w:space="0"/>
              <w:left w:val="single" w:color="auto" w:sz="4" w:space="0"/>
              <w:bottom w:val="single" w:color="auto" w:sz="4" w:space="0"/>
              <w:right w:val="single" w:color="auto" w:sz="4" w:space="0"/>
            </w:tcBorders>
            <w:vAlign w:val="center"/>
          </w:tcPr>
          <w:p w14:paraId="4E7AF189">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2A57A11">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EE72D8E">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5F32AD2">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204EDCAF">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8AE0097">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750E042">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01AE68B">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8AFBEA5">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82A47E6">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2EFFD7A6">
            <w:pPr>
              <w:rPr>
                <w:rFonts w:ascii="宋体" w:hAnsi="宋体"/>
                <w:color w:val="auto"/>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73185EE8">
            <w:pPr>
              <w:rPr>
                <w:rFonts w:ascii="宋体" w:hAnsi="宋体"/>
                <w:color w:val="auto"/>
                <w:szCs w:val="21"/>
                <w:highlight w:val="none"/>
              </w:rPr>
            </w:pPr>
          </w:p>
        </w:tc>
      </w:tr>
      <w:tr w14:paraId="37456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14:paraId="314FC4F3">
            <w:pPr>
              <w:rPr>
                <w:rFonts w:ascii="宋体" w:hAnsi="宋体"/>
                <w:color w:val="auto"/>
                <w:szCs w:val="21"/>
                <w:highlight w:val="none"/>
              </w:rPr>
            </w:pPr>
            <w:r>
              <w:rPr>
                <w:rFonts w:hint="eastAsia" w:ascii="宋体" w:hAnsi="宋体"/>
                <w:color w:val="auto"/>
                <w:szCs w:val="21"/>
                <w:highlight w:val="none"/>
              </w:rPr>
              <w:t>计算评标参考价的等分点值X</w:t>
            </w:r>
          </w:p>
        </w:tc>
        <w:tc>
          <w:tcPr>
            <w:tcW w:w="12373" w:type="dxa"/>
            <w:gridSpan w:val="12"/>
            <w:tcBorders>
              <w:top w:val="single" w:color="auto" w:sz="4" w:space="0"/>
              <w:left w:val="single" w:color="auto" w:sz="4" w:space="0"/>
              <w:bottom w:val="single" w:color="auto" w:sz="4" w:space="0"/>
              <w:right w:val="single" w:color="auto" w:sz="4" w:space="0"/>
            </w:tcBorders>
            <w:vAlign w:val="center"/>
          </w:tcPr>
          <w:p w14:paraId="5FEE1430">
            <w:pPr>
              <w:rPr>
                <w:rFonts w:ascii="宋体" w:hAnsi="宋体"/>
                <w:color w:val="auto"/>
                <w:szCs w:val="21"/>
                <w:highlight w:val="none"/>
              </w:rPr>
            </w:pPr>
          </w:p>
        </w:tc>
      </w:tr>
      <w:tr w14:paraId="6B616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14:paraId="6BD3E46C">
            <w:pPr>
              <w:rPr>
                <w:rFonts w:ascii="宋体" w:hAnsi="宋体"/>
                <w:color w:val="auto"/>
                <w:szCs w:val="21"/>
                <w:highlight w:val="none"/>
              </w:rPr>
            </w:pPr>
            <w:r>
              <w:rPr>
                <w:rFonts w:hint="eastAsia" w:ascii="宋体" w:hAnsi="宋体"/>
                <w:color w:val="auto"/>
                <w:szCs w:val="21"/>
                <w:highlight w:val="none"/>
              </w:rPr>
              <w:t>评标参考价PC（元）</w:t>
            </w:r>
          </w:p>
        </w:tc>
        <w:tc>
          <w:tcPr>
            <w:tcW w:w="12373" w:type="dxa"/>
            <w:gridSpan w:val="12"/>
            <w:tcBorders>
              <w:top w:val="single" w:color="auto" w:sz="4" w:space="0"/>
              <w:left w:val="single" w:color="auto" w:sz="4" w:space="0"/>
              <w:bottom w:val="single" w:color="auto" w:sz="4" w:space="0"/>
              <w:right w:val="single" w:color="auto" w:sz="4" w:space="0"/>
            </w:tcBorders>
            <w:vAlign w:val="center"/>
          </w:tcPr>
          <w:p w14:paraId="7F71F343">
            <w:pPr>
              <w:rPr>
                <w:rFonts w:ascii="宋体" w:hAnsi="宋体"/>
                <w:color w:val="auto"/>
                <w:szCs w:val="21"/>
                <w:highlight w:val="none"/>
              </w:rPr>
            </w:pPr>
          </w:p>
        </w:tc>
      </w:tr>
      <w:tr w14:paraId="14FF8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14:paraId="536E1DD2">
            <w:pPr>
              <w:rPr>
                <w:rFonts w:ascii="宋体" w:hAnsi="宋体"/>
                <w:color w:val="auto"/>
                <w:szCs w:val="21"/>
                <w:highlight w:val="none"/>
              </w:rPr>
            </w:pPr>
            <w:r>
              <w:rPr>
                <w:rFonts w:hint="eastAsia" w:ascii="宋体" w:hAnsi="宋体"/>
                <w:color w:val="auto"/>
                <w:szCs w:val="21"/>
                <w:highlight w:val="none"/>
              </w:rPr>
              <w:t>偏差（（</w:t>
            </w:r>
            <w:r>
              <w:rPr>
                <w:rFonts w:ascii="宋体" w:hAnsi="宋体"/>
                <w:color w:val="auto"/>
                <w:szCs w:val="21"/>
                <w:highlight w:val="none"/>
              </w:rPr>
              <w:t>PT-PC</w:t>
            </w:r>
            <w:r>
              <w:rPr>
                <w:rFonts w:hint="eastAsia" w:ascii="宋体" w:hAnsi="宋体"/>
                <w:color w:val="auto"/>
                <w:szCs w:val="21"/>
                <w:highlight w:val="none"/>
              </w:rPr>
              <w:t>）</w:t>
            </w:r>
            <w:r>
              <w:rPr>
                <w:rFonts w:ascii="宋体" w:hAnsi="宋体"/>
                <w:color w:val="auto"/>
                <w:szCs w:val="21"/>
                <w:highlight w:val="none"/>
              </w:rPr>
              <w:t>/PC</w:t>
            </w:r>
            <w:r>
              <w:rPr>
                <w:rFonts w:hint="eastAsia" w:ascii="宋体" w:hAnsi="宋体"/>
                <w:color w:val="auto"/>
                <w:szCs w:val="21"/>
                <w:highlight w:val="none"/>
              </w:rPr>
              <w:t>）（</w:t>
            </w:r>
            <w:r>
              <w:rPr>
                <w:rFonts w:ascii="宋体" w:hAnsi="宋体"/>
                <w:color w:val="auto"/>
                <w:szCs w:val="21"/>
                <w:highlight w:val="none"/>
              </w:rPr>
              <w:t>%</w:t>
            </w:r>
            <w:r>
              <w:rPr>
                <w:rFonts w:hint="eastAsia" w:ascii="宋体" w:hAnsi="宋体"/>
                <w:color w:val="auto"/>
                <w:szCs w:val="21"/>
                <w:highlight w:val="none"/>
              </w:rPr>
              <w:t>）</w:t>
            </w:r>
          </w:p>
        </w:tc>
        <w:tc>
          <w:tcPr>
            <w:tcW w:w="1031" w:type="dxa"/>
            <w:tcBorders>
              <w:top w:val="single" w:color="auto" w:sz="4" w:space="0"/>
              <w:left w:val="single" w:color="auto" w:sz="4" w:space="0"/>
              <w:bottom w:val="single" w:color="auto" w:sz="4" w:space="0"/>
              <w:right w:val="single" w:color="auto" w:sz="4" w:space="0"/>
            </w:tcBorders>
            <w:vAlign w:val="center"/>
          </w:tcPr>
          <w:p w14:paraId="63C6FBFF">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52EC0CB">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37D6B26">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E299F17">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6B4FEE0">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D0037E5">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1065303">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15473A80">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E14F914">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4B11C9B">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25480978">
            <w:pPr>
              <w:rPr>
                <w:rFonts w:ascii="宋体" w:hAnsi="宋体"/>
                <w:color w:val="auto"/>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4D887EC8">
            <w:pPr>
              <w:rPr>
                <w:rFonts w:ascii="宋体" w:hAnsi="宋体"/>
                <w:color w:val="auto"/>
                <w:szCs w:val="21"/>
                <w:highlight w:val="none"/>
              </w:rPr>
            </w:pPr>
          </w:p>
        </w:tc>
      </w:tr>
      <w:tr w14:paraId="39AD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074" w:type="dxa"/>
            <w:tcBorders>
              <w:top w:val="single" w:color="auto" w:sz="4" w:space="0"/>
              <w:left w:val="single" w:color="auto" w:sz="4" w:space="0"/>
              <w:bottom w:val="single" w:color="auto" w:sz="4" w:space="0"/>
              <w:right w:val="single" w:color="auto" w:sz="4" w:space="0"/>
            </w:tcBorders>
            <w:vAlign w:val="center"/>
          </w:tcPr>
          <w:p w14:paraId="45A301F3">
            <w:pPr>
              <w:rPr>
                <w:rFonts w:ascii="宋体" w:hAnsi="宋体"/>
                <w:color w:val="auto"/>
                <w:szCs w:val="21"/>
                <w:highlight w:val="none"/>
              </w:rPr>
            </w:pPr>
            <w:r>
              <w:rPr>
                <w:rFonts w:hint="eastAsia" w:ascii="宋体" w:hAnsi="宋体"/>
                <w:color w:val="auto"/>
                <w:szCs w:val="21"/>
                <w:highlight w:val="none"/>
              </w:rPr>
              <w:t>减分（</w:t>
            </w:r>
            <w:r>
              <w:rPr>
                <w:rFonts w:ascii="宋体" w:hAnsi="宋体"/>
                <w:color w:val="auto"/>
                <w:szCs w:val="21"/>
                <w:highlight w:val="none"/>
              </w:rPr>
              <w:t>A</w:t>
            </w:r>
            <w:r>
              <w:rPr>
                <w:rFonts w:hint="eastAsia" w:ascii="宋体" w:hAnsi="宋体"/>
                <w:color w:val="auto"/>
                <w:szCs w:val="21"/>
                <w:highlight w:val="none"/>
              </w:rPr>
              <w:t>）</w:t>
            </w:r>
          </w:p>
        </w:tc>
        <w:tc>
          <w:tcPr>
            <w:tcW w:w="1031" w:type="dxa"/>
            <w:tcBorders>
              <w:top w:val="single" w:color="auto" w:sz="4" w:space="0"/>
              <w:left w:val="single" w:color="auto" w:sz="4" w:space="0"/>
              <w:bottom w:val="single" w:color="auto" w:sz="4" w:space="0"/>
              <w:right w:val="single" w:color="auto" w:sz="4" w:space="0"/>
            </w:tcBorders>
            <w:vAlign w:val="center"/>
          </w:tcPr>
          <w:p w14:paraId="4E9B7DC4">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DB2A62C">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B3D94B7">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2728DAA0">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8EE5F7B">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10E44A6D">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1B8EBE5">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24117123">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631CC33">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1C6DCBB">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60001E8">
            <w:pPr>
              <w:rPr>
                <w:rFonts w:ascii="宋体" w:hAnsi="宋体"/>
                <w:color w:val="auto"/>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40A3230F">
            <w:pPr>
              <w:rPr>
                <w:rFonts w:ascii="宋体" w:hAnsi="宋体"/>
                <w:color w:val="auto"/>
                <w:szCs w:val="21"/>
                <w:highlight w:val="none"/>
              </w:rPr>
            </w:pPr>
          </w:p>
        </w:tc>
      </w:tr>
      <w:tr w14:paraId="52FF0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14:paraId="5C3A3282">
            <w:pPr>
              <w:rPr>
                <w:rFonts w:ascii="宋体" w:hAnsi="宋体"/>
                <w:color w:val="auto"/>
                <w:szCs w:val="21"/>
                <w:highlight w:val="none"/>
              </w:rPr>
            </w:pPr>
            <w:r>
              <w:rPr>
                <w:rFonts w:hint="eastAsia" w:ascii="宋体" w:hAnsi="宋体"/>
                <w:color w:val="auto"/>
                <w:szCs w:val="21"/>
                <w:highlight w:val="none"/>
                <w:u w:val="single"/>
                <w:lang w:val="en-US" w:eastAsia="zh-CN"/>
              </w:rPr>
              <w:t>评审</w:t>
            </w:r>
            <w:r>
              <w:rPr>
                <w:rFonts w:hint="eastAsia" w:ascii="宋体" w:hAnsi="宋体"/>
                <w:color w:val="auto"/>
                <w:szCs w:val="21"/>
                <w:highlight w:val="none"/>
                <w:u w:val="single"/>
              </w:rPr>
              <w:t>得分</w:t>
            </w:r>
            <w:r>
              <w:rPr>
                <w:rFonts w:ascii="宋体" w:hAnsi="宋体"/>
                <w:color w:val="auto"/>
                <w:szCs w:val="21"/>
                <w:highlight w:val="none"/>
                <w:u w:val="single"/>
              </w:rPr>
              <w:t>(</w:t>
            </w:r>
            <w:r>
              <w:rPr>
                <w:rFonts w:hint="eastAsia" w:ascii="宋体" w:hAnsi="宋体"/>
                <w:color w:val="auto"/>
                <w:szCs w:val="21"/>
                <w:highlight w:val="none"/>
                <w:u w:val="single"/>
                <w:lang w:val="en-US" w:eastAsia="zh-CN"/>
              </w:rPr>
              <w:t>PF</w:t>
            </w:r>
            <w:r>
              <w:rPr>
                <w:rFonts w:ascii="宋体" w:hAnsi="宋体"/>
                <w:color w:val="auto"/>
                <w:szCs w:val="21"/>
                <w:highlight w:val="none"/>
                <w:u w:val="single"/>
              </w:rPr>
              <w:t>=100-A)</w:t>
            </w:r>
          </w:p>
        </w:tc>
        <w:tc>
          <w:tcPr>
            <w:tcW w:w="1031" w:type="dxa"/>
            <w:tcBorders>
              <w:top w:val="single" w:color="auto" w:sz="4" w:space="0"/>
              <w:left w:val="single" w:color="auto" w:sz="4" w:space="0"/>
              <w:bottom w:val="single" w:color="auto" w:sz="4" w:space="0"/>
              <w:right w:val="single" w:color="auto" w:sz="4" w:space="0"/>
            </w:tcBorders>
            <w:vAlign w:val="center"/>
          </w:tcPr>
          <w:p w14:paraId="308F05F1">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222CBA4">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25E1FE4">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592526F">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34C714D">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AE9466B">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2308A68">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73E6423">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48371DC">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A491AAF">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11332888">
            <w:pPr>
              <w:rPr>
                <w:rFonts w:ascii="宋体" w:hAnsi="宋体"/>
                <w:color w:val="auto"/>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2B9FCE8D">
            <w:pPr>
              <w:rPr>
                <w:rFonts w:ascii="宋体" w:hAnsi="宋体"/>
                <w:color w:val="auto"/>
                <w:szCs w:val="21"/>
                <w:highlight w:val="none"/>
              </w:rPr>
            </w:pPr>
          </w:p>
        </w:tc>
      </w:tr>
      <w:tr w14:paraId="3334A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14:paraId="338CD205">
            <w:pPr>
              <w:rPr>
                <w:rFonts w:hint="eastAsia" w:ascii="宋体" w:hAnsi="宋体"/>
                <w:color w:val="auto"/>
                <w:szCs w:val="21"/>
                <w:highlight w:val="none"/>
              </w:rPr>
            </w:pPr>
            <w:r>
              <w:rPr>
                <w:rFonts w:hint="eastAsia" w:ascii="宋体" w:hAnsi="宋体"/>
                <w:color w:val="auto"/>
                <w:szCs w:val="21"/>
                <w:highlight w:val="none"/>
                <w:u w:val="single"/>
              </w:rPr>
              <w:t>经济标评审优惠政策</w:t>
            </w:r>
            <w:r>
              <w:rPr>
                <w:rFonts w:hint="eastAsia" w:ascii="宋体" w:hAnsi="宋体"/>
                <w:color w:val="auto"/>
                <w:szCs w:val="21"/>
                <w:highlight w:val="none"/>
                <w:u w:val="single"/>
                <w:lang w:val="en-US" w:eastAsia="zh-CN"/>
              </w:rPr>
              <w:t>加分（JF）</w:t>
            </w:r>
          </w:p>
        </w:tc>
        <w:tc>
          <w:tcPr>
            <w:tcW w:w="1031" w:type="dxa"/>
            <w:tcBorders>
              <w:top w:val="single" w:color="auto" w:sz="4" w:space="0"/>
              <w:left w:val="single" w:color="auto" w:sz="4" w:space="0"/>
              <w:bottom w:val="single" w:color="auto" w:sz="4" w:space="0"/>
              <w:right w:val="single" w:color="auto" w:sz="4" w:space="0"/>
            </w:tcBorders>
            <w:vAlign w:val="center"/>
          </w:tcPr>
          <w:p w14:paraId="07CCF99B">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9FD428D">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2A6514C6">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356FABA7">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03ADCB4">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5A8AEBC">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09D593DC">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2A9E396D">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1F5D49B">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11917D0">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1A1444AA">
            <w:pPr>
              <w:rPr>
                <w:rFonts w:ascii="宋体" w:hAnsi="宋体"/>
                <w:color w:val="auto"/>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9EB07C8">
            <w:pPr>
              <w:rPr>
                <w:rFonts w:ascii="宋体" w:hAnsi="宋体"/>
                <w:color w:val="auto"/>
                <w:szCs w:val="21"/>
                <w:highlight w:val="none"/>
              </w:rPr>
            </w:pPr>
          </w:p>
        </w:tc>
      </w:tr>
      <w:tr w14:paraId="1D042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2074" w:type="dxa"/>
            <w:tcBorders>
              <w:top w:val="single" w:color="auto" w:sz="4" w:space="0"/>
              <w:left w:val="single" w:color="auto" w:sz="4" w:space="0"/>
              <w:bottom w:val="single" w:color="auto" w:sz="4" w:space="0"/>
              <w:right w:val="single" w:color="auto" w:sz="4" w:space="0"/>
            </w:tcBorders>
            <w:vAlign w:val="center"/>
          </w:tcPr>
          <w:p w14:paraId="39B33214">
            <w:pPr>
              <w:rPr>
                <w:rFonts w:ascii="宋体" w:hAnsi="宋体"/>
                <w:color w:val="auto"/>
                <w:szCs w:val="21"/>
                <w:highlight w:val="none"/>
              </w:rPr>
            </w:pPr>
            <w:r>
              <w:rPr>
                <w:rFonts w:hint="eastAsia" w:ascii="宋体" w:hAnsi="宋体"/>
                <w:color w:val="auto"/>
                <w:szCs w:val="21"/>
                <w:highlight w:val="none"/>
                <w:u w:val="single"/>
              </w:rPr>
              <w:t>经济分</w:t>
            </w:r>
            <w:r>
              <w:rPr>
                <w:rFonts w:hint="eastAsia" w:ascii="宋体" w:hAnsi="宋体"/>
                <w:color w:val="auto"/>
                <w:szCs w:val="21"/>
                <w:highlight w:val="none"/>
                <w:u w:val="single"/>
                <w:lang w:eastAsia="zh-CN"/>
              </w:rPr>
              <w:t>（</w:t>
            </w:r>
            <w:r>
              <w:rPr>
                <w:rFonts w:hint="eastAsia" w:ascii="宋体" w:hAnsi="宋体"/>
                <w:color w:val="auto"/>
                <w:szCs w:val="21"/>
                <w:highlight w:val="none"/>
                <w:u w:val="single"/>
                <w:lang w:val="en-US" w:eastAsia="zh-CN"/>
              </w:rPr>
              <w:t>I=PF+JF</w:t>
            </w:r>
            <w:r>
              <w:rPr>
                <w:rFonts w:hint="eastAsia" w:ascii="宋体" w:hAnsi="宋体"/>
                <w:color w:val="auto"/>
                <w:szCs w:val="21"/>
                <w:highlight w:val="none"/>
                <w:u w:val="single"/>
                <w:lang w:eastAsia="zh-CN"/>
              </w:rPr>
              <w:t>）</w:t>
            </w:r>
          </w:p>
        </w:tc>
        <w:tc>
          <w:tcPr>
            <w:tcW w:w="1031" w:type="dxa"/>
            <w:tcBorders>
              <w:top w:val="single" w:color="auto" w:sz="4" w:space="0"/>
              <w:left w:val="single" w:color="auto" w:sz="4" w:space="0"/>
              <w:bottom w:val="single" w:color="auto" w:sz="4" w:space="0"/>
              <w:right w:val="single" w:color="auto" w:sz="4" w:space="0"/>
            </w:tcBorders>
            <w:vAlign w:val="center"/>
          </w:tcPr>
          <w:p w14:paraId="347C49DE">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F578F99">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0B2354E">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AA295C8">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1DEEB48B">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47417F4C">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71FC7029">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62EC9916">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1934B382">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570682DF">
            <w:pPr>
              <w:rPr>
                <w:rFonts w:ascii="宋体" w:hAnsi="宋体"/>
                <w:color w:val="auto"/>
                <w:szCs w:val="21"/>
                <w:highlight w:val="none"/>
              </w:rPr>
            </w:pPr>
          </w:p>
        </w:tc>
        <w:tc>
          <w:tcPr>
            <w:tcW w:w="1031" w:type="dxa"/>
            <w:tcBorders>
              <w:top w:val="single" w:color="auto" w:sz="4" w:space="0"/>
              <w:left w:val="single" w:color="auto" w:sz="4" w:space="0"/>
              <w:bottom w:val="single" w:color="auto" w:sz="4" w:space="0"/>
              <w:right w:val="single" w:color="auto" w:sz="4" w:space="0"/>
            </w:tcBorders>
            <w:vAlign w:val="center"/>
          </w:tcPr>
          <w:p w14:paraId="12377BEC">
            <w:pPr>
              <w:rPr>
                <w:rFonts w:ascii="宋体" w:hAnsi="宋体"/>
                <w:color w:val="auto"/>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7A205C01">
            <w:pPr>
              <w:rPr>
                <w:rFonts w:ascii="宋体" w:hAnsi="宋体"/>
                <w:color w:val="auto"/>
                <w:szCs w:val="21"/>
                <w:highlight w:val="none"/>
              </w:rPr>
            </w:pPr>
          </w:p>
        </w:tc>
      </w:tr>
    </w:tbl>
    <w:p w14:paraId="710CB2D9">
      <w:pPr>
        <w:rPr>
          <w:color w:val="auto"/>
          <w:szCs w:val="21"/>
          <w:highlight w:val="none"/>
        </w:rPr>
      </w:pPr>
      <w:r>
        <w:rPr>
          <w:rFonts w:hint="eastAsia"/>
          <w:color w:val="auto"/>
          <w:szCs w:val="21"/>
          <w:highlight w:val="none"/>
        </w:rPr>
        <w:t>评委签名：</w:t>
      </w:r>
    </w:p>
    <w:p w14:paraId="5D6B7024">
      <w:pPr>
        <w:rPr>
          <w:color w:val="auto"/>
          <w:szCs w:val="21"/>
          <w:highlight w:val="none"/>
        </w:rPr>
      </w:pPr>
    </w:p>
    <w:p w14:paraId="59154FD9">
      <w:pPr>
        <w:rPr>
          <w:color w:val="auto"/>
          <w:szCs w:val="21"/>
          <w:highlight w:val="none"/>
        </w:rPr>
      </w:pPr>
    </w:p>
    <w:p w14:paraId="7EECFA07">
      <w:pPr>
        <w:tabs>
          <w:tab w:val="left" w:pos="720"/>
        </w:tabs>
        <w:spacing w:line="360" w:lineRule="auto"/>
        <w:ind w:firstLine="560" w:firstLineChars="200"/>
        <w:rPr>
          <w:rFonts w:hint="eastAsia" w:eastAsia="宋体"/>
          <w:b/>
          <w:color w:val="auto"/>
          <w:sz w:val="28"/>
          <w:szCs w:val="28"/>
          <w:highlight w:val="none"/>
          <w:lang w:eastAsia="zh-CN"/>
        </w:rPr>
      </w:pPr>
      <w:r>
        <w:rPr>
          <w:rFonts w:hint="eastAsia"/>
          <w:color w:val="auto"/>
          <w:sz w:val="28"/>
          <w:szCs w:val="28"/>
          <w:highlight w:val="none"/>
        </w:rPr>
        <w:t>附表</w:t>
      </w:r>
      <w:r>
        <w:rPr>
          <w:rFonts w:hint="eastAsia"/>
          <w:color w:val="auto"/>
          <w:sz w:val="28"/>
          <w:szCs w:val="28"/>
          <w:highlight w:val="none"/>
          <w:lang w:eastAsia="zh-CN"/>
        </w:rPr>
        <w:t>六</w:t>
      </w:r>
    </w:p>
    <w:p w14:paraId="121BEE54">
      <w:pPr>
        <w:jc w:val="center"/>
        <w:rPr>
          <w:b/>
          <w:color w:val="auto"/>
          <w:sz w:val="36"/>
          <w:szCs w:val="36"/>
          <w:highlight w:val="none"/>
        </w:rPr>
      </w:pPr>
      <w:r>
        <w:rPr>
          <w:rFonts w:hint="eastAsia"/>
          <w:b/>
          <w:color w:val="auto"/>
          <w:sz w:val="36"/>
          <w:szCs w:val="36"/>
          <w:highlight w:val="none"/>
        </w:rPr>
        <w:t>算术复核表</w:t>
      </w:r>
    </w:p>
    <w:p w14:paraId="147BCE8C">
      <w:pPr>
        <w:rPr>
          <w:rFonts w:ascii="宋体" w:hAnsi="宋体"/>
          <w:color w:val="auto"/>
          <w:kern w:val="0"/>
          <w:szCs w:val="21"/>
          <w:highlight w:val="none"/>
        </w:rPr>
      </w:pPr>
      <w:r>
        <w:rPr>
          <w:rFonts w:hint="eastAsia"/>
          <w:color w:val="auto"/>
          <w:kern w:val="0"/>
          <w:szCs w:val="21"/>
          <w:highlight w:val="none"/>
        </w:rPr>
        <w:t>工程名称：</w:t>
      </w:r>
      <w:r>
        <w:rPr>
          <w:color w:val="auto"/>
          <w:kern w:val="0"/>
          <w:szCs w:val="21"/>
          <w:highlight w:val="none"/>
        </w:rPr>
        <w:t xml:space="preserve">                                          </w:t>
      </w:r>
      <w:r>
        <w:rPr>
          <w:rFonts w:ascii="宋体" w:hAnsi="宋体"/>
          <w:color w:val="auto"/>
          <w:kern w:val="0"/>
          <w:szCs w:val="21"/>
          <w:highlight w:val="none"/>
        </w:rPr>
        <w:t xml:space="preserve"> </w:t>
      </w:r>
      <w:r>
        <w:rPr>
          <w:rFonts w:hint="eastAsia" w:ascii="宋体" w:hAnsi="宋体"/>
          <w:color w:val="auto"/>
          <w:kern w:val="0"/>
          <w:szCs w:val="21"/>
          <w:highlight w:val="none"/>
        </w:rPr>
        <w:t>投标人</w:t>
      </w:r>
      <w:r>
        <w:rPr>
          <w:rFonts w:ascii="宋体" w:hAnsi="宋体"/>
          <w:color w:val="auto"/>
          <w:kern w:val="0"/>
          <w:szCs w:val="21"/>
          <w:highlight w:val="none"/>
        </w:rPr>
        <w:t xml:space="preserve">:                                                  </w:t>
      </w:r>
      <w:r>
        <w:rPr>
          <w:rFonts w:hint="eastAsia" w:ascii="宋体" w:hAnsi="宋体"/>
          <w:color w:val="auto"/>
          <w:kern w:val="0"/>
          <w:szCs w:val="21"/>
          <w:highlight w:val="none"/>
        </w:rPr>
        <w:t>单位：元</w:t>
      </w:r>
    </w:p>
    <w:tbl>
      <w:tblPr>
        <w:tblStyle w:val="37"/>
        <w:tblW w:w="14820" w:type="dxa"/>
        <w:tblInd w:w="0" w:type="dxa"/>
        <w:tblLayout w:type="fixed"/>
        <w:tblCellMar>
          <w:top w:w="0" w:type="dxa"/>
          <w:left w:w="108" w:type="dxa"/>
          <w:bottom w:w="0" w:type="dxa"/>
          <w:right w:w="108" w:type="dxa"/>
        </w:tblCellMar>
      </w:tblPr>
      <w:tblGrid>
        <w:gridCol w:w="645"/>
        <w:gridCol w:w="4488"/>
        <w:gridCol w:w="1602"/>
        <w:gridCol w:w="1575"/>
        <w:gridCol w:w="1575"/>
        <w:gridCol w:w="1470"/>
        <w:gridCol w:w="3465"/>
      </w:tblGrid>
      <w:tr w14:paraId="18589664">
        <w:tblPrEx>
          <w:tblCellMar>
            <w:top w:w="0" w:type="dxa"/>
            <w:left w:w="108" w:type="dxa"/>
            <w:bottom w:w="0" w:type="dxa"/>
            <w:right w:w="108" w:type="dxa"/>
          </w:tblCellMar>
        </w:tblPrEx>
        <w:trPr>
          <w:trHeight w:val="705" w:hRule="atLeast"/>
        </w:trPr>
        <w:tc>
          <w:tcPr>
            <w:tcW w:w="645" w:type="dxa"/>
            <w:tcBorders>
              <w:top w:val="single" w:color="auto" w:sz="4" w:space="0"/>
              <w:left w:val="single" w:color="auto" w:sz="4" w:space="0"/>
              <w:bottom w:val="single" w:color="auto" w:sz="4" w:space="0"/>
              <w:right w:val="single" w:color="auto" w:sz="4" w:space="0"/>
            </w:tcBorders>
            <w:vAlign w:val="center"/>
          </w:tcPr>
          <w:p w14:paraId="3FAF80DC">
            <w:pPr>
              <w:rPr>
                <w:rFonts w:ascii="宋体" w:hAnsi="宋体"/>
                <w:color w:val="auto"/>
                <w:kern w:val="0"/>
                <w:szCs w:val="21"/>
                <w:highlight w:val="none"/>
              </w:rPr>
            </w:pPr>
            <w:r>
              <w:rPr>
                <w:rFonts w:hint="eastAsia" w:ascii="宋体" w:hAnsi="宋体"/>
                <w:color w:val="auto"/>
                <w:kern w:val="0"/>
                <w:szCs w:val="21"/>
                <w:highlight w:val="none"/>
              </w:rPr>
              <w:t>编号</w:t>
            </w:r>
          </w:p>
        </w:tc>
        <w:tc>
          <w:tcPr>
            <w:tcW w:w="4488" w:type="dxa"/>
            <w:tcBorders>
              <w:top w:val="single" w:color="auto" w:sz="4" w:space="0"/>
              <w:left w:val="nil"/>
              <w:bottom w:val="single" w:color="auto" w:sz="4" w:space="0"/>
              <w:right w:val="single" w:color="auto" w:sz="4" w:space="0"/>
            </w:tcBorders>
            <w:vAlign w:val="center"/>
          </w:tcPr>
          <w:p w14:paraId="6E20CC45">
            <w:pPr>
              <w:rPr>
                <w:rFonts w:ascii="宋体" w:hAnsi="宋体"/>
                <w:color w:val="auto"/>
                <w:kern w:val="0"/>
                <w:szCs w:val="21"/>
                <w:highlight w:val="none"/>
              </w:rPr>
            </w:pPr>
            <w:r>
              <w:rPr>
                <w:rFonts w:hint="eastAsia" w:ascii="宋体" w:hAnsi="宋体"/>
                <w:color w:val="auto"/>
                <w:kern w:val="0"/>
                <w:szCs w:val="21"/>
                <w:highlight w:val="none"/>
              </w:rPr>
              <w:t>算术校核项目</w:t>
            </w:r>
          </w:p>
        </w:tc>
        <w:tc>
          <w:tcPr>
            <w:tcW w:w="1602" w:type="dxa"/>
            <w:tcBorders>
              <w:top w:val="single" w:color="auto" w:sz="4" w:space="0"/>
              <w:left w:val="nil"/>
              <w:bottom w:val="single" w:color="auto" w:sz="4" w:space="0"/>
              <w:right w:val="single" w:color="auto" w:sz="4" w:space="0"/>
            </w:tcBorders>
            <w:vAlign w:val="center"/>
          </w:tcPr>
          <w:p w14:paraId="75F320F7">
            <w:pPr>
              <w:rPr>
                <w:rFonts w:ascii="宋体" w:hAnsi="宋体"/>
                <w:color w:val="auto"/>
                <w:kern w:val="0"/>
                <w:szCs w:val="21"/>
                <w:highlight w:val="none"/>
              </w:rPr>
            </w:pPr>
            <w:r>
              <w:rPr>
                <w:rFonts w:hint="eastAsia" w:ascii="宋体" w:hAnsi="宋体"/>
                <w:color w:val="auto"/>
                <w:kern w:val="0"/>
                <w:szCs w:val="21"/>
                <w:highlight w:val="none"/>
              </w:rPr>
              <w:t>修正前投标</w:t>
            </w:r>
          </w:p>
          <w:p w14:paraId="51C4134C">
            <w:pPr>
              <w:rPr>
                <w:rFonts w:ascii="宋体" w:hAnsi="宋体"/>
                <w:color w:val="auto"/>
                <w:kern w:val="0"/>
                <w:szCs w:val="21"/>
                <w:highlight w:val="none"/>
              </w:rPr>
            </w:pPr>
            <w:r>
              <w:rPr>
                <w:rFonts w:hint="eastAsia" w:ascii="宋体" w:hAnsi="宋体"/>
                <w:color w:val="auto"/>
                <w:kern w:val="0"/>
                <w:szCs w:val="21"/>
                <w:highlight w:val="none"/>
              </w:rPr>
              <w:t>报价</w:t>
            </w:r>
            <w:r>
              <w:rPr>
                <w:rFonts w:ascii="宋体" w:hAnsi="宋体"/>
                <w:color w:val="auto"/>
                <w:kern w:val="0"/>
                <w:szCs w:val="21"/>
                <w:highlight w:val="none"/>
              </w:rPr>
              <w:t>A</w:t>
            </w:r>
          </w:p>
        </w:tc>
        <w:tc>
          <w:tcPr>
            <w:tcW w:w="1575" w:type="dxa"/>
            <w:tcBorders>
              <w:top w:val="single" w:color="auto" w:sz="4" w:space="0"/>
              <w:left w:val="nil"/>
              <w:bottom w:val="single" w:color="auto" w:sz="4" w:space="0"/>
              <w:right w:val="single" w:color="auto" w:sz="4" w:space="0"/>
            </w:tcBorders>
            <w:vAlign w:val="center"/>
          </w:tcPr>
          <w:p w14:paraId="2585E770">
            <w:pPr>
              <w:rPr>
                <w:rFonts w:ascii="宋体" w:hAnsi="宋体"/>
                <w:color w:val="auto"/>
                <w:kern w:val="0"/>
                <w:szCs w:val="21"/>
                <w:highlight w:val="none"/>
              </w:rPr>
            </w:pPr>
            <w:r>
              <w:rPr>
                <w:rFonts w:hint="eastAsia" w:ascii="宋体" w:hAnsi="宋体"/>
                <w:color w:val="auto"/>
                <w:kern w:val="0"/>
                <w:szCs w:val="21"/>
                <w:highlight w:val="none"/>
              </w:rPr>
              <w:t>修正后投标</w:t>
            </w:r>
          </w:p>
          <w:p w14:paraId="5AF84C8A">
            <w:pPr>
              <w:rPr>
                <w:rFonts w:ascii="宋体" w:hAnsi="宋体"/>
                <w:color w:val="auto"/>
                <w:kern w:val="0"/>
                <w:szCs w:val="21"/>
                <w:highlight w:val="none"/>
              </w:rPr>
            </w:pPr>
            <w:r>
              <w:rPr>
                <w:rFonts w:hint="eastAsia" w:ascii="宋体" w:hAnsi="宋体"/>
                <w:color w:val="auto"/>
                <w:kern w:val="0"/>
                <w:szCs w:val="21"/>
                <w:highlight w:val="none"/>
              </w:rPr>
              <w:t>报价</w:t>
            </w:r>
            <w:r>
              <w:rPr>
                <w:rFonts w:ascii="宋体" w:hAnsi="宋体"/>
                <w:color w:val="auto"/>
                <w:kern w:val="0"/>
                <w:szCs w:val="21"/>
                <w:highlight w:val="none"/>
              </w:rPr>
              <w:t>B</w:t>
            </w:r>
          </w:p>
        </w:tc>
        <w:tc>
          <w:tcPr>
            <w:tcW w:w="1575" w:type="dxa"/>
            <w:tcBorders>
              <w:top w:val="single" w:color="auto" w:sz="4" w:space="0"/>
              <w:left w:val="nil"/>
              <w:bottom w:val="single" w:color="auto" w:sz="4" w:space="0"/>
              <w:right w:val="single" w:color="auto" w:sz="4" w:space="0"/>
            </w:tcBorders>
            <w:vAlign w:val="center"/>
          </w:tcPr>
          <w:p w14:paraId="41C803AC">
            <w:pPr>
              <w:rPr>
                <w:rFonts w:ascii="宋体" w:hAnsi="宋体"/>
                <w:color w:val="auto"/>
                <w:kern w:val="0"/>
                <w:szCs w:val="21"/>
                <w:highlight w:val="none"/>
              </w:rPr>
            </w:pPr>
            <w:r>
              <w:rPr>
                <w:rFonts w:hint="eastAsia" w:ascii="宋体" w:hAnsi="宋体"/>
                <w:color w:val="auto"/>
                <w:kern w:val="0"/>
                <w:szCs w:val="21"/>
                <w:highlight w:val="none"/>
              </w:rPr>
              <w:t>修正率</w:t>
            </w:r>
            <w:r>
              <w:rPr>
                <w:rFonts w:ascii="宋体" w:hAnsi="宋体"/>
                <w:color w:val="auto"/>
                <w:kern w:val="0"/>
                <w:szCs w:val="21"/>
                <w:highlight w:val="none"/>
              </w:rPr>
              <w:br w:type="textWrapping"/>
            </w:r>
            <w:r>
              <w:rPr>
                <w:rFonts w:ascii="宋体" w:hAnsi="宋体"/>
                <w:color w:val="auto"/>
                <w:kern w:val="0"/>
                <w:szCs w:val="21"/>
                <w:highlight w:val="none"/>
              </w:rPr>
              <w:t>r=|A-B|/A*100%</w:t>
            </w:r>
          </w:p>
        </w:tc>
        <w:tc>
          <w:tcPr>
            <w:tcW w:w="1470" w:type="dxa"/>
            <w:tcBorders>
              <w:top w:val="single" w:color="auto" w:sz="4" w:space="0"/>
              <w:left w:val="nil"/>
              <w:bottom w:val="single" w:color="auto" w:sz="4" w:space="0"/>
              <w:right w:val="single" w:color="auto" w:sz="4" w:space="0"/>
            </w:tcBorders>
            <w:vAlign w:val="center"/>
          </w:tcPr>
          <w:p w14:paraId="4B07A6D5">
            <w:pPr>
              <w:rPr>
                <w:rFonts w:ascii="宋体" w:hAnsi="宋体"/>
                <w:color w:val="auto"/>
                <w:kern w:val="0"/>
                <w:szCs w:val="21"/>
                <w:highlight w:val="none"/>
              </w:rPr>
            </w:pPr>
            <w:r>
              <w:rPr>
                <w:rFonts w:hint="eastAsia" w:ascii="宋体" w:hAnsi="宋体"/>
                <w:color w:val="auto"/>
                <w:kern w:val="0"/>
                <w:szCs w:val="21"/>
                <w:highlight w:val="none"/>
              </w:rPr>
              <w:t>经评审的最终投标报价</w:t>
            </w:r>
          </w:p>
        </w:tc>
        <w:tc>
          <w:tcPr>
            <w:tcW w:w="3465" w:type="dxa"/>
            <w:tcBorders>
              <w:top w:val="single" w:color="auto" w:sz="4" w:space="0"/>
              <w:left w:val="nil"/>
              <w:bottom w:val="single" w:color="auto" w:sz="4" w:space="0"/>
              <w:right w:val="single" w:color="auto" w:sz="4" w:space="0"/>
            </w:tcBorders>
            <w:vAlign w:val="center"/>
          </w:tcPr>
          <w:p w14:paraId="6EF98657">
            <w:pPr>
              <w:rPr>
                <w:rFonts w:ascii="宋体" w:hAnsi="宋体"/>
                <w:color w:val="auto"/>
                <w:kern w:val="0"/>
                <w:szCs w:val="21"/>
                <w:highlight w:val="none"/>
              </w:rPr>
            </w:pPr>
            <w:r>
              <w:rPr>
                <w:rFonts w:hint="eastAsia" w:ascii="宋体" w:hAnsi="宋体"/>
                <w:color w:val="auto"/>
                <w:kern w:val="0"/>
                <w:szCs w:val="21"/>
                <w:highlight w:val="none"/>
              </w:rPr>
              <w:t>当</w:t>
            </w:r>
            <w:r>
              <w:rPr>
                <w:rFonts w:ascii="宋体" w:hAnsi="宋体"/>
                <w:color w:val="auto"/>
                <w:kern w:val="0"/>
                <w:szCs w:val="21"/>
                <w:highlight w:val="none"/>
              </w:rPr>
              <w:t>B&gt;A</w:t>
            </w:r>
            <w:r>
              <w:rPr>
                <w:rFonts w:hint="eastAsia" w:ascii="宋体" w:hAnsi="宋体"/>
                <w:color w:val="auto"/>
                <w:kern w:val="0"/>
                <w:szCs w:val="21"/>
                <w:highlight w:val="none"/>
              </w:rPr>
              <w:t>时，修正后报价与原报价的差额；当</w:t>
            </w:r>
            <w:r>
              <w:rPr>
                <w:rFonts w:ascii="宋体" w:hAnsi="宋体"/>
                <w:color w:val="auto"/>
                <w:kern w:val="0"/>
                <w:szCs w:val="21"/>
                <w:highlight w:val="none"/>
              </w:rPr>
              <w:t>B</w:t>
            </w:r>
            <w:r>
              <w:rPr>
                <w:rFonts w:hint="eastAsia" w:ascii="宋体" w:hAnsi="宋体"/>
                <w:color w:val="auto"/>
                <w:kern w:val="0"/>
                <w:szCs w:val="21"/>
                <w:highlight w:val="none"/>
              </w:rPr>
              <w:t>≤</w:t>
            </w:r>
            <w:r>
              <w:rPr>
                <w:rFonts w:ascii="宋体" w:hAnsi="宋体"/>
                <w:color w:val="auto"/>
                <w:kern w:val="0"/>
                <w:szCs w:val="21"/>
                <w:highlight w:val="none"/>
              </w:rPr>
              <w:t>A</w:t>
            </w:r>
            <w:r>
              <w:rPr>
                <w:rFonts w:hint="eastAsia" w:ascii="宋体" w:hAnsi="宋体"/>
                <w:color w:val="auto"/>
                <w:kern w:val="0"/>
                <w:szCs w:val="21"/>
                <w:highlight w:val="none"/>
              </w:rPr>
              <w:t>时</w:t>
            </w:r>
            <w:r>
              <w:rPr>
                <w:rFonts w:ascii="宋体" w:hAnsi="宋体"/>
                <w:color w:val="auto"/>
                <w:kern w:val="0"/>
                <w:szCs w:val="21"/>
                <w:highlight w:val="none"/>
              </w:rPr>
              <w:t>,R=0</w:t>
            </w:r>
          </w:p>
        </w:tc>
      </w:tr>
      <w:tr w14:paraId="740639CF">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5F90749C">
            <w:pPr>
              <w:rPr>
                <w:rFonts w:ascii="宋体" w:hAnsi="宋体"/>
                <w:color w:val="auto"/>
                <w:kern w:val="0"/>
                <w:szCs w:val="21"/>
                <w:highlight w:val="none"/>
              </w:rPr>
            </w:pPr>
            <w:r>
              <w:rPr>
                <w:rFonts w:ascii="宋体" w:hAnsi="宋体"/>
                <w:color w:val="auto"/>
                <w:kern w:val="0"/>
                <w:szCs w:val="21"/>
                <w:highlight w:val="none"/>
              </w:rPr>
              <w:t>1</w:t>
            </w:r>
          </w:p>
        </w:tc>
        <w:tc>
          <w:tcPr>
            <w:tcW w:w="4488" w:type="dxa"/>
            <w:tcBorders>
              <w:top w:val="nil"/>
              <w:left w:val="nil"/>
              <w:bottom w:val="single" w:color="auto" w:sz="4" w:space="0"/>
              <w:right w:val="single" w:color="auto" w:sz="4" w:space="0"/>
            </w:tcBorders>
            <w:vAlign w:val="center"/>
          </w:tcPr>
          <w:p w14:paraId="5DA293D0">
            <w:pPr>
              <w:rPr>
                <w:rFonts w:ascii="宋体" w:hAnsi="宋体"/>
                <w:color w:val="auto"/>
                <w:kern w:val="0"/>
                <w:szCs w:val="21"/>
                <w:highlight w:val="none"/>
              </w:rPr>
            </w:pPr>
            <w:r>
              <w:rPr>
                <w:rFonts w:ascii="宋体" w:hAnsi="宋体"/>
                <w:color w:val="auto"/>
                <w:kern w:val="0"/>
                <w:szCs w:val="21"/>
                <w:highlight w:val="none"/>
              </w:rPr>
              <w:t>[</w:t>
            </w:r>
            <w:r>
              <w:rPr>
                <w:rFonts w:hint="eastAsia" w:ascii="宋体" w:hAnsi="宋体"/>
                <w:color w:val="auto"/>
                <w:kern w:val="0"/>
                <w:szCs w:val="21"/>
                <w:highlight w:val="none"/>
              </w:rPr>
              <w:t>单位工程</w:t>
            </w:r>
            <w:r>
              <w:rPr>
                <w:rFonts w:ascii="宋体" w:hAnsi="宋体"/>
                <w:color w:val="auto"/>
                <w:kern w:val="0"/>
                <w:szCs w:val="21"/>
                <w:highlight w:val="none"/>
              </w:rPr>
              <w:t>1]</w:t>
            </w:r>
          </w:p>
        </w:tc>
        <w:tc>
          <w:tcPr>
            <w:tcW w:w="1602" w:type="dxa"/>
            <w:tcBorders>
              <w:top w:val="nil"/>
              <w:left w:val="nil"/>
              <w:bottom w:val="single" w:color="auto" w:sz="4" w:space="0"/>
              <w:right w:val="single" w:color="auto" w:sz="4" w:space="0"/>
            </w:tcBorders>
            <w:vAlign w:val="center"/>
          </w:tcPr>
          <w:p w14:paraId="0AB15CEA">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268CE8CA">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3C2D80EF">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576AFABA">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08B277C8">
            <w:pPr>
              <w:rPr>
                <w:rFonts w:ascii="宋体" w:hAnsi="宋体"/>
                <w:color w:val="auto"/>
                <w:kern w:val="0"/>
                <w:szCs w:val="21"/>
                <w:highlight w:val="none"/>
              </w:rPr>
            </w:pPr>
          </w:p>
        </w:tc>
      </w:tr>
      <w:tr w14:paraId="2847AD2D">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0B4FC85C">
            <w:pPr>
              <w:rPr>
                <w:rFonts w:ascii="宋体" w:hAnsi="宋体"/>
                <w:color w:val="auto"/>
                <w:kern w:val="0"/>
                <w:szCs w:val="21"/>
                <w:highlight w:val="none"/>
              </w:rPr>
            </w:pPr>
            <w:r>
              <w:rPr>
                <w:rFonts w:ascii="宋体" w:hAnsi="宋体"/>
                <w:color w:val="auto"/>
                <w:kern w:val="0"/>
                <w:szCs w:val="21"/>
                <w:highlight w:val="none"/>
              </w:rPr>
              <w:t>2</w:t>
            </w:r>
          </w:p>
        </w:tc>
        <w:tc>
          <w:tcPr>
            <w:tcW w:w="4488" w:type="dxa"/>
            <w:tcBorders>
              <w:top w:val="nil"/>
              <w:left w:val="nil"/>
              <w:bottom w:val="single" w:color="auto" w:sz="4" w:space="0"/>
              <w:right w:val="single" w:color="auto" w:sz="4" w:space="0"/>
            </w:tcBorders>
            <w:vAlign w:val="center"/>
          </w:tcPr>
          <w:p w14:paraId="046473EA">
            <w:pPr>
              <w:rPr>
                <w:rFonts w:ascii="宋体" w:hAnsi="宋体"/>
                <w:color w:val="auto"/>
                <w:kern w:val="0"/>
                <w:szCs w:val="21"/>
                <w:highlight w:val="none"/>
              </w:rPr>
            </w:pPr>
            <w:r>
              <w:rPr>
                <w:rFonts w:ascii="宋体" w:hAnsi="宋体"/>
                <w:color w:val="auto"/>
                <w:kern w:val="0"/>
                <w:szCs w:val="21"/>
                <w:highlight w:val="none"/>
              </w:rPr>
              <w:t>[</w:t>
            </w:r>
            <w:r>
              <w:rPr>
                <w:rFonts w:hint="eastAsia" w:ascii="宋体" w:hAnsi="宋体"/>
                <w:color w:val="auto"/>
                <w:kern w:val="0"/>
                <w:szCs w:val="21"/>
                <w:highlight w:val="none"/>
              </w:rPr>
              <w:t>单位工程</w:t>
            </w:r>
            <w:r>
              <w:rPr>
                <w:rFonts w:ascii="宋体" w:hAnsi="宋体"/>
                <w:color w:val="auto"/>
                <w:kern w:val="0"/>
                <w:szCs w:val="21"/>
                <w:highlight w:val="none"/>
              </w:rPr>
              <w:t>2]</w:t>
            </w:r>
          </w:p>
        </w:tc>
        <w:tc>
          <w:tcPr>
            <w:tcW w:w="1602" w:type="dxa"/>
            <w:tcBorders>
              <w:top w:val="nil"/>
              <w:left w:val="nil"/>
              <w:bottom w:val="single" w:color="auto" w:sz="4" w:space="0"/>
              <w:right w:val="single" w:color="auto" w:sz="4" w:space="0"/>
            </w:tcBorders>
            <w:vAlign w:val="center"/>
          </w:tcPr>
          <w:p w14:paraId="156E3AF0">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46E13947">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30B0B09E">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725DB032">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19624991">
            <w:pPr>
              <w:rPr>
                <w:rFonts w:ascii="宋体" w:hAnsi="宋体"/>
                <w:color w:val="auto"/>
                <w:kern w:val="0"/>
                <w:szCs w:val="21"/>
                <w:highlight w:val="none"/>
              </w:rPr>
            </w:pPr>
          </w:p>
        </w:tc>
      </w:tr>
      <w:tr w14:paraId="0DD3DB24">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0E95E568">
            <w:pPr>
              <w:rPr>
                <w:rFonts w:ascii="宋体" w:hAnsi="宋体"/>
                <w:color w:val="auto"/>
                <w:kern w:val="0"/>
                <w:szCs w:val="21"/>
                <w:highlight w:val="none"/>
              </w:rPr>
            </w:pPr>
            <w:r>
              <w:rPr>
                <w:rFonts w:hint="eastAsia" w:ascii="宋体" w:hAnsi="宋体"/>
                <w:color w:val="auto"/>
                <w:kern w:val="0"/>
                <w:szCs w:val="21"/>
                <w:highlight w:val="none"/>
              </w:rPr>
              <w:t>…</w:t>
            </w:r>
          </w:p>
        </w:tc>
        <w:tc>
          <w:tcPr>
            <w:tcW w:w="4488" w:type="dxa"/>
            <w:tcBorders>
              <w:top w:val="nil"/>
              <w:left w:val="nil"/>
              <w:bottom w:val="single" w:color="auto" w:sz="4" w:space="0"/>
              <w:right w:val="single" w:color="auto" w:sz="4" w:space="0"/>
            </w:tcBorders>
            <w:vAlign w:val="center"/>
          </w:tcPr>
          <w:p w14:paraId="72F27008">
            <w:pPr>
              <w:rPr>
                <w:rFonts w:ascii="宋体" w:hAnsi="宋体"/>
                <w:color w:val="auto"/>
                <w:kern w:val="0"/>
                <w:szCs w:val="21"/>
                <w:highlight w:val="none"/>
              </w:rPr>
            </w:pPr>
            <w:r>
              <w:rPr>
                <w:rFonts w:hint="eastAsia" w:ascii="宋体" w:hAnsi="宋体"/>
                <w:color w:val="auto"/>
                <w:kern w:val="0"/>
                <w:szCs w:val="21"/>
                <w:highlight w:val="none"/>
              </w:rPr>
              <w:t>…</w:t>
            </w:r>
          </w:p>
        </w:tc>
        <w:tc>
          <w:tcPr>
            <w:tcW w:w="1602" w:type="dxa"/>
            <w:tcBorders>
              <w:top w:val="nil"/>
              <w:left w:val="nil"/>
              <w:bottom w:val="single" w:color="auto" w:sz="4" w:space="0"/>
              <w:right w:val="single" w:color="auto" w:sz="4" w:space="0"/>
            </w:tcBorders>
            <w:vAlign w:val="center"/>
          </w:tcPr>
          <w:p w14:paraId="1B1F72AD">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4027AABB">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252A475F">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113CEBEE">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0B79C594">
            <w:pPr>
              <w:rPr>
                <w:rFonts w:ascii="宋体" w:hAnsi="宋体"/>
                <w:color w:val="auto"/>
                <w:kern w:val="0"/>
                <w:szCs w:val="21"/>
                <w:highlight w:val="none"/>
              </w:rPr>
            </w:pPr>
          </w:p>
        </w:tc>
      </w:tr>
      <w:tr w14:paraId="7E21F351">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55A2A92A">
            <w:pPr>
              <w:rPr>
                <w:rFonts w:ascii="宋体" w:hAnsi="宋体"/>
                <w:color w:val="auto"/>
                <w:kern w:val="0"/>
                <w:szCs w:val="21"/>
                <w:highlight w:val="none"/>
              </w:rPr>
            </w:pPr>
            <w:r>
              <w:rPr>
                <w:rFonts w:hint="eastAsia" w:ascii="宋体" w:hAnsi="宋体"/>
                <w:color w:val="auto"/>
                <w:kern w:val="0"/>
                <w:szCs w:val="21"/>
                <w:highlight w:val="none"/>
              </w:rPr>
              <w:t>…</w:t>
            </w:r>
          </w:p>
        </w:tc>
        <w:tc>
          <w:tcPr>
            <w:tcW w:w="4488" w:type="dxa"/>
            <w:tcBorders>
              <w:top w:val="nil"/>
              <w:left w:val="nil"/>
              <w:bottom w:val="single" w:color="auto" w:sz="4" w:space="0"/>
              <w:right w:val="single" w:color="auto" w:sz="4" w:space="0"/>
            </w:tcBorders>
            <w:vAlign w:val="center"/>
          </w:tcPr>
          <w:p w14:paraId="1AFD96BB">
            <w:pPr>
              <w:rPr>
                <w:rFonts w:ascii="宋体" w:hAnsi="宋体"/>
                <w:color w:val="auto"/>
                <w:kern w:val="0"/>
                <w:szCs w:val="21"/>
                <w:highlight w:val="none"/>
              </w:rPr>
            </w:pPr>
            <w:r>
              <w:rPr>
                <w:rFonts w:hint="eastAsia" w:ascii="宋体" w:hAnsi="宋体"/>
                <w:color w:val="auto"/>
                <w:kern w:val="0"/>
                <w:szCs w:val="21"/>
                <w:highlight w:val="none"/>
              </w:rPr>
              <w:t>…</w:t>
            </w:r>
          </w:p>
        </w:tc>
        <w:tc>
          <w:tcPr>
            <w:tcW w:w="1602" w:type="dxa"/>
            <w:tcBorders>
              <w:top w:val="nil"/>
              <w:left w:val="nil"/>
              <w:bottom w:val="single" w:color="auto" w:sz="4" w:space="0"/>
              <w:right w:val="single" w:color="auto" w:sz="4" w:space="0"/>
            </w:tcBorders>
            <w:vAlign w:val="center"/>
          </w:tcPr>
          <w:p w14:paraId="1641CA09">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1660F5CB">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1557AF9F">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4F41885F">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7B031AEE">
            <w:pPr>
              <w:rPr>
                <w:rFonts w:ascii="宋体" w:hAnsi="宋体"/>
                <w:color w:val="auto"/>
                <w:kern w:val="0"/>
                <w:szCs w:val="21"/>
                <w:highlight w:val="none"/>
              </w:rPr>
            </w:pPr>
          </w:p>
        </w:tc>
      </w:tr>
      <w:tr w14:paraId="34D61FF3">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1E0CC625">
            <w:pPr>
              <w:rPr>
                <w:rFonts w:ascii="宋体" w:hAnsi="宋体"/>
                <w:color w:val="auto"/>
                <w:kern w:val="0"/>
                <w:szCs w:val="21"/>
                <w:highlight w:val="none"/>
              </w:rPr>
            </w:pPr>
            <w:r>
              <w:rPr>
                <w:rFonts w:hint="eastAsia" w:ascii="宋体" w:hAnsi="宋体"/>
                <w:color w:val="auto"/>
                <w:kern w:val="0"/>
                <w:szCs w:val="21"/>
                <w:highlight w:val="none"/>
              </w:rPr>
              <w:t>…</w:t>
            </w:r>
          </w:p>
        </w:tc>
        <w:tc>
          <w:tcPr>
            <w:tcW w:w="4488" w:type="dxa"/>
            <w:tcBorders>
              <w:top w:val="nil"/>
              <w:left w:val="nil"/>
              <w:bottom w:val="single" w:color="auto" w:sz="4" w:space="0"/>
              <w:right w:val="single" w:color="auto" w:sz="4" w:space="0"/>
            </w:tcBorders>
            <w:vAlign w:val="center"/>
          </w:tcPr>
          <w:p w14:paraId="5E391A5F">
            <w:pPr>
              <w:rPr>
                <w:rFonts w:ascii="宋体" w:hAnsi="宋体"/>
                <w:color w:val="auto"/>
                <w:kern w:val="0"/>
                <w:szCs w:val="21"/>
                <w:highlight w:val="none"/>
              </w:rPr>
            </w:pPr>
            <w:r>
              <w:rPr>
                <w:rFonts w:hint="eastAsia" w:ascii="宋体" w:hAnsi="宋体"/>
                <w:color w:val="auto"/>
                <w:kern w:val="0"/>
                <w:szCs w:val="21"/>
                <w:highlight w:val="none"/>
              </w:rPr>
              <w:t>…</w:t>
            </w:r>
          </w:p>
        </w:tc>
        <w:tc>
          <w:tcPr>
            <w:tcW w:w="1602" w:type="dxa"/>
            <w:tcBorders>
              <w:top w:val="nil"/>
              <w:left w:val="nil"/>
              <w:bottom w:val="single" w:color="auto" w:sz="4" w:space="0"/>
              <w:right w:val="single" w:color="auto" w:sz="4" w:space="0"/>
            </w:tcBorders>
            <w:vAlign w:val="center"/>
          </w:tcPr>
          <w:p w14:paraId="5E8A07B8">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52A6E2DE">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44AE6077">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06B73D98">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2B204B22">
            <w:pPr>
              <w:rPr>
                <w:rFonts w:ascii="宋体" w:hAnsi="宋体"/>
                <w:color w:val="auto"/>
                <w:kern w:val="0"/>
                <w:szCs w:val="21"/>
                <w:highlight w:val="none"/>
              </w:rPr>
            </w:pPr>
          </w:p>
        </w:tc>
      </w:tr>
      <w:tr w14:paraId="233F8DC2">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7B2F6E54">
            <w:pPr>
              <w:rPr>
                <w:rFonts w:ascii="宋体" w:hAnsi="宋体"/>
                <w:color w:val="auto"/>
                <w:kern w:val="0"/>
                <w:szCs w:val="21"/>
                <w:highlight w:val="none"/>
              </w:rPr>
            </w:pPr>
            <w:r>
              <w:rPr>
                <w:rFonts w:ascii="宋体" w:hAnsi="宋体"/>
                <w:color w:val="auto"/>
                <w:kern w:val="0"/>
                <w:szCs w:val="21"/>
                <w:highlight w:val="none"/>
              </w:rPr>
              <w:t>n</w:t>
            </w:r>
          </w:p>
        </w:tc>
        <w:tc>
          <w:tcPr>
            <w:tcW w:w="4488" w:type="dxa"/>
            <w:tcBorders>
              <w:top w:val="nil"/>
              <w:left w:val="nil"/>
              <w:bottom w:val="single" w:color="auto" w:sz="4" w:space="0"/>
              <w:right w:val="single" w:color="auto" w:sz="4" w:space="0"/>
            </w:tcBorders>
            <w:vAlign w:val="center"/>
          </w:tcPr>
          <w:p w14:paraId="758ADD88">
            <w:pPr>
              <w:rPr>
                <w:rFonts w:ascii="宋体" w:hAnsi="宋体"/>
                <w:color w:val="auto"/>
                <w:kern w:val="0"/>
                <w:szCs w:val="21"/>
                <w:highlight w:val="none"/>
              </w:rPr>
            </w:pPr>
            <w:r>
              <w:rPr>
                <w:rFonts w:ascii="宋体" w:hAnsi="宋体"/>
                <w:color w:val="auto"/>
                <w:kern w:val="0"/>
                <w:szCs w:val="21"/>
                <w:highlight w:val="none"/>
              </w:rPr>
              <w:t>[</w:t>
            </w:r>
            <w:r>
              <w:rPr>
                <w:rFonts w:hint="eastAsia" w:ascii="宋体" w:hAnsi="宋体"/>
                <w:color w:val="auto"/>
                <w:kern w:val="0"/>
                <w:szCs w:val="21"/>
                <w:highlight w:val="none"/>
              </w:rPr>
              <w:t>单位工程</w:t>
            </w:r>
            <w:r>
              <w:rPr>
                <w:rFonts w:ascii="宋体" w:hAnsi="宋体"/>
                <w:color w:val="auto"/>
                <w:kern w:val="0"/>
                <w:szCs w:val="21"/>
                <w:highlight w:val="none"/>
              </w:rPr>
              <w:t>n]</w:t>
            </w:r>
          </w:p>
        </w:tc>
        <w:tc>
          <w:tcPr>
            <w:tcW w:w="1602" w:type="dxa"/>
            <w:tcBorders>
              <w:top w:val="nil"/>
              <w:left w:val="nil"/>
              <w:bottom w:val="single" w:color="auto" w:sz="4" w:space="0"/>
              <w:right w:val="single" w:color="auto" w:sz="4" w:space="0"/>
            </w:tcBorders>
            <w:vAlign w:val="center"/>
          </w:tcPr>
          <w:p w14:paraId="25981DCF">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44A34FC7">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51872633">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6EECC1A7">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6D4AE724">
            <w:pPr>
              <w:rPr>
                <w:rFonts w:ascii="宋体" w:hAnsi="宋体"/>
                <w:color w:val="auto"/>
                <w:kern w:val="0"/>
                <w:szCs w:val="21"/>
                <w:highlight w:val="none"/>
              </w:rPr>
            </w:pPr>
          </w:p>
        </w:tc>
      </w:tr>
      <w:tr w14:paraId="39D72975">
        <w:tblPrEx>
          <w:tblCellMar>
            <w:top w:w="0" w:type="dxa"/>
            <w:left w:w="108" w:type="dxa"/>
            <w:bottom w:w="0" w:type="dxa"/>
            <w:right w:w="108" w:type="dxa"/>
          </w:tblCellMar>
        </w:tblPrEx>
        <w:trPr>
          <w:trHeight w:val="600" w:hRule="atLeast"/>
        </w:trPr>
        <w:tc>
          <w:tcPr>
            <w:tcW w:w="645" w:type="dxa"/>
            <w:tcBorders>
              <w:top w:val="nil"/>
              <w:left w:val="single" w:color="auto" w:sz="4" w:space="0"/>
              <w:bottom w:val="single" w:color="auto" w:sz="4" w:space="0"/>
              <w:right w:val="single" w:color="auto" w:sz="4" w:space="0"/>
            </w:tcBorders>
            <w:vAlign w:val="center"/>
          </w:tcPr>
          <w:p w14:paraId="7504C721">
            <w:pPr>
              <w:rPr>
                <w:rFonts w:ascii="宋体" w:hAnsi="宋体"/>
                <w:color w:val="auto"/>
                <w:kern w:val="0"/>
                <w:szCs w:val="21"/>
                <w:highlight w:val="none"/>
              </w:rPr>
            </w:pPr>
            <w:r>
              <w:rPr>
                <w:rFonts w:hint="eastAsia" w:ascii="宋体" w:hAnsi="宋体"/>
                <w:color w:val="auto"/>
                <w:kern w:val="0"/>
                <w:szCs w:val="21"/>
                <w:highlight w:val="none"/>
              </w:rPr>
              <w:t>∑</w:t>
            </w:r>
          </w:p>
        </w:tc>
        <w:tc>
          <w:tcPr>
            <w:tcW w:w="4488" w:type="dxa"/>
            <w:tcBorders>
              <w:top w:val="nil"/>
              <w:left w:val="nil"/>
              <w:bottom w:val="single" w:color="auto" w:sz="4" w:space="0"/>
              <w:right w:val="single" w:color="auto" w:sz="4" w:space="0"/>
            </w:tcBorders>
            <w:vAlign w:val="center"/>
          </w:tcPr>
          <w:p w14:paraId="2BBC5069">
            <w:pPr>
              <w:rPr>
                <w:rFonts w:ascii="宋体" w:hAnsi="宋体"/>
                <w:color w:val="auto"/>
                <w:kern w:val="0"/>
                <w:szCs w:val="21"/>
                <w:highlight w:val="none"/>
              </w:rPr>
            </w:pPr>
            <w:r>
              <w:rPr>
                <w:rFonts w:hint="eastAsia" w:ascii="宋体" w:hAnsi="宋体"/>
                <w:color w:val="auto"/>
                <w:kern w:val="0"/>
                <w:szCs w:val="21"/>
                <w:highlight w:val="none"/>
              </w:rPr>
              <w:t>投标总报价</w:t>
            </w:r>
          </w:p>
        </w:tc>
        <w:tc>
          <w:tcPr>
            <w:tcW w:w="1602" w:type="dxa"/>
            <w:tcBorders>
              <w:top w:val="nil"/>
              <w:left w:val="nil"/>
              <w:bottom w:val="single" w:color="auto" w:sz="4" w:space="0"/>
              <w:right w:val="single" w:color="auto" w:sz="4" w:space="0"/>
            </w:tcBorders>
            <w:vAlign w:val="center"/>
          </w:tcPr>
          <w:p w14:paraId="656FF416">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cBorders>
            <w:vAlign w:val="center"/>
          </w:tcPr>
          <w:p w14:paraId="763F2E39">
            <w:pPr>
              <w:rPr>
                <w:rFonts w:ascii="宋体" w:hAnsi="宋体"/>
                <w:color w:val="auto"/>
                <w:kern w:val="0"/>
                <w:szCs w:val="21"/>
                <w:highlight w:val="none"/>
              </w:rPr>
            </w:pPr>
            <w:r>
              <w:rPr>
                <w:rFonts w:hint="eastAsia" w:ascii="宋体" w:hAnsi="宋体"/>
                <w:color w:val="auto"/>
                <w:kern w:val="0"/>
                <w:szCs w:val="21"/>
                <w:highlight w:val="none"/>
              </w:rPr>
              <w:t>　</w:t>
            </w:r>
          </w:p>
        </w:tc>
        <w:tc>
          <w:tcPr>
            <w:tcW w:w="1575" w:type="dxa"/>
            <w:tcBorders>
              <w:top w:val="nil"/>
              <w:left w:val="nil"/>
              <w:bottom w:val="single" w:color="auto" w:sz="4" w:space="0"/>
              <w:right w:val="single" w:color="auto" w:sz="4" w:space="0"/>
              <w:tr2bl w:val="single" w:color="auto" w:sz="4" w:space="0"/>
            </w:tcBorders>
            <w:vAlign w:val="center"/>
          </w:tcPr>
          <w:p w14:paraId="31AC07B3">
            <w:pPr>
              <w:rPr>
                <w:rFonts w:ascii="宋体" w:hAnsi="宋体"/>
                <w:color w:val="auto"/>
                <w:kern w:val="0"/>
                <w:szCs w:val="21"/>
                <w:highlight w:val="none"/>
              </w:rPr>
            </w:pPr>
            <w:r>
              <w:rPr>
                <w:rFonts w:hint="eastAsia" w:ascii="宋体" w:hAnsi="宋体"/>
                <w:color w:val="auto"/>
                <w:kern w:val="0"/>
                <w:szCs w:val="21"/>
                <w:highlight w:val="none"/>
              </w:rPr>
              <w:t>　</w:t>
            </w:r>
          </w:p>
        </w:tc>
        <w:tc>
          <w:tcPr>
            <w:tcW w:w="1470" w:type="dxa"/>
            <w:tcBorders>
              <w:top w:val="nil"/>
              <w:left w:val="nil"/>
              <w:bottom w:val="single" w:color="auto" w:sz="4" w:space="0"/>
              <w:right w:val="single" w:color="auto" w:sz="4" w:space="0"/>
            </w:tcBorders>
            <w:vAlign w:val="center"/>
          </w:tcPr>
          <w:p w14:paraId="481926E4">
            <w:pPr>
              <w:rPr>
                <w:rFonts w:ascii="宋体" w:hAnsi="宋体"/>
                <w:color w:val="auto"/>
                <w:kern w:val="0"/>
                <w:szCs w:val="21"/>
                <w:highlight w:val="none"/>
              </w:rPr>
            </w:pPr>
            <w:r>
              <w:rPr>
                <w:rFonts w:hint="eastAsia" w:ascii="宋体" w:hAnsi="宋体"/>
                <w:color w:val="auto"/>
                <w:kern w:val="0"/>
                <w:szCs w:val="21"/>
                <w:highlight w:val="none"/>
              </w:rPr>
              <w:t>　</w:t>
            </w:r>
          </w:p>
        </w:tc>
        <w:tc>
          <w:tcPr>
            <w:tcW w:w="3465" w:type="dxa"/>
            <w:tcBorders>
              <w:top w:val="single" w:color="auto" w:sz="4" w:space="0"/>
              <w:left w:val="nil"/>
              <w:bottom w:val="single" w:color="auto" w:sz="4" w:space="0"/>
              <w:right w:val="single" w:color="auto" w:sz="4" w:space="0"/>
            </w:tcBorders>
            <w:vAlign w:val="center"/>
          </w:tcPr>
          <w:p w14:paraId="18E61D2A">
            <w:pPr>
              <w:rPr>
                <w:rFonts w:ascii="宋体" w:hAnsi="宋体"/>
                <w:color w:val="auto"/>
                <w:kern w:val="0"/>
                <w:szCs w:val="21"/>
                <w:highlight w:val="none"/>
              </w:rPr>
            </w:pPr>
            <w:r>
              <w:rPr>
                <w:rFonts w:hint="eastAsia" w:ascii="宋体" w:hAnsi="宋体"/>
                <w:color w:val="auto"/>
                <w:kern w:val="0"/>
                <w:szCs w:val="21"/>
                <w:highlight w:val="none"/>
              </w:rPr>
              <w:t>∑</w:t>
            </w:r>
            <w:r>
              <w:rPr>
                <w:rFonts w:ascii="宋体" w:hAnsi="宋体"/>
                <w:color w:val="auto"/>
                <w:kern w:val="0"/>
                <w:szCs w:val="21"/>
                <w:highlight w:val="none"/>
              </w:rPr>
              <w:t>A=A</w:t>
            </w:r>
            <w:r>
              <w:rPr>
                <w:rFonts w:ascii="宋体" w:hAnsi="宋体"/>
                <w:color w:val="auto"/>
                <w:kern w:val="0"/>
                <w:szCs w:val="21"/>
                <w:highlight w:val="none"/>
                <w:vertAlign w:val="subscript"/>
              </w:rPr>
              <w:t>1</w:t>
            </w:r>
            <w:r>
              <w:rPr>
                <w:rFonts w:ascii="宋体" w:hAnsi="宋体"/>
                <w:color w:val="auto"/>
                <w:kern w:val="0"/>
                <w:szCs w:val="21"/>
                <w:highlight w:val="none"/>
              </w:rPr>
              <w:t>+A</w:t>
            </w:r>
            <w:r>
              <w:rPr>
                <w:rFonts w:ascii="宋体" w:hAnsi="宋体"/>
                <w:color w:val="auto"/>
                <w:kern w:val="0"/>
                <w:szCs w:val="21"/>
                <w:highlight w:val="none"/>
                <w:vertAlign w:val="subscript"/>
              </w:rPr>
              <w:t>2</w:t>
            </w:r>
            <w:r>
              <w:rPr>
                <w:rFonts w:ascii="宋体" w:hAnsi="宋体"/>
                <w:color w:val="auto"/>
                <w:kern w:val="0"/>
                <w:szCs w:val="21"/>
                <w:highlight w:val="none"/>
              </w:rPr>
              <w:t>+</w:t>
            </w:r>
            <w:r>
              <w:rPr>
                <w:rFonts w:hint="eastAsia" w:ascii="宋体" w:hAnsi="宋体"/>
                <w:color w:val="auto"/>
                <w:kern w:val="0"/>
                <w:szCs w:val="21"/>
                <w:highlight w:val="none"/>
              </w:rPr>
              <w:t>…</w:t>
            </w:r>
            <w:r>
              <w:rPr>
                <w:rFonts w:ascii="宋体" w:hAnsi="宋体"/>
                <w:color w:val="auto"/>
                <w:kern w:val="0"/>
                <w:szCs w:val="21"/>
                <w:highlight w:val="none"/>
              </w:rPr>
              <w:t>An</w:t>
            </w:r>
            <w:r>
              <w:rPr>
                <w:rFonts w:hint="eastAsia" w:ascii="宋体" w:hAnsi="宋体"/>
                <w:color w:val="auto"/>
                <w:kern w:val="0"/>
                <w:szCs w:val="21"/>
                <w:highlight w:val="none"/>
              </w:rPr>
              <w:t>；∑</w:t>
            </w:r>
            <w:r>
              <w:rPr>
                <w:rFonts w:ascii="宋体" w:hAnsi="宋体"/>
                <w:color w:val="auto"/>
                <w:kern w:val="0"/>
                <w:szCs w:val="21"/>
                <w:highlight w:val="none"/>
              </w:rPr>
              <w:t>B=B</w:t>
            </w:r>
            <w:r>
              <w:rPr>
                <w:rFonts w:ascii="宋体" w:hAnsi="宋体"/>
                <w:color w:val="auto"/>
                <w:kern w:val="0"/>
                <w:szCs w:val="21"/>
                <w:highlight w:val="none"/>
                <w:vertAlign w:val="subscript"/>
              </w:rPr>
              <w:t>1</w:t>
            </w:r>
            <w:r>
              <w:rPr>
                <w:rFonts w:ascii="宋体" w:hAnsi="宋体"/>
                <w:color w:val="auto"/>
                <w:kern w:val="0"/>
                <w:szCs w:val="21"/>
                <w:highlight w:val="none"/>
              </w:rPr>
              <w:t>+B</w:t>
            </w:r>
            <w:r>
              <w:rPr>
                <w:rFonts w:ascii="宋体" w:hAnsi="宋体"/>
                <w:color w:val="auto"/>
                <w:kern w:val="0"/>
                <w:szCs w:val="21"/>
                <w:highlight w:val="none"/>
                <w:vertAlign w:val="subscript"/>
              </w:rPr>
              <w:t>2</w:t>
            </w:r>
            <w:r>
              <w:rPr>
                <w:rFonts w:ascii="宋体" w:hAnsi="宋体"/>
                <w:color w:val="auto"/>
                <w:kern w:val="0"/>
                <w:szCs w:val="21"/>
                <w:highlight w:val="none"/>
              </w:rPr>
              <w:t>+</w:t>
            </w:r>
            <w:r>
              <w:rPr>
                <w:rFonts w:hint="eastAsia" w:ascii="宋体" w:hAnsi="宋体"/>
                <w:color w:val="auto"/>
                <w:kern w:val="0"/>
                <w:szCs w:val="21"/>
                <w:highlight w:val="none"/>
              </w:rPr>
              <w:t>…</w:t>
            </w:r>
            <w:r>
              <w:rPr>
                <w:rFonts w:ascii="宋体" w:hAnsi="宋体"/>
                <w:color w:val="auto"/>
                <w:kern w:val="0"/>
                <w:szCs w:val="21"/>
                <w:highlight w:val="none"/>
              </w:rPr>
              <w:t>Bn</w:t>
            </w:r>
          </w:p>
        </w:tc>
      </w:tr>
    </w:tbl>
    <w:p w14:paraId="3C8881A1">
      <w:pPr>
        <w:rPr>
          <w:rFonts w:cs="宋体"/>
          <w:color w:val="auto"/>
          <w:kern w:val="0"/>
          <w:szCs w:val="21"/>
          <w:highlight w:val="none"/>
        </w:rPr>
      </w:pPr>
      <w:r>
        <w:rPr>
          <w:rFonts w:hint="eastAsia" w:cs="宋体"/>
          <w:color w:val="auto"/>
          <w:kern w:val="0"/>
          <w:szCs w:val="21"/>
          <w:highlight w:val="none"/>
        </w:rPr>
        <w:t>修正原则：</w:t>
      </w:r>
      <w:r>
        <w:rPr>
          <w:rFonts w:hint="eastAsia"/>
          <w:color w:val="auto"/>
          <w:szCs w:val="21"/>
          <w:highlight w:val="none"/>
        </w:rPr>
        <w:t>按就低不就高原则，当修正后报价小于原报价，总价按修正后报价；当修正后报价大于原报价，总价按原报价，并在签订合同时载明在结算价中扣除修正报价与原报价的差额。</w:t>
      </w:r>
      <w:r>
        <w:rPr>
          <w:rFonts w:cs="宋体"/>
          <w:color w:val="auto"/>
          <w:kern w:val="0"/>
          <w:szCs w:val="21"/>
          <w:highlight w:val="none"/>
        </w:rPr>
        <w:tab/>
      </w:r>
    </w:p>
    <w:p w14:paraId="57A4BE4B">
      <w:pPr>
        <w:rPr>
          <w:rFonts w:hint="eastAsia"/>
          <w:color w:val="auto"/>
          <w:kern w:val="0"/>
          <w:szCs w:val="21"/>
          <w:highlight w:val="none"/>
        </w:rPr>
      </w:pPr>
    </w:p>
    <w:p w14:paraId="37839D3D">
      <w:pPr>
        <w:rPr>
          <w:color w:val="auto"/>
          <w:kern w:val="0"/>
          <w:szCs w:val="21"/>
          <w:highlight w:val="none"/>
        </w:rPr>
      </w:pPr>
      <w:r>
        <w:rPr>
          <w:rFonts w:hint="eastAsia"/>
          <w:color w:val="auto"/>
          <w:kern w:val="0"/>
          <w:szCs w:val="21"/>
          <w:highlight w:val="none"/>
        </w:rPr>
        <w:t>评委签名：</w:t>
      </w:r>
      <w:r>
        <w:rPr>
          <w:color w:val="auto"/>
          <w:kern w:val="0"/>
          <w:szCs w:val="21"/>
          <w:highlight w:val="none"/>
        </w:rPr>
        <w:tab/>
      </w:r>
      <w:r>
        <w:rPr>
          <w:color w:val="auto"/>
          <w:kern w:val="0"/>
          <w:szCs w:val="21"/>
          <w:highlight w:val="none"/>
        </w:rPr>
        <w:tab/>
      </w:r>
      <w:r>
        <w:rPr>
          <w:color w:val="auto"/>
          <w:kern w:val="0"/>
          <w:szCs w:val="21"/>
          <w:highlight w:val="none"/>
        </w:rPr>
        <w:tab/>
      </w:r>
      <w:r>
        <w:rPr>
          <w:color w:val="auto"/>
          <w:kern w:val="0"/>
          <w:szCs w:val="21"/>
          <w:highlight w:val="none"/>
        </w:rPr>
        <w:tab/>
      </w:r>
      <w:r>
        <w:rPr>
          <w:color w:val="auto"/>
          <w:kern w:val="0"/>
          <w:szCs w:val="21"/>
          <w:highlight w:val="none"/>
        </w:rPr>
        <w:tab/>
      </w:r>
      <w:r>
        <w:rPr>
          <w:rFonts w:hint="eastAsia"/>
          <w:color w:val="auto"/>
          <w:kern w:val="0"/>
          <w:szCs w:val="21"/>
          <w:highlight w:val="none"/>
        </w:rPr>
        <w:t>日期：</w:t>
      </w:r>
    </w:p>
    <w:p w14:paraId="76B031AD">
      <w:pPr>
        <w:rPr>
          <w:color w:val="auto"/>
          <w:highlight w:val="none"/>
        </w:rPr>
      </w:pPr>
    </w:p>
    <w:p w14:paraId="5C74FEDA">
      <w:pPr>
        <w:rPr>
          <w:color w:val="auto"/>
          <w:highlight w:val="none"/>
        </w:rPr>
        <w:sectPr>
          <w:headerReference r:id="rId13" w:type="first"/>
          <w:footerReference r:id="rId16" w:type="first"/>
          <w:headerReference r:id="rId11" w:type="default"/>
          <w:footerReference r:id="rId14" w:type="default"/>
          <w:headerReference r:id="rId12" w:type="even"/>
          <w:footerReference r:id="rId15" w:type="even"/>
          <w:endnotePr>
            <w:numFmt w:val="decimal"/>
          </w:endnotePr>
          <w:pgSz w:w="16838" w:h="11906" w:orient="landscape"/>
          <w:pgMar w:top="1418" w:right="1247" w:bottom="1418" w:left="1134" w:header="851" w:footer="907" w:gutter="0"/>
          <w:pgBorders>
            <w:top w:val="none" w:sz="0" w:space="0"/>
            <w:left w:val="none" w:sz="0" w:space="0"/>
            <w:bottom w:val="none" w:sz="0" w:space="0"/>
            <w:right w:val="none" w:sz="0" w:space="0"/>
          </w:pgBorders>
          <w:pgNumType w:fmt="decimal"/>
          <w:cols w:space="425" w:num="1"/>
          <w:titlePg/>
          <w:docGrid w:type="lines" w:linePitch="312" w:charSpace="0"/>
        </w:sectPr>
      </w:pPr>
      <w:r>
        <w:rPr>
          <w:color w:val="auto"/>
          <w:highlight w:val="none"/>
        </w:rPr>
        <w:br w:type="page"/>
      </w:r>
    </w:p>
    <w:p w14:paraId="30B913D5">
      <w:pPr>
        <w:rPr>
          <w:color w:val="auto"/>
          <w:highlight w:val="none"/>
        </w:rPr>
      </w:pPr>
    </w:p>
    <w:p w14:paraId="2E98968D">
      <w:pPr>
        <w:rPr>
          <w:rFonts w:hint="eastAsia" w:ascii="Arial" w:hAnsi="Arial" w:eastAsia="宋体"/>
          <w:color w:val="auto"/>
          <w:kern w:val="44"/>
          <w:sz w:val="28"/>
          <w:szCs w:val="28"/>
          <w:highlight w:val="none"/>
          <w:lang w:eastAsia="zh-CN"/>
        </w:rPr>
      </w:pPr>
      <w:bookmarkStart w:id="87" w:name="_Toc11081"/>
      <w:bookmarkStart w:id="88" w:name="_Toc15112"/>
      <w:bookmarkStart w:id="89" w:name="_Toc25611"/>
      <w:bookmarkStart w:id="90" w:name="_Toc2272566"/>
      <w:bookmarkStart w:id="91" w:name="_Toc21525511"/>
      <w:r>
        <w:rPr>
          <w:rFonts w:hint="default" w:ascii="Arial" w:hAnsi="Arial"/>
          <w:color w:val="auto"/>
          <w:kern w:val="44"/>
          <w:sz w:val="28"/>
          <w:szCs w:val="28"/>
          <w:highlight w:val="none"/>
        </w:rPr>
        <w:t>附表</w:t>
      </w:r>
      <w:bookmarkEnd w:id="87"/>
      <w:r>
        <w:rPr>
          <w:rFonts w:hint="eastAsia" w:ascii="Arial" w:hAnsi="Arial"/>
          <w:color w:val="auto"/>
          <w:kern w:val="44"/>
          <w:sz w:val="28"/>
          <w:szCs w:val="28"/>
          <w:highlight w:val="none"/>
          <w:lang w:val="en-US" w:eastAsia="zh-CN"/>
        </w:rPr>
        <w:t>七</w:t>
      </w:r>
    </w:p>
    <w:p w14:paraId="04DE43FE">
      <w:pPr>
        <w:jc w:val="center"/>
        <w:rPr>
          <w:rFonts w:ascii="宋体" w:hAnsi="宋体" w:cs="宋体"/>
          <w:b/>
          <w:bCs/>
          <w:highlight w:val="none"/>
        </w:rPr>
      </w:pPr>
      <w:bookmarkStart w:id="92" w:name="_Toc15087"/>
      <w:bookmarkStart w:id="93" w:name="_Toc16357"/>
      <w:r>
        <w:rPr>
          <w:rFonts w:hint="eastAsia" w:ascii="宋体" w:hAnsi="宋体" w:cs="宋体"/>
          <w:b/>
          <w:bCs/>
          <w:sz w:val="32"/>
          <w:szCs w:val="36"/>
          <w:highlight w:val="none"/>
        </w:rPr>
        <w:t>定标因素表（定标阶段用表）</w:t>
      </w:r>
    </w:p>
    <w:p w14:paraId="5BD02A2D">
      <w:pPr>
        <w:rPr>
          <w:rFonts w:ascii="宋体" w:hAnsi="宋体" w:cs="宋体"/>
          <w:highlight w:val="none"/>
          <w:u w:val="single"/>
        </w:rPr>
      </w:pPr>
      <w:r>
        <w:rPr>
          <w:rFonts w:hint="eastAsia" w:ascii="宋体" w:hAnsi="宋体" w:cs="宋体"/>
          <w:highlight w:val="none"/>
        </w:rPr>
        <w:t>工程名称：</w:t>
      </w:r>
      <w:r>
        <w:rPr>
          <w:rFonts w:hint="eastAsia" w:ascii="宋体" w:hAnsi="宋体" w:cs="宋体"/>
          <w:highlight w:val="none"/>
          <w:u w:val="single"/>
        </w:rPr>
        <w:t xml:space="preserve">                           </w:t>
      </w:r>
    </w:p>
    <w:tbl>
      <w:tblPr>
        <w:tblStyle w:val="37"/>
        <w:tblW w:w="0" w:type="auto"/>
        <w:tblInd w:w="9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1593"/>
        <w:gridCol w:w="5362"/>
        <w:gridCol w:w="1954"/>
      </w:tblGrid>
      <w:tr w14:paraId="22FA6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0"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14:paraId="445BBDA8">
            <w:pPr>
              <w:jc w:val="center"/>
              <w:rPr>
                <w:rFonts w:ascii="宋体" w:hAnsi="宋体" w:cs="宋体"/>
                <w:b/>
                <w:bCs/>
                <w:highlight w:val="none"/>
              </w:rPr>
            </w:pPr>
            <w:r>
              <w:rPr>
                <w:rFonts w:hint="eastAsia" w:ascii="宋体" w:hAnsi="宋体" w:cs="宋体"/>
                <w:b/>
                <w:bCs/>
                <w:highlight w:val="none"/>
              </w:rPr>
              <w:t>序号</w:t>
            </w:r>
          </w:p>
        </w:tc>
        <w:tc>
          <w:tcPr>
            <w:tcW w:w="1593" w:type="dxa"/>
            <w:tcBorders>
              <w:top w:val="single" w:color="auto" w:sz="4" w:space="0"/>
              <w:left w:val="single" w:color="auto" w:sz="4" w:space="0"/>
              <w:bottom w:val="single" w:color="auto" w:sz="4" w:space="0"/>
              <w:right w:val="single" w:color="auto" w:sz="4" w:space="0"/>
            </w:tcBorders>
            <w:noWrap w:val="0"/>
            <w:vAlign w:val="center"/>
          </w:tcPr>
          <w:p w14:paraId="67483D3C">
            <w:pPr>
              <w:jc w:val="center"/>
              <w:rPr>
                <w:rFonts w:ascii="宋体" w:hAnsi="宋体" w:cs="宋体"/>
                <w:b/>
                <w:bCs/>
                <w:highlight w:val="none"/>
              </w:rPr>
            </w:pPr>
            <w:r>
              <w:rPr>
                <w:rFonts w:hint="eastAsia" w:ascii="宋体" w:hAnsi="宋体" w:cs="宋体"/>
                <w:b/>
                <w:bCs/>
                <w:highlight w:val="none"/>
              </w:rPr>
              <w:t>评价项目</w:t>
            </w:r>
          </w:p>
        </w:tc>
        <w:tc>
          <w:tcPr>
            <w:tcW w:w="5362" w:type="dxa"/>
            <w:tcBorders>
              <w:top w:val="single" w:color="auto" w:sz="4" w:space="0"/>
              <w:left w:val="single" w:color="auto" w:sz="4" w:space="0"/>
              <w:bottom w:val="single" w:color="auto" w:sz="4" w:space="0"/>
              <w:right w:val="single" w:color="auto" w:sz="4" w:space="0"/>
            </w:tcBorders>
            <w:noWrap w:val="0"/>
            <w:vAlign w:val="center"/>
          </w:tcPr>
          <w:p w14:paraId="336BB053">
            <w:pPr>
              <w:jc w:val="center"/>
              <w:rPr>
                <w:rFonts w:ascii="宋体" w:hAnsi="宋体" w:cs="宋体"/>
                <w:b/>
                <w:bCs/>
                <w:highlight w:val="none"/>
              </w:rPr>
            </w:pPr>
            <w:r>
              <w:rPr>
                <w:rFonts w:hint="eastAsia" w:ascii="宋体" w:hAnsi="宋体" w:cs="宋体"/>
                <w:b/>
                <w:bCs/>
                <w:highlight w:val="none"/>
              </w:rPr>
              <w:t>定标评价的内容</w:t>
            </w:r>
          </w:p>
        </w:tc>
        <w:tc>
          <w:tcPr>
            <w:tcW w:w="1954" w:type="dxa"/>
            <w:tcBorders>
              <w:top w:val="single" w:color="auto" w:sz="4" w:space="0"/>
              <w:left w:val="single" w:color="auto" w:sz="4" w:space="0"/>
              <w:bottom w:val="single" w:color="auto" w:sz="4" w:space="0"/>
              <w:right w:val="single" w:color="auto" w:sz="4" w:space="0"/>
            </w:tcBorders>
            <w:noWrap w:val="0"/>
            <w:vAlign w:val="center"/>
          </w:tcPr>
          <w:p w14:paraId="37826F16">
            <w:pPr>
              <w:pStyle w:val="15"/>
              <w:spacing w:line="360" w:lineRule="exact"/>
              <w:ind w:firstLine="0" w:firstLineChars="0"/>
              <w:jc w:val="center"/>
              <w:rPr>
                <w:rFonts w:cs="宋体"/>
                <w:color w:val="auto"/>
                <w:highlight w:val="none"/>
              </w:rPr>
            </w:pPr>
            <w:r>
              <w:rPr>
                <w:rFonts w:hint="eastAsia" w:cs="宋体"/>
                <w:color w:val="auto"/>
                <w:szCs w:val="21"/>
                <w:highlight w:val="none"/>
              </w:rPr>
              <w:t>评价标准</w:t>
            </w:r>
          </w:p>
        </w:tc>
      </w:tr>
      <w:tr w14:paraId="67FD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8"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14:paraId="31451082">
            <w:pPr>
              <w:jc w:val="center"/>
              <w:rPr>
                <w:rFonts w:ascii="宋体" w:hAnsi="宋体" w:cs="宋体"/>
                <w:szCs w:val="21"/>
                <w:highlight w:val="none"/>
              </w:rPr>
            </w:pPr>
            <w:r>
              <w:rPr>
                <w:rFonts w:ascii="宋体" w:hAnsi="宋体"/>
                <w:highlight w:val="none"/>
              </w:rPr>
              <w:t>1</w:t>
            </w:r>
          </w:p>
        </w:tc>
        <w:tc>
          <w:tcPr>
            <w:tcW w:w="1593" w:type="dxa"/>
            <w:tcBorders>
              <w:top w:val="single" w:color="auto" w:sz="4" w:space="0"/>
              <w:left w:val="single" w:color="auto" w:sz="4" w:space="0"/>
              <w:bottom w:val="single" w:color="auto" w:sz="4" w:space="0"/>
              <w:right w:val="single" w:color="auto" w:sz="4" w:space="0"/>
            </w:tcBorders>
            <w:noWrap w:val="0"/>
            <w:vAlign w:val="center"/>
          </w:tcPr>
          <w:p w14:paraId="781764AF">
            <w:pPr>
              <w:jc w:val="left"/>
              <w:rPr>
                <w:rFonts w:ascii="宋体" w:hAnsi="宋体" w:cs="宋体"/>
                <w:szCs w:val="21"/>
                <w:highlight w:val="none"/>
              </w:rPr>
            </w:pPr>
            <w:r>
              <w:rPr>
                <w:rFonts w:hint="eastAsia" w:ascii="宋体" w:hAnsi="宋体"/>
                <w:highlight w:val="none"/>
              </w:rPr>
              <w:t>入围候选人施工履约能力与水平评价</w:t>
            </w:r>
          </w:p>
        </w:tc>
        <w:tc>
          <w:tcPr>
            <w:tcW w:w="5362" w:type="dxa"/>
            <w:tcBorders>
              <w:top w:val="single" w:color="auto" w:sz="4" w:space="0"/>
              <w:left w:val="single" w:color="auto" w:sz="4" w:space="0"/>
              <w:bottom w:val="single" w:color="auto" w:sz="4" w:space="0"/>
              <w:right w:val="single" w:color="auto" w:sz="4" w:space="0"/>
            </w:tcBorders>
            <w:noWrap w:val="0"/>
            <w:vAlign w:val="center"/>
          </w:tcPr>
          <w:p w14:paraId="402A87AF">
            <w:pPr>
              <w:jc w:val="left"/>
              <w:rPr>
                <w:rFonts w:ascii="宋体" w:hAnsi="宋体" w:cs="宋体"/>
                <w:b/>
                <w:szCs w:val="21"/>
                <w:highlight w:val="none"/>
              </w:rPr>
            </w:pPr>
            <w:r>
              <w:rPr>
                <w:rFonts w:hint="eastAsia" w:ascii="宋体" w:hAnsi="宋体"/>
                <w:highlight w:val="none"/>
              </w:rPr>
              <w:t>内容包括但不限于：公司简介、项目管理班子人员及机械配备，施工资源需求计划，施工总平面布置规划，施工安全、工期、质量及造价管理、对工程施工重点和难点及进度目标、安全文明施工目标的应对措施和资金保障等（资金保障能力不足的不能评价为[优]）。</w:t>
            </w:r>
          </w:p>
        </w:tc>
        <w:tc>
          <w:tcPr>
            <w:tcW w:w="1954" w:type="dxa"/>
            <w:tcBorders>
              <w:top w:val="single" w:color="auto" w:sz="4" w:space="0"/>
              <w:left w:val="single" w:color="auto" w:sz="4" w:space="0"/>
              <w:bottom w:val="single" w:color="auto" w:sz="4" w:space="0"/>
              <w:right w:val="single" w:color="auto" w:sz="4" w:space="0"/>
            </w:tcBorders>
            <w:noWrap w:val="0"/>
            <w:vAlign w:val="center"/>
          </w:tcPr>
          <w:p w14:paraId="64DB38E1">
            <w:pPr>
              <w:spacing w:line="360" w:lineRule="exact"/>
              <w:jc w:val="center"/>
              <w:rPr>
                <w:rFonts w:ascii="宋体" w:hAnsi="宋体"/>
                <w:highlight w:val="none"/>
              </w:rPr>
            </w:pPr>
            <w:r>
              <w:rPr>
                <w:rFonts w:hint="eastAsia" w:ascii="宋体" w:hAnsi="宋体"/>
                <w:highlight w:val="none"/>
              </w:rPr>
              <w:t>分为【优】、【良】、</w:t>
            </w:r>
          </w:p>
          <w:p w14:paraId="353F2BA4">
            <w:pPr>
              <w:spacing w:line="360" w:lineRule="exact"/>
              <w:rPr>
                <w:rFonts w:ascii="宋体" w:hAnsi="宋体"/>
                <w:highlight w:val="none"/>
              </w:rPr>
            </w:pPr>
            <w:r>
              <w:rPr>
                <w:rFonts w:hint="eastAsia" w:ascii="宋体" w:hAnsi="宋体"/>
                <w:highlight w:val="none"/>
              </w:rPr>
              <w:t>【中】三档。</w:t>
            </w:r>
          </w:p>
          <w:p w14:paraId="201AF5B9">
            <w:pPr>
              <w:spacing w:line="360" w:lineRule="exact"/>
              <w:jc w:val="center"/>
              <w:rPr>
                <w:rFonts w:ascii="宋体" w:hAnsi="宋体" w:cs="宋体"/>
                <w:highlight w:val="none"/>
              </w:rPr>
            </w:pPr>
          </w:p>
        </w:tc>
      </w:tr>
      <w:tr w14:paraId="44BA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5"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14:paraId="38BE3A9D">
            <w:pPr>
              <w:jc w:val="center"/>
              <w:rPr>
                <w:rFonts w:ascii="宋体" w:hAnsi="宋体" w:cs="宋体"/>
                <w:szCs w:val="21"/>
                <w:highlight w:val="none"/>
              </w:rPr>
            </w:pPr>
            <w:r>
              <w:rPr>
                <w:rFonts w:hint="eastAsia" w:ascii="宋体" w:hAnsi="宋体"/>
                <w:highlight w:val="none"/>
              </w:rPr>
              <w:t>2</w:t>
            </w:r>
          </w:p>
        </w:tc>
        <w:tc>
          <w:tcPr>
            <w:tcW w:w="1593" w:type="dxa"/>
            <w:tcBorders>
              <w:top w:val="single" w:color="auto" w:sz="4" w:space="0"/>
              <w:left w:val="single" w:color="auto" w:sz="4" w:space="0"/>
              <w:bottom w:val="single" w:color="auto" w:sz="4" w:space="0"/>
              <w:right w:val="single" w:color="auto" w:sz="4" w:space="0"/>
            </w:tcBorders>
            <w:noWrap w:val="0"/>
            <w:vAlign w:val="center"/>
          </w:tcPr>
          <w:p w14:paraId="769FB9EE">
            <w:pPr>
              <w:jc w:val="left"/>
              <w:rPr>
                <w:rFonts w:ascii="宋体" w:hAnsi="宋体" w:cs="宋体"/>
                <w:szCs w:val="21"/>
                <w:highlight w:val="none"/>
              </w:rPr>
            </w:pPr>
            <w:r>
              <w:rPr>
                <w:rFonts w:hint="eastAsia" w:ascii="宋体" w:hAnsi="宋体"/>
                <w:highlight w:val="none"/>
              </w:rPr>
              <w:t>服务保障能力</w:t>
            </w:r>
          </w:p>
        </w:tc>
        <w:tc>
          <w:tcPr>
            <w:tcW w:w="5362" w:type="dxa"/>
            <w:tcBorders>
              <w:top w:val="single" w:color="auto" w:sz="4" w:space="0"/>
              <w:left w:val="single" w:color="auto" w:sz="4" w:space="0"/>
              <w:bottom w:val="single" w:color="auto" w:sz="4" w:space="0"/>
              <w:right w:val="single" w:color="auto" w:sz="4" w:space="0"/>
            </w:tcBorders>
            <w:noWrap w:val="0"/>
            <w:vAlign w:val="center"/>
          </w:tcPr>
          <w:p w14:paraId="7619AA48">
            <w:pPr>
              <w:jc w:val="left"/>
              <w:rPr>
                <w:rFonts w:ascii="宋体" w:hAnsi="宋体" w:cs="宋体"/>
                <w:bCs/>
                <w:szCs w:val="21"/>
                <w:highlight w:val="none"/>
              </w:rPr>
            </w:pPr>
            <w:r>
              <w:rPr>
                <w:rFonts w:hint="eastAsia" w:ascii="宋体" w:hAnsi="宋体" w:cs="宋体"/>
                <w:bCs/>
                <w:szCs w:val="21"/>
                <w:highlight w:val="none"/>
              </w:rPr>
              <w:t>投标人提供本企业相关信息证明资料，包括但不限于企业的服务能力保障和应急能力保障，人员响应时间保障，机械设备保障等相关保障措施。企业能及时投入人员、设备、物资参与工程和服务助力百千万工程、应急响应能力评价。</w:t>
            </w:r>
          </w:p>
        </w:tc>
        <w:tc>
          <w:tcPr>
            <w:tcW w:w="1954" w:type="dxa"/>
            <w:tcBorders>
              <w:top w:val="single" w:color="auto" w:sz="4" w:space="0"/>
              <w:left w:val="single" w:color="auto" w:sz="4" w:space="0"/>
              <w:bottom w:val="single" w:color="auto" w:sz="4" w:space="0"/>
              <w:right w:val="single" w:color="auto" w:sz="4" w:space="0"/>
            </w:tcBorders>
            <w:noWrap w:val="0"/>
            <w:vAlign w:val="center"/>
          </w:tcPr>
          <w:p w14:paraId="52A571AD">
            <w:pPr>
              <w:spacing w:line="360" w:lineRule="exact"/>
              <w:jc w:val="center"/>
              <w:rPr>
                <w:rFonts w:ascii="宋体" w:hAnsi="宋体"/>
                <w:highlight w:val="none"/>
              </w:rPr>
            </w:pPr>
            <w:r>
              <w:rPr>
                <w:rFonts w:hint="eastAsia" w:ascii="宋体" w:hAnsi="宋体"/>
                <w:highlight w:val="none"/>
              </w:rPr>
              <w:t>分为【优】、【良】、</w:t>
            </w:r>
          </w:p>
          <w:p w14:paraId="49786DCA">
            <w:pPr>
              <w:spacing w:line="360" w:lineRule="exact"/>
              <w:jc w:val="center"/>
              <w:rPr>
                <w:rFonts w:ascii="宋体" w:hAnsi="宋体" w:cs="宋体"/>
                <w:highlight w:val="none"/>
              </w:rPr>
            </w:pPr>
            <w:r>
              <w:rPr>
                <w:rFonts w:hint="eastAsia" w:ascii="宋体" w:hAnsi="宋体"/>
                <w:highlight w:val="none"/>
              </w:rPr>
              <w:t>【中】三档。</w:t>
            </w:r>
          </w:p>
        </w:tc>
      </w:tr>
      <w:tr w14:paraId="76DFA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9" w:hRule="atLeast"/>
        </w:trPr>
        <w:tc>
          <w:tcPr>
            <w:tcW w:w="749" w:type="dxa"/>
            <w:tcBorders>
              <w:top w:val="single" w:color="auto" w:sz="4" w:space="0"/>
              <w:left w:val="single" w:color="auto" w:sz="4" w:space="0"/>
              <w:bottom w:val="single" w:color="auto" w:sz="4" w:space="0"/>
              <w:right w:val="single" w:color="auto" w:sz="4" w:space="0"/>
            </w:tcBorders>
            <w:noWrap w:val="0"/>
            <w:vAlign w:val="center"/>
          </w:tcPr>
          <w:p w14:paraId="1297CF81">
            <w:pPr>
              <w:jc w:val="left"/>
              <w:rPr>
                <w:rFonts w:ascii="宋体" w:hAnsi="宋体" w:cs="宋体"/>
                <w:bCs/>
                <w:szCs w:val="21"/>
                <w:highlight w:val="none"/>
              </w:rPr>
            </w:pPr>
            <w:r>
              <w:rPr>
                <w:rFonts w:hint="eastAsia" w:ascii="宋体" w:hAnsi="宋体" w:cs="宋体"/>
                <w:bCs/>
                <w:szCs w:val="21"/>
                <w:highlight w:val="none"/>
              </w:rPr>
              <w:t>3</w:t>
            </w:r>
          </w:p>
        </w:tc>
        <w:tc>
          <w:tcPr>
            <w:tcW w:w="1593" w:type="dxa"/>
            <w:tcBorders>
              <w:top w:val="single" w:color="auto" w:sz="4" w:space="0"/>
              <w:left w:val="single" w:color="auto" w:sz="4" w:space="0"/>
              <w:bottom w:val="single" w:color="auto" w:sz="4" w:space="0"/>
              <w:right w:val="single" w:color="auto" w:sz="4" w:space="0"/>
            </w:tcBorders>
            <w:noWrap w:val="0"/>
            <w:vAlign w:val="center"/>
          </w:tcPr>
          <w:p w14:paraId="7D539999">
            <w:pPr>
              <w:jc w:val="left"/>
              <w:rPr>
                <w:rFonts w:ascii="宋体" w:hAnsi="宋体" w:cs="宋体"/>
                <w:bCs/>
                <w:szCs w:val="21"/>
                <w:highlight w:val="none"/>
              </w:rPr>
            </w:pPr>
            <w:r>
              <w:rPr>
                <w:rFonts w:hint="eastAsia" w:ascii="宋体" w:hAnsi="宋体" w:cs="宋体"/>
                <w:bCs/>
                <w:szCs w:val="21"/>
                <w:highlight w:val="none"/>
              </w:rPr>
              <w:t>企业施工能力</w:t>
            </w:r>
          </w:p>
        </w:tc>
        <w:tc>
          <w:tcPr>
            <w:tcW w:w="5362" w:type="dxa"/>
            <w:tcBorders>
              <w:top w:val="single" w:color="auto" w:sz="4" w:space="0"/>
              <w:left w:val="single" w:color="auto" w:sz="4" w:space="0"/>
              <w:bottom w:val="single" w:color="auto" w:sz="4" w:space="0"/>
              <w:right w:val="single" w:color="auto" w:sz="4" w:space="0"/>
            </w:tcBorders>
            <w:noWrap w:val="0"/>
            <w:vAlign w:val="center"/>
          </w:tcPr>
          <w:p w14:paraId="476EDF2A">
            <w:pPr>
              <w:jc w:val="left"/>
              <w:rPr>
                <w:rFonts w:ascii="宋体" w:hAnsi="宋体" w:cs="宋体"/>
                <w:bCs/>
                <w:szCs w:val="21"/>
                <w:highlight w:val="none"/>
              </w:rPr>
            </w:pPr>
            <w:r>
              <w:rPr>
                <w:rFonts w:hint="eastAsia" w:ascii="宋体" w:hAnsi="宋体" w:cs="宋体"/>
                <w:bCs/>
                <w:szCs w:val="21"/>
                <w:highlight w:val="none"/>
              </w:rPr>
              <w:t>【优】投标人履约能力强，信用好，社会评价好，管理人员、职称人员、专业技术人员配备齐全，人员技术水平最高，管理人员履职切实到位。</w:t>
            </w:r>
            <w:r>
              <w:rPr>
                <w:rFonts w:hint="eastAsia" w:ascii="宋体" w:hAnsi="宋体" w:cs="宋体"/>
                <w:bCs/>
                <w:szCs w:val="21"/>
                <w:highlight w:val="none"/>
              </w:rPr>
              <w:br w:type="textWrapping"/>
            </w:r>
            <w:r>
              <w:rPr>
                <w:rFonts w:hint="eastAsia" w:ascii="宋体" w:hAnsi="宋体" w:cs="宋体"/>
                <w:bCs/>
                <w:szCs w:val="21"/>
                <w:highlight w:val="none"/>
              </w:rPr>
              <w:t>【良】投标人履约能力较好，信用较好，社会评价较好，管理人员、职称人员、专业技术人员配备较齐全，人员技术水平较高，管理人员履职切实到位保障措施较好。</w:t>
            </w:r>
            <w:r>
              <w:rPr>
                <w:rFonts w:hint="eastAsia" w:ascii="宋体" w:hAnsi="宋体" w:cs="宋体"/>
                <w:bCs/>
                <w:szCs w:val="21"/>
                <w:highlight w:val="none"/>
              </w:rPr>
              <w:br w:type="textWrapping"/>
            </w:r>
            <w:r>
              <w:rPr>
                <w:rFonts w:hint="eastAsia" w:ascii="宋体" w:hAnsi="宋体" w:cs="宋体"/>
                <w:bCs/>
                <w:szCs w:val="21"/>
                <w:highlight w:val="none"/>
              </w:rPr>
              <w:t>【中】投标人履约能力一般，信用一般，社会评价一般，管理人员、职称人员、专业技术人员配备一般，人员技术水平一般，管理人员履职切实到位保障措施一般。</w:t>
            </w:r>
          </w:p>
        </w:tc>
        <w:tc>
          <w:tcPr>
            <w:tcW w:w="1954" w:type="dxa"/>
            <w:tcBorders>
              <w:top w:val="single" w:color="auto" w:sz="4" w:space="0"/>
              <w:left w:val="single" w:color="auto" w:sz="4" w:space="0"/>
              <w:bottom w:val="single" w:color="auto" w:sz="4" w:space="0"/>
              <w:right w:val="single" w:color="auto" w:sz="4" w:space="0"/>
            </w:tcBorders>
            <w:noWrap w:val="0"/>
            <w:vAlign w:val="center"/>
          </w:tcPr>
          <w:p w14:paraId="52710F20">
            <w:pPr>
              <w:jc w:val="left"/>
              <w:rPr>
                <w:rFonts w:ascii="宋体" w:hAnsi="宋体" w:cs="宋体"/>
                <w:bCs/>
                <w:szCs w:val="21"/>
                <w:highlight w:val="none"/>
              </w:rPr>
            </w:pPr>
            <w:r>
              <w:rPr>
                <w:rFonts w:hint="eastAsia" w:ascii="宋体" w:hAnsi="宋体" w:cs="宋体"/>
                <w:bCs/>
                <w:szCs w:val="21"/>
                <w:highlight w:val="none"/>
              </w:rPr>
              <w:t>分为【优】、【良】、</w:t>
            </w:r>
          </w:p>
          <w:p w14:paraId="7901572F">
            <w:pPr>
              <w:jc w:val="left"/>
              <w:rPr>
                <w:rFonts w:ascii="宋体" w:hAnsi="宋体" w:cs="宋体"/>
                <w:bCs/>
                <w:szCs w:val="21"/>
                <w:highlight w:val="none"/>
              </w:rPr>
            </w:pPr>
            <w:r>
              <w:rPr>
                <w:rFonts w:hint="eastAsia" w:ascii="宋体" w:hAnsi="宋体" w:cs="宋体"/>
                <w:bCs/>
                <w:szCs w:val="21"/>
                <w:highlight w:val="none"/>
              </w:rPr>
              <w:t>【中】三档。</w:t>
            </w:r>
          </w:p>
        </w:tc>
      </w:tr>
    </w:tbl>
    <w:p w14:paraId="6474CEEE">
      <w:pPr>
        <w:rPr>
          <w:rFonts w:ascii="宋体" w:hAnsi="宋体" w:cs="宋体"/>
          <w:b/>
          <w:bCs/>
          <w:szCs w:val="21"/>
          <w:highlight w:val="none"/>
        </w:rPr>
      </w:pPr>
      <w:r>
        <w:rPr>
          <w:rFonts w:hint="eastAsia" w:ascii="宋体" w:hAnsi="宋体" w:cs="宋体"/>
          <w:szCs w:val="21"/>
          <w:highlight w:val="none"/>
        </w:rPr>
        <w:t>注：投标人按《定标因素表》评审内容提供书面陈述，可附上包括但不限于企业业绩、信誉以及项目管理机构能力等相关的证明文件及定标因素表中评价项目的相关证明文件。</w:t>
      </w:r>
    </w:p>
    <w:bookmarkEnd w:id="92"/>
    <w:bookmarkEnd w:id="93"/>
    <w:p w14:paraId="4A6C808F">
      <w:pPr>
        <w:pStyle w:val="4"/>
        <w:rPr>
          <w:rFonts w:hint="eastAsia"/>
          <w:color w:val="auto"/>
          <w:highlight w:val="none"/>
        </w:rPr>
      </w:pPr>
    </w:p>
    <w:p w14:paraId="1846EE21">
      <w:pPr>
        <w:rPr>
          <w:rFonts w:hint="eastAsia" w:ascii="宋体" w:hAnsi="宋体"/>
          <w:b/>
          <w:bCs/>
          <w:color w:val="auto"/>
          <w:szCs w:val="21"/>
          <w:highlight w:val="none"/>
        </w:rPr>
      </w:pPr>
      <w:r>
        <w:rPr>
          <w:rFonts w:hint="eastAsia" w:ascii="宋体" w:hAnsi="宋体"/>
          <w:b/>
          <w:bCs/>
          <w:color w:val="auto"/>
          <w:szCs w:val="21"/>
          <w:highlight w:val="none"/>
        </w:rPr>
        <w:br w:type="page"/>
      </w:r>
    </w:p>
    <w:p w14:paraId="3BCB633A">
      <w:pPr>
        <w:pStyle w:val="2"/>
        <w:jc w:val="left"/>
        <w:rPr>
          <w:rFonts w:hint="eastAsia" w:ascii="Calibri" w:hAnsi="Calibri" w:eastAsia="宋体" w:cs="Times New Roman"/>
          <w:b w:val="0"/>
          <w:bCs/>
          <w:color w:val="auto"/>
          <w:kern w:val="2"/>
          <w:sz w:val="21"/>
          <w:szCs w:val="21"/>
          <w:highlight w:val="none"/>
          <w:lang w:eastAsia="zh-CN"/>
        </w:rPr>
      </w:pPr>
      <w:r>
        <w:rPr>
          <w:rFonts w:hint="eastAsia" w:ascii="Calibri" w:hAnsi="Calibri" w:cs="Times New Roman"/>
          <w:b w:val="0"/>
          <w:bCs/>
          <w:color w:val="auto"/>
          <w:kern w:val="2"/>
          <w:sz w:val="21"/>
          <w:szCs w:val="21"/>
          <w:highlight w:val="none"/>
        </w:rPr>
        <w:t>附表</w:t>
      </w:r>
      <w:r>
        <w:rPr>
          <w:rFonts w:hint="eastAsia" w:ascii="Calibri" w:hAnsi="Calibri" w:cs="Times New Roman"/>
          <w:b w:val="0"/>
          <w:bCs/>
          <w:color w:val="auto"/>
          <w:kern w:val="2"/>
          <w:sz w:val="21"/>
          <w:szCs w:val="21"/>
          <w:highlight w:val="none"/>
          <w:lang w:val="en-US" w:eastAsia="zh-CN"/>
        </w:rPr>
        <w:t>八</w:t>
      </w:r>
    </w:p>
    <w:p w14:paraId="123E7D8C">
      <w:pPr>
        <w:spacing w:line="360" w:lineRule="auto"/>
        <w:jc w:val="center"/>
        <w:rPr>
          <w:rFonts w:hint="eastAsia" w:ascii="宋体" w:hAnsi="宋体" w:cs="宋体"/>
          <w:b/>
          <w:bCs/>
          <w:kern w:val="0"/>
          <w:sz w:val="28"/>
          <w:szCs w:val="28"/>
          <w:highlight w:val="none"/>
        </w:rPr>
      </w:pPr>
      <w:r>
        <w:rPr>
          <w:rFonts w:hint="eastAsia" w:ascii="宋体" w:hAnsi="宋体" w:cs="宋体"/>
          <w:b/>
          <w:bCs/>
          <w:kern w:val="0"/>
          <w:sz w:val="28"/>
          <w:szCs w:val="28"/>
          <w:highlight w:val="none"/>
        </w:rPr>
        <w:t>票决定标选票表（定标阶段）</w:t>
      </w:r>
    </w:p>
    <w:p w14:paraId="63023465">
      <w:pPr>
        <w:adjustRightInd w:val="0"/>
        <w:snapToGrid w:val="0"/>
        <w:spacing w:line="360" w:lineRule="auto"/>
        <w:rPr>
          <w:rFonts w:hint="eastAsia" w:ascii="宋体" w:hAnsi="宋体" w:cs="宋体"/>
          <w:kern w:val="0"/>
          <w:highlight w:val="none"/>
        </w:rPr>
      </w:pPr>
      <w:r>
        <w:rPr>
          <w:rFonts w:hint="eastAsia" w:ascii="宋体" w:hAnsi="宋体" w:cs="宋体"/>
          <w:kern w:val="0"/>
          <w:highlight w:val="none"/>
        </w:rPr>
        <w:t>工程名称：</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6"/>
        <w:gridCol w:w="2990"/>
      </w:tblGrid>
      <w:tr w14:paraId="6BE5B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6" w:type="dxa"/>
            <w:tcBorders>
              <w:top w:val="single" w:color="auto" w:sz="4" w:space="0"/>
              <w:left w:val="single" w:color="auto" w:sz="4" w:space="0"/>
              <w:bottom w:val="single" w:color="auto" w:sz="4" w:space="0"/>
              <w:right w:val="single" w:color="auto" w:sz="4" w:space="0"/>
            </w:tcBorders>
            <w:noWrap w:val="0"/>
            <w:vAlign w:val="center"/>
          </w:tcPr>
          <w:p w14:paraId="69C852DC">
            <w:pPr>
              <w:adjustRightInd w:val="0"/>
              <w:snapToGrid w:val="0"/>
              <w:spacing w:line="360" w:lineRule="auto"/>
              <w:jc w:val="center"/>
              <w:rPr>
                <w:rFonts w:hint="eastAsia" w:ascii="宋体" w:hAnsi="宋体" w:cs="宋体"/>
                <w:b/>
                <w:kern w:val="0"/>
                <w:szCs w:val="21"/>
                <w:highlight w:val="none"/>
              </w:rPr>
            </w:pPr>
            <w:r>
              <w:rPr>
                <w:rFonts w:hint="eastAsia" w:ascii="宋体" w:hAnsi="宋体" w:cs="宋体"/>
                <w:b/>
                <w:kern w:val="0"/>
                <w:szCs w:val="21"/>
                <w:highlight w:val="none"/>
              </w:rPr>
              <w:t>支持的投标人名称</w:t>
            </w:r>
          </w:p>
        </w:tc>
        <w:tc>
          <w:tcPr>
            <w:tcW w:w="2990" w:type="dxa"/>
            <w:tcBorders>
              <w:top w:val="single" w:color="auto" w:sz="4" w:space="0"/>
              <w:left w:val="nil"/>
              <w:bottom w:val="single" w:color="auto" w:sz="4" w:space="0"/>
              <w:right w:val="single" w:color="auto" w:sz="4" w:space="0"/>
            </w:tcBorders>
            <w:noWrap w:val="0"/>
            <w:vAlign w:val="center"/>
          </w:tcPr>
          <w:p w14:paraId="2075550E">
            <w:pPr>
              <w:adjustRightInd w:val="0"/>
              <w:snapToGrid w:val="0"/>
              <w:spacing w:line="360" w:lineRule="auto"/>
              <w:jc w:val="center"/>
              <w:rPr>
                <w:rFonts w:hint="eastAsia" w:ascii="宋体" w:hAnsi="宋体" w:cs="宋体"/>
                <w:b/>
                <w:kern w:val="0"/>
                <w:szCs w:val="21"/>
                <w:highlight w:val="none"/>
              </w:rPr>
            </w:pPr>
            <w:r>
              <w:rPr>
                <w:rFonts w:hint="eastAsia" w:ascii="宋体" w:hAnsi="宋体" w:cs="宋体"/>
                <w:b/>
                <w:kern w:val="0"/>
                <w:szCs w:val="21"/>
                <w:highlight w:val="none"/>
              </w:rPr>
              <w:t>备注</w:t>
            </w:r>
          </w:p>
        </w:tc>
      </w:tr>
      <w:tr w14:paraId="2F91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296" w:type="dxa"/>
            <w:tcBorders>
              <w:top w:val="single" w:color="auto" w:sz="4" w:space="0"/>
              <w:left w:val="single" w:color="auto" w:sz="4" w:space="0"/>
              <w:bottom w:val="single" w:color="auto" w:sz="4" w:space="0"/>
              <w:right w:val="single" w:color="auto" w:sz="4" w:space="0"/>
            </w:tcBorders>
            <w:noWrap w:val="0"/>
            <w:vAlign w:val="center"/>
          </w:tcPr>
          <w:p w14:paraId="729A4051">
            <w:pPr>
              <w:adjustRightInd w:val="0"/>
              <w:snapToGrid w:val="0"/>
              <w:spacing w:line="360" w:lineRule="auto"/>
              <w:jc w:val="center"/>
              <w:rPr>
                <w:rFonts w:hint="eastAsia" w:ascii="宋体" w:hAnsi="宋体" w:cs="宋体"/>
                <w:kern w:val="0"/>
                <w:szCs w:val="21"/>
                <w:highlight w:val="none"/>
              </w:rPr>
            </w:pPr>
          </w:p>
        </w:tc>
        <w:tc>
          <w:tcPr>
            <w:tcW w:w="2990" w:type="dxa"/>
            <w:tcBorders>
              <w:top w:val="single" w:color="auto" w:sz="4" w:space="0"/>
              <w:left w:val="nil"/>
              <w:bottom w:val="single" w:color="auto" w:sz="4" w:space="0"/>
              <w:right w:val="single" w:color="auto" w:sz="4" w:space="0"/>
            </w:tcBorders>
            <w:noWrap w:val="0"/>
            <w:vAlign w:val="center"/>
          </w:tcPr>
          <w:p w14:paraId="555C64E9">
            <w:pPr>
              <w:adjustRightInd w:val="0"/>
              <w:snapToGrid w:val="0"/>
              <w:spacing w:line="360" w:lineRule="auto"/>
              <w:jc w:val="center"/>
              <w:rPr>
                <w:rFonts w:hint="eastAsia" w:ascii="宋体" w:hAnsi="宋体" w:cs="宋体"/>
                <w:kern w:val="0"/>
                <w:szCs w:val="21"/>
                <w:highlight w:val="none"/>
              </w:rPr>
            </w:pPr>
          </w:p>
        </w:tc>
      </w:tr>
    </w:tbl>
    <w:p w14:paraId="0A5E4B43">
      <w:pPr>
        <w:pStyle w:val="122"/>
        <w:rPr>
          <w:rFonts w:hint="eastAsia" w:ascii="宋体" w:hAnsi="宋体" w:eastAsia="宋体" w:cs="宋体"/>
          <w:kern w:val="0"/>
          <w:szCs w:val="21"/>
          <w:highlight w:val="none"/>
        </w:rPr>
      </w:pPr>
    </w:p>
    <w:p w14:paraId="6B2E4B38">
      <w:pPr>
        <w:adjustRightInd w:val="0"/>
        <w:snapToGrid w:val="0"/>
        <w:spacing w:line="360" w:lineRule="auto"/>
        <w:rPr>
          <w:rFonts w:hint="eastAsia" w:ascii="宋体" w:hAnsi="宋体" w:cs="宋体"/>
          <w:kern w:val="0"/>
          <w:szCs w:val="21"/>
          <w:highlight w:val="none"/>
        </w:rPr>
      </w:pPr>
      <w:r>
        <w:rPr>
          <w:rFonts w:hint="eastAsia" w:ascii="宋体" w:hAnsi="宋体" w:cs="宋体"/>
          <w:kern w:val="0"/>
          <w:szCs w:val="21"/>
          <w:highlight w:val="none"/>
        </w:rPr>
        <w:t>定标委员签名：                                            日期：</w:t>
      </w:r>
    </w:p>
    <w:p w14:paraId="619F8217">
      <w:pPr>
        <w:adjustRightInd w:val="0"/>
        <w:snapToGrid w:val="0"/>
        <w:spacing w:line="360" w:lineRule="auto"/>
        <w:rPr>
          <w:rFonts w:hint="eastAsia" w:ascii="宋体" w:hAnsi="宋体" w:cs="宋体"/>
          <w:kern w:val="0"/>
          <w:highlight w:val="none"/>
        </w:rPr>
      </w:pPr>
    </w:p>
    <w:p w14:paraId="7D68767A">
      <w:pPr>
        <w:adjustRightInd w:val="0"/>
        <w:snapToGrid w:val="0"/>
        <w:spacing w:line="360" w:lineRule="auto"/>
        <w:rPr>
          <w:rFonts w:hint="eastAsia" w:ascii="宋体" w:hAnsi="宋体" w:cs="宋体"/>
          <w:b/>
          <w:kern w:val="0"/>
          <w:highlight w:val="none"/>
        </w:rPr>
      </w:pPr>
      <w:r>
        <w:rPr>
          <w:rFonts w:hint="eastAsia" w:ascii="宋体" w:hAnsi="宋体" w:cs="宋体"/>
          <w:b/>
          <w:kern w:val="0"/>
          <w:highlight w:val="none"/>
        </w:rPr>
        <w:t>注：由定标委员会成员进行投票，每轮各定标委员会成员只能支持一家投标人。</w:t>
      </w:r>
    </w:p>
    <w:p w14:paraId="5E49DC0C">
      <w:pPr>
        <w:pStyle w:val="28"/>
        <w:rPr>
          <w:color w:val="auto"/>
          <w:szCs w:val="24"/>
          <w:highlight w:val="none"/>
        </w:rPr>
      </w:pPr>
    </w:p>
    <w:p w14:paraId="64F8B8CC">
      <w:pPr>
        <w:pStyle w:val="3"/>
        <w:jc w:val="left"/>
        <w:rPr>
          <w:rFonts w:hint="eastAsia" w:ascii="仿宋_GB2312" w:hAnsi="仿宋_GB2312" w:eastAsia="仿宋_GB2312" w:cs="仿宋_GB2312"/>
          <w:b w:val="0"/>
          <w:sz w:val="28"/>
          <w:szCs w:val="28"/>
          <w:highlight w:val="none"/>
          <w:lang w:eastAsia="zh-CN"/>
        </w:rPr>
      </w:pPr>
    </w:p>
    <w:p w14:paraId="7B8B0D90">
      <w:pPr>
        <w:pStyle w:val="3"/>
        <w:jc w:val="left"/>
        <w:rPr>
          <w:rFonts w:hint="eastAsia" w:ascii="仿宋_GB2312" w:hAnsi="仿宋_GB2312" w:eastAsia="仿宋_GB2312" w:cs="仿宋_GB2312"/>
          <w:b w:val="0"/>
          <w:sz w:val="28"/>
          <w:szCs w:val="28"/>
          <w:highlight w:val="none"/>
          <w:lang w:eastAsia="zh-CN"/>
        </w:rPr>
      </w:pPr>
    </w:p>
    <w:p w14:paraId="59471010">
      <w:pPr>
        <w:pStyle w:val="3"/>
        <w:jc w:val="left"/>
        <w:rPr>
          <w:rFonts w:hint="eastAsia" w:ascii="Calibri" w:hAnsi="Calibri" w:eastAsia="宋体" w:cs="Times New Roman"/>
          <w:b w:val="0"/>
          <w:bCs/>
          <w:color w:val="auto"/>
          <w:sz w:val="21"/>
          <w:szCs w:val="21"/>
          <w:highlight w:val="none"/>
          <w:lang w:eastAsia="zh-CN"/>
        </w:rPr>
      </w:pPr>
    </w:p>
    <w:p w14:paraId="410EC0C2">
      <w:pPr>
        <w:rPr>
          <w:rFonts w:hint="eastAsia"/>
          <w:highlight w:val="none"/>
          <w:lang w:eastAsia="zh-CN"/>
        </w:rPr>
      </w:pPr>
    </w:p>
    <w:p w14:paraId="5427AAFD">
      <w:pPr>
        <w:rPr>
          <w:rFonts w:hint="eastAsia"/>
          <w:highlight w:val="none"/>
          <w:lang w:eastAsia="zh-CN"/>
        </w:rPr>
      </w:pPr>
    </w:p>
    <w:p w14:paraId="4010F592">
      <w:pPr>
        <w:rPr>
          <w:rFonts w:hint="eastAsia"/>
          <w:highlight w:val="none"/>
          <w:lang w:eastAsia="zh-CN"/>
        </w:rPr>
      </w:pPr>
    </w:p>
    <w:p w14:paraId="56F5DC84">
      <w:pPr>
        <w:rPr>
          <w:rFonts w:hint="eastAsia"/>
          <w:highlight w:val="none"/>
          <w:lang w:eastAsia="zh-CN"/>
        </w:rPr>
      </w:pPr>
    </w:p>
    <w:p w14:paraId="137C01BD">
      <w:pPr>
        <w:rPr>
          <w:rFonts w:hint="eastAsia"/>
          <w:highlight w:val="none"/>
          <w:lang w:eastAsia="zh-CN"/>
        </w:rPr>
      </w:pPr>
    </w:p>
    <w:p w14:paraId="7319033E">
      <w:pPr>
        <w:rPr>
          <w:rFonts w:hint="eastAsia"/>
          <w:highlight w:val="none"/>
          <w:lang w:eastAsia="zh-CN"/>
        </w:rPr>
      </w:pPr>
    </w:p>
    <w:p w14:paraId="7BB5FBAB">
      <w:pPr>
        <w:rPr>
          <w:rFonts w:hint="eastAsia"/>
          <w:highlight w:val="none"/>
          <w:lang w:eastAsia="zh-CN"/>
        </w:rPr>
      </w:pPr>
    </w:p>
    <w:p w14:paraId="48FCC296">
      <w:pPr>
        <w:rPr>
          <w:rFonts w:hint="eastAsia"/>
          <w:highlight w:val="none"/>
          <w:lang w:eastAsia="zh-CN"/>
        </w:rPr>
      </w:pPr>
    </w:p>
    <w:p w14:paraId="5501D12C">
      <w:pPr>
        <w:rPr>
          <w:rFonts w:hint="eastAsia"/>
          <w:highlight w:val="none"/>
          <w:lang w:eastAsia="zh-CN"/>
        </w:rPr>
      </w:pPr>
    </w:p>
    <w:p w14:paraId="016F8EF0">
      <w:pPr>
        <w:rPr>
          <w:rFonts w:hint="eastAsia"/>
          <w:highlight w:val="none"/>
          <w:lang w:eastAsia="zh-CN"/>
        </w:rPr>
      </w:pPr>
    </w:p>
    <w:p w14:paraId="732CA91D">
      <w:pPr>
        <w:rPr>
          <w:rFonts w:hint="eastAsia"/>
          <w:highlight w:val="none"/>
          <w:lang w:eastAsia="zh-CN"/>
        </w:rPr>
      </w:pPr>
    </w:p>
    <w:p w14:paraId="2FDD1A30">
      <w:pPr>
        <w:rPr>
          <w:rFonts w:hint="eastAsia"/>
          <w:highlight w:val="none"/>
          <w:lang w:eastAsia="zh-CN"/>
        </w:rPr>
      </w:pPr>
    </w:p>
    <w:p w14:paraId="7219687B">
      <w:pPr>
        <w:rPr>
          <w:rFonts w:hint="eastAsia"/>
          <w:highlight w:val="none"/>
          <w:lang w:eastAsia="zh-CN"/>
        </w:rPr>
      </w:pPr>
    </w:p>
    <w:p w14:paraId="485D0E56">
      <w:pPr>
        <w:rPr>
          <w:rFonts w:hint="eastAsia"/>
          <w:highlight w:val="none"/>
          <w:lang w:eastAsia="zh-CN"/>
        </w:rPr>
      </w:pPr>
    </w:p>
    <w:p w14:paraId="46A7F117">
      <w:pPr>
        <w:rPr>
          <w:rFonts w:hint="eastAsia"/>
          <w:highlight w:val="none"/>
          <w:lang w:eastAsia="zh-CN"/>
        </w:rPr>
      </w:pPr>
    </w:p>
    <w:p w14:paraId="652E335A">
      <w:pPr>
        <w:rPr>
          <w:rFonts w:hint="eastAsia"/>
          <w:highlight w:val="none"/>
          <w:lang w:eastAsia="zh-CN"/>
        </w:rPr>
      </w:pPr>
    </w:p>
    <w:p w14:paraId="76C69CC9">
      <w:pPr>
        <w:rPr>
          <w:rFonts w:hint="eastAsia"/>
          <w:highlight w:val="none"/>
          <w:lang w:eastAsia="zh-CN"/>
        </w:rPr>
      </w:pPr>
    </w:p>
    <w:p w14:paraId="46C39F87">
      <w:pPr>
        <w:rPr>
          <w:rFonts w:hint="eastAsia"/>
          <w:highlight w:val="none"/>
          <w:lang w:eastAsia="zh-CN"/>
        </w:rPr>
      </w:pPr>
    </w:p>
    <w:p w14:paraId="28B50474">
      <w:pPr>
        <w:pStyle w:val="3"/>
        <w:jc w:val="left"/>
        <w:rPr>
          <w:rFonts w:hint="eastAsia" w:ascii="Calibri" w:hAnsi="Calibri" w:eastAsia="宋体" w:cs="Times New Roman"/>
          <w:b w:val="0"/>
          <w:bCs/>
          <w:color w:val="auto"/>
          <w:sz w:val="21"/>
          <w:szCs w:val="21"/>
          <w:highlight w:val="none"/>
          <w:lang w:eastAsia="zh-CN"/>
        </w:rPr>
      </w:pPr>
    </w:p>
    <w:p w14:paraId="01975FC8">
      <w:pPr>
        <w:pStyle w:val="3"/>
        <w:jc w:val="left"/>
        <w:rPr>
          <w:rFonts w:hint="eastAsia" w:ascii="Calibri" w:hAnsi="Calibri" w:eastAsia="宋体" w:cs="Times New Roman"/>
          <w:b w:val="0"/>
          <w:bCs/>
          <w:color w:val="auto"/>
          <w:sz w:val="21"/>
          <w:szCs w:val="21"/>
          <w:highlight w:val="none"/>
          <w:lang w:eastAsia="zh-CN"/>
        </w:rPr>
      </w:pPr>
    </w:p>
    <w:p w14:paraId="2CFFD286">
      <w:pPr>
        <w:pStyle w:val="3"/>
        <w:jc w:val="left"/>
        <w:rPr>
          <w:rFonts w:hint="eastAsia" w:ascii="Calibri" w:hAnsi="Calibri" w:eastAsia="宋体" w:cs="Times New Roman"/>
          <w:b w:val="0"/>
          <w:bCs/>
          <w:color w:val="auto"/>
          <w:sz w:val="21"/>
          <w:szCs w:val="21"/>
          <w:highlight w:val="none"/>
          <w:lang w:eastAsia="zh-CN"/>
        </w:rPr>
      </w:pPr>
    </w:p>
    <w:p w14:paraId="3000DD4A">
      <w:pPr>
        <w:pStyle w:val="3"/>
        <w:jc w:val="left"/>
        <w:rPr>
          <w:rFonts w:hint="eastAsia" w:ascii="Calibri" w:hAnsi="Calibri" w:eastAsia="宋体" w:cs="Times New Roman"/>
          <w:b w:val="0"/>
          <w:bCs/>
          <w:color w:val="auto"/>
          <w:sz w:val="21"/>
          <w:szCs w:val="21"/>
          <w:highlight w:val="none"/>
        </w:rPr>
      </w:pPr>
      <w:r>
        <w:rPr>
          <w:rFonts w:hint="eastAsia" w:ascii="Calibri" w:hAnsi="Calibri" w:eastAsia="宋体" w:cs="Times New Roman"/>
          <w:b w:val="0"/>
          <w:bCs/>
          <w:color w:val="auto"/>
          <w:sz w:val="21"/>
          <w:szCs w:val="21"/>
          <w:highlight w:val="none"/>
          <w:lang w:eastAsia="zh-CN"/>
        </w:rPr>
        <w:t>附表</w:t>
      </w:r>
      <w:r>
        <w:rPr>
          <w:rFonts w:hint="eastAsia" w:ascii="Calibri" w:hAnsi="Calibri" w:cs="Times New Roman"/>
          <w:b w:val="0"/>
          <w:bCs/>
          <w:color w:val="auto"/>
          <w:sz w:val="21"/>
          <w:szCs w:val="21"/>
          <w:highlight w:val="none"/>
          <w:lang w:val="en-US" w:eastAsia="zh-CN"/>
        </w:rPr>
        <w:t>九</w:t>
      </w:r>
    </w:p>
    <w:p w14:paraId="790C2BFC">
      <w:pPr>
        <w:jc w:val="center"/>
        <w:rPr>
          <w:rFonts w:hint="eastAsia" w:ascii="宋体" w:hAnsi="宋体" w:cs="宋体"/>
          <w:b/>
          <w:sz w:val="28"/>
          <w:szCs w:val="28"/>
          <w:highlight w:val="none"/>
        </w:rPr>
      </w:pPr>
      <w:r>
        <w:rPr>
          <w:rFonts w:hint="eastAsia" w:ascii="宋体" w:hAnsi="宋体" w:cs="宋体"/>
          <w:b/>
          <w:bCs/>
          <w:kern w:val="0"/>
          <w:sz w:val="28"/>
          <w:szCs w:val="28"/>
          <w:highlight w:val="none"/>
        </w:rPr>
        <w:t>票决定标选票汇总表</w:t>
      </w:r>
      <w:r>
        <w:rPr>
          <w:rFonts w:hint="eastAsia" w:ascii="宋体" w:hAnsi="宋体" w:cs="宋体"/>
          <w:b/>
          <w:sz w:val="28"/>
          <w:szCs w:val="28"/>
          <w:highlight w:val="none"/>
        </w:rPr>
        <w:t>（定标阶段）</w:t>
      </w:r>
    </w:p>
    <w:p w14:paraId="26CFC049">
      <w:pPr>
        <w:pStyle w:val="122"/>
        <w:rPr>
          <w:rFonts w:hint="eastAsia" w:ascii="宋体" w:hAnsi="宋体" w:eastAsia="宋体" w:cs="宋体"/>
          <w:highlight w:val="none"/>
        </w:rPr>
      </w:pPr>
    </w:p>
    <w:p w14:paraId="47E6AB47">
      <w:pPr>
        <w:adjustRightInd w:val="0"/>
        <w:snapToGrid w:val="0"/>
        <w:spacing w:line="360" w:lineRule="auto"/>
        <w:rPr>
          <w:rFonts w:hint="eastAsia" w:ascii="宋体" w:hAnsi="宋体" w:cs="宋体"/>
          <w:kern w:val="0"/>
          <w:szCs w:val="21"/>
          <w:highlight w:val="none"/>
        </w:rPr>
      </w:pPr>
      <w:r>
        <w:rPr>
          <w:rFonts w:hint="eastAsia" w:ascii="宋体" w:hAnsi="宋体" w:cs="宋体"/>
          <w:kern w:val="0"/>
          <w:szCs w:val="21"/>
          <w:highlight w:val="none"/>
        </w:rPr>
        <w:t>工程名称：</w:t>
      </w:r>
    </w:p>
    <w:tbl>
      <w:tblPr>
        <w:tblStyle w:val="3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431"/>
        <w:gridCol w:w="4167"/>
      </w:tblGrid>
      <w:tr w14:paraId="6D2EB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82" w:type="pct"/>
            <w:tcBorders>
              <w:top w:val="single" w:color="auto" w:sz="4" w:space="0"/>
              <w:left w:val="single" w:color="auto" w:sz="4" w:space="0"/>
              <w:bottom w:val="single" w:color="auto" w:sz="4" w:space="0"/>
              <w:right w:val="single" w:color="auto" w:sz="4" w:space="0"/>
            </w:tcBorders>
            <w:noWrap w:val="0"/>
            <w:vAlign w:val="center"/>
          </w:tcPr>
          <w:p w14:paraId="12273F69">
            <w:pPr>
              <w:adjustRightInd w:val="0"/>
              <w:snapToGrid w:val="0"/>
              <w:spacing w:line="360" w:lineRule="auto"/>
              <w:jc w:val="center"/>
              <w:rPr>
                <w:rFonts w:hint="eastAsia" w:ascii="宋体" w:hAnsi="宋体" w:cs="宋体"/>
                <w:b/>
                <w:kern w:val="0"/>
                <w:szCs w:val="21"/>
                <w:highlight w:val="none"/>
              </w:rPr>
            </w:pPr>
            <w:r>
              <w:rPr>
                <w:rFonts w:hint="eastAsia" w:ascii="宋体" w:hAnsi="宋体" w:cs="宋体"/>
                <w:b/>
                <w:kern w:val="0"/>
                <w:szCs w:val="21"/>
                <w:highlight w:val="none"/>
              </w:rPr>
              <w:t>序号</w:t>
            </w:r>
          </w:p>
        </w:tc>
        <w:tc>
          <w:tcPr>
            <w:tcW w:w="2225" w:type="pct"/>
            <w:tcBorders>
              <w:top w:val="single" w:color="auto" w:sz="4" w:space="0"/>
              <w:left w:val="single" w:color="auto" w:sz="4" w:space="0"/>
              <w:bottom w:val="single" w:color="auto" w:sz="6" w:space="0"/>
              <w:right w:val="single" w:color="auto" w:sz="6" w:space="0"/>
            </w:tcBorders>
            <w:noWrap w:val="0"/>
            <w:vAlign w:val="center"/>
          </w:tcPr>
          <w:p w14:paraId="4DB0CDF2">
            <w:pPr>
              <w:adjustRightInd w:val="0"/>
              <w:snapToGrid w:val="0"/>
              <w:spacing w:line="360" w:lineRule="auto"/>
              <w:jc w:val="center"/>
              <w:rPr>
                <w:rFonts w:hint="eastAsia" w:ascii="宋体" w:hAnsi="宋体" w:cs="宋体"/>
                <w:b/>
                <w:kern w:val="0"/>
                <w:szCs w:val="21"/>
                <w:highlight w:val="none"/>
              </w:rPr>
            </w:pPr>
            <w:r>
              <w:rPr>
                <w:rFonts w:hint="eastAsia" w:ascii="宋体" w:hAnsi="宋体" w:cs="宋体"/>
                <w:b/>
                <w:kern w:val="0"/>
                <w:szCs w:val="21"/>
                <w:highlight w:val="none"/>
              </w:rPr>
              <w:t>投标人名称</w:t>
            </w:r>
          </w:p>
        </w:tc>
        <w:tc>
          <w:tcPr>
            <w:tcW w:w="2092" w:type="pct"/>
            <w:tcBorders>
              <w:top w:val="single" w:color="auto" w:sz="4" w:space="0"/>
              <w:left w:val="single" w:color="auto" w:sz="6" w:space="0"/>
              <w:bottom w:val="single" w:color="auto" w:sz="6" w:space="0"/>
              <w:right w:val="single" w:color="auto" w:sz="6" w:space="0"/>
            </w:tcBorders>
            <w:noWrap w:val="0"/>
            <w:vAlign w:val="center"/>
          </w:tcPr>
          <w:p w14:paraId="10A4D232">
            <w:pPr>
              <w:adjustRightInd w:val="0"/>
              <w:snapToGrid w:val="0"/>
              <w:spacing w:line="360" w:lineRule="auto"/>
              <w:jc w:val="center"/>
              <w:rPr>
                <w:rFonts w:hint="eastAsia" w:ascii="宋体" w:hAnsi="宋体" w:cs="宋体"/>
                <w:b/>
                <w:kern w:val="0"/>
                <w:szCs w:val="21"/>
                <w:highlight w:val="none"/>
              </w:rPr>
            </w:pPr>
            <w:r>
              <w:rPr>
                <w:rFonts w:hint="eastAsia" w:ascii="宋体" w:hAnsi="宋体" w:cs="宋体"/>
                <w:b/>
                <w:kern w:val="0"/>
                <w:szCs w:val="21"/>
                <w:highlight w:val="none"/>
              </w:rPr>
              <w:t>得票数</w:t>
            </w:r>
          </w:p>
        </w:tc>
      </w:tr>
      <w:tr w14:paraId="22FC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82" w:type="pct"/>
            <w:tcBorders>
              <w:top w:val="single" w:color="auto" w:sz="4" w:space="0"/>
              <w:left w:val="single" w:color="auto" w:sz="4" w:space="0"/>
              <w:bottom w:val="single" w:color="auto" w:sz="4" w:space="0"/>
              <w:right w:val="single" w:color="auto" w:sz="4" w:space="0"/>
            </w:tcBorders>
            <w:noWrap w:val="0"/>
            <w:vAlign w:val="center"/>
          </w:tcPr>
          <w:p w14:paraId="05886FB7">
            <w:pPr>
              <w:adjustRightInd w:val="0"/>
              <w:snapToGrid w:val="0"/>
              <w:spacing w:line="360" w:lineRule="auto"/>
              <w:jc w:val="center"/>
              <w:rPr>
                <w:rFonts w:hint="eastAsia" w:ascii="宋体" w:hAnsi="宋体" w:cs="宋体"/>
                <w:kern w:val="0"/>
                <w:szCs w:val="21"/>
                <w:highlight w:val="none"/>
              </w:rPr>
            </w:pPr>
            <w:r>
              <w:rPr>
                <w:rFonts w:hint="eastAsia" w:ascii="宋体" w:hAnsi="宋体" w:cs="宋体"/>
                <w:kern w:val="0"/>
                <w:szCs w:val="21"/>
                <w:highlight w:val="none"/>
              </w:rPr>
              <w:t>1</w:t>
            </w:r>
          </w:p>
        </w:tc>
        <w:tc>
          <w:tcPr>
            <w:tcW w:w="2225" w:type="pct"/>
            <w:tcBorders>
              <w:top w:val="single" w:color="auto" w:sz="6" w:space="0"/>
              <w:left w:val="single" w:color="auto" w:sz="4" w:space="0"/>
              <w:bottom w:val="single" w:color="auto" w:sz="6" w:space="0"/>
              <w:right w:val="single" w:color="auto" w:sz="6" w:space="0"/>
            </w:tcBorders>
            <w:noWrap w:val="0"/>
            <w:vAlign w:val="center"/>
          </w:tcPr>
          <w:p w14:paraId="0CC9BF10">
            <w:pPr>
              <w:adjustRightInd w:val="0"/>
              <w:snapToGrid w:val="0"/>
              <w:spacing w:line="360" w:lineRule="auto"/>
              <w:jc w:val="center"/>
              <w:rPr>
                <w:rFonts w:hint="eastAsia" w:ascii="宋体" w:hAnsi="宋体" w:cs="宋体"/>
                <w:kern w:val="0"/>
                <w:szCs w:val="21"/>
                <w:highlight w:val="none"/>
              </w:rPr>
            </w:pPr>
          </w:p>
        </w:tc>
        <w:tc>
          <w:tcPr>
            <w:tcW w:w="2092" w:type="pct"/>
            <w:tcBorders>
              <w:top w:val="single" w:color="auto" w:sz="6" w:space="0"/>
              <w:left w:val="single" w:color="auto" w:sz="6" w:space="0"/>
              <w:bottom w:val="single" w:color="auto" w:sz="6" w:space="0"/>
              <w:right w:val="single" w:color="auto" w:sz="6" w:space="0"/>
            </w:tcBorders>
            <w:noWrap w:val="0"/>
            <w:vAlign w:val="center"/>
          </w:tcPr>
          <w:p w14:paraId="64CF3C87">
            <w:pPr>
              <w:adjustRightInd w:val="0"/>
              <w:snapToGrid w:val="0"/>
              <w:spacing w:line="360" w:lineRule="auto"/>
              <w:jc w:val="center"/>
              <w:rPr>
                <w:rFonts w:hint="eastAsia" w:ascii="宋体" w:hAnsi="宋体" w:cs="宋体"/>
                <w:kern w:val="0"/>
                <w:szCs w:val="21"/>
                <w:highlight w:val="none"/>
              </w:rPr>
            </w:pPr>
          </w:p>
        </w:tc>
      </w:tr>
      <w:tr w14:paraId="63404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82" w:type="pct"/>
            <w:tcBorders>
              <w:top w:val="single" w:color="auto" w:sz="4" w:space="0"/>
              <w:left w:val="single" w:color="auto" w:sz="4" w:space="0"/>
              <w:bottom w:val="single" w:color="auto" w:sz="4" w:space="0"/>
              <w:right w:val="single" w:color="auto" w:sz="4" w:space="0"/>
            </w:tcBorders>
            <w:noWrap w:val="0"/>
            <w:vAlign w:val="center"/>
          </w:tcPr>
          <w:p w14:paraId="31F87A98">
            <w:pPr>
              <w:adjustRightInd w:val="0"/>
              <w:snapToGrid w:val="0"/>
              <w:spacing w:line="360" w:lineRule="auto"/>
              <w:jc w:val="center"/>
              <w:rPr>
                <w:rFonts w:hint="eastAsia" w:ascii="宋体" w:hAnsi="宋体" w:cs="宋体"/>
                <w:kern w:val="0"/>
                <w:szCs w:val="21"/>
                <w:highlight w:val="none"/>
              </w:rPr>
            </w:pPr>
            <w:r>
              <w:rPr>
                <w:rFonts w:hint="eastAsia" w:ascii="宋体" w:hAnsi="宋体" w:cs="宋体"/>
                <w:kern w:val="0"/>
                <w:szCs w:val="21"/>
                <w:highlight w:val="none"/>
              </w:rPr>
              <w:t>2</w:t>
            </w:r>
          </w:p>
        </w:tc>
        <w:tc>
          <w:tcPr>
            <w:tcW w:w="2225" w:type="pct"/>
            <w:tcBorders>
              <w:top w:val="single" w:color="auto" w:sz="6" w:space="0"/>
              <w:left w:val="single" w:color="auto" w:sz="4" w:space="0"/>
              <w:bottom w:val="single" w:color="auto" w:sz="6" w:space="0"/>
              <w:right w:val="single" w:color="auto" w:sz="6" w:space="0"/>
            </w:tcBorders>
            <w:noWrap w:val="0"/>
            <w:vAlign w:val="center"/>
          </w:tcPr>
          <w:p w14:paraId="4C678C19">
            <w:pPr>
              <w:adjustRightInd w:val="0"/>
              <w:snapToGrid w:val="0"/>
              <w:spacing w:line="360" w:lineRule="auto"/>
              <w:jc w:val="center"/>
              <w:rPr>
                <w:rFonts w:hint="eastAsia" w:ascii="宋体" w:hAnsi="宋体" w:cs="宋体"/>
                <w:kern w:val="0"/>
                <w:szCs w:val="21"/>
                <w:highlight w:val="none"/>
              </w:rPr>
            </w:pPr>
          </w:p>
        </w:tc>
        <w:tc>
          <w:tcPr>
            <w:tcW w:w="2092" w:type="pct"/>
            <w:tcBorders>
              <w:top w:val="single" w:color="auto" w:sz="6" w:space="0"/>
              <w:left w:val="single" w:color="auto" w:sz="6" w:space="0"/>
              <w:bottom w:val="single" w:color="auto" w:sz="6" w:space="0"/>
              <w:right w:val="single" w:color="auto" w:sz="6" w:space="0"/>
            </w:tcBorders>
            <w:noWrap w:val="0"/>
            <w:vAlign w:val="center"/>
          </w:tcPr>
          <w:p w14:paraId="32FAF65B">
            <w:pPr>
              <w:adjustRightInd w:val="0"/>
              <w:snapToGrid w:val="0"/>
              <w:spacing w:line="360" w:lineRule="auto"/>
              <w:jc w:val="center"/>
              <w:rPr>
                <w:rFonts w:hint="eastAsia" w:ascii="宋体" w:hAnsi="宋体" w:cs="宋体"/>
                <w:kern w:val="0"/>
                <w:szCs w:val="21"/>
                <w:highlight w:val="none"/>
              </w:rPr>
            </w:pPr>
          </w:p>
        </w:tc>
      </w:tr>
      <w:tr w14:paraId="433F0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82" w:type="pct"/>
            <w:tcBorders>
              <w:top w:val="single" w:color="auto" w:sz="4" w:space="0"/>
              <w:left w:val="single" w:color="auto" w:sz="4" w:space="0"/>
              <w:bottom w:val="single" w:color="auto" w:sz="4" w:space="0"/>
              <w:right w:val="single" w:color="auto" w:sz="4" w:space="0"/>
            </w:tcBorders>
            <w:noWrap w:val="0"/>
            <w:vAlign w:val="center"/>
          </w:tcPr>
          <w:p w14:paraId="13318760">
            <w:pPr>
              <w:adjustRightInd w:val="0"/>
              <w:snapToGrid w:val="0"/>
              <w:spacing w:line="360" w:lineRule="auto"/>
              <w:jc w:val="center"/>
              <w:rPr>
                <w:rFonts w:hint="eastAsia" w:ascii="宋体" w:hAnsi="宋体" w:cs="宋体"/>
                <w:kern w:val="0"/>
                <w:szCs w:val="21"/>
                <w:highlight w:val="none"/>
              </w:rPr>
            </w:pPr>
            <w:r>
              <w:rPr>
                <w:rFonts w:hint="eastAsia" w:ascii="宋体" w:hAnsi="宋体" w:cs="宋体"/>
                <w:kern w:val="0"/>
                <w:szCs w:val="21"/>
                <w:highlight w:val="none"/>
              </w:rPr>
              <w:t>3</w:t>
            </w:r>
          </w:p>
        </w:tc>
        <w:tc>
          <w:tcPr>
            <w:tcW w:w="2225" w:type="pct"/>
            <w:tcBorders>
              <w:top w:val="single" w:color="auto" w:sz="6" w:space="0"/>
              <w:left w:val="single" w:color="auto" w:sz="4" w:space="0"/>
              <w:bottom w:val="single" w:color="auto" w:sz="6" w:space="0"/>
              <w:right w:val="single" w:color="auto" w:sz="6" w:space="0"/>
            </w:tcBorders>
            <w:noWrap w:val="0"/>
            <w:vAlign w:val="center"/>
          </w:tcPr>
          <w:p w14:paraId="36A9EE9A">
            <w:pPr>
              <w:adjustRightInd w:val="0"/>
              <w:snapToGrid w:val="0"/>
              <w:spacing w:line="360" w:lineRule="auto"/>
              <w:jc w:val="center"/>
              <w:rPr>
                <w:rFonts w:hint="eastAsia" w:ascii="宋体" w:hAnsi="宋体" w:cs="宋体"/>
                <w:kern w:val="0"/>
                <w:szCs w:val="21"/>
                <w:highlight w:val="none"/>
              </w:rPr>
            </w:pPr>
          </w:p>
        </w:tc>
        <w:tc>
          <w:tcPr>
            <w:tcW w:w="2092" w:type="pct"/>
            <w:tcBorders>
              <w:top w:val="single" w:color="auto" w:sz="6" w:space="0"/>
              <w:left w:val="single" w:color="auto" w:sz="6" w:space="0"/>
              <w:bottom w:val="single" w:color="auto" w:sz="6" w:space="0"/>
              <w:right w:val="single" w:color="auto" w:sz="6" w:space="0"/>
            </w:tcBorders>
            <w:noWrap w:val="0"/>
            <w:vAlign w:val="center"/>
          </w:tcPr>
          <w:p w14:paraId="3D323A89">
            <w:pPr>
              <w:adjustRightInd w:val="0"/>
              <w:snapToGrid w:val="0"/>
              <w:spacing w:line="360" w:lineRule="auto"/>
              <w:jc w:val="center"/>
              <w:rPr>
                <w:rFonts w:hint="eastAsia" w:ascii="宋体" w:hAnsi="宋体" w:cs="宋体"/>
                <w:kern w:val="0"/>
                <w:szCs w:val="21"/>
                <w:highlight w:val="none"/>
              </w:rPr>
            </w:pPr>
          </w:p>
        </w:tc>
      </w:tr>
      <w:tr w14:paraId="1D512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82" w:type="pct"/>
            <w:tcBorders>
              <w:top w:val="single" w:color="auto" w:sz="4" w:space="0"/>
              <w:left w:val="single" w:color="auto" w:sz="4" w:space="0"/>
              <w:bottom w:val="single" w:color="auto" w:sz="4" w:space="0"/>
              <w:right w:val="single" w:color="auto" w:sz="4" w:space="0"/>
            </w:tcBorders>
            <w:noWrap w:val="0"/>
            <w:vAlign w:val="center"/>
          </w:tcPr>
          <w:p w14:paraId="14A270C9">
            <w:pPr>
              <w:adjustRightInd w:val="0"/>
              <w:snapToGrid w:val="0"/>
              <w:spacing w:line="360" w:lineRule="auto"/>
              <w:jc w:val="center"/>
              <w:rPr>
                <w:rFonts w:hint="eastAsia" w:ascii="宋体" w:hAnsi="宋体" w:cs="宋体"/>
                <w:kern w:val="0"/>
                <w:szCs w:val="21"/>
                <w:highlight w:val="none"/>
              </w:rPr>
            </w:pPr>
            <w:r>
              <w:rPr>
                <w:rFonts w:hint="eastAsia" w:ascii="宋体" w:hAnsi="宋体" w:cs="宋体"/>
                <w:kern w:val="0"/>
                <w:szCs w:val="21"/>
                <w:highlight w:val="none"/>
              </w:rPr>
              <w:t>4</w:t>
            </w:r>
          </w:p>
        </w:tc>
        <w:tc>
          <w:tcPr>
            <w:tcW w:w="2225" w:type="pct"/>
            <w:tcBorders>
              <w:top w:val="single" w:color="auto" w:sz="6" w:space="0"/>
              <w:left w:val="single" w:color="auto" w:sz="4" w:space="0"/>
              <w:bottom w:val="single" w:color="auto" w:sz="6" w:space="0"/>
              <w:right w:val="single" w:color="auto" w:sz="6" w:space="0"/>
            </w:tcBorders>
            <w:noWrap w:val="0"/>
            <w:vAlign w:val="center"/>
          </w:tcPr>
          <w:p w14:paraId="0EE83103">
            <w:pPr>
              <w:adjustRightInd w:val="0"/>
              <w:snapToGrid w:val="0"/>
              <w:spacing w:line="360" w:lineRule="auto"/>
              <w:jc w:val="center"/>
              <w:rPr>
                <w:rFonts w:hint="eastAsia" w:ascii="宋体" w:hAnsi="宋体" w:cs="宋体"/>
                <w:kern w:val="0"/>
                <w:szCs w:val="21"/>
                <w:highlight w:val="none"/>
              </w:rPr>
            </w:pPr>
          </w:p>
        </w:tc>
        <w:tc>
          <w:tcPr>
            <w:tcW w:w="2092" w:type="pct"/>
            <w:tcBorders>
              <w:top w:val="single" w:color="auto" w:sz="6" w:space="0"/>
              <w:left w:val="single" w:color="auto" w:sz="6" w:space="0"/>
              <w:bottom w:val="single" w:color="auto" w:sz="6" w:space="0"/>
              <w:right w:val="single" w:color="auto" w:sz="6" w:space="0"/>
            </w:tcBorders>
            <w:noWrap w:val="0"/>
            <w:vAlign w:val="center"/>
          </w:tcPr>
          <w:p w14:paraId="52235F73">
            <w:pPr>
              <w:adjustRightInd w:val="0"/>
              <w:snapToGrid w:val="0"/>
              <w:spacing w:line="360" w:lineRule="auto"/>
              <w:jc w:val="center"/>
              <w:rPr>
                <w:rFonts w:hint="eastAsia" w:ascii="宋体" w:hAnsi="宋体" w:cs="宋体"/>
                <w:kern w:val="0"/>
                <w:szCs w:val="21"/>
                <w:highlight w:val="none"/>
              </w:rPr>
            </w:pPr>
          </w:p>
        </w:tc>
      </w:tr>
      <w:tr w14:paraId="77A69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82" w:type="pct"/>
            <w:tcBorders>
              <w:top w:val="single" w:color="auto" w:sz="4" w:space="0"/>
              <w:left w:val="single" w:color="auto" w:sz="4" w:space="0"/>
              <w:bottom w:val="single" w:color="auto" w:sz="4" w:space="0"/>
              <w:right w:val="single" w:color="auto" w:sz="4" w:space="0"/>
            </w:tcBorders>
            <w:noWrap w:val="0"/>
            <w:vAlign w:val="center"/>
          </w:tcPr>
          <w:p w14:paraId="769F9E28">
            <w:pPr>
              <w:adjustRightInd w:val="0"/>
              <w:snapToGrid w:val="0"/>
              <w:spacing w:line="360" w:lineRule="auto"/>
              <w:jc w:val="center"/>
              <w:rPr>
                <w:rFonts w:hint="eastAsia" w:ascii="宋体" w:hAnsi="宋体" w:cs="宋体"/>
                <w:kern w:val="0"/>
                <w:szCs w:val="21"/>
                <w:highlight w:val="none"/>
              </w:rPr>
            </w:pPr>
            <w:r>
              <w:rPr>
                <w:rFonts w:hint="eastAsia" w:ascii="宋体" w:hAnsi="宋体" w:cs="宋体"/>
                <w:kern w:val="0"/>
                <w:szCs w:val="21"/>
                <w:highlight w:val="none"/>
              </w:rPr>
              <w:t>……</w:t>
            </w:r>
          </w:p>
        </w:tc>
        <w:tc>
          <w:tcPr>
            <w:tcW w:w="2225" w:type="pct"/>
            <w:tcBorders>
              <w:top w:val="single" w:color="auto" w:sz="6" w:space="0"/>
              <w:left w:val="single" w:color="auto" w:sz="4" w:space="0"/>
              <w:bottom w:val="single" w:color="auto" w:sz="4" w:space="0"/>
              <w:right w:val="single" w:color="auto" w:sz="6" w:space="0"/>
            </w:tcBorders>
            <w:noWrap w:val="0"/>
            <w:vAlign w:val="center"/>
          </w:tcPr>
          <w:p w14:paraId="561B5448">
            <w:pPr>
              <w:adjustRightInd w:val="0"/>
              <w:snapToGrid w:val="0"/>
              <w:spacing w:line="360" w:lineRule="auto"/>
              <w:jc w:val="center"/>
              <w:rPr>
                <w:rFonts w:hint="eastAsia" w:ascii="宋体" w:hAnsi="宋体" w:cs="宋体"/>
                <w:kern w:val="0"/>
                <w:szCs w:val="21"/>
                <w:highlight w:val="none"/>
              </w:rPr>
            </w:pPr>
          </w:p>
        </w:tc>
        <w:tc>
          <w:tcPr>
            <w:tcW w:w="2092" w:type="pct"/>
            <w:tcBorders>
              <w:top w:val="single" w:color="auto" w:sz="6" w:space="0"/>
              <w:left w:val="single" w:color="auto" w:sz="6" w:space="0"/>
              <w:bottom w:val="single" w:color="auto" w:sz="4" w:space="0"/>
              <w:right w:val="single" w:color="auto" w:sz="6" w:space="0"/>
            </w:tcBorders>
            <w:noWrap w:val="0"/>
            <w:vAlign w:val="center"/>
          </w:tcPr>
          <w:p w14:paraId="7F1842EC">
            <w:pPr>
              <w:adjustRightInd w:val="0"/>
              <w:snapToGrid w:val="0"/>
              <w:spacing w:line="360" w:lineRule="auto"/>
              <w:jc w:val="center"/>
              <w:rPr>
                <w:rFonts w:hint="eastAsia" w:ascii="宋体" w:hAnsi="宋体" w:cs="宋体"/>
                <w:kern w:val="0"/>
                <w:szCs w:val="21"/>
                <w:highlight w:val="none"/>
              </w:rPr>
            </w:pPr>
          </w:p>
        </w:tc>
      </w:tr>
    </w:tbl>
    <w:p w14:paraId="4BDD9D6F">
      <w:pPr>
        <w:rPr>
          <w:rFonts w:hint="eastAsia" w:ascii="宋体" w:hAnsi="宋体" w:cs="宋体"/>
          <w:kern w:val="0"/>
          <w:szCs w:val="21"/>
          <w:highlight w:val="none"/>
        </w:rPr>
      </w:pPr>
    </w:p>
    <w:p w14:paraId="10EC0458">
      <w:pPr>
        <w:adjustRightInd w:val="0"/>
        <w:snapToGrid w:val="0"/>
        <w:spacing w:line="360" w:lineRule="auto"/>
        <w:rPr>
          <w:rFonts w:hint="eastAsia" w:ascii="宋体" w:hAnsi="宋体" w:cs="宋体"/>
          <w:kern w:val="0"/>
          <w:szCs w:val="21"/>
          <w:highlight w:val="none"/>
        </w:rPr>
      </w:pPr>
      <w:r>
        <w:rPr>
          <w:rFonts w:hint="eastAsia" w:ascii="宋体" w:hAnsi="宋体" w:cs="宋体"/>
          <w:kern w:val="0"/>
          <w:szCs w:val="21"/>
          <w:highlight w:val="none"/>
        </w:rPr>
        <w:t>定标委员签名：                                         日期：</w:t>
      </w:r>
    </w:p>
    <w:p w14:paraId="04FE0461">
      <w:pPr>
        <w:pStyle w:val="3"/>
        <w:jc w:val="center"/>
        <w:rPr>
          <w:rFonts w:hint="eastAsia" w:ascii="宋体" w:hAnsi="宋体" w:eastAsia="宋体" w:cs="宋体"/>
          <w:color w:val="000000"/>
          <w:sz w:val="32"/>
          <w:szCs w:val="32"/>
          <w:highlight w:val="none"/>
        </w:rPr>
      </w:pPr>
    </w:p>
    <w:p w14:paraId="51FE52F3">
      <w:pPr>
        <w:rPr>
          <w:rFonts w:hint="eastAsia" w:ascii="宋体" w:hAnsi="宋体" w:eastAsia="宋体" w:cs="宋体"/>
          <w:color w:val="000000"/>
          <w:sz w:val="32"/>
          <w:szCs w:val="32"/>
          <w:highlight w:val="none"/>
        </w:rPr>
      </w:pPr>
    </w:p>
    <w:p w14:paraId="6F8B8644">
      <w:pPr>
        <w:rPr>
          <w:rFonts w:hint="eastAsia" w:ascii="宋体" w:hAnsi="宋体" w:eastAsia="宋体" w:cs="宋体"/>
          <w:color w:val="000000"/>
          <w:sz w:val="32"/>
          <w:szCs w:val="32"/>
          <w:highlight w:val="none"/>
        </w:rPr>
      </w:pPr>
    </w:p>
    <w:p w14:paraId="57E09D83">
      <w:pPr>
        <w:rPr>
          <w:rFonts w:hint="eastAsia" w:ascii="宋体" w:hAnsi="宋体" w:eastAsia="宋体" w:cs="宋体"/>
          <w:color w:val="000000"/>
          <w:sz w:val="32"/>
          <w:szCs w:val="32"/>
          <w:highlight w:val="none"/>
        </w:rPr>
      </w:pPr>
    </w:p>
    <w:p w14:paraId="0156EDFA">
      <w:pPr>
        <w:rPr>
          <w:rFonts w:hint="eastAsia" w:ascii="宋体" w:hAnsi="宋体" w:eastAsia="宋体" w:cs="宋体"/>
          <w:color w:val="000000"/>
          <w:sz w:val="32"/>
          <w:szCs w:val="32"/>
          <w:highlight w:val="none"/>
        </w:rPr>
      </w:pPr>
    </w:p>
    <w:p w14:paraId="498CDDD2">
      <w:pPr>
        <w:rPr>
          <w:rFonts w:hint="eastAsia" w:ascii="宋体" w:hAnsi="宋体" w:eastAsia="宋体" w:cs="宋体"/>
          <w:color w:val="000000"/>
          <w:sz w:val="32"/>
          <w:szCs w:val="32"/>
          <w:highlight w:val="none"/>
        </w:rPr>
      </w:pPr>
    </w:p>
    <w:p w14:paraId="2043A8B7">
      <w:pPr>
        <w:rPr>
          <w:rFonts w:hint="eastAsia" w:ascii="宋体" w:hAnsi="宋体" w:eastAsia="宋体" w:cs="宋体"/>
          <w:color w:val="000000"/>
          <w:sz w:val="32"/>
          <w:szCs w:val="32"/>
          <w:highlight w:val="none"/>
        </w:rPr>
      </w:pPr>
    </w:p>
    <w:p w14:paraId="5B6748ED">
      <w:pPr>
        <w:pStyle w:val="3"/>
        <w:jc w:val="both"/>
        <w:rPr>
          <w:rFonts w:hint="eastAsia" w:ascii="宋体" w:hAnsi="宋体" w:eastAsia="宋体" w:cs="宋体"/>
          <w:color w:val="000000"/>
          <w:sz w:val="32"/>
          <w:szCs w:val="32"/>
          <w:highlight w:val="none"/>
        </w:rPr>
      </w:pPr>
    </w:p>
    <w:p w14:paraId="6ABC991A">
      <w:pPr>
        <w:pStyle w:val="6"/>
        <w:ind w:left="0"/>
        <w:jc w:val="left"/>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附表十：</w:t>
      </w:r>
    </w:p>
    <w:p w14:paraId="3A2F2831">
      <w:pPr>
        <w:pStyle w:val="122"/>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附加</w:t>
      </w:r>
      <w:r>
        <w:rPr>
          <w:rFonts w:hint="eastAsia" w:ascii="宋体" w:hAnsi="宋体" w:eastAsia="宋体" w:cs="宋体"/>
          <w:b/>
          <w:bCs/>
          <w:kern w:val="0"/>
          <w:sz w:val="28"/>
          <w:szCs w:val="28"/>
          <w:highlight w:val="none"/>
        </w:rPr>
        <w:t>票决定标选票</w:t>
      </w:r>
      <w:r>
        <w:rPr>
          <w:rFonts w:hint="eastAsia" w:ascii="宋体" w:hAnsi="宋体" w:eastAsia="宋体" w:cs="宋体"/>
          <w:b/>
          <w:sz w:val="28"/>
          <w:szCs w:val="28"/>
          <w:highlight w:val="none"/>
        </w:rPr>
        <w:t>表</w:t>
      </w:r>
    </w:p>
    <w:p w14:paraId="64AD4E98">
      <w:pPr>
        <w:pStyle w:val="122"/>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（定标阶段-票数相同时定标委员会个人用表）</w:t>
      </w:r>
    </w:p>
    <w:p w14:paraId="0573BA9A">
      <w:pPr>
        <w:pStyle w:val="122"/>
        <w:jc w:val="center"/>
        <w:rPr>
          <w:rFonts w:hint="eastAsia" w:ascii="宋体" w:hAnsi="宋体" w:eastAsia="宋体" w:cs="宋体"/>
          <w:b/>
          <w:sz w:val="28"/>
          <w:szCs w:val="28"/>
          <w:highlight w:val="none"/>
        </w:rPr>
      </w:pPr>
    </w:p>
    <w:p w14:paraId="3AD9F8AC">
      <w:pPr>
        <w:adjustRightInd w:val="0"/>
        <w:snapToGrid w:val="0"/>
        <w:spacing w:line="360" w:lineRule="auto"/>
        <w:rPr>
          <w:rFonts w:hint="eastAsia" w:ascii="宋体" w:hAnsi="宋体" w:cs="宋体"/>
          <w:kern w:val="0"/>
          <w:highlight w:val="none"/>
        </w:rPr>
      </w:pPr>
      <w:r>
        <w:rPr>
          <w:rFonts w:hint="eastAsia" w:ascii="宋体" w:hAnsi="宋体" w:cs="宋体"/>
          <w:kern w:val="0"/>
          <w:highlight w:val="none"/>
        </w:rPr>
        <w:t>工程名称：</w:t>
      </w:r>
    </w:p>
    <w:tbl>
      <w:tblPr>
        <w:tblStyle w:val="37"/>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0"/>
        <w:gridCol w:w="1930"/>
        <w:gridCol w:w="2206"/>
        <w:gridCol w:w="2206"/>
      </w:tblGrid>
      <w:tr w14:paraId="0550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180" w:type="dxa"/>
            <w:tcBorders>
              <w:top w:val="single" w:color="auto" w:sz="4" w:space="0"/>
              <w:left w:val="single" w:color="auto" w:sz="4" w:space="0"/>
              <w:bottom w:val="single" w:color="auto" w:sz="4" w:space="0"/>
              <w:right w:val="single" w:color="auto" w:sz="4" w:space="0"/>
            </w:tcBorders>
            <w:noWrap w:val="0"/>
            <w:vAlign w:val="center"/>
          </w:tcPr>
          <w:p w14:paraId="7675ECB6">
            <w:pPr>
              <w:spacing w:line="600" w:lineRule="exact"/>
              <w:jc w:val="center"/>
              <w:rPr>
                <w:rFonts w:hint="eastAsia" w:ascii="宋体" w:hAnsi="宋体" w:cs="宋体"/>
                <w:kern w:val="0"/>
                <w:highlight w:val="none"/>
              </w:rPr>
            </w:pPr>
            <w:r>
              <w:rPr>
                <w:rFonts w:hint="eastAsia" w:ascii="宋体" w:hAnsi="宋体" w:cs="宋体"/>
                <w:kern w:val="0"/>
                <w:highlight w:val="none"/>
              </w:rPr>
              <w:t>投标人名称</w:t>
            </w:r>
          </w:p>
        </w:tc>
        <w:tc>
          <w:tcPr>
            <w:tcW w:w="1930" w:type="dxa"/>
            <w:tcBorders>
              <w:top w:val="single" w:color="auto" w:sz="4" w:space="0"/>
              <w:left w:val="single" w:color="auto" w:sz="4" w:space="0"/>
              <w:bottom w:val="single" w:color="auto" w:sz="4" w:space="0"/>
              <w:right w:val="single" w:color="auto" w:sz="4" w:space="0"/>
            </w:tcBorders>
            <w:noWrap w:val="0"/>
            <w:vAlign w:val="center"/>
          </w:tcPr>
          <w:p w14:paraId="3B06C0DE">
            <w:pPr>
              <w:spacing w:line="600" w:lineRule="exact"/>
              <w:jc w:val="center"/>
              <w:rPr>
                <w:rFonts w:hint="eastAsia" w:ascii="宋体" w:hAnsi="宋体" w:cs="宋体"/>
                <w:kern w:val="0"/>
                <w:highlight w:val="none"/>
              </w:rPr>
            </w:pPr>
          </w:p>
        </w:tc>
        <w:tc>
          <w:tcPr>
            <w:tcW w:w="2206" w:type="dxa"/>
            <w:tcBorders>
              <w:top w:val="single" w:color="auto" w:sz="4" w:space="0"/>
              <w:left w:val="single" w:color="auto" w:sz="4" w:space="0"/>
              <w:bottom w:val="single" w:color="auto" w:sz="4" w:space="0"/>
              <w:right w:val="single" w:color="auto" w:sz="4" w:space="0"/>
            </w:tcBorders>
            <w:noWrap w:val="0"/>
            <w:vAlign w:val="center"/>
          </w:tcPr>
          <w:p w14:paraId="2BB371B8">
            <w:pPr>
              <w:spacing w:line="600" w:lineRule="exact"/>
              <w:jc w:val="center"/>
              <w:rPr>
                <w:rFonts w:hint="eastAsia" w:ascii="宋体" w:hAnsi="宋体" w:cs="宋体"/>
                <w:kern w:val="0"/>
                <w:highlight w:val="none"/>
              </w:rPr>
            </w:pPr>
          </w:p>
        </w:tc>
        <w:tc>
          <w:tcPr>
            <w:tcW w:w="2206" w:type="dxa"/>
            <w:tcBorders>
              <w:top w:val="single" w:color="auto" w:sz="4" w:space="0"/>
              <w:left w:val="single" w:color="auto" w:sz="4" w:space="0"/>
              <w:bottom w:val="single" w:color="auto" w:sz="4" w:space="0"/>
              <w:right w:val="single" w:color="auto" w:sz="4" w:space="0"/>
            </w:tcBorders>
            <w:noWrap w:val="0"/>
            <w:vAlign w:val="center"/>
          </w:tcPr>
          <w:p w14:paraId="549668F4">
            <w:pPr>
              <w:spacing w:line="600" w:lineRule="exact"/>
              <w:jc w:val="center"/>
              <w:rPr>
                <w:rFonts w:hint="eastAsia" w:ascii="宋体" w:hAnsi="宋体" w:cs="宋体"/>
                <w:kern w:val="0"/>
                <w:highlight w:val="none"/>
              </w:rPr>
            </w:pPr>
          </w:p>
        </w:tc>
      </w:tr>
      <w:tr w14:paraId="7E3A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2180" w:type="dxa"/>
            <w:tcBorders>
              <w:top w:val="single" w:color="auto" w:sz="4" w:space="0"/>
              <w:left w:val="single" w:color="auto" w:sz="4" w:space="0"/>
              <w:bottom w:val="single" w:color="auto" w:sz="4" w:space="0"/>
              <w:right w:val="single" w:color="auto" w:sz="4" w:space="0"/>
            </w:tcBorders>
            <w:noWrap w:val="0"/>
            <w:vAlign w:val="center"/>
          </w:tcPr>
          <w:p w14:paraId="4507D890">
            <w:pPr>
              <w:spacing w:line="600" w:lineRule="exact"/>
              <w:jc w:val="center"/>
              <w:rPr>
                <w:rFonts w:hint="eastAsia" w:ascii="宋体" w:hAnsi="宋体" w:cs="宋体"/>
                <w:kern w:val="0"/>
                <w:szCs w:val="21"/>
                <w:highlight w:val="none"/>
              </w:rPr>
            </w:pPr>
            <w:r>
              <w:rPr>
                <w:rFonts w:hint="eastAsia" w:ascii="宋体" w:hAnsi="宋体" w:cs="宋体"/>
                <w:kern w:val="0"/>
                <w:highlight w:val="none"/>
              </w:rPr>
              <w:t>票决意见</w:t>
            </w:r>
          </w:p>
        </w:tc>
        <w:tc>
          <w:tcPr>
            <w:tcW w:w="1930" w:type="dxa"/>
            <w:tcBorders>
              <w:top w:val="single" w:color="auto" w:sz="4" w:space="0"/>
              <w:left w:val="single" w:color="auto" w:sz="4" w:space="0"/>
              <w:bottom w:val="single" w:color="auto" w:sz="4" w:space="0"/>
              <w:right w:val="single" w:color="auto" w:sz="4" w:space="0"/>
            </w:tcBorders>
            <w:noWrap w:val="0"/>
            <w:vAlign w:val="center"/>
          </w:tcPr>
          <w:p w14:paraId="0F20A0E2">
            <w:pPr>
              <w:spacing w:line="600" w:lineRule="exact"/>
              <w:jc w:val="center"/>
              <w:rPr>
                <w:rFonts w:hint="eastAsia" w:ascii="宋体" w:hAnsi="宋体" w:cs="宋体"/>
                <w:kern w:val="0"/>
                <w:szCs w:val="21"/>
                <w:highlight w:val="none"/>
              </w:rPr>
            </w:pPr>
          </w:p>
        </w:tc>
        <w:tc>
          <w:tcPr>
            <w:tcW w:w="2206" w:type="dxa"/>
            <w:tcBorders>
              <w:top w:val="single" w:color="auto" w:sz="4" w:space="0"/>
              <w:left w:val="single" w:color="auto" w:sz="4" w:space="0"/>
              <w:bottom w:val="single" w:color="auto" w:sz="4" w:space="0"/>
              <w:right w:val="single" w:color="auto" w:sz="4" w:space="0"/>
            </w:tcBorders>
            <w:noWrap w:val="0"/>
            <w:vAlign w:val="center"/>
          </w:tcPr>
          <w:p w14:paraId="13754695">
            <w:pPr>
              <w:spacing w:line="600" w:lineRule="exact"/>
              <w:jc w:val="center"/>
              <w:rPr>
                <w:rFonts w:hint="eastAsia" w:ascii="宋体" w:hAnsi="宋体" w:cs="宋体"/>
                <w:kern w:val="0"/>
                <w:highlight w:val="none"/>
              </w:rPr>
            </w:pPr>
          </w:p>
        </w:tc>
        <w:tc>
          <w:tcPr>
            <w:tcW w:w="2206" w:type="dxa"/>
            <w:tcBorders>
              <w:top w:val="single" w:color="auto" w:sz="4" w:space="0"/>
              <w:left w:val="single" w:color="auto" w:sz="4" w:space="0"/>
              <w:bottom w:val="single" w:color="auto" w:sz="4" w:space="0"/>
              <w:right w:val="single" w:color="auto" w:sz="4" w:space="0"/>
            </w:tcBorders>
            <w:noWrap w:val="0"/>
            <w:vAlign w:val="center"/>
          </w:tcPr>
          <w:p w14:paraId="49FB1FE1">
            <w:pPr>
              <w:spacing w:line="600" w:lineRule="exact"/>
              <w:jc w:val="center"/>
              <w:rPr>
                <w:rFonts w:hint="eastAsia" w:ascii="宋体" w:hAnsi="宋体" w:cs="宋体"/>
                <w:kern w:val="0"/>
                <w:highlight w:val="none"/>
              </w:rPr>
            </w:pPr>
          </w:p>
        </w:tc>
      </w:tr>
    </w:tbl>
    <w:p w14:paraId="2375E62A">
      <w:pPr>
        <w:pStyle w:val="122"/>
        <w:rPr>
          <w:rFonts w:hint="eastAsia" w:ascii="宋体" w:hAnsi="宋体" w:eastAsia="宋体" w:cs="宋体"/>
          <w:kern w:val="0"/>
          <w:szCs w:val="21"/>
          <w:highlight w:val="none"/>
        </w:rPr>
      </w:pPr>
    </w:p>
    <w:p w14:paraId="587988BB">
      <w:pPr>
        <w:adjustRightInd w:val="0"/>
        <w:snapToGrid w:val="0"/>
        <w:spacing w:line="360" w:lineRule="auto"/>
        <w:rPr>
          <w:rFonts w:hint="eastAsia" w:ascii="宋体" w:hAnsi="宋体" w:cs="宋体"/>
          <w:kern w:val="0"/>
          <w:szCs w:val="21"/>
          <w:highlight w:val="none"/>
        </w:rPr>
      </w:pPr>
      <w:r>
        <w:rPr>
          <w:rFonts w:hint="eastAsia" w:ascii="宋体" w:hAnsi="宋体" w:cs="宋体"/>
          <w:kern w:val="0"/>
          <w:szCs w:val="21"/>
          <w:highlight w:val="none"/>
        </w:rPr>
        <w:t>定标委员签名：                                            日期：</w:t>
      </w:r>
    </w:p>
    <w:p w14:paraId="065858F2">
      <w:pPr>
        <w:pStyle w:val="122"/>
        <w:rPr>
          <w:rFonts w:hint="eastAsia" w:ascii="宋体" w:hAnsi="宋体" w:eastAsia="宋体" w:cs="宋体"/>
          <w:highlight w:val="none"/>
        </w:rPr>
      </w:pPr>
    </w:p>
    <w:p w14:paraId="7D2CF935">
      <w:pPr>
        <w:pStyle w:val="122"/>
        <w:rPr>
          <w:rFonts w:hint="eastAsia" w:ascii="宋体" w:hAnsi="宋体" w:eastAsia="宋体" w:cs="宋体"/>
          <w:b/>
          <w:highlight w:val="none"/>
        </w:rPr>
      </w:pPr>
      <w:r>
        <w:rPr>
          <w:rFonts w:hint="eastAsia" w:ascii="宋体" w:hAnsi="宋体" w:eastAsia="宋体" w:cs="宋体"/>
          <w:b/>
          <w:highlight w:val="none"/>
        </w:rPr>
        <w:t>备注：</w:t>
      </w:r>
    </w:p>
    <w:p w14:paraId="2553A745">
      <w:pPr>
        <w:pStyle w:val="122"/>
        <w:ind w:firstLine="422" w:firstLineChars="200"/>
        <w:rPr>
          <w:rFonts w:hint="eastAsia" w:ascii="宋体" w:hAnsi="宋体" w:eastAsia="宋体" w:cs="宋体"/>
          <w:b/>
          <w:highlight w:val="none"/>
        </w:rPr>
      </w:pPr>
      <w:r>
        <w:rPr>
          <w:rFonts w:hint="eastAsia" w:ascii="宋体" w:hAnsi="宋体" w:eastAsia="宋体" w:cs="宋体"/>
          <w:b/>
          <w:highlight w:val="none"/>
        </w:rPr>
        <w:t>1、本表用于投票出现票数相同的情况。</w:t>
      </w:r>
    </w:p>
    <w:p w14:paraId="34C42192">
      <w:pPr>
        <w:pStyle w:val="122"/>
        <w:ind w:firstLine="422" w:firstLineChars="200"/>
        <w:rPr>
          <w:rFonts w:hint="eastAsia" w:ascii="宋体" w:hAnsi="宋体" w:eastAsia="宋体" w:cs="宋体"/>
          <w:b/>
          <w:highlight w:val="none"/>
        </w:rPr>
      </w:pPr>
      <w:r>
        <w:rPr>
          <w:rFonts w:hint="eastAsia" w:ascii="宋体" w:hAnsi="宋体" w:eastAsia="宋体" w:cs="宋体"/>
          <w:b/>
          <w:highlight w:val="none"/>
        </w:rPr>
        <w:t>2、由定标委员会成员进行附加投票，票决意见分别为“投票”或“不投票”，各定标委员会成员只有1票表决权（即只能对其中一名投标人“投票”），票决意见为“投票”的，用“○”表示；票决意见为“不投票”，用“×”表示。</w:t>
      </w:r>
    </w:p>
    <w:p w14:paraId="4DD65039">
      <w:pPr>
        <w:pStyle w:val="122"/>
        <w:rPr>
          <w:rFonts w:hint="eastAsia" w:ascii="宋体" w:hAnsi="宋体" w:eastAsia="宋体" w:cs="宋体"/>
          <w:highlight w:val="none"/>
        </w:rPr>
      </w:pPr>
      <w:r>
        <w:rPr>
          <w:rFonts w:hint="eastAsia" w:ascii="宋体" w:hAnsi="宋体" w:eastAsia="宋体" w:cs="宋体"/>
          <w:highlight w:val="none"/>
        </w:rPr>
        <w:br w:type="page"/>
      </w:r>
    </w:p>
    <w:p w14:paraId="29684663">
      <w:pPr>
        <w:pStyle w:val="6"/>
        <w:ind w:left="0"/>
        <w:jc w:val="left"/>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附表十</w:t>
      </w:r>
      <w:r>
        <w:rPr>
          <w:rFonts w:hint="eastAsia" w:ascii="宋体" w:hAnsi="宋体" w:cs="宋体"/>
          <w:b w:val="0"/>
          <w:bCs/>
          <w:color w:val="auto"/>
          <w:sz w:val="22"/>
          <w:szCs w:val="22"/>
          <w:highlight w:val="none"/>
          <w:lang w:val="en-US" w:eastAsia="zh-CN"/>
        </w:rPr>
        <w:t>一</w:t>
      </w:r>
      <w:r>
        <w:rPr>
          <w:rFonts w:hint="eastAsia" w:ascii="宋体" w:hAnsi="宋体" w:cs="宋体"/>
          <w:b w:val="0"/>
          <w:bCs/>
          <w:color w:val="auto"/>
          <w:sz w:val="22"/>
          <w:szCs w:val="22"/>
          <w:highlight w:val="none"/>
        </w:rPr>
        <w:t>：</w:t>
      </w:r>
    </w:p>
    <w:p w14:paraId="2EFDC3EC">
      <w:pPr>
        <w:pStyle w:val="122"/>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附加</w:t>
      </w:r>
      <w:bookmarkStart w:id="94" w:name="突出显示"/>
      <w:r>
        <w:rPr>
          <w:rFonts w:hint="eastAsia" w:ascii="宋体" w:hAnsi="宋体" w:eastAsia="宋体" w:cs="宋体"/>
          <w:b/>
          <w:bCs/>
          <w:kern w:val="0"/>
          <w:sz w:val="28"/>
          <w:szCs w:val="28"/>
          <w:highlight w:val="none"/>
        </w:rPr>
        <w:t>票决</w:t>
      </w:r>
      <w:bookmarkEnd w:id="94"/>
      <w:r>
        <w:rPr>
          <w:rFonts w:hint="eastAsia" w:ascii="宋体" w:hAnsi="宋体" w:eastAsia="宋体" w:cs="宋体"/>
          <w:b/>
          <w:bCs/>
          <w:kern w:val="0"/>
          <w:sz w:val="28"/>
          <w:szCs w:val="28"/>
          <w:highlight w:val="none"/>
        </w:rPr>
        <w:t>定标选票汇总</w:t>
      </w:r>
      <w:r>
        <w:rPr>
          <w:rFonts w:hint="eastAsia" w:ascii="宋体" w:hAnsi="宋体" w:eastAsia="宋体" w:cs="宋体"/>
          <w:b/>
          <w:sz w:val="28"/>
          <w:szCs w:val="28"/>
          <w:highlight w:val="none"/>
        </w:rPr>
        <w:t>表</w:t>
      </w:r>
    </w:p>
    <w:p w14:paraId="779D025C">
      <w:pPr>
        <w:pStyle w:val="122"/>
        <w:jc w:val="center"/>
        <w:rPr>
          <w:rFonts w:hint="eastAsia" w:ascii="宋体" w:hAnsi="宋体" w:eastAsia="宋体" w:cs="宋体"/>
          <w:b/>
          <w:sz w:val="28"/>
          <w:szCs w:val="28"/>
          <w:highlight w:val="none"/>
        </w:rPr>
      </w:pPr>
      <w:r>
        <w:rPr>
          <w:rFonts w:hint="eastAsia" w:ascii="宋体" w:hAnsi="宋体" w:eastAsia="宋体" w:cs="宋体"/>
          <w:b/>
          <w:sz w:val="28"/>
          <w:szCs w:val="28"/>
          <w:highlight w:val="none"/>
        </w:rPr>
        <w:t>（定标阶段-票数相同时定标委员会汇总用表）</w:t>
      </w:r>
    </w:p>
    <w:p w14:paraId="0DFB051C">
      <w:pPr>
        <w:pStyle w:val="122"/>
        <w:jc w:val="center"/>
        <w:rPr>
          <w:rFonts w:hint="eastAsia" w:ascii="宋体" w:hAnsi="宋体" w:eastAsia="宋体" w:cs="宋体"/>
          <w:b/>
          <w:sz w:val="28"/>
          <w:szCs w:val="28"/>
          <w:highlight w:val="none"/>
        </w:rPr>
      </w:pPr>
    </w:p>
    <w:p w14:paraId="5D4EF4FC">
      <w:pPr>
        <w:adjustRightInd w:val="0"/>
        <w:snapToGrid w:val="0"/>
        <w:spacing w:line="360" w:lineRule="auto"/>
        <w:rPr>
          <w:rFonts w:hint="eastAsia" w:ascii="宋体" w:hAnsi="宋体" w:cs="宋体"/>
          <w:kern w:val="0"/>
          <w:highlight w:val="none"/>
        </w:rPr>
      </w:pPr>
      <w:r>
        <w:rPr>
          <w:rFonts w:hint="eastAsia" w:ascii="宋体" w:hAnsi="宋体" w:cs="宋体"/>
          <w:kern w:val="0"/>
          <w:highlight w:val="none"/>
        </w:rPr>
        <w:t>工程名称：</w:t>
      </w:r>
    </w:p>
    <w:tbl>
      <w:tblPr>
        <w:tblStyle w:val="37"/>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1"/>
        <w:gridCol w:w="5624"/>
        <w:gridCol w:w="2445"/>
      </w:tblGrid>
      <w:tr w14:paraId="39761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49" w:type="pct"/>
            <w:tcBorders>
              <w:top w:val="single" w:color="auto" w:sz="4" w:space="0"/>
              <w:left w:val="single" w:color="auto" w:sz="4" w:space="0"/>
              <w:bottom w:val="single" w:color="auto" w:sz="4" w:space="0"/>
              <w:right w:val="single" w:color="auto" w:sz="4" w:space="0"/>
            </w:tcBorders>
            <w:noWrap w:val="0"/>
            <w:vAlign w:val="center"/>
          </w:tcPr>
          <w:p w14:paraId="55A93E67">
            <w:pPr>
              <w:jc w:val="center"/>
              <w:rPr>
                <w:rFonts w:hint="eastAsia" w:ascii="宋体" w:hAnsi="宋体" w:cs="宋体"/>
                <w:sz w:val="24"/>
                <w:highlight w:val="none"/>
              </w:rPr>
            </w:pPr>
            <w:r>
              <w:rPr>
                <w:rFonts w:hint="eastAsia" w:ascii="宋体" w:hAnsi="宋体" w:cs="宋体"/>
                <w:sz w:val="24"/>
                <w:highlight w:val="none"/>
              </w:rPr>
              <w:t>序号</w:t>
            </w:r>
          </w:p>
        </w:tc>
        <w:tc>
          <w:tcPr>
            <w:tcW w:w="2822" w:type="pct"/>
            <w:tcBorders>
              <w:top w:val="single" w:color="auto" w:sz="4" w:space="0"/>
              <w:left w:val="single" w:color="auto" w:sz="4" w:space="0"/>
              <w:bottom w:val="single" w:color="auto" w:sz="4" w:space="0"/>
              <w:right w:val="single" w:color="auto" w:sz="4" w:space="0"/>
            </w:tcBorders>
            <w:noWrap w:val="0"/>
            <w:vAlign w:val="center"/>
          </w:tcPr>
          <w:p w14:paraId="44DCC662">
            <w:pPr>
              <w:jc w:val="center"/>
              <w:rPr>
                <w:rFonts w:hint="eastAsia" w:ascii="宋体" w:hAnsi="宋体" w:cs="宋体"/>
                <w:sz w:val="24"/>
                <w:highlight w:val="none"/>
              </w:rPr>
            </w:pPr>
            <w:r>
              <w:rPr>
                <w:rFonts w:hint="eastAsia" w:ascii="宋体" w:hAnsi="宋体" w:cs="宋体"/>
                <w:sz w:val="24"/>
                <w:highlight w:val="none"/>
              </w:rPr>
              <w:t>投标人名称</w:t>
            </w:r>
          </w:p>
        </w:tc>
        <w:tc>
          <w:tcPr>
            <w:tcW w:w="1227" w:type="pct"/>
            <w:tcBorders>
              <w:top w:val="single" w:color="auto" w:sz="4" w:space="0"/>
              <w:left w:val="single" w:color="auto" w:sz="4" w:space="0"/>
              <w:bottom w:val="single" w:color="auto" w:sz="4" w:space="0"/>
              <w:right w:val="single" w:color="auto" w:sz="4" w:space="0"/>
            </w:tcBorders>
            <w:noWrap w:val="0"/>
            <w:vAlign w:val="center"/>
          </w:tcPr>
          <w:p w14:paraId="6C13006F">
            <w:pPr>
              <w:jc w:val="center"/>
              <w:rPr>
                <w:rFonts w:hint="eastAsia" w:ascii="宋体" w:hAnsi="宋体" w:cs="宋体"/>
                <w:szCs w:val="21"/>
                <w:highlight w:val="none"/>
              </w:rPr>
            </w:pPr>
            <w:r>
              <w:rPr>
                <w:rFonts w:hint="eastAsia" w:ascii="宋体" w:hAnsi="宋体" w:cs="宋体"/>
                <w:szCs w:val="21"/>
                <w:highlight w:val="none"/>
              </w:rPr>
              <w:t>得票数</w:t>
            </w:r>
          </w:p>
        </w:tc>
      </w:tr>
      <w:tr w14:paraId="60C7F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949" w:type="pct"/>
            <w:tcBorders>
              <w:top w:val="single" w:color="auto" w:sz="4" w:space="0"/>
              <w:left w:val="single" w:color="auto" w:sz="4" w:space="0"/>
              <w:bottom w:val="single" w:color="auto" w:sz="4" w:space="0"/>
              <w:right w:val="single" w:color="auto" w:sz="4" w:space="0"/>
            </w:tcBorders>
            <w:noWrap w:val="0"/>
            <w:vAlign w:val="center"/>
          </w:tcPr>
          <w:p w14:paraId="102595ED">
            <w:pPr>
              <w:jc w:val="center"/>
              <w:rPr>
                <w:rFonts w:hint="eastAsia" w:ascii="宋体" w:hAnsi="宋体" w:cs="宋体"/>
                <w:sz w:val="24"/>
                <w:highlight w:val="none"/>
              </w:rPr>
            </w:pPr>
            <w:r>
              <w:rPr>
                <w:rFonts w:hint="eastAsia" w:ascii="宋体" w:hAnsi="宋体" w:cs="宋体"/>
                <w:sz w:val="24"/>
                <w:highlight w:val="none"/>
              </w:rPr>
              <w:t>1</w:t>
            </w:r>
          </w:p>
        </w:tc>
        <w:tc>
          <w:tcPr>
            <w:tcW w:w="2822" w:type="pct"/>
            <w:tcBorders>
              <w:top w:val="single" w:color="auto" w:sz="4" w:space="0"/>
              <w:left w:val="single" w:color="auto" w:sz="4" w:space="0"/>
              <w:bottom w:val="single" w:color="auto" w:sz="4" w:space="0"/>
              <w:right w:val="single" w:color="auto" w:sz="4" w:space="0"/>
            </w:tcBorders>
            <w:noWrap w:val="0"/>
            <w:vAlign w:val="center"/>
          </w:tcPr>
          <w:p w14:paraId="2C5BE3E3">
            <w:pPr>
              <w:jc w:val="center"/>
              <w:rPr>
                <w:rFonts w:hint="eastAsia" w:ascii="宋体" w:hAnsi="宋体" w:cs="宋体"/>
                <w:sz w:val="24"/>
                <w:highlight w:val="none"/>
              </w:rPr>
            </w:pPr>
          </w:p>
        </w:tc>
        <w:tc>
          <w:tcPr>
            <w:tcW w:w="1227" w:type="pct"/>
            <w:tcBorders>
              <w:top w:val="single" w:color="auto" w:sz="4" w:space="0"/>
              <w:left w:val="single" w:color="auto" w:sz="4" w:space="0"/>
              <w:bottom w:val="single" w:color="auto" w:sz="4" w:space="0"/>
              <w:right w:val="single" w:color="auto" w:sz="4" w:space="0"/>
            </w:tcBorders>
            <w:noWrap w:val="0"/>
            <w:vAlign w:val="center"/>
          </w:tcPr>
          <w:p w14:paraId="02B8EDBC">
            <w:pPr>
              <w:jc w:val="center"/>
              <w:rPr>
                <w:rFonts w:hint="eastAsia" w:ascii="宋体" w:hAnsi="宋体" w:cs="宋体"/>
                <w:sz w:val="24"/>
                <w:highlight w:val="none"/>
              </w:rPr>
            </w:pPr>
          </w:p>
        </w:tc>
      </w:tr>
      <w:tr w14:paraId="5C7D6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949" w:type="pct"/>
            <w:tcBorders>
              <w:top w:val="single" w:color="auto" w:sz="4" w:space="0"/>
              <w:left w:val="single" w:color="auto" w:sz="4" w:space="0"/>
              <w:bottom w:val="single" w:color="auto" w:sz="4" w:space="0"/>
              <w:right w:val="single" w:color="auto" w:sz="4" w:space="0"/>
            </w:tcBorders>
            <w:noWrap w:val="0"/>
            <w:vAlign w:val="center"/>
          </w:tcPr>
          <w:p w14:paraId="134539C1">
            <w:pPr>
              <w:jc w:val="center"/>
              <w:rPr>
                <w:rFonts w:hint="eastAsia" w:ascii="宋体" w:hAnsi="宋体" w:cs="宋体"/>
                <w:sz w:val="24"/>
                <w:highlight w:val="none"/>
              </w:rPr>
            </w:pPr>
            <w:r>
              <w:rPr>
                <w:rFonts w:hint="eastAsia" w:ascii="宋体" w:hAnsi="宋体" w:cs="宋体"/>
                <w:sz w:val="24"/>
                <w:highlight w:val="none"/>
              </w:rPr>
              <w:t>2</w:t>
            </w:r>
          </w:p>
        </w:tc>
        <w:tc>
          <w:tcPr>
            <w:tcW w:w="2822" w:type="pct"/>
            <w:tcBorders>
              <w:top w:val="single" w:color="auto" w:sz="4" w:space="0"/>
              <w:left w:val="single" w:color="auto" w:sz="4" w:space="0"/>
              <w:bottom w:val="single" w:color="auto" w:sz="4" w:space="0"/>
              <w:right w:val="single" w:color="auto" w:sz="4" w:space="0"/>
            </w:tcBorders>
            <w:noWrap w:val="0"/>
            <w:vAlign w:val="center"/>
          </w:tcPr>
          <w:p w14:paraId="6F848292">
            <w:pPr>
              <w:jc w:val="center"/>
              <w:rPr>
                <w:rFonts w:hint="eastAsia" w:ascii="宋体" w:hAnsi="宋体" w:cs="宋体"/>
                <w:sz w:val="24"/>
                <w:highlight w:val="none"/>
              </w:rPr>
            </w:pP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6E2C180">
            <w:pPr>
              <w:jc w:val="center"/>
              <w:rPr>
                <w:rFonts w:hint="eastAsia" w:ascii="宋体" w:hAnsi="宋体" w:cs="宋体"/>
                <w:sz w:val="24"/>
                <w:highlight w:val="none"/>
              </w:rPr>
            </w:pPr>
          </w:p>
        </w:tc>
      </w:tr>
      <w:tr w14:paraId="538AF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949" w:type="pct"/>
            <w:tcBorders>
              <w:top w:val="single" w:color="auto" w:sz="4" w:space="0"/>
              <w:left w:val="single" w:color="auto" w:sz="4" w:space="0"/>
              <w:bottom w:val="single" w:color="auto" w:sz="4" w:space="0"/>
              <w:right w:val="single" w:color="auto" w:sz="4" w:space="0"/>
            </w:tcBorders>
            <w:noWrap w:val="0"/>
            <w:vAlign w:val="center"/>
          </w:tcPr>
          <w:p w14:paraId="2E391477">
            <w:pPr>
              <w:jc w:val="center"/>
              <w:rPr>
                <w:rFonts w:hint="eastAsia" w:ascii="宋体" w:hAnsi="宋体" w:cs="宋体"/>
                <w:sz w:val="24"/>
                <w:highlight w:val="none"/>
              </w:rPr>
            </w:pPr>
            <w:r>
              <w:rPr>
                <w:rFonts w:hint="eastAsia" w:ascii="宋体" w:hAnsi="宋体" w:cs="宋体"/>
                <w:sz w:val="24"/>
                <w:highlight w:val="none"/>
              </w:rPr>
              <w:t>3</w:t>
            </w:r>
          </w:p>
        </w:tc>
        <w:tc>
          <w:tcPr>
            <w:tcW w:w="2822" w:type="pct"/>
            <w:tcBorders>
              <w:top w:val="single" w:color="auto" w:sz="4" w:space="0"/>
              <w:left w:val="single" w:color="auto" w:sz="4" w:space="0"/>
              <w:bottom w:val="single" w:color="auto" w:sz="4" w:space="0"/>
              <w:right w:val="single" w:color="auto" w:sz="4" w:space="0"/>
            </w:tcBorders>
            <w:noWrap w:val="0"/>
            <w:vAlign w:val="center"/>
          </w:tcPr>
          <w:p w14:paraId="297457A1">
            <w:pPr>
              <w:jc w:val="center"/>
              <w:rPr>
                <w:rFonts w:hint="eastAsia" w:ascii="宋体" w:hAnsi="宋体" w:cs="宋体"/>
                <w:sz w:val="24"/>
                <w:highlight w:val="none"/>
              </w:rPr>
            </w:pPr>
          </w:p>
        </w:tc>
        <w:tc>
          <w:tcPr>
            <w:tcW w:w="1227" w:type="pct"/>
            <w:tcBorders>
              <w:top w:val="single" w:color="auto" w:sz="4" w:space="0"/>
              <w:left w:val="single" w:color="auto" w:sz="4" w:space="0"/>
              <w:bottom w:val="single" w:color="auto" w:sz="4" w:space="0"/>
              <w:right w:val="single" w:color="auto" w:sz="4" w:space="0"/>
            </w:tcBorders>
            <w:noWrap w:val="0"/>
            <w:vAlign w:val="center"/>
          </w:tcPr>
          <w:p w14:paraId="74FDCD78">
            <w:pPr>
              <w:jc w:val="center"/>
              <w:rPr>
                <w:rFonts w:hint="eastAsia" w:ascii="宋体" w:hAnsi="宋体" w:cs="宋体"/>
                <w:sz w:val="24"/>
                <w:highlight w:val="none"/>
              </w:rPr>
            </w:pPr>
          </w:p>
        </w:tc>
      </w:tr>
      <w:tr w14:paraId="66C33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949" w:type="pct"/>
            <w:tcBorders>
              <w:top w:val="single" w:color="auto" w:sz="4" w:space="0"/>
              <w:left w:val="single" w:color="auto" w:sz="4" w:space="0"/>
              <w:bottom w:val="single" w:color="auto" w:sz="4" w:space="0"/>
              <w:right w:val="single" w:color="auto" w:sz="4" w:space="0"/>
            </w:tcBorders>
            <w:noWrap w:val="0"/>
            <w:vAlign w:val="center"/>
          </w:tcPr>
          <w:p w14:paraId="05B4D64B">
            <w:pPr>
              <w:jc w:val="center"/>
              <w:rPr>
                <w:rFonts w:hint="eastAsia" w:ascii="宋体" w:hAnsi="宋体" w:cs="宋体"/>
                <w:sz w:val="24"/>
                <w:highlight w:val="none"/>
              </w:rPr>
            </w:pPr>
            <w:r>
              <w:rPr>
                <w:rFonts w:hint="eastAsia" w:ascii="宋体" w:hAnsi="宋体" w:cs="宋体"/>
                <w:sz w:val="24"/>
                <w:highlight w:val="none"/>
              </w:rPr>
              <w:t>4</w:t>
            </w:r>
          </w:p>
        </w:tc>
        <w:tc>
          <w:tcPr>
            <w:tcW w:w="2822" w:type="pct"/>
            <w:tcBorders>
              <w:top w:val="single" w:color="auto" w:sz="4" w:space="0"/>
              <w:left w:val="single" w:color="auto" w:sz="4" w:space="0"/>
              <w:bottom w:val="single" w:color="auto" w:sz="4" w:space="0"/>
              <w:right w:val="single" w:color="auto" w:sz="4" w:space="0"/>
            </w:tcBorders>
            <w:noWrap w:val="0"/>
            <w:vAlign w:val="center"/>
          </w:tcPr>
          <w:p w14:paraId="1529F25A">
            <w:pPr>
              <w:jc w:val="center"/>
              <w:rPr>
                <w:rFonts w:hint="eastAsia" w:ascii="宋体" w:hAnsi="宋体" w:cs="宋体"/>
                <w:sz w:val="24"/>
                <w:highlight w:val="none"/>
              </w:rPr>
            </w:pPr>
          </w:p>
        </w:tc>
        <w:tc>
          <w:tcPr>
            <w:tcW w:w="1227" w:type="pct"/>
            <w:tcBorders>
              <w:top w:val="single" w:color="auto" w:sz="4" w:space="0"/>
              <w:left w:val="single" w:color="auto" w:sz="4" w:space="0"/>
              <w:bottom w:val="single" w:color="auto" w:sz="4" w:space="0"/>
              <w:right w:val="single" w:color="auto" w:sz="4" w:space="0"/>
            </w:tcBorders>
            <w:noWrap w:val="0"/>
            <w:vAlign w:val="center"/>
          </w:tcPr>
          <w:p w14:paraId="2F6BB6F2">
            <w:pPr>
              <w:jc w:val="center"/>
              <w:rPr>
                <w:rFonts w:hint="eastAsia" w:ascii="宋体" w:hAnsi="宋体" w:cs="宋体"/>
                <w:sz w:val="24"/>
                <w:highlight w:val="none"/>
              </w:rPr>
            </w:pPr>
          </w:p>
        </w:tc>
      </w:tr>
      <w:tr w14:paraId="19B02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949" w:type="pct"/>
            <w:tcBorders>
              <w:top w:val="single" w:color="auto" w:sz="4" w:space="0"/>
              <w:left w:val="single" w:color="auto" w:sz="4" w:space="0"/>
              <w:bottom w:val="single" w:color="auto" w:sz="4" w:space="0"/>
              <w:right w:val="single" w:color="auto" w:sz="4" w:space="0"/>
            </w:tcBorders>
            <w:noWrap w:val="0"/>
            <w:vAlign w:val="center"/>
          </w:tcPr>
          <w:p w14:paraId="1F8BE2AF">
            <w:pPr>
              <w:jc w:val="center"/>
              <w:rPr>
                <w:rFonts w:hint="eastAsia" w:ascii="宋体" w:hAnsi="宋体" w:cs="宋体"/>
                <w:sz w:val="24"/>
                <w:highlight w:val="none"/>
              </w:rPr>
            </w:pPr>
            <w:r>
              <w:rPr>
                <w:rFonts w:hint="eastAsia" w:ascii="宋体" w:hAnsi="宋体" w:cs="宋体"/>
                <w:sz w:val="24"/>
                <w:highlight w:val="none"/>
              </w:rPr>
              <w:t>……</w:t>
            </w:r>
          </w:p>
        </w:tc>
        <w:tc>
          <w:tcPr>
            <w:tcW w:w="2822" w:type="pct"/>
            <w:tcBorders>
              <w:top w:val="single" w:color="auto" w:sz="4" w:space="0"/>
              <w:left w:val="single" w:color="auto" w:sz="4" w:space="0"/>
              <w:bottom w:val="single" w:color="auto" w:sz="4" w:space="0"/>
              <w:right w:val="single" w:color="auto" w:sz="4" w:space="0"/>
            </w:tcBorders>
            <w:noWrap w:val="0"/>
            <w:vAlign w:val="center"/>
          </w:tcPr>
          <w:p w14:paraId="128AD69F">
            <w:pPr>
              <w:jc w:val="center"/>
              <w:rPr>
                <w:rFonts w:hint="eastAsia" w:ascii="宋体" w:hAnsi="宋体" w:cs="宋体"/>
                <w:sz w:val="24"/>
                <w:highlight w:val="none"/>
              </w:rPr>
            </w:pPr>
          </w:p>
        </w:tc>
        <w:tc>
          <w:tcPr>
            <w:tcW w:w="1227" w:type="pct"/>
            <w:tcBorders>
              <w:top w:val="single" w:color="auto" w:sz="4" w:space="0"/>
              <w:left w:val="single" w:color="auto" w:sz="4" w:space="0"/>
              <w:bottom w:val="single" w:color="auto" w:sz="4" w:space="0"/>
              <w:right w:val="single" w:color="auto" w:sz="4" w:space="0"/>
            </w:tcBorders>
            <w:noWrap w:val="0"/>
            <w:vAlign w:val="center"/>
          </w:tcPr>
          <w:p w14:paraId="7C89F557">
            <w:pPr>
              <w:jc w:val="center"/>
              <w:rPr>
                <w:rFonts w:hint="eastAsia" w:ascii="宋体" w:hAnsi="宋体" w:cs="宋体"/>
                <w:sz w:val="24"/>
                <w:highlight w:val="none"/>
              </w:rPr>
            </w:pPr>
          </w:p>
        </w:tc>
      </w:tr>
    </w:tbl>
    <w:p w14:paraId="218C0237">
      <w:pPr>
        <w:pStyle w:val="122"/>
        <w:rPr>
          <w:rFonts w:hint="eastAsia" w:ascii="宋体" w:hAnsi="宋体" w:eastAsia="宋体" w:cs="宋体"/>
          <w:kern w:val="0"/>
          <w:szCs w:val="21"/>
          <w:highlight w:val="none"/>
        </w:rPr>
      </w:pPr>
    </w:p>
    <w:p w14:paraId="7F9F2DA3">
      <w:pPr>
        <w:adjustRightInd w:val="0"/>
        <w:snapToGrid w:val="0"/>
        <w:spacing w:line="360" w:lineRule="auto"/>
        <w:rPr>
          <w:rFonts w:hint="eastAsia" w:ascii="宋体" w:hAnsi="宋体" w:cs="宋体"/>
          <w:kern w:val="0"/>
          <w:szCs w:val="21"/>
          <w:highlight w:val="none"/>
        </w:rPr>
      </w:pPr>
      <w:r>
        <w:rPr>
          <w:rFonts w:hint="eastAsia" w:ascii="宋体" w:hAnsi="宋体" w:cs="宋体"/>
          <w:kern w:val="0"/>
          <w:szCs w:val="21"/>
          <w:highlight w:val="none"/>
        </w:rPr>
        <w:t>定标委员签名：                                            日期：</w:t>
      </w:r>
    </w:p>
    <w:p w14:paraId="09678776">
      <w:pPr>
        <w:widowControl/>
        <w:jc w:val="left"/>
        <w:rPr>
          <w:rFonts w:hint="eastAsia" w:ascii="宋体" w:hAnsi="宋体" w:cs="宋体"/>
          <w:highlight w:val="none"/>
        </w:rPr>
      </w:pPr>
      <w:r>
        <w:rPr>
          <w:rFonts w:hint="eastAsia" w:ascii="宋体" w:hAnsi="宋体" w:cs="宋体"/>
          <w:highlight w:val="none"/>
        </w:rPr>
        <w:br w:type="page"/>
      </w:r>
    </w:p>
    <w:p w14:paraId="7CF6AFC2">
      <w:pPr>
        <w:pStyle w:val="6"/>
        <w:ind w:left="0"/>
        <w:jc w:val="left"/>
        <w:rPr>
          <w:rFonts w:ascii="宋体" w:hAnsi="宋体" w:cs="宋体"/>
          <w:b w:val="0"/>
          <w:bCs/>
          <w:color w:val="auto"/>
          <w:sz w:val="22"/>
          <w:szCs w:val="22"/>
          <w:highlight w:val="none"/>
        </w:rPr>
      </w:pPr>
      <w:r>
        <w:rPr>
          <w:rFonts w:hint="eastAsia" w:ascii="宋体" w:hAnsi="宋体" w:cs="宋体"/>
          <w:b w:val="0"/>
          <w:bCs/>
          <w:color w:val="auto"/>
          <w:sz w:val="22"/>
          <w:szCs w:val="22"/>
          <w:highlight w:val="none"/>
        </w:rPr>
        <w:t>附表十</w:t>
      </w:r>
      <w:r>
        <w:rPr>
          <w:rFonts w:hint="eastAsia" w:ascii="宋体" w:hAnsi="宋体" w:cs="宋体"/>
          <w:b w:val="0"/>
          <w:bCs/>
          <w:color w:val="auto"/>
          <w:sz w:val="22"/>
          <w:szCs w:val="22"/>
          <w:highlight w:val="none"/>
          <w:lang w:val="en-US" w:eastAsia="zh-CN"/>
        </w:rPr>
        <w:t>二</w:t>
      </w:r>
      <w:r>
        <w:rPr>
          <w:rFonts w:hint="eastAsia" w:ascii="宋体" w:hAnsi="宋体" w:cs="宋体"/>
          <w:b w:val="0"/>
          <w:bCs/>
          <w:color w:val="auto"/>
          <w:sz w:val="22"/>
          <w:szCs w:val="22"/>
          <w:highlight w:val="none"/>
        </w:rPr>
        <w:t>：</w:t>
      </w:r>
    </w:p>
    <w:p w14:paraId="4E79A159">
      <w:pPr>
        <w:jc w:val="center"/>
        <w:rPr>
          <w:rFonts w:hint="eastAsia" w:ascii="宋体" w:hAnsi="宋体" w:cs="宋体"/>
          <w:b/>
          <w:bCs/>
          <w:sz w:val="32"/>
          <w:highlight w:val="none"/>
        </w:rPr>
      </w:pPr>
    </w:p>
    <w:p w14:paraId="4F850685">
      <w:pPr>
        <w:jc w:val="center"/>
        <w:rPr>
          <w:rFonts w:hint="eastAsia" w:ascii="宋体" w:hAnsi="宋体" w:cs="宋体"/>
          <w:sz w:val="24"/>
          <w:highlight w:val="none"/>
        </w:rPr>
      </w:pPr>
      <w:r>
        <w:rPr>
          <w:rFonts w:hint="eastAsia" w:ascii="宋体" w:hAnsi="宋体" w:cs="宋体"/>
          <w:b/>
          <w:bCs/>
          <w:sz w:val="32"/>
          <w:highlight w:val="none"/>
        </w:rPr>
        <w:t>定标阶段各投标人评语</w:t>
      </w:r>
    </w:p>
    <w:p w14:paraId="2F960C32">
      <w:pPr>
        <w:rPr>
          <w:rFonts w:hint="eastAsia" w:ascii="宋体" w:hAnsi="宋体" w:cs="宋体"/>
          <w:highlight w:val="none"/>
          <w:u w:val="single"/>
        </w:rPr>
      </w:pPr>
      <w:r>
        <w:rPr>
          <w:rFonts w:hint="eastAsia" w:ascii="宋体" w:hAnsi="宋体" w:cs="宋体"/>
          <w:highlight w:val="none"/>
          <w:u w:val="single"/>
        </w:rPr>
        <w:t>项目名称：</w:t>
      </w:r>
    </w:p>
    <w:tbl>
      <w:tblPr>
        <w:tblStyle w:val="37"/>
        <w:tblW w:w="8359"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39"/>
        <w:gridCol w:w="4820"/>
      </w:tblGrid>
      <w:tr w14:paraId="7FED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trPr>
        <w:tc>
          <w:tcPr>
            <w:tcW w:w="3539" w:type="dxa"/>
            <w:tcBorders>
              <w:top w:val="single" w:color="auto" w:sz="4" w:space="0"/>
              <w:left w:val="single" w:color="auto" w:sz="4" w:space="0"/>
              <w:bottom w:val="single" w:color="auto" w:sz="4" w:space="0"/>
              <w:right w:val="single" w:color="auto" w:sz="4" w:space="0"/>
            </w:tcBorders>
            <w:noWrap w:val="0"/>
            <w:vAlign w:val="center"/>
          </w:tcPr>
          <w:p w14:paraId="23526B05">
            <w:pPr>
              <w:jc w:val="center"/>
              <w:rPr>
                <w:rFonts w:hint="eastAsia" w:ascii="宋体" w:hAnsi="宋体" w:cs="宋体"/>
                <w:b/>
                <w:highlight w:val="none"/>
                <w:u w:val="single"/>
              </w:rPr>
            </w:pPr>
            <w:r>
              <w:rPr>
                <w:rFonts w:hint="eastAsia" w:ascii="宋体" w:hAnsi="宋体" w:cs="宋体"/>
                <w:b/>
                <w:highlight w:val="none"/>
                <w:u w:val="single"/>
              </w:rPr>
              <w:t>投标人名称</w:t>
            </w:r>
          </w:p>
        </w:tc>
        <w:tc>
          <w:tcPr>
            <w:tcW w:w="4820" w:type="dxa"/>
            <w:tcBorders>
              <w:top w:val="single" w:color="auto" w:sz="4" w:space="0"/>
              <w:left w:val="single" w:color="auto" w:sz="4" w:space="0"/>
              <w:bottom w:val="single" w:color="auto" w:sz="4" w:space="0"/>
              <w:right w:val="single" w:color="auto" w:sz="4" w:space="0"/>
            </w:tcBorders>
            <w:noWrap w:val="0"/>
            <w:vAlign w:val="center"/>
          </w:tcPr>
          <w:p w14:paraId="4AA472C1">
            <w:pPr>
              <w:jc w:val="center"/>
              <w:rPr>
                <w:rFonts w:hint="eastAsia" w:ascii="宋体" w:hAnsi="宋体" w:cs="宋体"/>
                <w:b/>
                <w:highlight w:val="none"/>
                <w:u w:val="single"/>
              </w:rPr>
            </w:pPr>
            <w:r>
              <w:rPr>
                <w:rFonts w:hint="eastAsia" w:ascii="宋体" w:hAnsi="宋体" w:cs="宋体"/>
                <w:b/>
                <w:highlight w:val="none"/>
                <w:u w:val="single"/>
              </w:rPr>
              <w:t>评    语</w:t>
            </w:r>
          </w:p>
        </w:tc>
      </w:tr>
      <w:tr w14:paraId="52AFD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539" w:type="dxa"/>
            <w:tcBorders>
              <w:top w:val="single" w:color="auto" w:sz="4" w:space="0"/>
              <w:left w:val="single" w:color="auto" w:sz="4" w:space="0"/>
              <w:bottom w:val="single" w:color="auto" w:sz="4" w:space="0"/>
              <w:right w:val="single" w:color="auto" w:sz="4" w:space="0"/>
            </w:tcBorders>
            <w:noWrap w:val="0"/>
            <w:vAlign w:val="center"/>
          </w:tcPr>
          <w:p w14:paraId="3671681E">
            <w:pPr>
              <w:rPr>
                <w:rFonts w:hint="eastAsia" w:ascii="宋体" w:hAnsi="宋体" w:cs="宋体"/>
                <w:highlight w:val="none"/>
                <w:u w:val="single"/>
              </w:rPr>
            </w:pPr>
          </w:p>
        </w:tc>
        <w:tc>
          <w:tcPr>
            <w:tcW w:w="4820" w:type="dxa"/>
            <w:tcBorders>
              <w:top w:val="single" w:color="auto" w:sz="4" w:space="0"/>
              <w:left w:val="single" w:color="auto" w:sz="4" w:space="0"/>
              <w:bottom w:val="single" w:color="auto" w:sz="4" w:space="0"/>
              <w:right w:val="single" w:color="auto" w:sz="4" w:space="0"/>
            </w:tcBorders>
            <w:noWrap w:val="0"/>
            <w:vAlign w:val="center"/>
          </w:tcPr>
          <w:p w14:paraId="157BC2E6">
            <w:pPr>
              <w:rPr>
                <w:rFonts w:hint="eastAsia" w:ascii="宋体" w:hAnsi="宋体" w:cs="宋体"/>
                <w:highlight w:val="none"/>
                <w:u w:val="single"/>
              </w:rPr>
            </w:pPr>
          </w:p>
        </w:tc>
      </w:tr>
      <w:tr w14:paraId="1C2C0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539" w:type="dxa"/>
            <w:tcBorders>
              <w:top w:val="single" w:color="auto" w:sz="4" w:space="0"/>
              <w:left w:val="single" w:color="auto" w:sz="4" w:space="0"/>
              <w:bottom w:val="single" w:color="auto" w:sz="4" w:space="0"/>
              <w:right w:val="single" w:color="auto" w:sz="4" w:space="0"/>
            </w:tcBorders>
            <w:noWrap w:val="0"/>
            <w:vAlign w:val="center"/>
          </w:tcPr>
          <w:p w14:paraId="745579CF">
            <w:pPr>
              <w:rPr>
                <w:rFonts w:hint="eastAsia" w:ascii="宋体" w:hAnsi="宋体" w:cs="宋体"/>
                <w:highlight w:val="none"/>
                <w:u w:val="single"/>
              </w:rPr>
            </w:pPr>
          </w:p>
        </w:tc>
        <w:tc>
          <w:tcPr>
            <w:tcW w:w="4820" w:type="dxa"/>
            <w:tcBorders>
              <w:top w:val="single" w:color="auto" w:sz="4" w:space="0"/>
              <w:left w:val="single" w:color="auto" w:sz="4" w:space="0"/>
              <w:bottom w:val="single" w:color="auto" w:sz="4" w:space="0"/>
              <w:right w:val="single" w:color="auto" w:sz="4" w:space="0"/>
            </w:tcBorders>
            <w:noWrap w:val="0"/>
            <w:vAlign w:val="center"/>
          </w:tcPr>
          <w:p w14:paraId="7A935261">
            <w:pPr>
              <w:rPr>
                <w:rFonts w:hint="eastAsia" w:ascii="宋体" w:hAnsi="宋体" w:cs="宋体"/>
                <w:highlight w:val="none"/>
                <w:u w:val="single"/>
              </w:rPr>
            </w:pPr>
          </w:p>
        </w:tc>
      </w:tr>
      <w:tr w14:paraId="59AF6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539" w:type="dxa"/>
            <w:tcBorders>
              <w:top w:val="single" w:color="auto" w:sz="4" w:space="0"/>
              <w:left w:val="single" w:color="auto" w:sz="4" w:space="0"/>
              <w:bottom w:val="single" w:color="auto" w:sz="4" w:space="0"/>
              <w:right w:val="single" w:color="auto" w:sz="4" w:space="0"/>
            </w:tcBorders>
            <w:noWrap w:val="0"/>
            <w:vAlign w:val="center"/>
          </w:tcPr>
          <w:p w14:paraId="32778E81">
            <w:pPr>
              <w:rPr>
                <w:rFonts w:hint="eastAsia" w:ascii="宋体" w:hAnsi="宋体" w:cs="宋体"/>
                <w:highlight w:val="none"/>
                <w:u w:val="single"/>
              </w:rPr>
            </w:pPr>
          </w:p>
        </w:tc>
        <w:tc>
          <w:tcPr>
            <w:tcW w:w="4820" w:type="dxa"/>
            <w:tcBorders>
              <w:top w:val="single" w:color="auto" w:sz="4" w:space="0"/>
              <w:left w:val="single" w:color="auto" w:sz="4" w:space="0"/>
              <w:bottom w:val="single" w:color="auto" w:sz="4" w:space="0"/>
              <w:right w:val="single" w:color="auto" w:sz="4" w:space="0"/>
            </w:tcBorders>
            <w:noWrap w:val="0"/>
            <w:vAlign w:val="center"/>
          </w:tcPr>
          <w:p w14:paraId="3E7A2D10">
            <w:pPr>
              <w:rPr>
                <w:rFonts w:hint="eastAsia" w:ascii="宋体" w:hAnsi="宋体" w:cs="宋体"/>
                <w:highlight w:val="none"/>
                <w:u w:val="single"/>
              </w:rPr>
            </w:pPr>
          </w:p>
        </w:tc>
      </w:tr>
      <w:tr w14:paraId="40D24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539" w:type="dxa"/>
            <w:tcBorders>
              <w:top w:val="single" w:color="auto" w:sz="4" w:space="0"/>
              <w:left w:val="single" w:color="auto" w:sz="4" w:space="0"/>
              <w:bottom w:val="single" w:color="auto" w:sz="4" w:space="0"/>
              <w:right w:val="single" w:color="auto" w:sz="4" w:space="0"/>
            </w:tcBorders>
            <w:noWrap w:val="0"/>
            <w:vAlign w:val="center"/>
          </w:tcPr>
          <w:p w14:paraId="79C3EA34">
            <w:pPr>
              <w:rPr>
                <w:rFonts w:hint="eastAsia" w:ascii="宋体" w:hAnsi="宋体" w:cs="宋体"/>
                <w:highlight w:val="none"/>
                <w:u w:val="single"/>
              </w:rPr>
            </w:pPr>
          </w:p>
        </w:tc>
        <w:tc>
          <w:tcPr>
            <w:tcW w:w="4820" w:type="dxa"/>
            <w:tcBorders>
              <w:top w:val="single" w:color="auto" w:sz="4" w:space="0"/>
              <w:left w:val="single" w:color="auto" w:sz="4" w:space="0"/>
              <w:bottom w:val="single" w:color="auto" w:sz="4" w:space="0"/>
              <w:right w:val="single" w:color="auto" w:sz="4" w:space="0"/>
            </w:tcBorders>
            <w:noWrap w:val="0"/>
            <w:vAlign w:val="center"/>
          </w:tcPr>
          <w:p w14:paraId="54D9B780">
            <w:pPr>
              <w:rPr>
                <w:rFonts w:hint="eastAsia" w:ascii="宋体" w:hAnsi="宋体" w:cs="宋体"/>
                <w:highlight w:val="none"/>
                <w:u w:val="single"/>
              </w:rPr>
            </w:pPr>
          </w:p>
        </w:tc>
      </w:tr>
      <w:tr w14:paraId="3F100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539" w:type="dxa"/>
            <w:tcBorders>
              <w:top w:val="single" w:color="auto" w:sz="4" w:space="0"/>
              <w:left w:val="single" w:color="auto" w:sz="4" w:space="0"/>
              <w:bottom w:val="single" w:color="auto" w:sz="4" w:space="0"/>
              <w:right w:val="single" w:color="auto" w:sz="4" w:space="0"/>
            </w:tcBorders>
            <w:noWrap w:val="0"/>
            <w:vAlign w:val="center"/>
          </w:tcPr>
          <w:p w14:paraId="61C0E830">
            <w:pPr>
              <w:rPr>
                <w:rFonts w:hint="eastAsia" w:ascii="宋体" w:hAnsi="宋体" w:cs="宋体"/>
                <w:highlight w:val="none"/>
                <w:u w:val="single"/>
              </w:rPr>
            </w:pPr>
          </w:p>
        </w:tc>
        <w:tc>
          <w:tcPr>
            <w:tcW w:w="4820" w:type="dxa"/>
            <w:tcBorders>
              <w:top w:val="single" w:color="auto" w:sz="4" w:space="0"/>
              <w:left w:val="single" w:color="auto" w:sz="4" w:space="0"/>
              <w:bottom w:val="single" w:color="auto" w:sz="4" w:space="0"/>
              <w:right w:val="single" w:color="auto" w:sz="4" w:space="0"/>
            </w:tcBorders>
            <w:noWrap w:val="0"/>
            <w:vAlign w:val="center"/>
          </w:tcPr>
          <w:p w14:paraId="4B251913">
            <w:pPr>
              <w:rPr>
                <w:rFonts w:hint="eastAsia" w:ascii="宋体" w:hAnsi="宋体" w:cs="宋体"/>
                <w:highlight w:val="none"/>
                <w:u w:val="single"/>
              </w:rPr>
            </w:pPr>
          </w:p>
        </w:tc>
      </w:tr>
      <w:tr w14:paraId="6684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539" w:type="dxa"/>
            <w:tcBorders>
              <w:top w:val="single" w:color="auto" w:sz="4" w:space="0"/>
              <w:left w:val="single" w:color="auto" w:sz="4" w:space="0"/>
              <w:bottom w:val="single" w:color="auto" w:sz="4" w:space="0"/>
              <w:right w:val="single" w:color="auto" w:sz="4" w:space="0"/>
            </w:tcBorders>
            <w:noWrap w:val="0"/>
            <w:vAlign w:val="center"/>
          </w:tcPr>
          <w:p w14:paraId="22C0683A">
            <w:pPr>
              <w:rPr>
                <w:rFonts w:hint="eastAsia" w:ascii="宋体" w:hAnsi="宋体" w:cs="宋体"/>
                <w:highlight w:val="none"/>
                <w:u w:val="single"/>
              </w:rPr>
            </w:pPr>
          </w:p>
        </w:tc>
        <w:tc>
          <w:tcPr>
            <w:tcW w:w="4820" w:type="dxa"/>
            <w:tcBorders>
              <w:top w:val="single" w:color="auto" w:sz="4" w:space="0"/>
              <w:left w:val="single" w:color="auto" w:sz="4" w:space="0"/>
              <w:bottom w:val="single" w:color="auto" w:sz="4" w:space="0"/>
              <w:right w:val="single" w:color="auto" w:sz="4" w:space="0"/>
            </w:tcBorders>
            <w:noWrap w:val="0"/>
            <w:vAlign w:val="center"/>
          </w:tcPr>
          <w:p w14:paraId="6B805934">
            <w:pPr>
              <w:rPr>
                <w:rFonts w:hint="eastAsia" w:ascii="宋体" w:hAnsi="宋体" w:cs="宋体"/>
                <w:highlight w:val="none"/>
                <w:u w:val="single"/>
              </w:rPr>
            </w:pPr>
          </w:p>
        </w:tc>
      </w:tr>
      <w:tr w14:paraId="01752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539" w:type="dxa"/>
            <w:tcBorders>
              <w:top w:val="single" w:color="auto" w:sz="4" w:space="0"/>
              <w:left w:val="single" w:color="auto" w:sz="4" w:space="0"/>
              <w:bottom w:val="single" w:color="auto" w:sz="4" w:space="0"/>
              <w:right w:val="single" w:color="auto" w:sz="4" w:space="0"/>
            </w:tcBorders>
            <w:noWrap w:val="0"/>
            <w:vAlign w:val="center"/>
          </w:tcPr>
          <w:p w14:paraId="458AD17B">
            <w:pPr>
              <w:rPr>
                <w:rFonts w:hint="eastAsia" w:ascii="宋体" w:hAnsi="宋体" w:cs="宋体"/>
                <w:highlight w:val="none"/>
                <w:u w:val="single"/>
              </w:rPr>
            </w:pPr>
          </w:p>
        </w:tc>
        <w:tc>
          <w:tcPr>
            <w:tcW w:w="4820" w:type="dxa"/>
            <w:tcBorders>
              <w:top w:val="single" w:color="auto" w:sz="4" w:space="0"/>
              <w:left w:val="single" w:color="auto" w:sz="4" w:space="0"/>
              <w:bottom w:val="single" w:color="auto" w:sz="4" w:space="0"/>
              <w:right w:val="single" w:color="auto" w:sz="4" w:space="0"/>
            </w:tcBorders>
            <w:noWrap w:val="0"/>
            <w:vAlign w:val="center"/>
          </w:tcPr>
          <w:p w14:paraId="7402B73A">
            <w:pPr>
              <w:rPr>
                <w:rFonts w:hint="eastAsia" w:ascii="宋体" w:hAnsi="宋体" w:cs="宋体"/>
                <w:highlight w:val="none"/>
                <w:u w:val="single"/>
              </w:rPr>
            </w:pPr>
          </w:p>
        </w:tc>
      </w:tr>
      <w:tr w14:paraId="7EE21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4" w:hRule="atLeast"/>
        </w:trPr>
        <w:tc>
          <w:tcPr>
            <w:tcW w:w="3539" w:type="dxa"/>
            <w:tcBorders>
              <w:top w:val="single" w:color="auto" w:sz="4" w:space="0"/>
              <w:left w:val="single" w:color="auto" w:sz="4" w:space="0"/>
              <w:bottom w:val="single" w:color="auto" w:sz="4" w:space="0"/>
              <w:right w:val="single" w:color="auto" w:sz="4" w:space="0"/>
            </w:tcBorders>
            <w:noWrap w:val="0"/>
            <w:vAlign w:val="center"/>
          </w:tcPr>
          <w:p w14:paraId="49DAA1E6">
            <w:pPr>
              <w:rPr>
                <w:rFonts w:hint="eastAsia" w:ascii="宋体" w:hAnsi="宋体" w:cs="宋体"/>
                <w:highlight w:val="none"/>
                <w:u w:val="single"/>
              </w:rPr>
            </w:pPr>
          </w:p>
        </w:tc>
        <w:tc>
          <w:tcPr>
            <w:tcW w:w="4820" w:type="dxa"/>
            <w:tcBorders>
              <w:top w:val="single" w:color="auto" w:sz="4" w:space="0"/>
              <w:left w:val="single" w:color="auto" w:sz="4" w:space="0"/>
              <w:bottom w:val="single" w:color="auto" w:sz="4" w:space="0"/>
              <w:right w:val="single" w:color="auto" w:sz="4" w:space="0"/>
            </w:tcBorders>
            <w:noWrap w:val="0"/>
            <w:vAlign w:val="center"/>
          </w:tcPr>
          <w:p w14:paraId="3E3BF059">
            <w:pPr>
              <w:rPr>
                <w:rFonts w:hint="eastAsia" w:ascii="宋体" w:hAnsi="宋体" w:cs="宋体"/>
                <w:highlight w:val="none"/>
                <w:u w:val="single"/>
              </w:rPr>
            </w:pPr>
          </w:p>
        </w:tc>
      </w:tr>
    </w:tbl>
    <w:p w14:paraId="2B154C95">
      <w:pPr>
        <w:adjustRightInd w:val="0"/>
        <w:snapToGrid w:val="0"/>
        <w:spacing w:line="360" w:lineRule="auto"/>
        <w:ind w:right="624" w:rightChars="297" w:firstLine="420" w:firstLineChars="200"/>
        <w:rPr>
          <w:rFonts w:hint="eastAsia" w:ascii="宋体" w:hAnsi="宋体" w:cs="宋体"/>
          <w:b/>
          <w:bCs/>
          <w:kern w:val="0"/>
          <w:sz w:val="28"/>
          <w:szCs w:val="28"/>
          <w:highlight w:val="none"/>
        </w:rPr>
      </w:pPr>
      <w:r>
        <w:rPr>
          <w:rFonts w:hint="eastAsia" w:ascii="宋体" w:hAnsi="宋体" w:cs="宋体"/>
          <w:highlight w:val="none"/>
        </w:rPr>
        <w:t xml:space="preserve">定标委员签名：                                 日期：     </w:t>
      </w:r>
    </w:p>
    <w:p w14:paraId="7024F28E">
      <w:pPr>
        <w:pStyle w:val="122"/>
        <w:rPr>
          <w:rFonts w:hint="eastAsia" w:ascii="宋体" w:hAnsi="宋体" w:eastAsia="宋体" w:cs="宋体"/>
          <w:highlight w:val="none"/>
        </w:rPr>
      </w:pPr>
    </w:p>
    <w:p w14:paraId="037BEF8D">
      <w:pPr>
        <w:pStyle w:val="122"/>
        <w:rPr>
          <w:rFonts w:hint="eastAsia" w:ascii="宋体" w:hAnsi="宋体" w:eastAsia="宋体" w:cs="宋体"/>
          <w:highlight w:val="none"/>
        </w:rPr>
      </w:pPr>
      <w:r>
        <w:rPr>
          <w:rFonts w:hint="eastAsia" w:ascii="宋体" w:hAnsi="宋体" w:eastAsia="宋体" w:cs="宋体"/>
          <w:highlight w:val="none"/>
        </w:rPr>
        <w:t>注：由定标委员会各成员依据招标文件中列出的各定标因素，给予进入定标环节的各投标人客观实际的评语，并作为投票依据。</w:t>
      </w:r>
    </w:p>
    <w:p w14:paraId="5DF26346">
      <w:pPr>
        <w:pStyle w:val="122"/>
        <w:rPr>
          <w:rFonts w:hint="eastAsia" w:ascii="宋体" w:hAnsi="宋体" w:eastAsia="宋体" w:cs="宋体"/>
          <w:highlight w:val="none"/>
        </w:rPr>
      </w:pPr>
    </w:p>
    <w:p w14:paraId="4DF5FE2F">
      <w:pPr>
        <w:pStyle w:val="6"/>
        <w:ind w:left="0"/>
        <w:jc w:val="left"/>
        <w:rPr>
          <w:rFonts w:ascii="宋体" w:hAnsi="宋体" w:cs="宋体"/>
          <w:color w:val="auto"/>
          <w:sz w:val="22"/>
          <w:szCs w:val="22"/>
          <w:highlight w:val="none"/>
        </w:rPr>
      </w:pPr>
      <w:r>
        <w:rPr>
          <w:rFonts w:hint="eastAsia" w:ascii="宋体" w:hAnsi="宋体" w:cs="宋体"/>
          <w:color w:val="auto"/>
          <w:highlight w:val="none"/>
        </w:rPr>
        <w:br w:type="page"/>
      </w:r>
      <w:r>
        <w:rPr>
          <w:rFonts w:hint="eastAsia" w:ascii="宋体" w:hAnsi="宋体" w:cs="宋体"/>
          <w:b w:val="0"/>
          <w:bCs/>
          <w:color w:val="auto"/>
          <w:sz w:val="22"/>
          <w:szCs w:val="22"/>
          <w:highlight w:val="none"/>
        </w:rPr>
        <w:t>附表十</w:t>
      </w:r>
      <w:r>
        <w:rPr>
          <w:rFonts w:hint="eastAsia" w:ascii="宋体" w:hAnsi="宋体" w:cs="宋体"/>
          <w:b w:val="0"/>
          <w:bCs/>
          <w:color w:val="auto"/>
          <w:sz w:val="22"/>
          <w:szCs w:val="22"/>
          <w:highlight w:val="none"/>
          <w:lang w:val="en-US" w:eastAsia="zh-CN"/>
        </w:rPr>
        <w:t>三</w:t>
      </w:r>
      <w:r>
        <w:rPr>
          <w:rFonts w:hint="eastAsia" w:ascii="宋体" w:hAnsi="宋体" w:cs="宋体"/>
          <w:b w:val="0"/>
          <w:bCs/>
          <w:color w:val="auto"/>
          <w:sz w:val="22"/>
          <w:szCs w:val="22"/>
          <w:highlight w:val="none"/>
        </w:rPr>
        <w:t>：</w:t>
      </w:r>
    </w:p>
    <w:p w14:paraId="3AE325D2">
      <w:pPr>
        <w:pStyle w:val="122"/>
        <w:rPr>
          <w:rFonts w:hint="eastAsia" w:ascii="宋体" w:hAnsi="宋体" w:eastAsia="宋体" w:cs="宋体"/>
          <w:highlight w:val="none"/>
        </w:rPr>
      </w:pPr>
    </w:p>
    <w:p w14:paraId="2081C402">
      <w:pPr>
        <w:pStyle w:val="3"/>
        <w:rPr>
          <w:rFonts w:hint="eastAsia" w:ascii="宋体" w:hAnsi="宋体" w:cs="宋体"/>
          <w:sz w:val="36"/>
          <w:szCs w:val="36"/>
          <w:highlight w:val="none"/>
        </w:rPr>
      </w:pPr>
      <w:r>
        <w:rPr>
          <w:rFonts w:hint="eastAsia" w:ascii="宋体" w:hAnsi="宋体" w:cs="宋体"/>
          <w:sz w:val="36"/>
          <w:szCs w:val="36"/>
          <w:highlight w:val="none"/>
        </w:rPr>
        <w:t>定标委员评语表</w:t>
      </w:r>
    </w:p>
    <w:p w14:paraId="6CE83088">
      <w:pPr>
        <w:pStyle w:val="123"/>
        <w:rPr>
          <w:rFonts w:hint="eastAsia" w:ascii="宋体" w:hAnsi="宋体" w:cs="宋体"/>
          <w:highlight w:val="none"/>
        </w:rPr>
      </w:pPr>
    </w:p>
    <w:p w14:paraId="6DC4DC45">
      <w:pPr>
        <w:pStyle w:val="123"/>
        <w:spacing w:line="360" w:lineRule="auto"/>
        <w:jc w:val="left"/>
        <w:rPr>
          <w:rFonts w:hint="eastAsia" w:ascii="宋体" w:hAnsi="宋体" w:cs="宋体"/>
          <w:b w:val="0"/>
          <w:highlight w:val="none"/>
        </w:rPr>
      </w:pPr>
      <w:r>
        <w:rPr>
          <w:rFonts w:hint="eastAsia" w:ascii="宋体" w:hAnsi="宋体" w:cs="宋体"/>
          <w:b w:val="0"/>
          <w:highlight w:val="none"/>
        </w:rPr>
        <w:t>项目名称：</w:t>
      </w:r>
    </w:p>
    <w:p w14:paraId="2B83F2DB">
      <w:pPr>
        <w:pStyle w:val="123"/>
        <w:spacing w:line="360" w:lineRule="auto"/>
        <w:jc w:val="left"/>
        <w:rPr>
          <w:rFonts w:hint="eastAsia" w:ascii="宋体" w:hAnsi="宋体" w:cs="宋体"/>
          <w:b w:val="0"/>
          <w:highlight w:val="none"/>
        </w:rPr>
      </w:pPr>
      <w:r>
        <w:rPr>
          <w:rFonts w:hint="eastAsia" w:cs="宋体"/>
          <w:b w:val="0"/>
          <w:highlight w:val="none"/>
        </w:rPr>
        <w:t>定标</w:t>
      </w:r>
      <w:r>
        <w:rPr>
          <w:rFonts w:hint="eastAsia" w:ascii="宋体" w:hAnsi="宋体" w:cs="宋体"/>
          <w:b w:val="0"/>
          <w:highlight w:val="none"/>
        </w:rPr>
        <w:t>候选人名称：</w:t>
      </w:r>
    </w:p>
    <w:tbl>
      <w:tblPr>
        <w:tblStyle w:val="37"/>
        <w:tblW w:w="9758" w:type="dxa"/>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3"/>
        <w:gridCol w:w="3205"/>
        <w:gridCol w:w="2091"/>
        <w:gridCol w:w="3589"/>
      </w:tblGrid>
      <w:tr w14:paraId="4A918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14:paraId="3FD7B030">
            <w:pPr>
              <w:jc w:val="center"/>
              <w:rPr>
                <w:rFonts w:hint="eastAsia" w:ascii="宋体" w:hAnsi="宋体" w:cs="宋体"/>
                <w:b/>
                <w:bCs/>
                <w:highlight w:val="none"/>
              </w:rPr>
            </w:pPr>
            <w:r>
              <w:rPr>
                <w:rFonts w:hint="eastAsia" w:ascii="宋体" w:hAnsi="宋体" w:cs="宋体"/>
                <w:b/>
                <w:bCs/>
                <w:highlight w:val="none"/>
              </w:rPr>
              <w:t>序号</w:t>
            </w:r>
          </w:p>
        </w:tc>
        <w:tc>
          <w:tcPr>
            <w:tcW w:w="3205" w:type="dxa"/>
            <w:tcBorders>
              <w:top w:val="single" w:color="auto" w:sz="4" w:space="0"/>
              <w:left w:val="single" w:color="auto" w:sz="4" w:space="0"/>
              <w:bottom w:val="single" w:color="auto" w:sz="4" w:space="0"/>
              <w:right w:val="single" w:color="auto" w:sz="4" w:space="0"/>
            </w:tcBorders>
            <w:noWrap w:val="0"/>
            <w:vAlign w:val="center"/>
          </w:tcPr>
          <w:p w14:paraId="7FBD8192">
            <w:pPr>
              <w:jc w:val="center"/>
              <w:rPr>
                <w:rFonts w:hint="eastAsia" w:ascii="宋体" w:hAnsi="宋体" w:cs="宋体"/>
                <w:b/>
                <w:bCs/>
                <w:highlight w:val="none"/>
              </w:rPr>
            </w:pPr>
            <w:r>
              <w:rPr>
                <w:rFonts w:hint="eastAsia" w:ascii="宋体" w:hAnsi="宋体" w:cs="宋体"/>
                <w:b/>
                <w:bCs/>
                <w:highlight w:val="none"/>
              </w:rPr>
              <w:t>定标因素</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28E54B6A">
            <w:pPr>
              <w:jc w:val="center"/>
              <w:rPr>
                <w:rFonts w:ascii="宋体" w:hAnsi="宋体" w:cs="宋体"/>
                <w:b/>
                <w:bCs/>
                <w:highlight w:val="none"/>
              </w:rPr>
            </w:pPr>
            <w:r>
              <w:rPr>
                <w:rFonts w:hint="eastAsia" w:ascii="宋体" w:hAnsi="宋体" w:cs="宋体"/>
                <w:b/>
                <w:bCs/>
                <w:highlight w:val="none"/>
              </w:rPr>
              <w:t>定标因素结论</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306C8613">
            <w:pPr>
              <w:jc w:val="center"/>
              <w:rPr>
                <w:rFonts w:hint="eastAsia" w:ascii="宋体" w:hAnsi="宋体" w:cs="宋体"/>
                <w:b/>
                <w:bCs/>
                <w:highlight w:val="none"/>
              </w:rPr>
            </w:pPr>
            <w:r>
              <w:rPr>
                <w:rFonts w:hint="eastAsia" w:ascii="宋体" w:hAnsi="宋体" w:cs="宋体"/>
                <w:b/>
                <w:bCs/>
                <w:highlight w:val="none"/>
              </w:rPr>
              <w:t>定标委员评语</w:t>
            </w:r>
          </w:p>
        </w:tc>
      </w:tr>
      <w:tr w14:paraId="0BC6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14:paraId="79D15F27">
            <w:pPr>
              <w:jc w:val="center"/>
              <w:rPr>
                <w:rFonts w:hint="eastAsia" w:ascii="宋体" w:hAnsi="宋体" w:cs="宋体"/>
                <w:b/>
                <w:bCs/>
                <w:highlight w:val="none"/>
              </w:rPr>
            </w:pPr>
            <w:r>
              <w:rPr>
                <w:rFonts w:hint="eastAsia" w:ascii="宋体" w:hAnsi="宋体" w:cs="宋体"/>
                <w:b/>
                <w:bCs/>
                <w:highlight w:val="none"/>
              </w:rPr>
              <w:t>1</w:t>
            </w:r>
          </w:p>
        </w:tc>
        <w:tc>
          <w:tcPr>
            <w:tcW w:w="3205" w:type="dxa"/>
            <w:tcBorders>
              <w:top w:val="single" w:color="auto" w:sz="4" w:space="0"/>
              <w:left w:val="single" w:color="auto" w:sz="4" w:space="0"/>
              <w:bottom w:val="single" w:color="auto" w:sz="4" w:space="0"/>
              <w:right w:val="single" w:color="auto" w:sz="4" w:space="0"/>
            </w:tcBorders>
            <w:noWrap w:val="0"/>
            <w:vAlign w:val="center"/>
          </w:tcPr>
          <w:p w14:paraId="7EDD5369">
            <w:pPr>
              <w:jc w:val="center"/>
              <w:rPr>
                <w:rFonts w:hint="eastAsia" w:ascii="宋体" w:hAnsi="宋体" w:cs="宋体"/>
                <w:b/>
                <w:bCs/>
                <w:sz w:val="24"/>
                <w:szCs w:val="24"/>
                <w:highlight w:val="none"/>
              </w:rPr>
            </w:pPr>
            <w:r>
              <w:rPr>
                <w:rFonts w:hint="eastAsia" w:ascii="宋体" w:hAnsi="宋体"/>
                <w:b/>
                <w:bCs/>
                <w:highlight w:val="none"/>
              </w:rPr>
              <w:t>入围候选人施工履约能力与水平评价</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65CAB9D5">
            <w:pPr>
              <w:spacing w:line="360" w:lineRule="auto"/>
              <w:jc w:val="center"/>
              <w:rPr>
                <w:rFonts w:hint="eastAsia" w:ascii="宋体" w:hAnsi="宋体" w:cs="宋体"/>
                <w:b/>
                <w:bCs/>
                <w:highlight w:val="none"/>
              </w:rPr>
            </w:pPr>
            <w:r>
              <w:rPr>
                <w:rFonts w:hint="eastAsia" w:ascii="宋体" w:hAnsi="宋体" w:cs="宋体"/>
                <w:b/>
                <w:bCs/>
                <w:highlight w:val="none"/>
              </w:rPr>
              <w:t>□优</w:t>
            </w:r>
          </w:p>
          <w:p w14:paraId="40E220CB">
            <w:pPr>
              <w:spacing w:line="360" w:lineRule="auto"/>
              <w:jc w:val="center"/>
              <w:rPr>
                <w:rFonts w:hint="eastAsia" w:ascii="宋体" w:hAnsi="宋体" w:cs="宋体"/>
                <w:b/>
                <w:bCs/>
                <w:highlight w:val="none"/>
              </w:rPr>
            </w:pPr>
            <w:r>
              <w:rPr>
                <w:rFonts w:hint="eastAsia" w:ascii="宋体" w:hAnsi="宋体" w:cs="宋体"/>
                <w:b/>
                <w:bCs/>
                <w:highlight w:val="none"/>
              </w:rPr>
              <w:t>□良</w:t>
            </w:r>
          </w:p>
          <w:p w14:paraId="1FDEC674">
            <w:pPr>
              <w:spacing w:line="360" w:lineRule="auto"/>
              <w:jc w:val="center"/>
              <w:rPr>
                <w:rFonts w:hint="eastAsia" w:ascii="宋体" w:hAnsi="宋体" w:cs="宋体"/>
                <w:highlight w:val="none"/>
              </w:rPr>
            </w:pPr>
            <w:r>
              <w:rPr>
                <w:rFonts w:hint="eastAsia" w:ascii="宋体" w:hAnsi="宋体" w:cs="宋体"/>
                <w:b/>
                <w:bCs/>
                <w:highlight w:val="none"/>
              </w:rPr>
              <w:t>□中</w:t>
            </w:r>
          </w:p>
        </w:tc>
        <w:tc>
          <w:tcPr>
            <w:tcW w:w="3589" w:type="dxa"/>
            <w:tcBorders>
              <w:top w:val="single" w:color="auto" w:sz="4" w:space="0"/>
              <w:left w:val="single" w:color="auto" w:sz="4" w:space="0"/>
              <w:bottom w:val="single" w:color="auto" w:sz="4" w:space="0"/>
              <w:right w:val="single" w:color="auto" w:sz="4" w:space="0"/>
            </w:tcBorders>
            <w:noWrap w:val="0"/>
            <w:vAlign w:val="center"/>
          </w:tcPr>
          <w:p w14:paraId="67027798">
            <w:pPr>
              <w:spacing w:line="360" w:lineRule="auto"/>
              <w:rPr>
                <w:rFonts w:hint="eastAsia" w:ascii="宋体" w:hAnsi="宋体" w:cs="宋体"/>
                <w:highlight w:val="none"/>
              </w:rPr>
            </w:pPr>
          </w:p>
        </w:tc>
      </w:tr>
      <w:tr w14:paraId="7BF23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14:paraId="736708B5">
            <w:pPr>
              <w:jc w:val="center"/>
              <w:rPr>
                <w:rFonts w:hint="eastAsia" w:ascii="宋体" w:hAnsi="宋体" w:cs="宋体"/>
                <w:b/>
                <w:bCs/>
                <w:highlight w:val="none"/>
              </w:rPr>
            </w:pPr>
            <w:r>
              <w:rPr>
                <w:rFonts w:hint="eastAsia" w:ascii="宋体" w:hAnsi="宋体" w:cs="宋体"/>
                <w:b/>
                <w:bCs/>
                <w:highlight w:val="none"/>
              </w:rPr>
              <w:t>2</w:t>
            </w:r>
          </w:p>
        </w:tc>
        <w:tc>
          <w:tcPr>
            <w:tcW w:w="3205" w:type="dxa"/>
            <w:tcBorders>
              <w:top w:val="single" w:color="auto" w:sz="4" w:space="0"/>
              <w:left w:val="single" w:color="auto" w:sz="4" w:space="0"/>
              <w:bottom w:val="single" w:color="auto" w:sz="4" w:space="0"/>
              <w:right w:val="single" w:color="auto" w:sz="4" w:space="0"/>
            </w:tcBorders>
            <w:noWrap w:val="0"/>
            <w:vAlign w:val="center"/>
          </w:tcPr>
          <w:p w14:paraId="6B32EE20">
            <w:pPr>
              <w:jc w:val="center"/>
              <w:rPr>
                <w:rFonts w:hint="eastAsia" w:ascii="宋体" w:hAnsi="宋体" w:cs="宋体"/>
                <w:b/>
                <w:bCs/>
                <w:sz w:val="24"/>
                <w:szCs w:val="24"/>
                <w:highlight w:val="none"/>
              </w:rPr>
            </w:pPr>
            <w:r>
              <w:rPr>
                <w:rFonts w:hint="eastAsia" w:ascii="宋体" w:hAnsi="宋体"/>
                <w:b/>
                <w:bCs/>
                <w:highlight w:val="none"/>
              </w:rPr>
              <w:t>服务保障能力</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020CEF9C">
            <w:pPr>
              <w:spacing w:line="360" w:lineRule="auto"/>
              <w:jc w:val="center"/>
              <w:rPr>
                <w:rFonts w:hint="eastAsia" w:ascii="宋体" w:hAnsi="宋体" w:cs="宋体"/>
                <w:b/>
                <w:bCs/>
                <w:highlight w:val="none"/>
              </w:rPr>
            </w:pPr>
            <w:r>
              <w:rPr>
                <w:rFonts w:hint="eastAsia" w:ascii="宋体" w:hAnsi="宋体" w:cs="宋体"/>
                <w:b/>
                <w:bCs/>
                <w:highlight w:val="none"/>
              </w:rPr>
              <w:t>□优</w:t>
            </w:r>
          </w:p>
          <w:p w14:paraId="1D10F186">
            <w:pPr>
              <w:spacing w:line="360" w:lineRule="auto"/>
              <w:jc w:val="center"/>
              <w:rPr>
                <w:rFonts w:hint="eastAsia" w:ascii="宋体" w:hAnsi="宋体" w:cs="宋体"/>
                <w:b/>
                <w:bCs/>
                <w:highlight w:val="none"/>
              </w:rPr>
            </w:pPr>
            <w:r>
              <w:rPr>
                <w:rFonts w:hint="eastAsia" w:ascii="宋体" w:hAnsi="宋体" w:cs="宋体"/>
                <w:b/>
                <w:bCs/>
                <w:highlight w:val="none"/>
              </w:rPr>
              <w:t>□良</w:t>
            </w:r>
          </w:p>
          <w:p w14:paraId="2A54A536">
            <w:pPr>
              <w:spacing w:line="360" w:lineRule="auto"/>
              <w:jc w:val="center"/>
              <w:rPr>
                <w:rFonts w:hint="eastAsia" w:ascii="宋体" w:hAnsi="宋体" w:cs="宋体"/>
                <w:highlight w:val="none"/>
              </w:rPr>
            </w:pPr>
            <w:r>
              <w:rPr>
                <w:rFonts w:hint="eastAsia" w:ascii="宋体" w:hAnsi="宋体" w:cs="宋体"/>
                <w:b/>
                <w:bCs/>
                <w:highlight w:val="none"/>
              </w:rPr>
              <w:t>□中</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0421E630">
            <w:pPr>
              <w:spacing w:line="360" w:lineRule="auto"/>
              <w:rPr>
                <w:rFonts w:hint="eastAsia" w:ascii="宋体" w:hAnsi="宋体" w:cs="宋体"/>
                <w:highlight w:val="none"/>
              </w:rPr>
            </w:pPr>
          </w:p>
        </w:tc>
      </w:tr>
      <w:tr w14:paraId="0A7CE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1"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14:paraId="1413D968">
            <w:pPr>
              <w:jc w:val="center"/>
              <w:rPr>
                <w:rFonts w:hint="eastAsia" w:ascii="宋体" w:hAnsi="宋体" w:cs="宋体"/>
                <w:b/>
                <w:bCs/>
                <w:highlight w:val="none"/>
              </w:rPr>
            </w:pPr>
            <w:r>
              <w:rPr>
                <w:rFonts w:hint="eastAsia" w:ascii="宋体" w:hAnsi="宋体" w:cs="宋体"/>
                <w:b/>
                <w:bCs/>
                <w:highlight w:val="none"/>
              </w:rPr>
              <w:t>3</w:t>
            </w:r>
          </w:p>
        </w:tc>
        <w:tc>
          <w:tcPr>
            <w:tcW w:w="3205" w:type="dxa"/>
            <w:tcBorders>
              <w:top w:val="single" w:color="auto" w:sz="4" w:space="0"/>
              <w:left w:val="single" w:color="auto" w:sz="4" w:space="0"/>
              <w:bottom w:val="single" w:color="auto" w:sz="4" w:space="0"/>
              <w:right w:val="single" w:color="auto" w:sz="4" w:space="0"/>
            </w:tcBorders>
            <w:noWrap w:val="0"/>
            <w:vAlign w:val="center"/>
          </w:tcPr>
          <w:p w14:paraId="6FB98580">
            <w:pPr>
              <w:jc w:val="center"/>
              <w:rPr>
                <w:rFonts w:hint="eastAsia" w:ascii="宋体" w:hAnsi="宋体" w:cs="宋体"/>
                <w:b/>
                <w:bCs/>
                <w:sz w:val="24"/>
                <w:szCs w:val="24"/>
                <w:highlight w:val="none"/>
              </w:rPr>
            </w:pPr>
            <w:r>
              <w:rPr>
                <w:rFonts w:hint="eastAsia" w:ascii="宋体" w:hAnsi="宋体" w:cs="宋体"/>
                <w:b/>
                <w:bCs/>
                <w:szCs w:val="24"/>
                <w:highlight w:val="none"/>
              </w:rPr>
              <w:t>企业施工能力</w:t>
            </w:r>
          </w:p>
        </w:tc>
        <w:tc>
          <w:tcPr>
            <w:tcW w:w="2091" w:type="dxa"/>
            <w:tcBorders>
              <w:top w:val="single" w:color="auto" w:sz="4" w:space="0"/>
              <w:left w:val="single" w:color="auto" w:sz="4" w:space="0"/>
              <w:bottom w:val="single" w:color="auto" w:sz="4" w:space="0"/>
              <w:right w:val="single" w:color="auto" w:sz="4" w:space="0"/>
            </w:tcBorders>
            <w:noWrap w:val="0"/>
            <w:vAlign w:val="center"/>
          </w:tcPr>
          <w:p w14:paraId="0E4C1B9D">
            <w:pPr>
              <w:spacing w:line="360" w:lineRule="auto"/>
              <w:jc w:val="center"/>
              <w:rPr>
                <w:rFonts w:hint="eastAsia" w:ascii="宋体" w:hAnsi="宋体" w:cs="宋体"/>
                <w:b/>
                <w:bCs/>
                <w:highlight w:val="none"/>
              </w:rPr>
            </w:pPr>
            <w:r>
              <w:rPr>
                <w:rFonts w:hint="eastAsia" w:ascii="宋体" w:hAnsi="宋体" w:cs="宋体"/>
                <w:b/>
                <w:bCs/>
                <w:highlight w:val="none"/>
              </w:rPr>
              <w:t>□优</w:t>
            </w:r>
          </w:p>
          <w:p w14:paraId="40D68A83">
            <w:pPr>
              <w:spacing w:line="360" w:lineRule="auto"/>
              <w:jc w:val="center"/>
              <w:rPr>
                <w:rFonts w:hint="eastAsia" w:ascii="宋体" w:hAnsi="宋体" w:cs="宋体"/>
                <w:b/>
                <w:bCs/>
                <w:highlight w:val="none"/>
              </w:rPr>
            </w:pPr>
            <w:r>
              <w:rPr>
                <w:rFonts w:hint="eastAsia" w:ascii="宋体" w:hAnsi="宋体" w:cs="宋体"/>
                <w:b/>
                <w:bCs/>
                <w:highlight w:val="none"/>
              </w:rPr>
              <w:t>□良</w:t>
            </w:r>
          </w:p>
          <w:p w14:paraId="43B17D37">
            <w:pPr>
              <w:spacing w:line="360" w:lineRule="auto"/>
              <w:jc w:val="center"/>
              <w:rPr>
                <w:rFonts w:hint="eastAsia" w:ascii="宋体" w:hAnsi="宋体" w:cs="宋体"/>
                <w:bCs/>
                <w:szCs w:val="21"/>
                <w:highlight w:val="none"/>
              </w:rPr>
            </w:pPr>
            <w:r>
              <w:rPr>
                <w:rFonts w:hint="eastAsia" w:ascii="宋体" w:hAnsi="宋体" w:cs="宋体"/>
                <w:b/>
                <w:bCs/>
                <w:highlight w:val="none"/>
              </w:rPr>
              <w:t>□中</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0D4F7BD6">
            <w:pPr>
              <w:spacing w:line="360" w:lineRule="auto"/>
              <w:rPr>
                <w:rFonts w:hint="eastAsia" w:ascii="宋体" w:hAnsi="宋体" w:cs="宋体"/>
                <w:bCs/>
                <w:szCs w:val="21"/>
                <w:highlight w:val="none"/>
              </w:rPr>
            </w:pPr>
          </w:p>
        </w:tc>
      </w:tr>
      <w:tr w14:paraId="16C01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3" w:hRule="atLeast"/>
        </w:trPr>
        <w:tc>
          <w:tcPr>
            <w:tcW w:w="873" w:type="dxa"/>
            <w:tcBorders>
              <w:top w:val="single" w:color="auto" w:sz="4" w:space="0"/>
              <w:left w:val="single" w:color="auto" w:sz="4" w:space="0"/>
              <w:bottom w:val="single" w:color="auto" w:sz="4" w:space="0"/>
              <w:right w:val="single" w:color="auto" w:sz="4" w:space="0"/>
            </w:tcBorders>
            <w:noWrap w:val="0"/>
            <w:vAlign w:val="center"/>
          </w:tcPr>
          <w:p w14:paraId="743A0868">
            <w:pPr>
              <w:jc w:val="center"/>
              <w:rPr>
                <w:rFonts w:hint="eastAsia" w:ascii="宋体" w:hAnsi="宋体" w:cs="宋体"/>
                <w:b/>
                <w:bCs/>
                <w:highlight w:val="none"/>
              </w:rPr>
            </w:pPr>
            <w:r>
              <w:rPr>
                <w:rFonts w:hint="eastAsia" w:ascii="宋体" w:hAnsi="宋体" w:cs="宋体"/>
                <w:b/>
                <w:bCs/>
                <w:highlight w:val="none"/>
              </w:rPr>
              <w:t>4</w:t>
            </w:r>
          </w:p>
        </w:tc>
        <w:tc>
          <w:tcPr>
            <w:tcW w:w="5296" w:type="dxa"/>
            <w:gridSpan w:val="2"/>
            <w:tcBorders>
              <w:top w:val="single" w:color="auto" w:sz="4" w:space="0"/>
              <w:left w:val="single" w:color="auto" w:sz="4" w:space="0"/>
              <w:bottom w:val="single" w:color="auto" w:sz="4" w:space="0"/>
              <w:right w:val="single" w:color="auto" w:sz="4" w:space="0"/>
            </w:tcBorders>
            <w:noWrap w:val="0"/>
            <w:vAlign w:val="center"/>
          </w:tcPr>
          <w:p w14:paraId="6BCDDE6D">
            <w:pPr>
              <w:pStyle w:val="15"/>
              <w:ind w:firstLine="2530" w:firstLineChars="1200"/>
              <w:rPr>
                <w:rFonts w:hint="eastAsia" w:cs="宋体"/>
                <w:bCs/>
                <w:color w:val="auto"/>
                <w:highlight w:val="none"/>
              </w:rPr>
            </w:pPr>
            <w:r>
              <w:rPr>
                <w:rFonts w:hint="eastAsia" w:cs="宋体"/>
                <w:color w:val="auto"/>
                <w:highlight w:val="none"/>
              </w:rPr>
              <w:t>结论</w:t>
            </w:r>
          </w:p>
        </w:tc>
        <w:tc>
          <w:tcPr>
            <w:tcW w:w="3589" w:type="dxa"/>
            <w:tcBorders>
              <w:top w:val="single" w:color="auto" w:sz="4" w:space="0"/>
              <w:left w:val="single" w:color="auto" w:sz="4" w:space="0"/>
              <w:bottom w:val="single" w:color="auto" w:sz="4" w:space="0"/>
              <w:right w:val="single" w:color="auto" w:sz="4" w:space="0"/>
            </w:tcBorders>
            <w:noWrap w:val="0"/>
            <w:vAlign w:val="top"/>
          </w:tcPr>
          <w:p w14:paraId="31498AEA">
            <w:pPr>
              <w:spacing w:line="360" w:lineRule="auto"/>
              <w:rPr>
                <w:rFonts w:hint="eastAsia" w:ascii="宋体" w:hAnsi="宋体" w:cs="宋体"/>
                <w:bCs/>
                <w:szCs w:val="21"/>
                <w:highlight w:val="none"/>
              </w:rPr>
            </w:pPr>
          </w:p>
        </w:tc>
      </w:tr>
    </w:tbl>
    <w:p w14:paraId="6AD1D870">
      <w:pPr>
        <w:spacing w:line="360" w:lineRule="auto"/>
        <w:ind w:left="316" w:hanging="316" w:hangingChars="150"/>
        <w:jc w:val="left"/>
        <w:rPr>
          <w:rFonts w:hint="eastAsia" w:ascii="宋体" w:hAnsi="宋体" w:cs="宋体"/>
          <w:b/>
          <w:bCs/>
          <w:highlight w:val="none"/>
        </w:rPr>
      </w:pPr>
      <w:r>
        <w:rPr>
          <w:rFonts w:hint="eastAsia" w:ascii="宋体" w:hAnsi="宋体" w:cs="宋体"/>
          <w:b/>
          <w:bCs/>
          <w:highlight w:val="none"/>
        </w:rPr>
        <w:t>注：定标委员须根据</w:t>
      </w:r>
      <w:r>
        <w:rPr>
          <w:rFonts w:hint="eastAsia" w:cs="宋体"/>
          <w:b/>
          <w:bCs/>
          <w:highlight w:val="none"/>
        </w:rPr>
        <w:t>定</w:t>
      </w:r>
      <w:r>
        <w:rPr>
          <w:rFonts w:hint="eastAsia" w:ascii="宋体" w:hAnsi="宋体" w:cs="宋体"/>
          <w:b/>
          <w:bCs/>
          <w:highlight w:val="none"/>
        </w:rPr>
        <w:t>标候选人的投标文件(定标部分）在定标因素结论中进行勾选，并按相应的定标因素填写评语。</w:t>
      </w:r>
    </w:p>
    <w:p w14:paraId="32F5DD2E">
      <w:pPr>
        <w:pStyle w:val="21"/>
        <w:rPr>
          <w:highlight w:val="none"/>
        </w:rPr>
      </w:pPr>
    </w:p>
    <w:p w14:paraId="04C99609">
      <w:pPr>
        <w:spacing w:line="360" w:lineRule="auto"/>
        <w:ind w:left="360" w:hanging="360" w:hangingChars="150"/>
        <w:jc w:val="center"/>
        <w:rPr>
          <w:rFonts w:hint="eastAsia" w:ascii="宋体" w:hAnsi="宋体" w:cs="宋体"/>
          <w:sz w:val="24"/>
          <w:highlight w:val="none"/>
        </w:rPr>
      </w:pPr>
    </w:p>
    <w:p w14:paraId="27E8AA5D">
      <w:pPr>
        <w:tabs>
          <w:tab w:val="left" w:pos="8321"/>
        </w:tabs>
        <w:ind w:right="-43"/>
        <w:jc w:val="left"/>
        <w:rPr>
          <w:rFonts w:ascii="宋体" w:hAnsi="宋体" w:cs="宋体"/>
          <w:szCs w:val="21"/>
          <w:highlight w:val="none"/>
        </w:rPr>
        <w:sectPr>
          <w:footerReference r:id="rId17" w:type="default"/>
          <w:endnotePr>
            <w:numFmt w:val="decimal"/>
          </w:endnotePr>
          <w:pgSz w:w="11906" w:h="16838"/>
          <w:pgMar w:top="1440" w:right="1080" w:bottom="1440" w:left="1080" w:header="851" w:footer="907" w:gutter="0"/>
          <w:cols w:space="720" w:num="1"/>
          <w:titlePg/>
          <w:docGrid w:type="lines" w:linePitch="312" w:charSpace="0"/>
        </w:sectPr>
      </w:pPr>
      <w:r>
        <w:rPr>
          <w:rFonts w:hint="eastAsia" w:ascii="宋体" w:hAnsi="宋体" w:cs="宋体"/>
          <w:sz w:val="24"/>
          <w:highlight w:val="none"/>
        </w:rPr>
        <w:t>定标委员签名：                                          日   期：</w:t>
      </w:r>
    </w:p>
    <w:p w14:paraId="5A8C5531">
      <w:pPr>
        <w:rPr>
          <w:rFonts w:hint="eastAsia"/>
          <w:color w:val="auto"/>
          <w:highlight w:val="none"/>
        </w:rPr>
      </w:pPr>
    </w:p>
    <w:p w14:paraId="52533E7F">
      <w:pPr>
        <w:pStyle w:val="2"/>
        <w:rPr>
          <w:color w:val="auto"/>
          <w:highlight w:val="none"/>
        </w:rPr>
      </w:pPr>
      <w:bookmarkStart w:id="95" w:name="_Toc28636"/>
      <w:bookmarkStart w:id="96" w:name="_Toc4392"/>
      <w:r>
        <w:rPr>
          <w:rFonts w:hint="eastAsia"/>
          <w:color w:val="auto"/>
          <w:highlight w:val="none"/>
        </w:rPr>
        <w:t>第三章</w:t>
      </w:r>
      <w:r>
        <w:rPr>
          <w:color w:val="auto"/>
          <w:highlight w:val="none"/>
        </w:rPr>
        <w:t xml:space="preserve">  </w:t>
      </w:r>
      <w:r>
        <w:rPr>
          <w:rFonts w:hint="eastAsia"/>
          <w:color w:val="auto"/>
          <w:highlight w:val="none"/>
        </w:rPr>
        <w:t>合同条款</w:t>
      </w:r>
      <w:bookmarkEnd w:id="95"/>
      <w:bookmarkEnd w:id="96"/>
    </w:p>
    <w:p w14:paraId="44322BE8">
      <w:pPr>
        <w:ind w:firstLine="4080" w:firstLineChars="1700"/>
        <w:rPr>
          <w:rFonts w:ascii="宋体"/>
          <w:b/>
          <w:color w:val="auto"/>
          <w:sz w:val="24"/>
          <w:szCs w:val="24"/>
          <w:highlight w:val="none"/>
        </w:rPr>
      </w:pPr>
      <w:r>
        <w:rPr>
          <w:rFonts w:hint="eastAsia" w:ascii="宋体" w:hAnsi="宋体"/>
          <w:color w:val="auto"/>
          <w:sz w:val="24"/>
          <w:szCs w:val="24"/>
          <w:highlight w:val="none"/>
        </w:rPr>
        <w:t>另册</w:t>
      </w:r>
    </w:p>
    <w:bookmarkEnd w:id="88"/>
    <w:bookmarkEnd w:id="89"/>
    <w:bookmarkEnd w:id="90"/>
    <w:bookmarkEnd w:id="91"/>
    <w:p w14:paraId="37726E3C">
      <w:pPr>
        <w:pStyle w:val="4"/>
        <w:spacing w:line="360" w:lineRule="auto"/>
        <w:rPr>
          <w:color w:val="auto"/>
          <w:sz w:val="24"/>
          <w:szCs w:val="24"/>
          <w:highlight w:val="none"/>
        </w:rPr>
      </w:pPr>
    </w:p>
    <w:p w14:paraId="72DB7AF9">
      <w:pPr>
        <w:pStyle w:val="4"/>
        <w:spacing w:line="360" w:lineRule="auto"/>
        <w:rPr>
          <w:color w:val="auto"/>
          <w:sz w:val="24"/>
          <w:szCs w:val="24"/>
          <w:highlight w:val="none"/>
        </w:rPr>
      </w:pPr>
    </w:p>
    <w:p w14:paraId="48753A7E">
      <w:pPr>
        <w:pStyle w:val="4"/>
        <w:spacing w:line="360" w:lineRule="auto"/>
        <w:rPr>
          <w:color w:val="auto"/>
          <w:sz w:val="24"/>
          <w:szCs w:val="24"/>
          <w:highlight w:val="none"/>
        </w:rPr>
      </w:pPr>
    </w:p>
    <w:p w14:paraId="20C63B79">
      <w:pPr>
        <w:pStyle w:val="4"/>
        <w:spacing w:line="360" w:lineRule="auto"/>
        <w:rPr>
          <w:color w:val="auto"/>
          <w:sz w:val="24"/>
          <w:szCs w:val="24"/>
          <w:highlight w:val="none"/>
        </w:rPr>
      </w:pPr>
    </w:p>
    <w:p w14:paraId="7AB2DA26">
      <w:pPr>
        <w:pStyle w:val="4"/>
        <w:spacing w:line="360" w:lineRule="auto"/>
        <w:rPr>
          <w:color w:val="auto"/>
          <w:sz w:val="24"/>
          <w:szCs w:val="24"/>
          <w:highlight w:val="none"/>
        </w:rPr>
      </w:pPr>
    </w:p>
    <w:p w14:paraId="2483818A">
      <w:pPr>
        <w:pStyle w:val="4"/>
        <w:spacing w:line="360" w:lineRule="auto"/>
        <w:rPr>
          <w:color w:val="auto"/>
          <w:sz w:val="24"/>
          <w:szCs w:val="24"/>
          <w:highlight w:val="none"/>
        </w:rPr>
      </w:pPr>
    </w:p>
    <w:p w14:paraId="46D6E032">
      <w:pPr>
        <w:pStyle w:val="4"/>
        <w:spacing w:line="360" w:lineRule="auto"/>
        <w:rPr>
          <w:color w:val="auto"/>
          <w:sz w:val="24"/>
          <w:szCs w:val="24"/>
          <w:highlight w:val="none"/>
        </w:rPr>
      </w:pPr>
    </w:p>
    <w:p w14:paraId="68ADAE60">
      <w:pPr>
        <w:pStyle w:val="4"/>
        <w:spacing w:line="360" w:lineRule="auto"/>
        <w:rPr>
          <w:color w:val="auto"/>
          <w:sz w:val="24"/>
          <w:szCs w:val="24"/>
          <w:highlight w:val="none"/>
        </w:rPr>
      </w:pPr>
    </w:p>
    <w:p w14:paraId="266DFD54">
      <w:pPr>
        <w:pStyle w:val="4"/>
        <w:spacing w:line="360" w:lineRule="auto"/>
        <w:rPr>
          <w:color w:val="auto"/>
          <w:sz w:val="24"/>
          <w:szCs w:val="24"/>
          <w:highlight w:val="none"/>
        </w:rPr>
      </w:pPr>
    </w:p>
    <w:p w14:paraId="55EE8ED3">
      <w:pPr>
        <w:pStyle w:val="4"/>
        <w:spacing w:line="360" w:lineRule="auto"/>
        <w:ind w:left="0" w:leftChars="0" w:firstLine="0" w:firstLineChars="0"/>
        <w:rPr>
          <w:color w:val="auto"/>
          <w:sz w:val="24"/>
          <w:szCs w:val="24"/>
          <w:highlight w:val="none"/>
        </w:rPr>
      </w:pPr>
    </w:p>
    <w:p w14:paraId="29B0DEE9">
      <w:pPr>
        <w:pStyle w:val="21"/>
        <w:spacing w:line="360" w:lineRule="auto"/>
        <w:rPr>
          <w:color w:val="auto"/>
          <w:sz w:val="24"/>
          <w:szCs w:val="24"/>
          <w:highlight w:val="none"/>
        </w:rPr>
      </w:pPr>
    </w:p>
    <w:p w14:paraId="1D55761F">
      <w:pPr>
        <w:pStyle w:val="21"/>
        <w:spacing w:line="360" w:lineRule="auto"/>
        <w:rPr>
          <w:color w:val="auto"/>
          <w:sz w:val="24"/>
          <w:szCs w:val="24"/>
          <w:highlight w:val="none"/>
        </w:rPr>
      </w:pPr>
      <w:r>
        <w:rPr>
          <w:color w:val="auto"/>
          <w:sz w:val="24"/>
          <w:szCs w:val="24"/>
          <w:highlight w:val="none"/>
        </w:rPr>
        <w:br w:type="page"/>
      </w:r>
    </w:p>
    <w:p w14:paraId="13020EA3">
      <w:pPr>
        <w:pStyle w:val="2"/>
        <w:rPr>
          <w:color w:val="auto"/>
          <w:highlight w:val="none"/>
        </w:rPr>
      </w:pPr>
      <w:bookmarkStart w:id="97" w:name="_Toc32300"/>
      <w:bookmarkStart w:id="98" w:name="_Toc10694"/>
      <w:bookmarkStart w:id="99" w:name="_Toc3296"/>
      <w:bookmarkStart w:id="100" w:name="_Toc21525512"/>
      <w:bookmarkStart w:id="101" w:name="_Toc29898"/>
      <w:bookmarkStart w:id="102" w:name="_Toc2272567"/>
      <w:r>
        <w:rPr>
          <w:rFonts w:hint="eastAsia"/>
          <w:color w:val="auto"/>
          <w:highlight w:val="none"/>
        </w:rPr>
        <w:t>第四章</w:t>
      </w:r>
      <w:r>
        <w:rPr>
          <w:color w:val="auto"/>
          <w:highlight w:val="none"/>
        </w:rPr>
        <w:t xml:space="preserve">  </w:t>
      </w:r>
      <w:r>
        <w:rPr>
          <w:rFonts w:hint="eastAsia"/>
          <w:color w:val="auto"/>
          <w:highlight w:val="none"/>
        </w:rPr>
        <w:t>投标文件格式</w:t>
      </w:r>
      <w:bookmarkEnd w:id="97"/>
      <w:bookmarkEnd w:id="98"/>
      <w:bookmarkEnd w:id="99"/>
      <w:bookmarkEnd w:id="100"/>
      <w:bookmarkEnd w:id="101"/>
      <w:bookmarkEnd w:id="102"/>
    </w:p>
    <w:p w14:paraId="0A09F334">
      <w:pPr>
        <w:pStyle w:val="4"/>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投标人应按以下规定的格式及要求编制投标文件。</w:t>
      </w:r>
    </w:p>
    <w:p w14:paraId="1CC2313D">
      <w:pPr>
        <w:pStyle w:val="4"/>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一、《广州建设工程施工招标投标书》是投标文件的重要组成部分，其内容是投标人开标信息的主要来源，投标人应准确填写《广州建设工程施工招标投标书》的相关内容。</w:t>
      </w:r>
    </w:p>
    <w:p w14:paraId="7B0B40AF">
      <w:pPr>
        <w:pStyle w:val="4"/>
        <w:spacing w:line="360" w:lineRule="auto"/>
        <w:ind w:firstLine="513" w:firstLineChars="214"/>
        <w:rPr>
          <w:rFonts w:ascii="宋体" w:hAnsi="宋体"/>
          <w:bCs/>
          <w:color w:val="auto"/>
          <w:sz w:val="24"/>
          <w:szCs w:val="24"/>
          <w:highlight w:val="none"/>
        </w:rPr>
      </w:pPr>
      <w:r>
        <w:rPr>
          <w:rFonts w:hint="eastAsia" w:ascii="宋体" w:hAnsi="宋体"/>
          <w:bCs/>
          <w:color w:val="auto"/>
          <w:sz w:val="24"/>
          <w:szCs w:val="24"/>
          <w:highlight w:val="none"/>
        </w:rPr>
        <w:t>二、投标人在编制工程量清单时应只填写主体单位全称，且要求填写的全称与</w:t>
      </w:r>
      <w:r>
        <w:rPr>
          <w:rFonts w:hint="eastAsia" w:ascii="宋体" w:hAnsi="宋体" w:cs="宋体"/>
          <w:color w:val="auto"/>
          <w:sz w:val="24"/>
          <w:szCs w:val="24"/>
          <w:highlight w:val="none"/>
          <w:u w:val="single"/>
        </w:rPr>
        <w:t>广州交易集团有限公司（广州公共资源交易中心）办理信息登记</w:t>
      </w:r>
      <w:r>
        <w:rPr>
          <w:rFonts w:hint="eastAsia" w:ascii="宋体" w:hAnsi="宋体"/>
          <w:bCs/>
          <w:color w:val="auto"/>
          <w:sz w:val="24"/>
          <w:szCs w:val="24"/>
          <w:highlight w:val="none"/>
        </w:rPr>
        <w:t>名称完全一致。</w:t>
      </w:r>
    </w:p>
    <w:p w14:paraId="4CEB111D">
      <w:pPr>
        <w:spacing w:line="360" w:lineRule="auto"/>
        <w:ind w:firstLine="0" w:firstLineChars="0"/>
        <w:jc w:val="center"/>
        <w:rPr>
          <w:rFonts w:ascii="宋体" w:hAnsi="宋体"/>
          <w:b/>
          <w:color w:val="auto"/>
          <w:sz w:val="36"/>
          <w:szCs w:val="36"/>
          <w:highlight w:val="none"/>
        </w:rPr>
      </w:pPr>
      <w:r>
        <w:rPr>
          <w:color w:val="auto"/>
          <w:highlight w:val="none"/>
        </w:rPr>
        <w:br w:type="page"/>
      </w:r>
      <w:r>
        <w:rPr>
          <w:rFonts w:hint="eastAsia" w:ascii="宋体" w:hAnsi="宋体"/>
          <w:b/>
          <w:color w:val="auto"/>
          <w:sz w:val="36"/>
          <w:szCs w:val="36"/>
          <w:highlight w:val="none"/>
        </w:rPr>
        <w:t xml:space="preserve">投  </w:t>
      </w:r>
      <w:r>
        <w:rPr>
          <w:rFonts w:hint="eastAsia" w:ascii="宋体" w:hAnsi="宋体" w:cs="宋体"/>
          <w:b/>
          <w:color w:val="auto"/>
          <w:sz w:val="36"/>
          <w:szCs w:val="36"/>
          <w:highlight w:val="none"/>
        </w:rPr>
        <w:t>标</w:t>
      </w:r>
      <w:r>
        <w:rPr>
          <w:rFonts w:hint="eastAsia" w:ascii="宋体" w:hAnsi="宋体"/>
          <w:b/>
          <w:color w:val="auto"/>
          <w:sz w:val="36"/>
          <w:szCs w:val="36"/>
          <w:highlight w:val="none"/>
        </w:rPr>
        <w:t xml:space="preserve">  函</w:t>
      </w:r>
    </w:p>
    <w:p w14:paraId="77C3C3D9">
      <w:pPr>
        <w:spacing w:line="360" w:lineRule="auto"/>
        <w:rPr>
          <w:rFonts w:ascii="宋体" w:hAnsi="宋体"/>
          <w:b/>
          <w:color w:val="auto"/>
          <w:sz w:val="24"/>
          <w:szCs w:val="24"/>
          <w:highlight w:val="none"/>
        </w:rPr>
      </w:pPr>
      <w:r>
        <w:rPr>
          <w:rFonts w:hint="eastAsia" w:ascii="宋体" w:hAnsi="宋体"/>
          <w:b/>
          <w:color w:val="auto"/>
          <w:sz w:val="24"/>
          <w:szCs w:val="24"/>
          <w:highlight w:val="none"/>
        </w:rPr>
        <w:t>致：</w:t>
      </w:r>
      <w:r>
        <w:rPr>
          <w:rFonts w:hint="eastAsia" w:ascii="宋体" w:hAnsi="宋体"/>
          <w:b/>
          <w:color w:val="auto"/>
          <w:sz w:val="24"/>
          <w:szCs w:val="24"/>
          <w:highlight w:val="none"/>
          <w:u w:val="single"/>
        </w:rPr>
        <w:t xml:space="preserve">(招标人名称)                              </w:t>
      </w:r>
    </w:p>
    <w:p w14:paraId="4F3375E5">
      <w:pPr>
        <w:spacing w:line="360" w:lineRule="auto"/>
        <w:rPr>
          <w:rFonts w:ascii="宋体" w:hAnsi="宋体"/>
          <w:b/>
          <w:color w:val="auto"/>
          <w:sz w:val="24"/>
          <w:szCs w:val="24"/>
          <w:highlight w:val="none"/>
        </w:rPr>
      </w:pPr>
    </w:p>
    <w:p w14:paraId="2316B187">
      <w:pPr>
        <w:ind w:firstLine="480" w:firstLineChars="200"/>
        <w:jc w:val="left"/>
        <w:rPr>
          <w:rFonts w:ascii="宋体" w:hAnsi="宋体"/>
          <w:color w:val="auto"/>
          <w:sz w:val="24"/>
          <w:szCs w:val="24"/>
          <w:highlight w:val="none"/>
        </w:rPr>
      </w:pPr>
      <w:r>
        <w:rPr>
          <w:rFonts w:hint="eastAsia" w:ascii="宋体" w:hAnsi="宋体"/>
          <w:color w:val="auto"/>
          <w:sz w:val="24"/>
          <w:szCs w:val="24"/>
          <w:highlight w:val="none"/>
        </w:rPr>
        <w:t>1.根据已收到贵方的项目编号为</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的</w:t>
      </w:r>
      <w:r>
        <w:rPr>
          <w:rFonts w:hint="eastAsia" w:ascii="宋体" w:hAnsi="宋体"/>
          <w:color w:val="auto"/>
          <w:sz w:val="24"/>
          <w:szCs w:val="24"/>
          <w:highlight w:val="none"/>
          <w:u w:val="single"/>
          <w:lang w:eastAsia="zh-CN"/>
        </w:rPr>
        <w:t xml:space="preserve">                                     </w:t>
      </w:r>
      <w:r>
        <w:rPr>
          <w:rFonts w:hint="eastAsia" w:ascii="宋体" w:hAnsi="宋体"/>
          <w:color w:val="auto"/>
          <w:sz w:val="24"/>
          <w:szCs w:val="24"/>
          <w:highlight w:val="none"/>
        </w:rPr>
        <w:t>的招标文件，并已详细审核了全部招标文件及有关附件。</w:t>
      </w:r>
    </w:p>
    <w:p w14:paraId="75A2206D">
      <w:pPr>
        <w:snapToGrid w:val="0"/>
        <w:ind w:firstLine="523" w:firstLineChars="218"/>
        <w:rPr>
          <w:rFonts w:ascii="宋体" w:hAnsi="宋体"/>
          <w:color w:val="auto"/>
          <w:sz w:val="24"/>
          <w:szCs w:val="24"/>
          <w:highlight w:val="none"/>
        </w:rPr>
      </w:pPr>
      <w:r>
        <w:rPr>
          <w:rFonts w:hint="eastAsia" w:ascii="宋体" w:hAnsi="宋体"/>
          <w:color w:val="auto"/>
          <w:sz w:val="24"/>
          <w:szCs w:val="24"/>
          <w:highlight w:val="none"/>
        </w:rPr>
        <w:t>2.遵照《中华人民共和国招标投标法》、《中华人民共和国招标投标法实施条例》、《广东省实施〈中华人民共和国招标投标法〉办法》、等有关规定，经考察现场和研究上述招标文件的投标须知、合同条款、标准和技术规范、图纸、工程量清单及其他有关文件后，我方承诺：</w:t>
      </w:r>
    </w:p>
    <w:p w14:paraId="09B92A86">
      <w:pPr>
        <w:ind w:firstLine="480" w:firstLineChars="200"/>
        <w:rPr>
          <w:rFonts w:ascii="宋体" w:hAnsi="宋体"/>
          <w:color w:val="auto"/>
          <w:sz w:val="24"/>
          <w:szCs w:val="24"/>
          <w:highlight w:val="none"/>
        </w:rPr>
      </w:pPr>
      <w:r>
        <w:rPr>
          <w:rFonts w:hint="eastAsia" w:ascii="宋体" w:hAnsi="宋体"/>
          <w:color w:val="auto"/>
          <w:sz w:val="24"/>
          <w:szCs w:val="24"/>
          <w:highlight w:val="none"/>
        </w:rPr>
        <w:t>愿以经济标中的投标报价并按上述合同条款、标准和技术规范、图纸、工程量清单等的要求承包上述工程的施工、竣工并修补其任何缺陷。</w:t>
      </w:r>
    </w:p>
    <w:p w14:paraId="52073EDA">
      <w:pPr>
        <w:rPr>
          <w:rFonts w:ascii="宋体" w:hAnsi="宋体"/>
          <w:color w:val="auto"/>
          <w:sz w:val="24"/>
          <w:szCs w:val="24"/>
          <w:highlight w:val="none"/>
        </w:rPr>
      </w:pPr>
      <w:r>
        <w:rPr>
          <w:rFonts w:hint="eastAsia" w:ascii="宋体" w:hAnsi="宋体"/>
          <w:color w:val="auto"/>
          <w:sz w:val="24"/>
          <w:szCs w:val="24"/>
          <w:highlight w:val="none"/>
        </w:rPr>
        <w:t xml:space="preserve">    3.我方同意所递交的投标文件在投标须知规定的投标有效期内有效，在此期间内我方的投标有可能中标，我方将受此约束。如果在投标有效期内撤回投标或放弃中标资格，我方的投标担保将不予退还，给贵方造成的损失超过我方投标担保金额的，贵方还有权要求我方对超过部分进行赔偿。</w:t>
      </w:r>
    </w:p>
    <w:p w14:paraId="6C93D070">
      <w:pPr>
        <w:rPr>
          <w:rFonts w:ascii="宋体" w:hAnsi="宋体"/>
          <w:color w:val="auto"/>
          <w:sz w:val="24"/>
          <w:szCs w:val="24"/>
          <w:highlight w:val="none"/>
        </w:rPr>
      </w:pPr>
      <w:r>
        <w:rPr>
          <w:rFonts w:hint="eastAsia" w:ascii="宋体" w:hAnsi="宋体"/>
          <w:color w:val="auto"/>
          <w:sz w:val="24"/>
          <w:szCs w:val="24"/>
          <w:highlight w:val="none"/>
        </w:rPr>
        <w:t xml:space="preserve">    4.我方理解贵方将不受必须接受你们所收到的最低标价或其它任何投标文件的约束。</w:t>
      </w:r>
    </w:p>
    <w:p w14:paraId="0D8B2265">
      <w:pPr>
        <w:ind w:firstLine="480" w:firstLineChars="200"/>
        <w:rPr>
          <w:rFonts w:ascii="宋体" w:hAnsi="宋体"/>
          <w:color w:val="auto"/>
          <w:sz w:val="24"/>
          <w:szCs w:val="24"/>
          <w:highlight w:val="none"/>
        </w:rPr>
      </w:pPr>
      <w:r>
        <w:rPr>
          <w:rFonts w:hint="eastAsia" w:ascii="宋体" w:hAnsi="宋体"/>
          <w:color w:val="auto"/>
          <w:sz w:val="24"/>
          <w:szCs w:val="24"/>
          <w:highlight w:val="none"/>
        </w:rPr>
        <w:t>5.如果我方中标，我方保证按招标文件中规定的工期完成并移交本工程，质量标准达到招标文件中的要求。</w:t>
      </w:r>
    </w:p>
    <w:p w14:paraId="7E3442DE">
      <w:pPr>
        <w:ind w:firstLine="480" w:firstLineChars="200"/>
        <w:rPr>
          <w:rFonts w:ascii="宋体" w:hAnsi="宋体"/>
          <w:color w:val="auto"/>
          <w:sz w:val="24"/>
          <w:szCs w:val="24"/>
          <w:highlight w:val="none"/>
        </w:rPr>
      </w:pPr>
      <w:r>
        <w:rPr>
          <w:rFonts w:hint="eastAsia" w:ascii="宋体" w:hAnsi="宋体"/>
          <w:color w:val="auto"/>
          <w:sz w:val="24"/>
          <w:szCs w:val="24"/>
          <w:highlight w:val="none"/>
        </w:rPr>
        <w:t>6.如果我方中标，我方将按照规定递交由招标人认可，并在招标文件中规定金额的履约保函。</w:t>
      </w:r>
    </w:p>
    <w:p w14:paraId="30BAFAFE">
      <w:pPr>
        <w:ind w:firstLine="480"/>
        <w:rPr>
          <w:rFonts w:ascii="宋体" w:hAnsi="宋体"/>
          <w:color w:val="auto"/>
          <w:sz w:val="24"/>
          <w:szCs w:val="24"/>
          <w:highlight w:val="none"/>
        </w:rPr>
      </w:pPr>
      <w:r>
        <w:rPr>
          <w:rFonts w:hint="eastAsia" w:ascii="宋体" w:hAnsi="宋体"/>
          <w:color w:val="auto"/>
          <w:sz w:val="24"/>
          <w:szCs w:val="24"/>
          <w:highlight w:val="none"/>
        </w:rPr>
        <w:t>7.除非另外达成协议并生效，贵方的中标通知书和本投标文件将成为约束双方的合同文件的组成部分。</w:t>
      </w:r>
    </w:p>
    <w:p w14:paraId="06DF8C44">
      <w:pPr>
        <w:ind w:firstLine="480"/>
        <w:rPr>
          <w:rFonts w:ascii="宋体" w:hAnsi="宋体"/>
          <w:color w:val="auto"/>
          <w:sz w:val="24"/>
          <w:szCs w:val="24"/>
          <w:highlight w:val="none"/>
        </w:rPr>
      </w:pPr>
      <w:r>
        <w:rPr>
          <w:rFonts w:hint="eastAsia" w:ascii="宋体" w:hAnsi="宋体"/>
          <w:color w:val="auto"/>
          <w:sz w:val="24"/>
          <w:szCs w:val="24"/>
          <w:highlight w:val="none"/>
        </w:rPr>
        <w:t>8、如果我方中标，我方将实行项目经理负责制，并按投标文件配备项目管理班子。如未经招标人同意更换项目班子成员，招标人有权取消我公司的中标资格或单方面终止合同，由此造成的违约责任由我公司承担。</w:t>
      </w:r>
    </w:p>
    <w:p w14:paraId="5B05E3E4">
      <w:pPr>
        <w:ind w:firstLine="480"/>
        <w:rPr>
          <w:rFonts w:ascii="宋体" w:hAnsi="宋体"/>
          <w:color w:val="auto"/>
          <w:sz w:val="24"/>
          <w:szCs w:val="24"/>
          <w:highlight w:val="none"/>
        </w:rPr>
      </w:pPr>
    </w:p>
    <w:p w14:paraId="23B18BCF">
      <w:pPr>
        <w:rPr>
          <w:rFonts w:ascii="宋体" w:hAnsi="宋体"/>
          <w:color w:val="auto"/>
          <w:sz w:val="24"/>
          <w:szCs w:val="24"/>
          <w:highlight w:val="none"/>
        </w:rPr>
      </w:pPr>
    </w:p>
    <w:p w14:paraId="25F65E67">
      <w:pPr>
        <w:rPr>
          <w:rFonts w:ascii="宋体" w:hAnsi="宋体"/>
          <w:color w:val="auto"/>
          <w:sz w:val="24"/>
          <w:szCs w:val="24"/>
          <w:highlight w:val="none"/>
        </w:rPr>
      </w:pPr>
    </w:p>
    <w:p w14:paraId="083D6E2E">
      <w:pPr>
        <w:rPr>
          <w:rFonts w:ascii="宋体" w:hAnsi="宋体"/>
          <w:color w:val="auto"/>
          <w:sz w:val="24"/>
          <w:szCs w:val="24"/>
          <w:highlight w:val="none"/>
        </w:rPr>
      </w:pPr>
      <w:r>
        <w:rPr>
          <w:rFonts w:hint="eastAsia" w:ascii="宋体" w:hAnsi="宋体"/>
          <w:color w:val="auto"/>
          <w:sz w:val="24"/>
          <w:szCs w:val="24"/>
          <w:highlight w:val="none"/>
        </w:rPr>
        <w:t>法定代表人：签名或盖章</w:t>
      </w:r>
    </w:p>
    <w:p w14:paraId="3EF42532">
      <w:pPr>
        <w:ind w:firstLine="6000" w:firstLineChars="2500"/>
        <w:rPr>
          <w:rFonts w:ascii="宋体" w:hAnsi="宋体"/>
          <w:color w:val="auto"/>
          <w:sz w:val="24"/>
          <w:szCs w:val="24"/>
          <w:highlight w:val="none"/>
        </w:rPr>
      </w:pPr>
    </w:p>
    <w:p w14:paraId="74FFC504">
      <w:pPr>
        <w:ind w:firstLine="6000" w:firstLineChars="2500"/>
        <w:rPr>
          <w:rFonts w:ascii="宋体" w:hAnsi="宋体"/>
          <w:color w:val="auto"/>
          <w:sz w:val="24"/>
          <w:szCs w:val="24"/>
          <w:highlight w:val="none"/>
        </w:rPr>
      </w:pPr>
    </w:p>
    <w:p w14:paraId="2DD11A35">
      <w:pPr>
        <w:rPr>
          <w:rFonts w:ascii="宋体" w:hAnsi="宋体"/>
          <w:color w:val="auto"/>
          <w:sz w:val="24"/>
          <w:szCs w:val="24"/>
          <w:highlight w:val="none"/>
        </w:rPr>
      </w:pPr>
      <w:r>
        <w:rPr>
          <w:rFonts w:hint="eastAsia" w:ascii="宋体" w:hAnsi="宋体"/>
          <w:color w:val="auto"/>
          <w:sz w:val="24"/>
          <w:szCs w:val="24"/>
          <w:highlight w:val="none"/>
        </w:rPr>
        <w:t xml:space="preserve">投标人企业公章：                      </w:t>
      </w:r>
    </w:p>
    <w:p w14:paraId="5574AD25">
      <w:pPr>
        <w:rPr>
          <w:rFonts w:ascii="宋体" w:hAnsi="宋体"/>
          <w:color w:val="auto"/>
          <w:sz w:val="24"/>
          <w:szCs w:val="24"/>
          <w:highlight w:val="none"/>
        </w:rPr>
      </w:pPr>
    </w:p>
    <w:p w14:paraId="41AB88D9">
      <w:pPr>
        <w:ind w:firstLine="6000" w:firstLineChars="2500"/>
        <w:rPr>
          <w:rFonts w:ascii="宋体" w:hAnsi="宋体"/>
          <w:color w:val="auto"/>
          <w:sz w:val="24"/>
          <w:szCs w:val="24"/>
          <w:highlight w:val="none"/>
        </w:rPr>
      </w:pPr>
    </w:p>
    <w:p w14:paraId="6E52F66F">
      <w:pPr>
        <w:rPr>
          <w:rFonts w:ascii="宋体" w:hAnsi="宋体"/>
          <w:color w:val="auto"/>
          <w:sz w:val="24"/>
          <w:szCs w:val="24"/>
          <w:highlight w:val="none"/>
        </w:rPr>
      </w:pPr>
    </w:p>
    <w:p w14:paraId="6E1D15E1">
      <w:pPr>
        <w:rPr>
          <w:rFonts w:ascii="宋体" w:hAnsi="宋体"/>
          <w:color w:val="auto"/>
          <w:sz w:val="24"/>
          <w:szCs w:val="24"/>
          <w:highlight w:val="none"/>
          <w:u w:val="single"/>
        </w:rPr>
      </w:pPr>
      <w:r>
        <w:rPr>
          <w:rFonts w:hint="eastAsia" w:ascii="宋体" w:hAnsi="宋体"/>
          <w:color w:val="auto"/>
          <w:sz w:val="24"/>
          <w:szCs w:val="24"/>
          <w:highlight w:val="none"/>
        </w:rPr>
        <w:t xml:space="preserve">日期：  </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年</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月</w:t>
      </w:r>
      <w:r>
        <w:rPr>
          <w:rFonts w:hint="eastAsia" w:ascii="宋体" w:hAnsi="宋体"/>
          <w:color w:val="auto"/>
          <w:sz w:val="24"/>
          <w:szCs w:val="24"/>
          <w:highlight w:val="none"/>
          <w:u w:val="single"/>
        </w:rPr>
        <w:t xml:space="preserve">  日</w:t>
      </w:r>
    </w:p>
    <w:p w14:paraId="79913EFF">
      <w:pPr>
        <w:autoSpaceDE w:val="0"/>
        <w:autoSpaceDN w:val="0"/>
        <w:adjustRightInd w:val="0"/>
        <w:rPr>
          <w:color w:val="auto"/>
          <w:highlight w:val="none"/>
        </w:rPr>
      </w:pPr>
    </w:p>
    <w:p w14:paraId="127FFFDF">
      <w:pPr>
        <w:autoSpaceDE w:val="0"/>
        <w:autoSpaceDN w:val="0"/>
        <w:adjustRightInd w:val="0"/>
        <w:rPr>
          <w:bCs/>
          <w:color w:val="auto"/>
          <w:szCs w:val="21"/>
          <w:highlight w:val="none"/>
        </w:rPr>
      </w:pPr>
    </w:p>
    <w:p w14:paraId="243235B5">
      <w:pPr>
        <w:autoSpaceDE w:val="0"/>
        <w:autoSpaceDN w:val="0"/>
        <w:adjustRightInd w:val="0"/>
        <w:rPr>
          <w:bCs/>
          <w:color w:val="auto"/>
          <w:szCs w:val="21"/>
          <w:highlight w:val="none"/>
        </w:rPr>
      </w:pPr>
    </w:p>
    <w:p w14:paraId="406859CF">
      <w:pPr>
        <w:autoSpaceDE w:val="0"/>
        <w:autoSpaceDN w:val="0"/>
        <w:adjustRightInd w:val="0"/>
        <w:rPr>
          <w:bCs/>
          <w:color w:val="auto"/>
          <w:szCs w:val="21"/>
          <w:highlight w:val="none"/>
        </w:rPr>
      </w:pPr>
    </w:p>
    <w:p w14:paraId="4A7621A4">
      <w:pPr>
        <w:autoSpaceDE w:val="0"/>
        <w:autoSpaceDN w:val="0"/>
        <w:adjustRightInd w:val="0"/>
        <w:rPr>
          <w:bCs/>
          <w:color w:val="auto"/>
          <w:szCs w:val="21"/>
          <w:highlight w:val="none"/>
        </w:rPr>
      </w:pPr>
    </w:p>
    <w:p w14:paraId="03B62B19">
      <w:pPr>
        <w:autoSpaceDE w:val="0"/>
        <w:autoSpaceDN w:val="0"/>
        <w:adjustRightInd w:val="0"/>
        <w:rPr>
          <w:bCs/>
          <w:color w:val="auto"/>
          <w:szCs w:val="21"/>
          <w:highlight w:val="none"/>
        </w:rPr>
      </w:pPr>
      <w:r>
        <w:rPr>
          <w:rFonts w:hint="eastAsia"/>
          <w:bCs/>
          <w:color w:val="auto"/>
          <w:szCs w:val="21"/>
          <w:highlight w:val="none"/>
        </w:rPr>
        <w:t>附件一</w:t>
      </w:r>
    </w:p>
    <w:p w14:paraId="104D8A22">
      <w:pPr>
        <w:autoSpaceDE w:val="0"/>
        <w:autoSpaceDN w:val="0"/>
        <w:adjustRightInd w:val="0"/>
        <w:ind w:left="-540" w:leftChars="-257" w:firstLine="1135" w:firstLineChars="257"/>
        <w:jc w:val="center"/>
        <w:rPr>
          <w:rFonts w:ascii="宋体" w:hAnsi="宋体" w:cs="宋体"/>
          <w:b/>
          <w:bCs/>
          <w:color w:val="auto"/>
          <w:sz w:val="44"/>
          <w:szCs w:val="44"/>
          <w:highlight w:val="none"/>
          <w:lang w:val="zh-CN"/>
        </w:rPr>
      </w:pPr>
    </w:p>
    <w:p w14:paraId="50F40063">
      <w:pPr>
        <w:autoSpaceDE w:val="0"/>
        <w:autoSpaceDN w:val="0"/>
        <w:adjustRightInd w:val="0"/>
        <w:ind w:left="-540" w:leftChars="-257" w:firstLine="1135" w:firstLineChars="257"/>
        <w:jc w:val="center"/>
        <w:rPr>
          <w:rFonts w:ascii="宋体"/>
          <w:b/>
          <w:bCs/>
          <w:color w:val="auto"/>
          <w:sz w:val="52"/>
          <w:szCs w:val="52"/>
          <w:highlight w:val="none"/>
        </w:rPr>
      </w:pPr>
      <w:r>
        <w:rPr>
          <w:rFonts w:hint="eastAsia" w:ascii="宋体" w:hAnsi="宋体" w:cs="宋体"/>
          <w:b/>
          <w:bCs/>
          <w:color w:val="auto"/>
          <w:sz w:val="44"/>
          <w:szCs w:val="44"/>
          <w:highlight w:val="none"/>
          <w:lang w:val="zh-CN"/>
        </w:rPr>
        <w:t>广州建设工程施工招标投标书</w:t>
      </w:r>
    </w:p>
    <w:tbl>
      <w:tblPr>
        <w:tblStyle w:val="37"/>
        <w:tblpPr w:leftFromText="180" w:rightFromText="180" w:vertAnchor="text" w:horzAnchor="margin" w:tblpXSpec="center" w:tblpY="27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05"/>
        <w:gridCol w:w="3574"/>
      </w:tblGrid>
      <w:tr w14:paraId="445C5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3AA0C9FD">
            <w:pPr>
              <w:autoSpaceDE w:val="0"/>
              <w:autoSpaceDN w:val="0"/>
              <w:adjustRightInd w:val="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工</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程</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名</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称</w:t>
            </w:r>
          </w:p>
        </w:tc>
        <w:tc>
          <w:tcPr>
            <w:tcW w:w="3574" w:type="dxa"/>
            <w:tcBorders>
              <w:top w:val="single" w:color="auto" w:sz="4" w:space="0"/>
              <w:left w:val="single" w:color="auto" w:sz="4" w:space="0"/>
              <w:bottom w:val="single" w:color="auto" w:sz="4" w:space="0"/>
              <w:right w:val="single" w:color="auto" w:sz="4" w:space="0"/>
            </w:tcBorders>
          </w:tcPr>
          <w:p w14:paraId="54D41855">
            <w:pPr>
              <w:autoSpaceDE w:val="0"/>
              <w:autoSpaceDN w:val="0"/>
              <w:adjustRightInd w:val="0"/>
              <w:rPr>
                <w:rFonts w:ascii="宋体" w:cs="宋体"/>
                <w:b/>
                <w:bCs/>
                <w:color w:val="auto"/>
                <w:sz w:val="24"/>
                <w:szCs w:val="24"/>
                <w:highlight w:val="none"/>
                <w:lang w:val="zh-CN"/>
              </w:rPr>
            </w:pPr>
          </w:p>
        </w:tc>
      </w:tr>
      <w:tr w14:paraId="289AB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1D5E4CD1">
            <w:pPr>
              <w:autoSpaceDE w:val="0"/>
              <w:autoSpaceDN w:val="0"/>
              <w:adjustRightInd w:val="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投标总报价（元）</w:t>
            </w:r>
          </w:p>
        </w:tc>
        <w:tc>
          <w:tcPr>
            <w:tcW w:w="3574" w:type="dxa"/>
            <w:tcBorders>
              <w:top w:val="single" w:color="auto" w:sz="4" w:space="0"/>
              <w:left w:val="single" w:color="auto" w:sz="4" w:space="0"/>
              <w:bottom w:val="single" w:color="auto" w:sz="4" w:space="0"/>
              <w:right w:val="single" w:color="auto" w:sz="4" w:space="0"/>
            </w:tcBorders>
            <w:vAlign w:val="center"/>
          </w:tcPr>
          <w:p w14:paraId="3B804FAC">
            <w:pPr>
              <w:autoSpaceDE w:val="0"/>
              <w:autoSpaceDN w:val="0"/>
              <w:adjustRightInd w:val="0"/>
              <w:rPr>
                <w:rFonts w:ascii="宋体" w:cs="宋体"/>
                <w:b/>
                <w:bCs/>
                <w:color w:val="auto"/>
                <w:sz w:val="24"/>
                <w:szCs w:val="24"/>
                <w:highlight w:val="none"/>
                <w:lang w:val="zh-CN"/>
              </w:rPr>
            </w:pPr>
          </w:p>
        </w:tc>
      </w:tr>
      <w:tr w14:paraId="7538F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02398C6C">
            <w:pPr>
              <w:autoSpaceDE w:val="0"/>
              <w:autoSpaceDN w:val="0"/>
              <w:adjustRightInd w:val="0"/>
              <w:jc w:val="center"/>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其中：</w:t>
            </w:r>
            <w:r>
              <w:rPr>
                <w:rFonts w:hint="eastAsia" w:ascii="宋体" w:hAnsi="宋体" w:cs="宋体"/>
                <w:b/>
                <w:bCs/>
                <w:color w:val="auto"/>
                <w:sz w:val="24"/>
                <w:szCs w:val="24"/>
                <w:highlight w:val="none"/>
                <w:lang w:val="zh-CN"/>
              </w:rPr>
              <w:t>人工费</w:t>
            </w:r>
            <w:r>
              <w:rPr>
                <w:rFonts w:hint="eastAsia" w:ascii="宋体" w:hAnsi="宋体" w:cs="宋体"/>
                <w:b/>
                <w:color w:val="auto"/>
                <w:sz w:val="24"/>
                <w:szCs w:val="24"/>
                <w:highlight w:val="none"/>
                <w:lang w:val="zh-CN"/>
              </w:rPr>
              <w:t>（元）</w:t>
            </w:r>
          </w:p>
        </w:tc>
        <w:tc>
          <w:tcPr>
            <w:tcW w:w="3574" w:type="dxa"/>
            <w:tcBorders>
              <w:top w:val="single" w:color="auto" w:sz="4" w:space="0"/>
              <w:left w:val="single" w:color="auto" w:sz="4" w:space="0"/>
              <w:bottom w:val="single" w:color="auto" w:sz="4" w:space="0"/>
              <w:right w:val="single" w:color="auto" w:sz="4" w:space="0"/>
            </w:tcBorders>
            <w:vAlign w:val="center"/>
          </w:tcPr>
          <w:p w14:paraId="4435C0EE">
            <w:pPr>
              <w:autoSpaceDE w:val="0"/>
              <w:autoSpaceDN w:val="0"/>
              <w:adjustRightInd w:val="0"/>
              <w:rPr>
                <w:rFonts w:ascii="宋体" w:cs="宋体"/>
                <w:b/>
                <w:bCs/>
                <w:color w:val="auto"/>
                <w:sz w:val="24"/>
                <w:szCs w:val="24"/>
                <w:highlight w:val="none"/>
                <w:lang w:val="zh-CN"/>
              </w:rPr>
            </w:pPr>
          </w:p>
        </w:tc>
      </w:tr>
      <w:tr w14:paraId="0E766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48986ACF">
            <w:pPr>
              <w:widowControl/>
              <w:jc w:val="center"/>
              <w:rPr>
                <w:rFonts w:ascii="宋体" w:cs="宋体"/>
                <w:b/>
                <w:bCs/>
                <w:color w:val="auto"/>
                <w:sz w:val="24"/>
                <w:szCs w:val="24"/>
                <w:highlight w:val="none"/>
                <w:lang w:val="zh-CN"/>
              </w:rPr>
            </w:pPr>
            <w:r>
              <w:rPr>
                <w:rFonts w:hint="eastAsia" w:ascii="宋体" w:hAnsi="宋体" w:cs="宋体"/>
                <w:b/>
                <w:bCs/>
                <w:color w:val="auto"/>
                <w:sz w:val="24"/>
                <w:szCs w:val="24"/>
                <w:highlight w:val="none"/>
                <w:lang w:val="zh-CN"/>
              </w:rPr>
              <w:t>其中：</w:t>
            </w:r>
            <w:r>
              <w:rPr>
                <w:rFonts w:hint="eastAsia" w:ascii="宋体" w:hAnsi="宋体" w:cs="宋体"/>
                <w:b/>
                <w:color w:val="auto"/>
                <w:sz w:val="24"/>
                <w:szCs w:val="24"/>
                <w:highlight w:val="none"/>
                <w:lang w:val="zh-CN"/>
              </w:rPr>
              <w:t>绿色施工安全防护措施费（元）</w:t>
            </w:r>
          </w:p>
        </w:tc>
        <w:tc>
          <w:tcPr>
            <w:tcW w:w="3574" w:type="dxa"/>
            <w:tcBorders>
              <w:top w:val="single" w:color="auto" w:sz="4" w:space="0"/>
              <w:left w:val="single" w:color="auto" w:sz="4" w:space="0"/>
              <w:bottom w:val="single" w:color="auto" w:sz="4" w:space="0"/>
              <w:right w:val="single" w:color="auto" w:sz="4" w:space="0"/>
            </w:tcBorders>
            <w:vAlign w:val="center"/>
          </w:tcPr>
          <w:p w14:paraId="061F4DB4">
            <w:pPr>
              <w:autoSpaceDE w:val="0"/>
              <w:autoSpaceDN w:val="0"/>
              <w:adjustRightInd w:val="0"/>
              <w:rPr>
                <w:rFonts w:ascii="宋体" w:cs="宋体"/>
                <w:b/>
                <w:bCs/>
                <w:color w:val="auto"/>
                <w:sz w:val="24"/>
                <w:szCs w:val="24"/>
                <w:highlight w:val="none"/>
                <w:lang w:val="zh-CN"/>
              </w:rPr>
            </w:pPr>
          </w:p>
        </w:tc>
      </w:tr>
      <w:tr w14:paraId="484DD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7E390296">
            <w:pPr>
              <w:jc w:val="center"/>
              <w:rPr>
                <w:rFonts w:ascii="宋体" w:cs="宋体"/>
                <w:b/>
                <w:color w:val="auto"/>
                <w:sz w:val="24"/>
                <w:szCs w:val="24"/>
                <w:highlight w:val="none"/>
                <w:lang w:val="zh-CN"/>
              </w:rPr>
            </w:pPr>
            <w:r>
              <w:rPr>
                <w:rFonts w:hint="eastAsia" w:ascii="宋体" w:hAnsi="宋体" w:cs="宋体"/>
                <w:b/>
                <w:color w:val="auto"/>
                <w:sz w:val="24"/>
                <w:szCs w:val="24"/>
                <w:highlight w:val="none"/>
                <w:lang w:val="zh-CN"/>
              </w:rPr>
              <w:t>投</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标</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总 工</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期（应满足或优于投标须知前附表的工期要求）</w:t>
            </w:r>
          </w:p>
        </w:tc>
        <w:tc>
          <w:tcPr>
            <w:tcW w:w="3574" w:type="dxa"/>
            <w:tcBorders>
              <w:top w:val="single" w:color="auto" w:sz="4" w:space="0"/>
              <w:left w:val="single" w:color="auto" w:sz="4" w:space="0"/>
              <w:bottom w:val="single" w:color="auto" w:sz="4" w:space="0"/>
              <w:right w:val="single" w:color="auto" w:sz="4" w:space="0"/>
            </w:tcBorders>
          </w:tcPr>
          <w:p w14:paraId="2364BE02">
            <w:pPr>
              <w:autoSpaceDE w:val="0"/>
              <w:autoSpaceDN w:val="0"/>
              <w:adjustRightInd w:val="0"/>
              <w:rPr>
                <w:rFonts w:ascii="宋体" w:cs="宋体"/>
                <w:b/>
                <w:bCs/>
                <w:color w:val="auto"/>
                <w:sz w:val="24"/>
                <w:szCs w:val="24"/>
                <w:highlight w:val="none"/>
                <w:lang w:val="zh-CN"/>
              </w:rPr>
            </w:pPr>
          </w:p>
        </w:tc>
      </w:tr>
      <w:tr w14:paraId="6F215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7880A48C">
            <w:pPr>
              <w:jc w:val="center"/>
              <w:rPr>
                <w:rFonts w:ascii="宋体"/>
                <w:b/>
                <w:color w:val="auto"/>
                <w:sz w:val="24"/>
                <w:szCs w:val="24"/>
                <w:highlight w:val="none"/>
              </w:rPr>
            </w:pPr>
            <w:r>
              <w:rPr>
                <w:rFonts w:hint="eastAsia" w:ascii="宋体" w:hAnsi="宋体" w:cs="宋体"/>
                <w:b/>
                <w:color w:val="auto"/>
                <w:sz w:val="24"/>
                <w:szCs w:val="24"/>
                <w:highlight w:val="none"/>
                <w:lang w:val="zh-CN"/>
              </w:rPr>
              <w:t>工程质量标准</w:t>
            </w:r>
          </w:p>
        </w:tc>
        <w:tc>
          <w:tcPr>
            <w:tcW w:w="3574" w:type="dxa"/>
            <w:tcBorders>
              <w:top w:val="single" w:color="auto" w:sz="4" w:space="0"/>
              <w:left w:val="single" w:color="auto" w:sz="4" w:space="0"/>
              <w:bottom w:val="single" w:color="auto" w:sz="4" w:space="0"/>
              <w:right w:val="single" w:color="auto" w:sz="4" w:space="0"/>
            </w:tcBorders>
          </w:tcPr>
          <w:p w14:paraId="2E4ED34E">
            <w:pPr>
              <w:autoSpaceDE w:val="0"/>
              <w:autoSpaceDN w:val="0"/>
              <w:adjustRightInd w:val="0"/>
              <w:rPr>
                <w:rFonts w:ascii="宋体" w:cs="宋体"/>
                <w:b/>
                <w:bCs/>
                <w:color w:val="auto"/>
                <w:sz w:val="24"/>
                <w:szCs w:val="24"/>
                <w:highlight w:val="none"/>
                <w:lang w:val="zh-CN"/>
              </w:rPr>
            </w:pPr>
          </w:p>
        </w:tc>
      </w:tr>
      <w:tr w14:paraId="7811D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5805" w:type="dxa"/>
            <w:tcBorders>
              <w:top w:val="single" w:color="auto" w:sz="4" w:space="0"/>
              <w:left w:val="single" w:color="auto" w:sz="4" w:space="0"/>
              <w:bottom w:val="single" w:color="auto" w:sz="4" w:space="0"/>
              <w:right w:val="single" w:color="auto" w:sz="4" w:space="0"/>
            </w:tcBorders>
            <w:vAlign w:val="center"/>
          </w:tcPr>
          <w:p w14:paraId="667B7395">
            <w:pPr>
              <w:autoSpaceDE w:val="0"/>
              <w:autoSpaceDN w:val="0"/>
              <w:adjustRightInd w:val="0"/>
              <w:ind w:firstLine="2159" w:firstLineChars="896"/>
              <w:rPr>
                <w:rFonts w:ascii="宋体" w:cs="宋体"/>
                <w:b/>
                <w:bCs/>
                <w:color w:val="auto"/>
                <w:sz w:val="24"/>
                <w:szCs w:val="24"/>
                <w:highlight w:val="none"/>
                <w:lang w:val="zh-CN"/>
              </w:rPr>
            </w:pPr>
            <w:r>
              <w:rPr>
                <w:rFonts w:hint="eastAsia" w:ascii="宋体" w:hAnsi="宋体" w:cs="宋体"/>
                <w:b/>
                <w:color w:val="auto"/>
                <w:sz w:val="24"/>
                <w:szCs w:val="24"/>
                <w:highlight w:val="none"/>
                <w:lang w:val="zh-CN"/>
              </w:rPr>
              <w:t>保</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修</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期</w:t>
            </w:r>
            <w:r>
              <w:rPr>
                <w:rFonts w:ascii="宋体" w:hAnsi="宋体" w:cs="宋体"/>
                <w:b/>
                <w:color w:val="auto"/>
                <w:sz w:val="24"/>
                <w:szCs w:val="24"/>
                <w:highlight w:val="none"/>
                <w:lang w:val="zh-CN"/>
              </w:rPr>
              <w:t xml:space="preserve"> </w:t>
            </w:r>
            <w:r>
              <w:rPr>
                <w:rFonts w:hint="eastAsia" w:ascii="宋体" w:hAnsi="宋体" w:cs="宋体"/>
                <w:b/>
                <w:color w:val="auto"/>
                <w:sz w:val="24"/>
                <w:szCs w:val="24"/>
                <w:highlight w:val="none"/>
                <w:lang w:val="zh-CN"/>
              </w:rPr>
              <w:t>限</w:t>
            </w:r>
          </w:p>
        </w:tc>
        <w:tc>
          <w:tcPr>
            <w:tcW w:w="3574" w:type="dxa"/>
            <w:tcBorders>
              <w:top w:val="single" w:color="auto" w:sz="4" w:space="0"/>
              <w:left w:val="single" w:color="auto" w:sz="4" w:space="0"/>
              <w:bottom w:val="single" w:color="auto" w:sz="4" w:space="0"/>
              <w:right w:val="single" w:color="auto" w:sz="4" w:space="0"/>
            </w:tcBorders>
          </w:tcPr>
          <w:p w14:paraId="0A4E7E2A">
            <w:pPr>
              <w:autoSpaceDE w:val="0"/>
              <w:autoSpaceDN w:val="0"/>
              <w:adjustRightInd w:val="0"/>
              <w:rPr>
                <w:rFonts w:ascii="宋体" w:cs="宋体"/>
                <w:b/>
                <w:bCs/>
                <w:color w:val="auto"/>
                <w:sz w:val="24"/>
                <w:szCs w:val="24"/>
                <w:highlight w:val="none"/>
                <w:lang w:val="zh-CN"/>
              </w:rPr>
            </w:pPr>
          </w:p>
        </w:tc>
      </w:tr>
    </w:tbl>
    <w:p w14:paraId="1D6AE1B9">
      <w:pPr>
        <w:tabs>
          <w:tab w:val="left" w:pos="720"/>
        </w:tabs>
        <w:snapToGrid w:val="0"/>
        <w:spacing w:line="360" w:lineRule="auto"/>
        <w:rPr>
          <w:color w:val="auto"/>
          <w:sz w:val="24"/>
          <w:szCs w:val="24"/>
          <w:highlight w:val="none"/>
        </w:rPr>
      </w:pPr>
    </w:p>
    <w:tbl>
      <w:tblPr>
        <w:tblStyle w:val="37"/>
        <w:tblW w:w="9008" w:type="dxa"/>
        <w:tblInd w:w="0" w:type="dxa"/>
        <w:tblLayout w:type="fixed"/>
        <w:tblCellMar>
          <w:top w:w="0" w:type="dxa"/>
          <w:left w:w="108" w:type="dxa"/>
          <w:bottom w:w="0" w:type="dxa"/>
          <w:right w:w="108" w:type="dxa"/>
        </w:tblCellMar>
      </w:tblPr>
      <w:tblGrid>
        <w:gridCol w:w="9008"/>
      </w:tblGrid>
      <w:tr w14:paraId="232ED18A">
        <w:tblPrEx>
          <w:tblCellMar>
            <w:top w:w="0" w:type="dxa"/>
            <w:left w:w="108" w:type="dxa"/>
            <w:bottom w:w="0" w:type="dxa"/>
            <w:right w:w="108" w:type="dxa"/>
          </w:tblCellMar>
        </w:tblPrEx>
        <w:trPr>
          <w:trHeight w:val="195" w:hRule="atLeast"/>
        </w:trPr>
        <w:tc>
          <w:tcPr>
            <w:tcW w:w="9008" w:type="dxa"/>
            <w:tcBorders>
              <w:top w:val="nil"/>
              <w:left w:val="nil"/>
              <w:bottom w:val="nil"/>
              <w:right w:val="nil"/>
            </w:tcBorders>
            <w:noWrap/>
            <w:vAlign w:val="bottom"/>
          </w:tcPr>
          <w:p w14:paraId="61437830">
            <w:pPr>
              <w:widowControl/>
              <w:spacing w:line="360" w:lineRule="auto"/>
              <w:jc w:val="left"/>
              <w:rPr>
                <w:rFonts w:ascii="宋体" w:cs="宋体"/>
                <w:color w:val="auto"/>
                <w:kern w:val="0"/>
                <w:sz w:val="28"/>
                <w:szCs w:val="28"/>
                <w:highlight w:val="none"/>
              </w:rPr>
            </w:pPr>
            <w:r>
              <w:rPr>
                <w:rFonts w:ascii="宋体" w:hAnsi="宋体" w:cs="宋体"/>
                <w:color w:val="auto"/>
                <w:kern w:val="0"/>
                <w:sz w:val="28"/>
                <w:szCs w:val="28"/>
                <w:highlight w:val="none"/>
              </w:rPr>
              <w:t xml:space="preserve">                                                                                             </w:t>
            </w:r>
          </w:p>
        </w:tc>
      </w:tr>
    </w:tbl>
    <w:p w14:paraId="71B112B1">
      <w:pPr>
        <w:autoSpaceDE w:val="0"/>
        <w:autoSpaceDN w:val="0"/>
        <w:adjustRightInd w:val="0"/>
        <w:ind w:left="-540" w:leftChars="-257" w:firstLine="616" w:firstLineChars="257"/>
        <w:jc w:val="center"/>
        <w:rPr>
          <w:rFonts w:ascii="宋体" w:hAnsi="宋体" w:cs="宋体"/>
          <w:b/>
          <w:bCs/>
          <w:color w:val="auto"/>
          <w:sz w:val="44"/>
          <w:szCs w:val="44"/>
          <w:highlight w:val="none"/>
          <w:lang w:val="zh-CN"/>
        </w:rPr>
      </w:pPr>
      <w:r>
        <w:rPr>
          <w:color w:val="auto"/>
          <w:sz w:val="24"/>
          <w:szCs w:val="24"/>
          <w:highlight w:val="none"/>
        </w:rPr>
        <w:br w:type="page"/>
      </w:r>
    </w:p>
    <w:p w14:paraId="467D878A">
      <w:pPr>
        <w:jc w:val="center"/>
        <w:rPr>
          <w:rFonts w:ascii="宋体" w:hAnsi="宋体"/>
          <w:b/>
          <w:color w:val="auto"/>
          <w:sz w:val="36"/>
          <w:szCs w:val="36"/>
          <w:highlight w:val="none"/>
        </w:rPr>
      </w:pPr>
      <w:r>
        <w:rPr>
          <w:rFonts w:hint="eastAsia" w:ascii="宋体" w:hAnsi="宋体"/>
          <w:b/>
          <w:color w:val="auto"/>
          <w:sz w:val="36"/>
          <w:szCs w:val="36"/>
          <w:highlight w:val="none"/>
        </w:rPr>
        <w:t>响应招标文件所附</w:t>
      </w:r>
      <w:r>
        <w:rPr>
          <w:rFonts w:hint="eastAsia" w:ascii="宋体" w:hAnsi="宋体"/>
          <w:b/>
          <w:color w:val="auto"/>
          <w:sz w:val="36"/>
          <w:szCs w:val="36"/>
          <w:highlight w:val="none"/>
          <w:u w:val="single"/>
        </w:rPr>
        <w:t>施工组织设计要点</w:t>
      </w:r>
      <w:r>
        <w:rPr>
          <w:rFonts w:hint="eastAsia" w:ascii="宋体" w:hAnsi="宋体"/>
          <w:b/>
          <w:color w:val="auto"/>
          <w:sz w:val="36"/>
          <w:szCs w:val="36"/>
          <w:highlight w:val="none"/>
        </w:rPr>
        <w:t>的承诺书</w:t>
      </w:r>
    </w:p>
    <w:p w14:paraId="3166BFA0">
      <w:pPr>
        <w:spacing w:line="360" w:lineRule="auto"/>
        <w:rPr>
          <w:rFonts w:ascii="宋体" w:hAnsi="宋体"/>
          <w:color w:val="auto"/>
          <w:highlight w:val="none"/>
        </w:rPr>
      </w:pPr>
    </w:p>
    <w:p w14:paraId="2A6DA6AF">
      <w:pPr>
        <w:spacing w:line="360" w:lineRule="auto"/>
        <w:rPr>
          <w:rFonts w:ascii="宋体" w:hAnsi="宋体"/>
          <w:color w:val="auto"/>
          <w:highlight w:val="none"/>
        </w:rPr>
      </w:pPr>
    </w:p>
    <w:p w14:paraId="49F54FE2">
      <w:pPr>
        <w:spacing w:line="360" w:lineRule="auto"/>
        <w:rPr>
          <w:rFonts w:ascii="宋体" w:hAnsi="宋体"/>
          <w:color w:val="auto"/>
          <w:sz w:val="24"/>
          <w:highlight w:val="none"/>
        </w:rPr>
      </w:pPr>
    </w:p>
    <w:p w14:paraId="642F822A">
      <w:pPr>
        <w:spacing w:line="360" w:lineRule="auto"/>
        <w:rPr>
          <w:rFonts w:ascii="宋体" w:hAnsi="宋体"/>
          <w:color w:val="auto"/>
          <w:sz w:val="24"/>
          <w:highlight w:val="none"/>
          <w:u w:val="single"/>
        </w:rPr>
      </w:pPr>
      <w:r>
        <w:rPr>
          <w:rFonts w:hint="eastAsia" w:ascii="宋体" w:hAnsi="宋体"/>
          <w:color w:val="auto"/>
          <w:sz w:val="24"/>
          <w:highlight w:val="none"/>
          <w:u w:val="single"/>
        </w:rPr>
        <w:t xml:space="preserve">     （招标人）</w:t>
      </w:r>
      <w:r>
        <w:rPr>
          <w:rFonts w:hint="eastAsia" w:ascii="宋体" w:hAnsi="宋体"/>
          <w:color w:val="auto"/>
          <w:sz w:val="24"/>
          <w:highlight w:val="none"/>
        </w:rPr>
        <w:t>：</w:t>
      </w:r>
    </w:p>
    <w:p w14:paraId="2D6C7F82">
      <w:pPr>
        <w:spacing w:line="360" w:lineRule="auto"/>
        <w:ind w:firstLine="435"/>
        <w:rPr>
          <w:rFonts w:ascii="宋体" w:hAnsi="宋体"/>
          <w:color w:val="auto"/>
          <w:sz w:val="24"/>
          <w:highlight w:val="none"/>
        </w:rPr>
      </w:pPr>
      <w:r>
        <w:rPr>
          <w:rFonts w:hint="eastAsia" w:ascii="宋体" w:hAnsi="宋体"/>
          <w:color w:val="auto"/>
          <w:sz w:val="24"/>
          <w:highlight w:val="none"/>
        </w:rPr>
        <w:t>我方承诺，如中标承建</w:t>
      </w:r>
      <w:r>
        <w:rPr>
          <w:rFonts w:hint="eastAsia" w:ascii="宋体" w:hAnsi="宋体"/>
          <w:color w:val="auto"/>
          <w:sz w:val="24"/>
          <w:highlight w:val="none"/>
          <w:u w:val="single"/>
          <w:lang w:eastAsia="zh-CN"/>
        </w:rPr>
        <w:t xml:space="preserve">                                     </w:t>
      </w:r>
      <w:r>
        <w:rPr>
          <w:rFonts w:hint="eastAsia" w:ascii="宋体" w:hAnsi="宋体"/>
          <w:color w:val="auto"/>
          <w:sz w:val="24"/>
          <w:highlight w:val="none"/>
        </w:rPr>
        <w:t>，将按招标文件所附的本工程</w:t>
      </w:r>
      <w:r>
        <w:rPr>
          <w:rFonts w:hint="eastAsia" w:ascii="宋体" w:hAnsi="宋体"/>
          <w:color w:val="auto"/>
          <w:sz w:val="24"/>
          <w:highlight w:val="none"/>
          <w:u w:val="single"/>
        </w:rPr>
        <w:t>（施工组织设计要点）</w:t>
      </w:r>
      <w:r>
        <w:rPr>
          <w:rFonts w:hint="eastAsia" w:ascii="宋体" w:hAnsi="宋体"/>
          <w:color w:val="auto"/>
          <w:sz w:val="24"/>
          <w:highlight w:val="none"/>
        </w:rPr>
        <w:t>进行响应的基础上自行组织施工。并承诺在中标后按招标文件所附的</w:t>
      </w:r>
      <w:r>
        <w:rPr>
          <w:rFonts w:hint="eastAsia" w:ascii="宋体" w:hAnsi="宋体"/>
          <w:color w:val="auto"/>
          <w:sz w:val="24"/>
          <w:highlight w:val="none"/>
          <w:u w:val="single"/>
        </w:rPr>
        <w:t>（施工组织设计要点）</w:t>
      </w:r>
      <w:r>
        <w:rPr>
          <w:rFonts w:hint="eastAsia" w:ascii="宋体" w:hAnsi="宋体"/>
          <w:color w:val="auto"/>
          <w:sz w:val="24"/>
          <w:highlight w:val="none"/>
        </w:rPr>
        <w:t>基础上编制详细的施工组织设计，并报经监理单位和建设单位审批后实施。</w:t>
      </w:r>
    </w:p>
    <w:p w14:paraId="17A23F67">
      <w:pPr>
        <w:spacing w:line="360" w:lineRule="auto"/>
        <w:ind w:firstLine="435"/>
        <w:rPr>
          <w:rFonts w:ascii="宋体" w:hAnsi="宋体"/>
          <w:color w:val="auto"/>
          <w:sz w:val="24"/>
          <w:highlight w:val="none"/>
        </w:rPr>
      </w:pPr>
    </w:p>
    <w:p w14:paraId="6A37A770">
      <w:pPr>
        <w:spacing w:line="360" w:lineRule="auto"/>
        <w:ind w:firstLine="435"/>
        <w:rPr>
          <w:rFonts w:ascii="宋体" w:hAnsi="宋体"/>
          <w:color w:val="auto"/>
          <w:sz w:val="24"/>
          <w:highlight w:val="none"/>
        </w:rPr>
      </w:pPr>
    </w:p>
    <w:p w14:paraId="5B764E58">
      <w:pPr>
        <w:spacing w:line="360" w:lineRule="auto"/>
        <w:ind w:firstLine="435"/>
        <w:rPr>
          <w:rFonts w:ascii="宋体" w:hAnsi="宋体"/>
          <w:color w:val="auto"/>
          <w:sz w:val="24"/>
          <w:highlight w:val="none"/>
        </w:rPr>
      </w:pPr>
    </w:p>
    <w:p w14:paraId="2CBED3D5">
      <w:pPr>
        <w:spacing w:line="360" w:lineRule="auto"/>
        <w:ind w:firstLine="435"/>
        <w:rPr>
          <w:rFonts w:ascii="宋体" w:hAnsi="宋体"/>
          <w:color w:val="auto"/>
          <w:sz w:val="24"/>
          <w:highlight w:val="none"/>
        </w:rPr>
      </w:pPr>
    </w:p>
    <w:p w14:paraId="36B914DD">
      <w:pPr>
        <w:spacing w:line="360" w:lineRule="auto"/>
        <w:ind w:firstLine="435"/>
        <w:rPr>
          <w:rFonts w:ascii="宋体" w:hAnsi="宋体"/>
          <w:color w:val="auto"/>
          <w:sz w:val="24"/>
          <w:highlight w:val="none"/>
        </w:rPr>
      </w:pPr>
    </w:p>
    <w:p w14:paraId="7ACA3BDD">
      <w:pPr>
        <w:spacing w:line="360" w:lineRule="auto"/>
        <w:ind w:firstLine="3000" w:firstLineChars="1250"/>
        <w:rPr>
          <w:rFonts w:ascii="宋体" w:hAnsi="宋体"/>
          <w:color w:val="auto"/>
          <w:sz w:val="24"/>
          <w:highlight w:val="none"/>
          <w:u w:val="single"/>
        </w:rPr>
      </w:pPr>
      <w:r>
        <w:rPr>
          <w:rFonts w:hint="eastAsia" w:ascii="宋体" w:hAnsi="宋体"/>
          <w:color w:val="auto"/>
          <w:sz w:val="24"/>
          <w:highlight w:val="none"/>
        </w:rPr>
        <w:t>投标人名称（盖法人公章）：</w:t>
      </w:r>
      <w:r>
        <w:rPr>
          <w:rFonts w:hint="eastAsia" w:ascii="宋体" w:hAnsi="宋体"/>
          <w:color w:val="auto"/>
          <w:sz w:val="24"/>
          <w:highlight w:val="none"/>
          <w:u w:val="single"/>
        </w:rPr>
        <w:t xml:space="preserve">                   </w:t>
      </w:r>
    </w:p>
    <w:p w14:paraId="3AD94A4B">
      <w:pPr>
        <w:spacing w:line="360" w:lineRule="auto"/>
        <w:ind w:firstLine="3000" w:firstLineChars="1250"/>
        <w:rPr>
          <w:rFonts w:ascii="宋体" w:hAnsi="宋体"/>
          <w:color w:val="auto"/>
          <w:sz w:val="24"/>
          <w:highlight w:val="none"/>
          <w:u w:val="single"/>
        </w:rPr>
      </w:pPr>
    </w:p>
    <w:p w14:paraId="0782F3EE">
      <w:pPr>
        <w:spacing w:line="360" w:lineRule="auto"/>
        <w:ind w:firstLine="3000" w:firstLineChars="1250"/>
        <w:rPr>
          <w:rFonts w:ascii="宋体" w:hAnsi="宋体"/>
          <w:color w:val="auto"/>
          <w:sz w:val="24"/>
          <w:highlight w:val="none"/>
          <w:u w:val="single"/>
        </w:rPr>
      </w:pPr>
      <w:r>
        <w:rPr>
          <w:rFonts w:hint="eastAsia" w:ascii="宋体" w:hAnsi="宋体"/>
          <w:color w:val="auto"/>
          <w:sz w:val="24"/>
          <w:highlight w:val="none"/>
        </w:rPr>
        <w:t>法定代表人或被授权人（签字或盖章）：</w:t>
      </w:r>
      <w:r>
        <w:rPr>
          <w:rFonts w:hint="eastAsia" w:ascii="宋体" w:hAnsi="宋体"/>
          <w:color w:val="auto"/>
          <w:sz w:val="24"/>
          <w:highlight w:val="none"/>
          <w:u w:val="single"/>
        </w:rPr>
        <w:t xml:space="preserve">         </w:t>
      </w:r>
    </w:p>
    <w:p w14:paraId="034147B2">
      <w:pPr>
        <w:spacing w:line="360" w:lineRule="auto"/>
        <w:ind w:firstLine="3000" w:firstLineChars="1250"/>
        <w:rPr>
          <w:rFonts w:ascii="宋体" w:hAnsi="宋体"/>
          <w:color w:val="auto"/>
          <w:sz w:val="24"/>
          <w:highlight w:val="none"/>
          <w:u w:val="single"/>
        </w:rPr>
      </w:pPr>
    </w:p>
    <w:p w14:paraId="3B5DA881">
      <w:pPr>
        <w:spacing w:line="360" w:lineRule="auto"/>
        <w:ind w:firstLine="4440" w:firstLineChars="1850"/>
        <w:rPr>
          <w:rFonts w:ascii="宋体" w:hAnsi="宋体"/>
          <w:color w:val="auto"/>
          <w:sz w:val="24"/>
          <w:highlight w:val="none"/>
        </w:rPr>
      </w:pPr>
      <w:r>
        <w:rPr>
          <w:rFonts w:hint="eastAsia" w:ascii="宋体" w:hAnsi="宋体"/>
          <w:color w:val="auto"/>
          <w:sz w:val="24"/>
          <w:highlight w:val="none"/>
        </w:rPr>
        <w:t>日期：</w:t>
      </w: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409960A0">
      <w:pPr>
        <w:autoSpaceDE w:val="0"/>
        <w:autoSpaceDN w:val="0"/>
        <w:adjustRightInd w:val="0"/>
        <w:rPr>
          <w:color w:val="auto"/>
          <w:szCs w:val="21"/>
          <w:highlight w:val="none"/>
        </w:rPr>
      </w:pPr>
    </w:p>
    <w:p w14:paraId="1AA70406">
      <w:pPr>
        <w:autoSpaceDE w:val="0"/>
        <w:autoSpaceDN w:val="0"/>
        <w:adjustRightInd w:val="0"/>
        <w:rPr>
          <w:color w:val="auto"/>
          <w:szCs w:val="21"/>
          <w:highlight w:val="none"/>
        </w:rPr>
      </w:pPr>
    </w:p>
    <w:p w14:paraId="48FA5211">
      <w:pPr>
        <w:autoSpaceDE w:val="0"/>
        <w:autoSpaceDN w:val="0"/>
        <w:adjustRightInd w:val="0"/>
        <w:rPr>
          <w:color w:val="auto"/>
          <w:szCs w:val="21"/>
          <w:highlight w:val="none"/>
        </w:rPr>
      </w:pPr>
    </w:p>
    <w:p w14:paraId="763B3FF9">
      <w:pPr>
        <w:autoSpaceDE w:val="0"/>
        <w:autoSpaceDN w:val="0"/>
        <w:adjustRightInd w:val="0"/>
        <w:rPr>
          <w:color w:val="auto"/>
          <w:szCs w:val="21"/>
          <w:highlight w:val="none"/>
        </w:rPr>
      </w:pPr>
    </w:p>
    <w:p w14:paraId="649F6399">
      <w:pPr>
        <w:autoSpaceDE w:val="0"/>
        <w:autoSpaceDN w:val="0"/>
        <w:adjustRightInd w:val="0"/>
        <w:rPr>
          <w:color w:val="auto"/>
          <w:szCs w:val="21"/>
          <w:highlight w:val="none"/>
        </w:rPr>
      </w:pPr>
    </w:p>
    <w:p w14:paraId="51FAA020">
      <w:pPr>
        <w:autoSpaceDE w:val="0"/>
        <w:autoSpaceDN w:val="0"/>
        <w:adjustRightInd w:val="0"/>
        <w:rPr>
          <w:color w:val="auto"/>
          <w:szCs w:val="21"/>
          <w:highlight w:val="none"/>
        </w:rPr>
      </w:pPr>
    </w:p>
    <w:p w14:paraId="3B878D51">
      <w:pPr>
        <w:autoSpaceDE w:val="0"/>
        <w:autoSpaceDN w:val="0"/>
        <w:adjustRightInd w:val="0"/>
        <w:rPr>
          <w:color w:val="auto"/>
          <w:szCs w:val="21"/>
          <w:highlight w:val="none"/>
        </w:rPr>
      </w:pPr>
    </w:p>
    <w:p w14:paraId="469C9903">
      <w:pPr>
        <w:autoSpaceDE w:val="0"/>
        <w:autoSpaceDN w:val="0"/>
        <w:adjustRightInd w:val="0"/>
        <w:rPr>
          <w:color w:val="auto"/>
          <w:szCs w:val="21"/>
          <w:highlight w:val="none"/>
        </w:rPr>
      </w:pPr>
    </w:p>
    <w:p w14:paraId="41DE3D8F">
      <w:pPr>
        <w:autoSpaceDE w:val="0"/>
        <w:autoSpaceDN w:val="0"/>
        <w:adjustRightInd w:val="0"/>
        <w:rPr>
          <w:color w:val="auto"/>
          <w:szCs w:val="21"/>
          <w:highlight w:val="none"/>
        </w:rPr>
      </w:pPr>
    </w:p>
    <w:p w14:paraId="6F64DE5C">
      <w:pPr>
        <w:autoSpaceDE w:val="0"/>
        <w:autoSpaceDN w:val="0"/>
        <w:adjustRightInd w:val="0"/>
        <w:rPr>
          <w:color w:val="auto"/>
          <w:szCs w:val="21"/>
          <w:highlight w:val="none"/>
        </w:rPr>
      </w:pPr>
    </w:p>
    <w:p w14:paraId="63A48FFA">
      <w:pPr>
        <w:autoSpaceDE w:val="0"/>
        <w:autoSpaceDN w:val="0"/>
        <w:adjustRightInd w:val="0"/>
        <w:rPr>
          <w:color w:val="auto"/>
          <w:szCs w:val="21"/>
          <w:highlight w:val="none"/>
        </w:rPr>
      </w:pPr>
    </w:p>
    <w:p w14:paraId="7CDC3E19">
      <w:pPr>
        <w:autoSpaceDE w:val="0"/>
        <w:autoSpaceDN w:val="0"/>
        <w:adjustRightInd w:val="0"/>
        <w:rPr>
          <w:color w:val="auto"/>
          <w:szCs w:val="21"/>
          <w:highlight w:val="none"/>
        </w:rPr>
      </w:pPr>
    </w:p>
    <w:p w14:paraId="528B17E7">
      <w:pPr>
        <w:autoSpaceDE w:val="0"/>
        <w:autoSpaceDN w:val="0"/>
        <w:adjustRightInd w:val="0"/>
        <w:rPr>
          <w:color w:val="auto"/>
          <w:szCs w:val="21"/>
          <w:highlight w:val="none"/>
        </w:rPr>
      </w:pPr>
    </w:p>
    <w:p w14:paraId="557D077E">
      <w:pPr>
        <w:autoSpaceDE w:val="0"/>
        <w:autoSpaceDN w:val="0"/>
        <w:adjustRightInd w:val="0"/>
        <w:rPr>
          <w:color w:val="auto"/>
          <w:szCs w:val="21"/>
          <w:highlight w:val="none"/>
        </w:rPr>
      </w:pPr>
    </w:p>
    <w:p w14:paraId="1AC38169">
      <w:pPr>
        <w:autoSpaceDE w:val="0"/>
        <w:autoSpaceDN w:val="0"/>
        <w:adjustRightInd w:val="0"/>
        <w:rPr>
          <w:color w:val="auto"/>
          <w:szCs w:val="21"/>
          <w:highlight w:val="none"/>
        </w:rPr>
      </w:pPr>
    </w:p>
    <w:p w14:paraId="22F07096">
      <w:pPr>
        <w:autoSpaceDE w:val="0"/>
        <w:autoSpaceDN w:val="0"/>
        <w:adjustRightInd w:val="0"/>
        <w:rPr>
          <w:color w:val="auto"/>
          <w:szCs w:val="21"/>
          <w:highlight w:val="none"/>
        </w:rPr>
      </w:pPr>
      <w:r>
        <w:rPr>
          <w:rFonts w:hint="eastAsia"/>
          <w:color w:val="auto"/>
          <w:szCs w:val="21"/>
          <w:highlight w:val="none"/>
        </w:rPr>
        <w:t>附件二</w:t>
      </w:r>
    </w:p>
    <w:p w14:paraId="0F100CBA">
      <w:pPr>
        <w:tabs>
          <w:tab w:val="left" w:pos="720"/>
        </w:tabs>
        <w:snapToGrid w:val="0"/>
        <w:spacing w:line="360" w:lineRule="auto"/>
        <w:jc w:val="center"/>
        <w:rPr>
          <w:b/>
          <w:color w:val="auto"/>
          <w:sz w:val="32"/>
          <w:szCs w:val="32"/>
          <w:highlight w:val="none"/>
        </w:rPr>
      </w:pPr>
      <w:r>
        <w:rPr>
          <w:rFonts w:hint="eastAsia"/>
          <w:b/>
          <w:color w:val="auto"/>
          <w:sz w:val="32"/>
          <w:szCs w:val="32"/>
          <w:highlight w:val="none"/>
        </w:rPr>
        <w:t>投标文件编制人员名单</w:t>
      </w:r>
    </w:p>
    <w:p w14:paraId="233B6B73">
      <w:pPr>
        <w:tabs>
          <w:tab w:val="left" w:pos="720"/>
        </w:tabs>
        <w:snapToGrid w:val="0"/>
        <w:spacing w:line="360" w:lineRule="auto"/>
        <w:rPr>
          <w:color w:val="auto"/>
          <w:sz w:val="24"/>
          <w:szCs w:val="24"/>
          <w:highlight w:val="none"/>
        </w:rPr>
      </w:pPr>
    </w:p>
    <w:p w14:paraId="16D16AAB">
      <w:pPr>
        <w:tabs>
          <w:tab w:val="left" w:pos="720"/>
        </w:tabs>
        <w:snapToGrid w:val="0"/>
        <w:spacing w:line="360" w:lineRule="auto"/>
        <w:jc w:val="center"/>
        <w:rPr>
          <w:color w:val="auto"/>
          <w:szCs w:val="21"/>
          <w:highlight w:val="none"/>
        </w:rPr>
      </w:pPr>
      <w:r>
        <w:rPr>
          <w:rFonts w:hint="eastAsia"/>
          <w:color w:val="auto"/>
          <w:szCs w:val="21"/>
          <w:highlight w:val="none"/>
        </w:rPr>
        <w:t>一、参与编制技术标投标文件人员名单</w:t>
      </w:r>
    </w:p>
    <w:tbl>
      <w:tblPr>
        <w:tblStyle w:val="3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347"/>
        <w:gridCol w:w="2274"/>
        <w:gridCol w:w="2182"/>
        <w:gridCol w:w="1328"/>
      </w:tblGrid>
      <w:tr w14:paraId="561D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296" w:type="dxa"/>
            <w:gridSpan w:val="5"/>
            <w:tcBorders>
              <w:top w:val="single" w:color="auto" w:sz="4" w:space="0"/>
              <w:left w:val="single" w:color="auto" w:sz="4" w:space="0"/>
              <w:bottom w:val="single" w:color="auto" w:sz="4" w:space="0"/>
              <w:right w:val="single" w:color="auto" w:sz="4" w:space="0"/>
            </w:tcBorders>
            <w:vAlign w:val="center"/>
          </w:tcPr>
          <w:p w14:paraId="08A25594">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投标人名称</w:t>
            </w:r>
          </w:p>
        </w:tc>
      </w:tr>
      <w:tr w14:paraId="4D457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65" w:type="dxa"/>
            <w:tcBorders>
              <w:top w:val="single" w:color="auto" w:sz="4" w:space="0"/>
              <w:left w:val="single" w:color="auto" w:sz="4" w:space="0"/>
              <w:bottom w:val="single" w:color="auto" w:sz="4" w:space="0"/>
              <w:right w:val="single" w:color="auto" w:sz="4" w:space="0"/>
            </w:tcBorders>
            <w:vAlign w:val="center"/>
          </w:tcPr>
          <w:p w14:paraId="7D319549">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姓名</w:t>
            </w:r>
          </w:p>
        </w:tc>
        <w:tc>
          <w:tcPr>
            <w:tcW w:w="1347" w:type="dxa"/>
            <w:tcBorders>
              <w:top w:val="single" w:color="auto" w:sz="4" w:space="0"/>
              <w:left w:val="single" w:color="auto" w:sz="4" w:space="0"/>
              <w:bottom w:val="single" w:color="auto" w:sz="4" w:space="0"/>
              <w:right w:val="single" w:color="auto" w:sz="4" w:space="0"/>
            </w:tcBorders>
            <w:vAlign w:val="center"/>
          </w:tcPr>
          <w:p w14:paraId="0064ABA1">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2274" w:type="dxa"/>
            <w:tcBorders>
              <w:top w:val="single" w:color="auto" w:sz="4" w:space="0"/>
              <w:left w:val="single" w:color="auto" w:sz="4" w:space="0"/>
              <w:bottom w:val="single" w:color="auto" w:sz="4" w:space="0"/>
              <w:right w:val="single" w:color="auto" w:sz="4" w:space="0"/>
            </w:tcBorders>
            <w:vAlign w:val="center"/>
          </w:tcPr>
          <w:p w14:paraId="0C9A2F7D">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所承担工作</w:t>
            </w:r>
          </w:p>
        </w:tc>
        <w:tc>
          <w:tcPr>
            <w:tcW w:w="2182" w:type="dxa"/>
            <w:tcBorders>
              <w:top w:val="single" w:color="auto" w:sz="4" w:space="0"/>
              <w:left w:val="single" w:color="auto" w:sz="4" w:space="0"/>
              <w:bottom w:val="single" w:color="auto" w:sz="4" w:space="0"/>
              <w:right w:val="single" w:color="auto" w:sz="4" w:space="0"/>
            </w:tcBorders>
            <w:vAlign w:val="center"/>
          </w:tcPr>
          <w:p w14:paraId="3FD9A355">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身份证号码</w:t>
            </w:r>
          </w:p>
        </w:tc>
        <w:tc>
          <w:tcPr>
            <w:tcW w:w="1328" w:type="dxa"/>
            <w:tcBorders>
              <w:top w:val="single" w:color="auto" w:sz="4" w:space="0"/>
              <w:left w:val="single" w:color="auto" w:sz="4" w:space="0"/>
              <w:bottom w:val="single" w:color="auto" w:sz="4" w:space="0"/>
              <w:right w:val="single" w:color="auto" w:sz="4" w:space="0"/>
            </w:tcBorders>
            <w:vAlign w:val="center"/>
          </w:tcPr>
          <w:p w14:paraId="1F94034F">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本人签名栏</w:t>
            </w:r>
          </w:p>
        </w:tc>
      </w:tr>
      <w:tr w14:paraId="4E0F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5" w:type="dxa"/>
            <w:tcBorders>
              <w:top w:val="single" w:color="auto" w:sz="4" w:space="0"/>
              <w:left w:val="single" w:color="auto" w:sz="4" w:space="0"/>
              <w:bottom w:val="single" w:color="auto" w:sz="4" w:space="0"/>
              <w:right w:val="single" w:color="auto" w:sz="4" w:space="0"/>
            </w:tcBorders>
            <w:vAlign w:val="center"/>
          </w:tcPr>
          <w:p w14:paraId="54B8AECB">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136D637D">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553DBF03">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37844035">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1CB7A76A">
            <w:pPr>
              <w:tabs>
                <w:tab w:val="left" w:pos="720"/>
              </w:tabs>
              <w:snapToGrid w:val="0"/>
              <w:spacing w:line="360" w:lineRule="auto"/>
              <w:jc w:val="center"/>
              <w:rPr>
                <w:rFonts w:ascii="宋体" w:hAnsi="宋体"/>
                <w:color w:val="auto"/>
                <w:szCs w:val="21"/>
                <w:highlight w:val="none"/>
              </w:rPr>
            </w:pPr>
          </w:p>
        </w:tc>
      </w:tr>
      <w:tr w14:paraId="1967C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19FCEE46">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3237BA2A">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0A7BD832">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3BC9AEBD">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0666EFF3">
            <w:pPr>
              <w:tabs>
                <w:tab w:val="left" w:pos="720"/>
              </w:tabs>
              <w:snapToGrid w:val="0"/>
              <w:spacing w:line="360" w:lineRule="auto"/>
              <w:jc w:val="center"/>
              <w:rPr>
                <w:rFonts w:ascii="宋体" w:hAnsi="宋体"/>
                <w:color w:val="auto"/>
                <w:szCs w:val="21"/>
                <w:highlight w:val="none"/>
              </w:rPr>
            </w:pPr>
          </w:p>
        </w:tc>
      </w:tr>
      <w:tr w14:paraId="1575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6268BAD8">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E0C56C6">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3F781E79">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7C3C7D52">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4901C3FF">
            <w:pPr>
              <w:tabs>
                <w:tab w:val="left" w:pos="720"/>
              </w:tabs>
              <w:snapToGrid w:val="0"/>
              <w:spacing w:line="360" w:lineRule="auto"/>
              <w:jc w:val="center"/>
              <w:rPr>
                <w:rFonts w:ascii="宋体" w:hAnsi="宋体"/>
                <w:color w:val="auto"/>
                <w:szCs w:val="21"/>
                <w:highlight w:val="none"/>
              </w:rPr>
            </w:pPr>
          </w:p>
        </w:tc>
      </w:tr>
      <w:tr w14:paraId="5191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606A9FA1">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1C719CDC">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7AD43D16">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10CF4D2">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578DD1AB">
            <w:pPr>
              <w:tabs>
                <w:tab w:val="left" w:pos="720"/>
              </w:tabs>
              <w:snapToGrid w:val="0"/>
              <w:spacing w:line="360" w:lineRule="auto"/>
              <w:jc w:val="center"/>
              <w:rPr>
                <w:rFonts w:ascii="宋体" w:hAnsi="宋体"/>
                <w:color w:val="auto"/>
                <w:szCs w:val="21"/>
                <w:highlight w:val="none"/>
              </w:rPr>
            </w:pPr>
          </w:p>
        </w:tc>
      </w:tr>
      <w:tr w14:paraId="6C1F7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5E01B4D8">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64AE6C93">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786A4598">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5AAB410">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3976F27F">
            <w:pPr>
              <w:tabs>
                <w:tab w:val="left" w:pos="720"/>
              </w:tabs>
              <w:snapToGrid w:val="0"/>
              <w:spacing w:line="360" w:lineRule="auto"/>
              <w:jc w:val="center"/>
              <w:rPr>
                <w:rFonts w:ascii="宋体" w:hAnsi="宋体"/>
                <w:color w:val="auto"/>
                <w:szCs w:val="21"/>
                <w:highlight w:val="none"/>
              </w:rPr>
            </w:pPr>
          </w:p>
        </w:tc>
      </w:tr>
      <w:tr w14:paraId="71FBA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784F0D3D">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621B6E7F">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110D549C">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13E1808">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73F04651">
            <w:pPr>
              <w:tabs>
                <w:tab w:val="left" w:pos="720"/>
              </w:tabs>
              <w:snapToGrid w:val="0"/>
              <w:spacing w:line="360" w:lineRule="auto"/>
              <w:jc w:val="center"/>
              <w:rPr>
                <w:rFonts w:ascii="宋体" w:hAnsi="宋体"/>
                <w:color w:val="auto"/>
                <w:szCs w:val="21"/>
                <w:highlight w:val="none"/>
              </w:rPr>
            </w:pPr>
          </w:p>
        </w:tc>
      </w:tr>
      <w:tr w14:paraId="63D79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65" w:type="dxa"/>
            <w:tcBorders>
              <w:top w:val="single" w:color="auto" w:sz="4" w:space="0"/>
              <w:left w:val="single" w:color="auto" w:sz="4" w:space="0"/>
              <w:bottom w:val="single" w:color="auto" w:sz="4" w:space="0"/>
              <w:right w:val="single" w:color="auto" w:sz="4" w:space="0"/>
            </w:tcBorders>
            <w:vAlign w:val="center"/>
          </w:tcPr>
          <w:p w14:paraId="3B5B067F">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61254925">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501EF7B2">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67A39E76">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37CCC546">
            <w:pPr>
              <w:tabs>
                <w:tab w:val="left" w:pos="720"/>
              </w:tabs>
              <w:snapToGrid w:val="0"/>
              <w:spacing w:line="360" w:lineRule="auto"/>
              <w:jc w:val="center"/>
              <w:rPr>
                <w:rFonts w:ascii="宋体" w:hAnsi="宋体"/>
                <w:color w:val="auto"/>
                <w:szCs w:val="21"/>
                <w:highlight w:val="none"/>
              </w:rPr>
            </w:pPr>
          </w:p>
        </w:tc>
      </w:tr>
      <w:tr w14:paraId="629DD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65" w:type="dxa"/>
            <w:tcBorders>
              <w:top w:val="single" w:color="auto" w:sz="4" w:space="0"/>
              <w:left w:val="single" w:color="auto" w:sz="4" w:space="0"/>
              <w:bottom w:val="single" w:color="auto" w:sz="4" w:space="0"/>
              <w:right w:val="single" w:color="auto" w:sz="4" w:space="0"/>
            </w:tcBorders>
            <w:vAlign w:val="center"/>
          </w:tcPr>
          <w:p w14:paraId="7CAD75FF">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32083CB8">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5524DB77">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37827BC5">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1C3DEC5E">
            <w:pPr>
              <w:tabs>
                <w:tab w:val="left" w:pos="720"/>
              </w:tabs>
              <w:snapToGrid w:val="0"/>
              <w:spacing w:line="360" w:lineRule="auto"/>
              <w:jc w:val="center"/>
              <w:rPr>
                <w:rFonts w:ascii="宋体" w:hAnsi="宋体"/>
                <w:color w:val="auto"/>
                <w:szCs w:val="21"/>
                <w:highlight w:val="none"/>
              </w:rPr>
            </w:pPr>
          </w:p>
        </w:tc>
      </w:tr>
    </w:tbl>
    <w:p w14:paraId="20CCDB06">
      <w:pPr>
        <w:tabs>
          <w:tab w:val="left" w:pos="720"/>
        </w:tabs>
        <w:snapToGrid w:val="0"/>
        <w:spacing w:line="360" w:lineRule="auto"/>
        <w:rPr>
          <w:color w:val="auto"/>
          <w:sz w:val="24"/>
          <w:szCs w:val="24"/>
          <w:highlight w:val="none"/>
        </w:rPr>
      </w:pPr>
    </w:p>
    <w:p w14:paraId="74B64EA4">
      <w:pPr>
        <w:tabs>
          <w:tab w:val="left" w:pos="720"/>
        </w:tabs>
        <w:snapToGrid w:val="0"/>
        <w:spacing w:line="360" w:lineRule="auto"/>
        <w:rPr>
          <w:color w:val="auto"/>
          <w:sz w:val="24"/>
          <w:szCs w:val="24"/>
          <w:highlight w:val="none"/>
        </w:rPr>
      </w:pPr>
    </w:p>
    <w:p w14:paraId="0DA150DB">
      <w:pPr>
        <w:tabs>
          <w:tab w:val="left" w:pos="720"/>
        </w:tabs>
        <w:snapToGrid w:val="0"/>
        <w:spacing w:line="360" w:lineRule="auto"/>
        <w:jc w:val="center"/>
        <w:rPr>
          <w:color w:val="auto"/>
          <w:szCs w:val="21"/>
          <w:highlight w:val="none"/>
        </w:rPr>
      </w:pPr>
      <w:r>
        <w:rPr>
          <w:rFonts w:hint="eastAsia"/>
          <w:color w:val="auto"/>
          <w:szCs w:val="21"/>
          <w:highlight w:val="none"/>
        </w:rPr>
        <w:t>二、参与编制经济标投标文件人员名单</w:t>
      </w:r>
    </w:p>
    <w:tbl>
      <w:tblPr>
        <w:tblStyle w:val="37"/>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5"/>
        <w:gridCol w:w="1347"/>
        <w:gridCol w:w="2274"/>
        <w:gridCol w:w="2182"/>
        <w:gridCol w:w="1328"/>
      </w:tblGrid>
      <w:tr w14:paraId="6523E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8296" w:type="dxa"/>
            <w:gridSpan w:val="5"/>
            <w:tcBorders>
              <w:top w:val="single" w:color="auto" w:sz="4" w:space="0"/>
              <w:left w:val="single" w:color="auto" w:sz="4" w:space="0"/>
              <w:bottom w:val="single" w:color="auto" w:sz="4" w:space="0"/>
              <w:right w:val="single" w:color="auto" w:sz="4" w:space="0"/>
            </w:tcBorders>
            <w:vAlign w:val="center"/>
          </w:tcPr>
          <w:p w14:paraId="6F8842B2">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投标人名称</w:t>
            </w:r>
          </w:p>
        </w:tc>
      </w:tr>
      <w:tr w14:paraId="3CEA7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165" w:type="dxa"/>
            <w:tcBorders>
              <w:top w:val="single" w:color="auto" w:sz="4" w:space="0"/>
              <w:left w:val="single" w:color="auto" w:sz="4" w:space="0"/>
              <w:bottom w:val="single" w:color="auto" w:sz="4" w:space="0"/>
              <w:right w:val="single" w:color="auto" w:sz="4" w:space="0"/>
            </w:tcBorders>
            <w:vAlign w:val="center"/>
          </w:tcPr>
          <w:p w14:paraId="4648A0A2">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姓名</w:t>
            </w:r>
          </w:p>
        </w:tc>
        <w:tc>
          <w:tcPr>
            <w:tcW w:w="1347" w:type="dxa"/>
            <w:tcBorders>
              <w:top w:val="single" w:color="auto" w:sz="4" w:space="0"/>
              <w:left w:val="single" w:color="auto" w:sz="4" w:space="0"/>
              <w:bottom w:val="single" w:color="auto" w:sz="4" w:space="0"/>
              <w:right w:val="single" w:color="auto" w:sz="4" w:space="0"/>
            </w:tcBorders>
            <w:vAlign w:val="center"/>
          </w:tcPr>
          <w:p w14:paraId="7A66D637">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职务</w:t>
            </w:r>
          </w:p>
        </w:tc>
        <w:tc>
          <w:tcPr>
            <w:tcW w:w="2274" w:type="dxa"/>
            <w:tcBorders>
              <w:top w:val="single" w:color="auto" w:sz="4" w:space="0"/>
              <w:left w:val="single" w:color="auto" w:sz="4" w:space="0"/>
              <w:bottom w:val="single" w:color="auto" w:sz="4" w:space="0"/>
              <w:right w:val="single" w:color="auto" w:sz="4" w:space="0"/>
            </w:tcBorders>
            <w:vAlign w:val="center"/>
          </w:tcPr>
          <w:p w14:paraId="5FE3C5DA">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所承担工作</w:t>
            </w:r>
          </w:p>
        </w:tc>
        <w:tc>
          <w:tcPr>
            <w:tcW w:w="2182" w:type="dxa"/>
            <w:tcBorders>
              <w:top w:val="single" w:color="auto" w:sz="4" w:space="0"/>
              <w:left w:val="single" w:color="auto" w:sz="4" w:space="0"/>
              <w:bottom w:val="single" w:color="auto" w:sz="4" w:space="0"/>
              <w:right w:val="single" w:color="auto" w:sz="4" w:space="0"/>
            </w:tcBorders>
            <w:vAlign w:val="center"/>
          </w:tcPr>
          <w:p w14:paraId="5D602D6A">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身份证号码</w:t>
            </w:r>
          </w:p>
        </w:tc>
        <w:tc>
          <w:tcPr>
            <w:tcW w:w="1328" w:type="dxa"/>
            <w:tcBorders>
              <w:top w:val="single" w:color="auto" w:sz="4" w:space="0"/>
              <w:left w:val="single" w:color="auto" w:sz="4" w:space="0"/>
              <w:bottom w:val="single" w:color="auto" w:sz="4" w:space="0"/>
              <w:right w:val="single" w:color="auto" w:sz="4" w:space="0"/>
            </w:tcBorders>
            <w:vAlign w:val="center"/>
          </w:tcPr>
          <w:p w14:paraId="2E8C517D">
            <w:pPr>
              <w:tabs>
                <w:tab w:val="left" w:pos="720"/>
              </w:tabs>
              <w:snapToGrid w:val="0"/>
              <w:spacing w:line="360" w:lineRule="auto"/>
              <w:jc w:val="center"/>
              <w:rPr>
                <w:rFonts w:ascii="宋体" w:hAnsi="宋体"/>
                <w:color w:val="auto"/>
                <w:szCs w:val="21"/>
                <w:highlight w:val="none"/>
              </w:rPr>
            </w:pPr>
            <w:r>
              <w:rPr>
                <w:rFonts w:hint="eastAsia" w:ascii="宋体" w:hAnsi="宋体"/>
                <w:color w:val="auto"/>
                <w:szCs w:val="21"/>
                <w:highlight w:val="none"/>
              </w:rPr>
              <w:t>本人签名栏</w:t>
            </w:r>
          </w:p>
        </w:tc>
      </w:tr>
      <w:tr w14:paraId="1DDE4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1165" w:type="dxa"/>
            <w:tcBorders>
              <w:top w:val="single" w:color="auto" w:sz="4" w:space="0"/>
              <w:left w:val="single" w:color="auto" w:sz="4" w:space="0"/>
              <w:bottom w:val="single" w:color="auto" w:sz="4" w:space="0"/>
              <w:right w:val="single" w:color="auto" w:sz="4" w:space="0"/>
            </w:tcBorders>
            <w:vAlign w:val="center"/>
          </w:tcPr>
          <w:p w14:paraId="516EC56F">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4C239DD1">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5039220E">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297F7827">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306B3D0B">
            <w:pPr>
              <w:tabs>
                <w:tab w:val="left" w:pos="720"/>
              </w:tabs>
              <w:snapToGrid w:val="0"/>
              <w:spacing w:line="360" w:lineRule="auto"/>
              <w:jc w:val="center"/>
              <w:rPr>
                <w:rFonts w:ascii="宋体" w:hAnsi="宋体"/>
                <w:color w:val="auto"/>
                <w:szCs w:val="21"/>
                <w:highlight w:val="none"/>
              </w:rPr>
            </w:pPr>
          </w:p>
        </w:tc>
      </w:tr>
      <w:tr w14:paraId="5F0BB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32662FBC">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6C7FD5BF">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43A1E44D">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13FA996">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0AA22152">
            <w:pPr>
              <w:tabs>
                <w:tab w:val="left" w:pos="720"/>
              </w:tabs>
              <w:snapToGrid w:val="0"/>
              <w:spacing w:line="360" w:lineRule="auto"/>
              <w:jc w:val="center"/>
              <w:rPr>
                <w:rFonts w:ascii="宋体" w:hAnsi="宋体"/>
                <w:color w:val="auto"/>
                <w:szCs w:val="21"/>
                <w:highlight w:val="none"/>
              </w:rPr>
            </w:pPr>
          </w:p>
        </w:tc>
      </w:tr>
      <w:tr w14:paraId="69468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7192AEB1">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33B91046">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13FFD605">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580218F8">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4E723BFB">
            <w:pPr>
              <w:tabs>
                <w:tab w:val="left" w:pos="720"/>
              </w:tabs>
              <w:snapToGrid w:val="0"/>
              <w:spacing w:line="360" w:lineRule="auto"/>
              <w:jc w:val="center"/>
              <w:rPr>
                <w:rFonts w:ascii="宋体" w:hAnsi="宋体"/>
                <w:color w:val="auto"/>
                <w:szCs w:val="21"/>
                <w:highlight w:val="none"/>
              </w:rPr>
            </w:pPr>
          </w:p>
        </w:tc>
      </w:tr>
      <w:tr w14:paraId="64340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203E311C">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24275E7C">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0186A39E">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6A2B3DDE">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78B602AA">
            <w:pPr>
              <w:tabs>
                <w:tab w:val="left" w:pos="720"/>
              </w:tabs>
              <w:snapToGrid w:val="0"/>
              <w:spacing w:line="360" w:lineRule="auto"/>
              <w:jc w:val="center"/>
              <w:rPr>
                <w:rFonts w:ascii="宋体" w:hAnsi="宋体"/>
                <w:color w:val="auto"/>
                <w:szCs w:val="21"/>
                <w:highlight w:val="none"/>
              </w:rPr>
            </w:pPr>
          </w:p>
        </w:tc>
      </w:tr>
      <w:tr w14:paraId="13ABE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3217EB3C">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677A0B77">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6D8A8A8C">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1700B1E6">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54A3348C">
            <w:pPr>
              <w:tabs>
                <w:tab w:val="left" w:pos="720"/>
              </w:tabs>
              <w:snapToGrid w:val="0"/>
              <w:spacing w:line="360" w:lineRule="auto"/>
              <w:jc w:val="center"/>
              <w:rPr>
                <w:rFonts w:ascii="宋体" w:hAnsi="宋体"/>
                <w:color w:val="auto"/>
                <w:szCs w:val="21"/>
                <w:highlight w:val="none"/>
              </w:rPr>
            </w:pPr>
          </w:p>
        </w:tc>
      </w:tr>
      <w:tr w14:paraId="7023A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1165" w:type="dxa"/>
            <w:tcBorders>
              <w:top w:val="single" w:color="auto" w:sz="4" w:space="0"/>
              <w:left w:val="single" w:color="auto" w:sz="4" w:space="0"/>
              <w:bottom w:val="single" w:color="auto" w:sz="4" w:space="0"/>
              <w:right w:val="single" w:color="auto" w:sz="4" w:space="0"/>
            </w:tcBorders>
            <w:vAlign w:val="center"/>
          </w:tcPr>
          <w:p w14:paraId="277F648D">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16ABA7BE">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7F9E22C9">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3F2B94B">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2DD76652">
            <w:pPr>
              <w:tabs>
                <w:tab w:val="left" w:pos="720"/>
              </w:tabs>
              <w:snapToGrid w:val="0"/>
              <w:spacing w:line="360" w:lineRule="auto"/>
              <w:jc w:val="center"/>
              <w:rPr>
                <w:rFonts w:ascii="宋体" w:hAnsi="宋体"/>
                <w:color w:val="auto"/>
                <w:szCs w:val="21"/>
                <w:highlight w:val="none"/>
              </w:rPr>
            </w:pPr>
          </w:p>
        </w:tc>
      </w:tr>
      <w:tr w14:paraId="5BBE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165" w:type="dxa"/>
            <w:tcBorders>
              <w:top w:val="single" w:color="auto" w:sz="4" w:space="0"/>
              <w:left w:val="single" w:color="auto" w:sz="4" w:space="0"/>
              <w:bottom w:val="single" w:color="auto" w:sz="4" w:space="0"/>
              <w:right w:val="single" w:color="auto" w:sz="4" w:space="0"/>
            </w:tcBorders>
            <w:vAlign w:val="center"/>
          </w:tcPr>
          <w:p w14:paraId="19B2E5B1">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1B4F0A23">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316EF1FA">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01E331C3">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1B71BFAD">
            <w:pPr>
              <w:tabs>
                <w:tab w:val="left" w:pos="720"/>
              </w:tabs>
              <w:snapToGrid w:val="0"/>
              <w:spacing w:line="360" w:lineRule="auto"/>
              <w:jc w:val="center"/>
              <w:rPr>
                <w:rFonts w:ascii="宋体" w:hAnsi="宋体"/>
                <w:color w:val="auto"/>
                <w:szCs w:val="21"/>
                <w:highlight w:val="none"/>
              </w:rPr>
            </w:pPr>
          </w:p>
        </w:tc>
      </w:tr>
      <w:tr w14:paraId="73AD8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1165" w:type="dxa"/>
            <w:tcBorders>
              <w:top w:val="single" w:color="auto" w:sz="4" w:space="0"/>
              <w:left w:val="single" w:color="auto" w:sz="4" w:space="0"/>
              <w:bottom w:val="single" w:color="auto" w:sz="4" w:space="0"/>
              <w:right w:val="single" w:color="auto" w:sz="4" w:space="0"/>
            </w:tcBorders>
            <w:vAlign w:val="center"/>
          </w:tcPr>
          <w:p w14:paraId="7A4ADB68">
            <w:pPr>
              <w:tabs>
                <w:tab w:val="left" w:pos="720"/>
              </w:tabs>
              <w:snapToGrid w:val="0"/>
              <w:spacing w:line="360" w:lineRule="auto"/>
              <w:jc w:val="center"/>
              <w:rPr>
                <w:rFonts w:ascii="宋体" w:hAnsi="宋体"/>
                <w:color w:val="auto"/>
                <w:szCs w:val="21"/>
                <w:highlight w:val="none"/>
              </w:rPr>
            </w:pPr>
          </w:p>
        </w:tc>
        <w:tc>
          <w:tcPr>
            <w:tcW w:w="1347" w:type="dxa"/>
            <w:tcBorders>
              <w:top w:val="single" w:color="auto" w:sz="4" w:space="0"/>
              <w:left w:val="single" w:color="auto" w:sz="4" w:space="0"/>
              <w:bottom w:val="single" w:color="auto" w:sz="4" w:space="0"/>
              <w:right w:val="single" w:color="auto" w:sz="4" w:space="0"/>
            </w:tcBorders>
            <w:vAlign w:val="center"/>
          </w:tcPr>
          <w:p w14:paraId="4C8C1DD7">
            <w:pPr>
              <w:tabs>
                <w:tab w:val="left" w:pos="720"/>
              </w:tabs>
              <w:snapToGrid w:val="0"/>
              <w:spacing w:line="360" w:lineRule="auto"/>
              <w:jc w:val="center"/>
              <w:rPr>
                <w:rFonts w:ascii="宋体" w:hAnsi="宋体"/>
                <w:color w:val="auto"/>
                <w:szCs w:val="21"/>
                <w:highlight w:val="none"/>
              </w:rPr>
            </w:pPr>
          </w:p>
        </w:tc>
        <w:tc>
          <w:tcPr>
            <w:tcW w:w="2274" w:type="dxa"/>
            <w:tcBorders>
              <w:top w:val="single" w:color="auto" w:sz="4" w:space="0"/>
              <w:left w:val="single" w:color="auto" w:sz="4" w:space="0"/>
              <w:bottom w:val="single" w:color="auto" w:sz="4" w:space="0"/>
              <w:right w:val="single" w:color="auto" w:sz="4" w:space="0"/>
            </w:tcBorders>
            <w:vAlign w:val="center"/>
          </w:tcPr>
          <w:p w14:paraId="2023726D">
            <w:pPr>
              <w:tabs>
                <w:tab w:val="left" w:pos="720"/>
              </w:tabs>
              <w:snapToGrid w:val="0"/>
              <w:spacing w:line="360" w:lineRule="auto"/>
              <w:jc w:val="center"/>
              <w:rPr>
                <w:rFonts w:ascii="宋体" w:hAnsi="宋体"/>
                <w:color w:val="auto"/>
                <w:szCs w:val="21"/>
                <w:highlight w:val="none"/>
              </w:rPr>
            </w:pPr>
          </w:p>
        </w:tc>
        <w:tc>
          <w:tcPr>
            <w:tcW w:w="2182" w:type="dxa"/>
            <w:tcBorders>
              <w:top w:val="single" w:color="auto" w:sz="4" w:space="0"/>
              <w:left w:val="single" w:color="auto" w:sz="4" w:space="0"/>
              <w:bottom w:val="single" w:color="auto" w:sz="4" w:space="0"/>
              <w:right w:val="single" w:color="auto" w:sz="4" w:space="0"/>
            </w:tcBorders>
            <w:vAlign w:val="center"/>
          </w:tcPr>
          <w:p w14:paraId="6AA83260">
            <w:pPr>
              <w:tabs>
                <w:tab w:val="left" w:pos="720"/>
              </w:tabs>
              <w:snapToGrid w:val="0"/>
              <w:spacing w:line="360" w:lineRule="auto"/>
              <w:jc w:val="center"/>
              <w:rPr>
                <w:rFonts w:ascii="宋体" w:hAnsi="宋体"/>
                <w:color w:val="auto"/>
                <w:szCs w:val="21"/>
                <w:highlight w:val="none"/>
              </w:rPr>
            </w:pPr>
          </w:p>
        </w:tc>
        <w:tc>
          <w:tcPr>
            <w:tcW w:w="1328" w:type="dxa"/>
            <w:tcBorders>
              <w:top w:val="single" w:color="auto" w:sz="4" w:space="0"/>
              <w:left w:val="single" w:color="auto" w:sz="4" w:space="0"/>
              <w:bottom w:val="single" w:color="auto" w:sz="4" w:space="0"/>
              <w:right w:val="single" w:color="auto" w:sz="4" w:space="0"/>
            </w:tcBorders>
            <w:vAlign w:val="center"/>
          </w:tcPr>
          <w:p w14:paraId="63B0B63B">
            <w:pPr>
              <w:tabs>
                <w:tab w:val="left" w:pos="720"/>
              </w:tabs>
              <w:snapToGrid w:val="0"/>
              <w:spacing w:line="360" w:lineRule="auto"/>
              <w:jc w:val="center"/>
              <w:rPr>
                <w:rFonts w:ascii="宋体" w:hAnsi="宋体"/>
                <w:color w:val="auto"/>
                <w:szCs w:val="21"/>
                <w:highlight w:val="none"/>
              </w:rPr>
            </w:pPr>
          </w:p>
        </w:tc>
      </w:tr>
    </w:tbl>
    <w:p w14:paraId="77D0E3A3">
      <w:pPr>
        <w:tabs>
          <w:tab w:val="left" w:pos="720"/>
        </w:tabs>
        <w:snapToGrid w:val="0"/>
        <w:spacing w:line="360" w:lineRule="auto"/>
        <w:rPr>
          <w:color w:val="auto"/>
          <w:sz w:val="24"/>
          <w:szCs w:val="24"/>
          <w:highlight w:val="none"/>
        </w:rPr>
      </w:pPr>
    </w:p>
    <w:p w14:paraId="63098A98">
      <w:pPr>
        <w:pStyle w:val="4"/>
        <w:spacing w:after="0" w:line="360" w:lineRule="auto"/>
        <w:ind w:left="-2" w:leftChars="-1" w:firstLine="367" w:firstLineChars="175"/>
        <w:jc w:val="left"/>
        <w:rPr>
          <w:color w:val="auto"/>
          <w:szCs w:val="21"/>
          <w:highlight w:val="none"/>
        </w:rPr>
      </w:pPr>
      <w:r>
        <w:rPr>
          <w:rFonts w:hint="eastAsia"/>
          <w:color w:val="auto"/>
          <w:szCs w:val="21"/>
          <w:highlight w:val="none"/>
        </w:rPr>
        <w:t>注：参与编制投标文件所有人员名单应包括如编制技术投标方案、编制各种专业工程量清单投标报价、负责清样校对、负责打印及复印等所有人员在内的人员名单。</w:t>
      </w:r>
    </w:p>
    <w:p w14:paraId="1EB3A8A0">
      <w:pPr>
        <w:pStyle w:val="4"/>
        <w:spacing w:after="0" w:line="360" w:lineRule="auto"/>
        <w:ind w:left="-2" w:leftChars="-1" w:firstLineChars="175"/>
        <w:jc w:val="center"/>
        <w:rPr>
          <w:color w:val="auto"/>
          <w:sz w:val="24"/>
          <w:szCs w:val="24"/>
          <w:highlight w:val="none"/>
        </w:rPr>
      </w:pPr>
    </w:p>
    <w:p w14:paraId="6563D568">
      <w:pPr>
        <w:autoSpaceDE w:val="0"/>
        <w:autoSpaceDN w:val="0"/>
        <w:adjustRightInd w:val="0"/>
        <w:rPr>
          <w:color w:val="auto"/>
          <w:szCs w:val="21"/>
          <w:highlight w:val="none"/>
        </w:rPr>
      </w:pPr>
      <w:r>
        <w:rPr>
          <w:rFonts w:hint="eastAsia"/>
          <w:color w:val="auto"/>
          <w:szCs w:val="21"/>
          <w:highlight w:val="none"/>
        </w:rPr>
        <w:t>附件三</w:t>
      </w:r>
    </w:p>
    <w:p w14:paraId="1D563C15">
      <w:pPr>
        <w:pStyle w:val="4"/>
        <w:spacing w:after="0" w:line="360" w:lineRule="auto"/>
        <w:ind w:firstLine="0"/>
        <w:jc w:val="center"/>
        <w:rPr>
          <w:color w:val="auto"/>
          <w:sz w:val="32"/>
          <w:szCs w:val="32"/>
          <w:highlight w:val="none"/>
        </w:rPr>
      </w:pPr>
      <w:r>
        <w:rPr>
          <w:rFonts w:hint="eastAsia"/>
          <w:b/>
          <w:color w:val="auto"/>
          <w:sz w:val="32"/>
          <w:szCs w:val="32"/>
          <w:highlight w:val="none"/>
        </w:rPr>
        <w:t>对投标文件编制的承诺</w:t>
      </w:r>
    </w:p>
    <w:p w14:paraId="52E63100">
      <w:pPr>
        <w:pStyle w:val="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本公司授权</w:t>
      </w:r>
      <w:r>
        <w:rPr>
          <w:rFonts w:hint="eastAsia" w:ascii="宋体" w:hAnsi="宋体"/>
          <w:color w:val="auto"/>
          <w:sz w:val="24"/>
          <w:szCs w:val="24"/>
          <w:highlight w:val="none"/>
          <w:u w:val="single"/>
        </w:rPr>
        <w:t xml:space="preserve">         （身份证号：               ）</w:t>
      </w:r>
      <w:r>
        <w:rPr>
          <w:rFonts w:hint="eastAsia" w:ascii="宋体" w:hAnsi="宋体"/>
          <w:color w:val="auto"/>
          <w:sz w:val="24"/>
          <w:szCs w:val="24"/>
          <w:highlight w:val="none"/>
        </w:rPr>
        <w:t>负责对投标文件的编制及内容进行解释、说明，并承诺以下事项：</w:t>
      </w:r>
    </w:p>
    <w:p w14:paraId="317748AB">
      <w:pPr>
        <w:pStyle w:val="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1.被授权人清楚投标文件编制的具体情况，包括技术方案文件、工程量清单、以及投标文件的加密打包的理解；</w:t>
      </w:r>
    </w:p>
    <w:p w14:paraId="3CC429FE">
      <w:pPr>
        <w:pStyle w:val="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2.在本项目开标至评标结束前，努力确保被授权人在项目评标所在地附近；</w:t>
      </w:r>
    </w:p>
    <w:p w14:paraId="1827FC34">
      <w:pPr>
        <w:pStyle w:val="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3.从评标委员会要求澄清起二小时内，被授权人应如实地书面澄清。</w:t>
      </w:r>
    </w:p>
    <w:p w14:paraId="67DC9FD2">
      <w:pPr>
        <w:pStyle w:val="4"/>
        <w:spacing w:after="0" w:line="360" w:lineRule="auto"/>
        <w:ind w:left="-2" w:leftChars="-1" w:firstLine="540" w:firstLineChars="225"/>
        <w:rPr>
          <w:rFonts w:ascii="宋体" w:hAnsi="宋体"/>
          <w:color w:val="auto"/>
          <w:sz w:val="24"/>
          <w:szCs w:val="24"/>
          <w:highlight w:val="none"/>
        </w:rPr>
      </w:pPr>
      <w:r>
        <w:rPr>
          <w:rFonts w:hint="eastAsia" w:ascii="宋体" w:hAnsi="宋体"/>
          <w:color w:val="auto"/>
          <w:sz w:val="24"/>
          <w:szCs w:val="24"/>
          <w:highlight w:val="none"/>
        </w:rPr>
        <w:t xml:space="preserve">如由于未遵守上述承诺内容之一导致无法进行澄清的，我公司认可和接受评标委员会作出的评审结论。                                 </w:t>
      </w:r>
    </w:p>
    <w:p w14:paraId="44898114">
      <w:pPr>
        <w:pStyle w:val="4"/>
        <w:spacing w:after="0" w:line="360" w:lineRule="auto"/>
        <w:ind w:firstLine="360" w:firstLineChars="150"/>
        <w:rPr>
          <w:rFonts w:ascii="宋体" w:hAnsi="宋体"/>
          <w:color w:val="auto"/>
          <w:sz w:val="24"/>
          <w:szCs w:val="24"/>
          <w:highlight w:val="none"/>
        </w:rPr>
      </w:pPr>
      <w:r>
        <w:rPr>
          <w:rFonts w:hint="eastAsia" w:ascii="宋体" w:hAnsi="宋体"/>
          <w:color w:val="auto"/>
          <w:sz w:val="24"/>
          <w:szCs w:val="24"/>
          <w:highlight w:val="none"/>
        </w:rPr>
        <w:t xml:space="preserve"> </w:t>
      </w:r>
    </w:p>
    <w:p w14:paraId="5DC39257">
      <w:pPr>
        <w:pStyle w:val="4"/>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附件：《投标文件编制情况》</w:t>
      </w:r>
    </w:p>
    <w:p w14:paraId="78311857">
      <w:pPr>
        <w:spacing w:line="360" w:lineRule="auto"/>
        <w:ind w:right="90" w:firstLine="3240" w:firstLineChars="1350"/>
        <w:rPr>
          <w:rFonts w:ascii="宋体" w:hAnsi="宋体"/>
          <w:color w:val="auto"/>
          <w:sz w:val="24"/>
          <w:szCs w:val="24"/>
          <w:highlight w:val="none"/>
          <w:u w:val="single"/>
        </w:rPr>
      </w:pPr>
      <w:r>
        <w:rPr>
          <w:rFonts w:hint="eastAsia" w:ascii="宋体" w:hAnsi="宋体"/>
          <w:color w:val="auto"/>
          <w:sz w:val="24"/>
          <w:szCs w:val="24"/>
          <w:highlight w:val="none"/>
        </w:rPr>
        <w:t xml:space="preserve"> 投标人名称：</w:t>
      </w:r>
      <w:r>
        <w:rPr>
          <w:rFonts w:hint="eastAsia" w:ascii="宋体" w:hAnsi="宋体"/>
          <w:color w:val="auto"/>
          <w:sz w:val="24"/>
          <w:szCs w:val="24"/>
          <w:highlight w:val="none"/>
          <w:u w:val="single"/>
        </w:rPr>
        <w:t xml:space="preserve">                    </w:t>
      </w:r>
    </w:p>
    <w:p w14:paraId="0C91DE58">
      <w:pPr>
        <w:spacing w:line="360" w:lineRule="auto"/>
        <w:ind w:firstLine="4440" w:firstLineChars="1850"/>
        <w:jc w:val="center"/>
        <w:rPr>
          <w:color w:val="auto"/>
          <w:sz w:val="24"/>
          <w:szCs w:val="24"/>
          <w:highlight w:val="none"/>
        </w:rPr>
      </w:pPr>
      <w:r>
        <w:rPr>
          <w:rFonts w:hint="eastAsia"/>
          <w:color w:val="auto"/>
          <w:sz w:val="24"/>
          <w:szCs w:val="24"/>
          <w:highlight w:val="none"/>
        </w:rPr>
        <w:t xml:space="preserve"> 日期：      年   月   日 </w:t>
      </w:r>
      <w:r>
        <w:rPr>
          <w:rFonts w:hint="eastAsia"/>
          <w:color w:val="auto"/>
          <w:sz w:val="18"/>
          <w:szCs w:val="18"/>
          <w:highlight w:val="none"/>
        </w:rPr>
        <w:t xml:space="preserve"> </w:t>
      </w:r>
      <w:r>
        <w:rPr>
          <w:rFonts w:hint="eastAsia"/>
          <w:color w:val="auto"/>
          <w:sz w:val="24"/>
          <w:szCs w:val="24"/>
          <w:highlight w:val="none"/>
        </w:rPr>
        <w:t xml:space="preserve">    </w:t>
      </w:r>
    </w:p>
    <w:p w14:paraId="6B53339F">
      <w:pPr>
        <w:pStyle w:val="4"/>
        <w:spacing w:after="0" w:line="360" w:lineRule="auto"/>
        <w:ind w:firstLine="0"/>
        <w:rPr>
          <w:b/>
          <w:color w:val="auto"/>
          <w:sz w:val="32"/>
          <w:szCs w:val="32"/>
          <w:highlight w:val="none"/>
        </w:rPr>
      </w:pPr>
    </w:p>
    <w:p w14:paraId="6909CCC1">
      <w:pPr>
        <w:pStyle w:val="4"/>
        <w:spacing w:after="0" w:line="360" w:lineRule="auto"/>
        <w:ind w:firstLine="643" w:firstLineChars="200"/>
        <w:jc w:val="center"/>
        <w:rPr>
          <w:color w:val="auto"/>
          <w:sz w:val="18"/>
          <w:szCs w:val="18"/>
          <w:highlight w:val="none"/>
        </w:rPr>
      </w:pPr>
      <w:r>
        <w:rPr>
          <w:rFonts w:hint="eastAsia"/>
          <w:b/>
          <w:color w:val="auto"/>
          <w:sz w:val="32"/>
          <w:szCs w:val="32"/>
          <w:highlight w:val="none"/>
        </w:rPr>
        <w:t>投标文件编制情况</w:t>
      </w:r>
    </w:p>
    <w:p w14:paraId="177F8460">
      <w:pPr>
        <w:pStyle w:val="4"/>
        <w:spacing w:after="0"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1.投标文件报价编制方式: □自行编制的，编制的负责人：</w:t>
      </w:r>
      <w:r>
        <w:rPr>
          <w:rFonts w:hint="eastAsia" w:ascii="宋体" w:hAnsi="宋体"/>
          <w:color w:val="auto"/>
          <w:sz w:val="24"/>
          <w:szCs w:val="24"/>
          <w:highlight w:val="none"/>
          <w:u w:val="single"/>
        </w:rPr>
        <w:t xml:space="preserve"> （盖造价工程师执业专用章或全国建设工程造价员章，执业单位应与投标人一致） </w:t>
      </w:r>
      <w:r>
        <w:rPr>
          <w:rFonts w:hint="eastAsia" w:ascii="宋体" w:hAnsi="宋体"/>
          <w:color w:val="auto"/>
          <w:sz w:val="24"/>
          <w:szCs w:val="24"/>
          <w:highlight w:val="none"/>
        </w:rPr>
        <w:t>。□委托编制的，受委托单位</w:t>
      </w:r>
      <w:r>
        <w:rPr>
          <w:rFonts w:hint="eastAsia" w:ascii="宋体" w:hAnsi="宋体"/>
          <w:color w:val="auto"/>
          <w:sz w:val="24"/>
          <w:szCs w:val="24"/>
          <w:highlight w:val="none"/>
          <w:u w:val="single"/>
        </w:rPr>
        <w:t xml:space="preserve">                    </w:t>
      </w:r>
      <w:r>
        <w:rPr>
          <w:rFonts w:hint="eastAsia" w:ascii="宋体" w:hAnsi="宋体"/>
          <w:color w:val="auto"/>
          <w:sz w:val="24"/>
          <w:szCs w:val="24"/>
          <w:highlight w:val="none"/>
        </w:rPr>
        <w:t>，编制的负责人：</w:t>
      </w:r>
      <w:r>
        <w:rPr>
          <w:rFonts w:hint="eastAsia" w:ascii="宋体" w:hAnsi="宋体"/>
          <w:color w:val="auto"/>
          <w:sz w:val="24"/>
          <w:szCs w:val="24"/>
          <w:highlight w:val="none"/>
          <w:u w:val="single"/>
        </w:rPr>
        <w:t xml:space="preserve"> （盖造价工程师执业专用章或全国建设工程造价员章，执业单位应与受委托单位一致） </w:t>
      </w:r>
      <w:r>
        <w:rPr>
          <w:rFonts w:hint="eastAsia" w:ascii="宋体" w:hAnsi="宋体"/>
          <w:color w:val="auto"/>
          <w:sz w:val="24"/>
          <w:szCs w:val="24"/>
          <w:highlight w:val="none"/>
        </w:rPr>
        <w:t>。</w:t>
      </w:r>
    </w:p>
    <w:p w14:paraId="54508E23">
      <w:pPr>
        <w:pStyle w:val="4"/>
        <w:spacing w:after="0"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2.投标文件加密打包的电脑情况</w:t>
      </w:r>
    </w:p>
    <w:tbl>
      <w:tblPr>
        <w:tblStyle w:val="37"/>
        <w:tblW w:w="8306" w:type="dxa"/>
        <w:tblInd w:w="0" w:type="dxa"/>
        <w:tblLayout w:type="fixed"/>
        <w:tblCellMar>
          <w:top w:w="0" w:type="dxa"/>
          <w:left w:w="108" w:type="dxa"/>
          <w:bottom w:w="0" w:type="dxa"/>
          <w:right w:w="108" w:type="dxa"/>
        </w:tblCellMar>
      </w:tblPr>
      <w:tblGrid>
        <w:gridCol w:w="8306"/>
      </w:tblGrid>
      <w:tr w14:paraId="302B7BDB">
        <w:tblPrEx>
          <w:tblCellMar>
            <w:top w:w="0" w:type="dxa"/>
            <w:left w:w="108" w:type="dxa"/>
            <w:bottom w:w="0" w:type="dxa"/>
            <w:right w:w="108" w:type="dxa"/>
          </w:tblCellMar>
        </w:tblPrEx>
        <w:trPr>
          <w:trHeight w:val="2819" w:hRule="atLeast"/>
        </w:trPr>
        <w:tc>
          <w:tcPr>
            <w:tcW w:w="8306" w:type="dxa"/>
            <w:shd w:val="clear" w:color="auto" w:fill="auto"/>
          </w:tcPr>
          <w:p w14:paraId="379AA638">
            <w:pPr>
              <w:pStyle w:val="4"/>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投标文件加密打包的电脑     自有    □      外包    □     其他    □</w:t>
            </w:r>
          </w:p>
          <w:p w14:paraId="4B8E55F5">
            <w:pPr>
              <w:pStyle w:val="4"/>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电脑类型</w:t>
            </w:r>
          </w:p>
          <w:p w14:paraId="0C5E1318">
            <w:pPr>
              <w:pStyle w:val="4"/>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电脑所属单位</w:t>
            </w:r>
          </w:p>
          <w:p w14:paraId="69C6ACB2">
            <w:pPr>
              <w:pStyle w:val="4"/>
              <w:spacing w:after="0" w:line="360" w:lineRule="auto"/>
              <w:ind w:firstLine="0"/>
              <w:rPr>
                <w:rFonts w:ascii="宋体" w:hAnsi="宋体"/>
                <w:color w:val="auto"/>
                <w:sz w:val="24"/>
                <w:szCs w:val="24"/>
                <w:highlight w:val="none"/>
              </w:rPr>
            </w:pPr>
            <w:r>
              <w:rPr>
                <w:rFonts w:hint="eastAsia" w:ascii="宋体" w:hAnsi="宋体"/>
                <w:color w:val="auto"/>
                <w:sz w:val="24"/>
                <w:szCs w:val="24"/>
                <w:highlight w:val="none"/>
              </w:rPr>
              <w:t>电脑所在地址        （如××市××区(县) ××街（路）××号××大厦××房）</w:t>
            </w:r>
          </w:p>
        </w:tc>
      </w:tr>
    </w:tbl>
    <w:p w14:paraId="6F8D1CB8">
      <w:pPr>
        <w:pStyle w:val="98"/>
        <w:spacing w:line="240" w:lineRule="auto"/>
        <w:ind w:left="420" w:right="98" w:firstLine="0"/>
        <w:jc w:val="center"/>
        <w:rPr>
          <w:rFonts w:hint="eastAsia" w:ascii="宋体" w:hAnsi="宋体" w:eastAsia="宋体"/>
          <w:b/>
          <w:color w:val="auto"/>
          <w:szCs w:val="32"/>
          <w:highlight w:val="none"/>
        </w:rPr>
      </w:pPr>
    </w:p>
    <w:p w14:paraId="22FEC290">
      <w:pPr>
        <w:pStyle w:val="98"/>
        <w:spacing w:line="240" w:lineRule="auto"/>
        <w:ind w:left="420" w:right="98" w:firstLine="0"/>
        <w:jc w:val="center"/>
        <w:rPr>
          <w:rFonts w:ascii="宋体" w:hAnsi="宋体" w:eastAsia="宋体"/>
          <w:b/>
          <w:color w:val="auto"/>
          <w:sz w:val="36"/>
          <w:highlight w:val="none"/>
        </w:rPr>
      </w:pPr>
      <w:r>
        <w:rPr>
          <w:rFonts w:hint="eastAsia" w:ascii="宋体" w:hAnsi="宋体" w:eastAsia="宋体"/>
          <w:b/>
          <w:color w:val="auto"/>
          <w:szCs w:val="32"/>
          <w:highlight w:val="none"/>
        </w:rPr>
        <w:t>技术承诺函</w:t>
      </w:r>
    </w:p>
    <w:p w14:paraId="1127188A">
      <w:pPr>
        <w:spacing w:line="360" w:lineRule="auto"/>
        <w:rPr>
          <w:rFonts w:ascii="宋体" w:hAnsi="宋体"/>
          <w:color w:val="auto"/>
          <w:sz w:val="24"/>
          <w:highlight w:val="none"/>
        </w:rPr>
      </w:pPr>
    </w:p>
    <w:p w14:paraId="547D2614">
      <w:pPr>
        <w:spacing w:line="360" w:lineRule="auto"/>
        <w:rPr>
          <w:rFonts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广州市番禺区基本建设投资管理中心</w:t>
      </w:r>
      <w:r>
        <w:rPr>
          <w:rFonts w:hint="eastAsia" w:ascii="宋体" w:hAnsi="宋体"/>
          <w:color w:val="auto"/>
          <w:sz w:val="24"/>
          <w:highlight w:val="none"/>
        </w:rPr>
        <w:t>：</w:t>
      </w:r>
    </w:p>
    <w:p w14:paraId="73D9F2C6">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非常荣幸参加贵方实施的</w:t>
      </w:r>
      <w:r>
        <w:rPr>
          <w:rFonts w:hint="eastAsia" w:ascii="宋体" w:hAnsi="宋体" w:cs="Times New Roman"/>
          <w:color w:val="auto"/>
          <w:sz w:val="24"/>
          <w:szCs w:val="22"/>
          <w:highlight w:val="none"/>
          <w:u w:val="single"/>
          <w:lang w:eastAsia="zh-CN"/>
        </w:rPr>
        <w:t>番禺区南村镇德兴北路（金山大道至园北路）工程施工总承包项目</w:t>
      </w:r>
      <w:r>
        <w:rPr>
          <w:rFonts w:hint="eastAsia" w:ascii="宋体" w:hAnsi="宋体"/>
          <w:color w:val="auto"/>
          <w:sz w:val="24"/>
          <w:highlight w:val="none"/>
        </w:rPr>
        <w:t>的投标活动，若我单位有幸中标，将承诺在施工技术、安全防护、文明施工方面做到如下几点：</w:t>
      </w:r>
    </w:p>
    <w:p w14:paraId="67682B6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严格按招标文件、合同约定、国家有关施工、验收规范要求及该工程招标文件第五章“技术条件（工程建设标准）”要求及我单位编制的经监理单位、发包人及有关部门审批的施工组织设计方案进行施工，保证按质、按量、按时完成施工任务。</w:t>
      </w:r>
    </w:p>
    <w:p w14:paraId="4744D227">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2、保证按我单位拟派的项目负责人全程到位，非经招标人同意，不得更换。</w:t>
      </w:r>
    </w:p>
    <w:p w14:paraId="3D3F1838">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3、保证按工程需要投入相应的施工机械设备。</w:t>
      </w:r>
    </w:p>
    <w:p w14:paraId="5956BF0C">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4、严格按照《建筑施工安全检查标准》（JGJ59-99）及相关的安全防护、文明施工、文明施工法律法规、规章制度及该工程招标文件第五章“技术条件（工程建设标准）”进行安全文明施工。</w:t>
      </w:r>
    </w:p>
    <w:p w14:paraId="035AF4F6">
      <w:pPr>
        <w:spacing w:line="360" w:lineRule="auto"/>
        <w:ind w:right="-108" w:firstLine="6000" w:firstLineChars="2500"/>
        <w:rPr>
          <w:rFonts w:ascii="宋体" w:hAnsi="宋体"/>
          <w:color w:val="auto"/>
          <w:sz w:val="24"/>
          <w:highlight w:val="none"/>
        </w:rPr>
      </w:pPr>
    </w:p>
    <w:p w14:paraId="58A94D2A">
      <w:pPr>
        <w:spacing w:line="360" w:lineRule="auto"/>
        <w:ind w:right="-108" w:firstLine="6000" w:firstLineChars="2500"/>
        <w:rPr>
          <w:rFonts w:ascii="宋体" w:hAnsi="宋体"/>
          <w:color w:val="auto"/>
          <w:sz w:val="24"/>
          <w:highlight w:val="none"/>
        </w:rPr>
      </w:pPr>
    </w:p>
    <w:p w14:paraId="1931A8C4">
      <w:pPr>
        <w:spacing w:line="360" w:lineRule="auto"/>
        <w:ind w:right="-108" w:firstLine="6000" w:firstLineChars="2500"/>
        <w:rPr>
          <w:rFonts w:ascii="宋体" w:hAnsi="宋体"/>
          <w:color w:val="auto"/>
          <w:sz w:val="24"/>
          <w:highlight w:val="none"/>
        </w:rPr>
      </w:pPr>
    </w:p>
    <w:p w14:paraId="6176392D">
      <w:pPr>
        <w:spacing w:line="360" w:lineRule="auto"/>
        <w:ind w:right="-108" w:firstLine="6000" w:firstLineChars="2500"/>
        <w:rPr>
          <w:rFonts w:ascii="宋体" w:hAnsi="宋体"/>
          <w:color w:val="auto"/>
          <w:sz w:val="24"/>
          <w:highlight w:val="none"/>
        </w:rPr>
      </w:pPr>
      <w:r>
        <w:rPr>
          <w:rFonts w:hint="eastAsia" w:ascii="宋体" w:hAnsi="宋体"/>
          <w:color w:val="auto"/>
          <w:sz w:val="24"/>
          <w:highlight w:val="none"/>
        </w:rPr>
        <w:t>投标人（盖公章）：</w:t>
      </w:r>
    </w:p>
    <w:p w14:paraId="35D0E9CE">
      <w:pPr>
        <w:spacing w:line="360" w:lineRule="auto"/>
        <w:ind w:right="-108" w:firstLine="5280" w:firstLineChars="2200"/>
        <w:rPr>
          <w:rFonts w:ascii="宋体" w:hAnsi="宋体"/>
          <w:color w:val="auto"/>
          <w:sz w:val="24"/>
          <w:highlight w:val="none"/>
        </w:rPr>
      </w:pPr>
    </w:p>
    <w:p w14:paraId="6A15FFE7">
      <w:pPr>
        <w:widowControl/>
        <w:wordWrap w:val="0"/>
        <w:jc w:val="right"/>
        <w:rPr>
          <w:rFonts w:ascii="宋体" w:hAnsi="宋体"/>
          <w:color w:val="auto"/>
          <w:sz w:val="24"/>
          <w:highlight w:val="none"/>
        </w:rPr>
      </w:pPr>
      <w:r>
        <w:rPr>
          <w:rFonts w:hint="eastAsia" w:ascii="宋体" w:hAnsi="宋体"/>
          <w:color w:val="auto"/>
          <w:sz w:val="24"/>
          <w:highlight w:val="none"/>
        </w:rPr>
        <w:t xml:space="preserve">                        年   月    日   </w:t>
      </w:r>
    </w:p>
    <w:p w14:paraId="67E0363A">
      <w:pPr>
        <w:spacing w:line="360" w:lineRule="auto"/>
        <w:rPr>
          <w:rFonts w:ascii="宋体" w:hAnsi="宋体"/>
          <w:color w:val="auto"/>
          <w:sz w:val="24"/>
          <w:szCs w:val="24"/>
          <w:highlight w:val="none"/>
        </w:rPr>
      </w:pPr>
      <w:r>
        <w:rPr>
          <w:rFonts w:hint="eastAsia"/>
          <w:color w:val="auto"/>
          <w:szCs w:val="21"/>
          <w:highlight w:val="none"/>
        </w:rPr>
        <w:br w:type="page"/>
      </w:r>
    </w:p>
    <w:p w14:paraId="5D5EC2B0">
      <w:pPr>
        <w:pStyle w:val="4"/>
        <w:spacing w:after="0" w:line="360" w:lineRule="auto"/>
        <w:ind w:left="-2" w:leftChars="-1" w:firstLine="562" w:firstLineChars="175"/>
        <w:jc w:val="center"/>
        <w:rPr>
          <w:rFonts w:ascii="宋体" w:hAnsi="宋体"/>
          <w:b/>
          <w:color w:val="auto"/>
          <w:szCs w:val="32"/>
          <w:highlight w:val="none"/>
        </w:rPr>
      </w:pPr>
      <w:r>
        <w:rPr>
          <w:rFonts w:hint="eastAsia" w:ascii="宋体" w:hAnsi="宋体"/>
          <w:b/>
          <w:color w:val="auto"/>
          <w:sz w:val="32"/>
          <w:szCs w:val="32"/>
          <w:highlight w:val="none"/>
        </w:rPr>
        <w:t>施工项目管理团队人员信息表</w:t>
      </w:r>
    </w:p>
    <w:tbl>
      <w:tblPr>
        <w:tblStyle w:val="37"/>
        <w:tblW w:w="8845" w:type="dxa"/>
        <w:tblInd w:w="-4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87"/>
        <w:gridCol w:w="1280"/>
        <w:gridCol w:w="1560"/>
        <w:gridCol w:w="1857"/>
        <w:gridCol w:w="963"/>
        <w:gridCol w:w="2130"/>
      </w:tblGrid>
      <w:tr w14:paraId="28FB5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768" w:type="dxa"/>
            <w:tcBorders>
              <w:top w:val="single" w:color="auto" w:sz="4" w:space="0"/>
              <w:left w:val="single" w:color="auto" w:sz="4" w:space="0"/>
              <w:bottom w:val="single" w:color="auto" w:sz="4" w:space="0"/>
              <w:right w:val="single" w:color="auto" w:sz="4" w:space="0"/>
            </w:tcBorders>
            <w:vAlign w:val="center"/>
          </w:tcPr>
          <w:p w14:paraId="53CF9DCC">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序号</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4A67A666">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姓名</w:t>
            </w:r>
          </w:p>
        </w:tc>
        <w:tc>
          <w:tcPr>
            <w:tcW w:w="1560" w:type="dxa"/>
            <w:tcBorders>
              <w:top w:val="single" w:color="auto" w:sz="4" w:space="0"/>
              <w:left w:val="single" w:color="auto" w:sz="4" w:space="0"/>
              <w:bottom w:val="single" w:color="auto" w:sz="4" w:space="0"/>
              <w:right w:val="single" w:color="auto" w:sz="4" w:space="0"/>
            </w:tcBorders>
            <w:vAlign w:val="center"/>
          </w:tcPr>
          <w:p w14:paraId="709A2933">
            <w:pPr>
              <w:spacing w:line="360" w:lineRule="auto"/>
              <w:jc w:val="center"/>
              <w:rPr>
                <w:rFonts w:ascii="宋体" w:hAnsi="宋体"/>
                <w:color w:val="auto"/>
                <w:sz w:val="24"/>
                <w:highlight w:val="none"/>
              </w:rPr>
            </w:pPr>
            <w:r>
              <w:rPr>
                <w:rFonts w:hint="eastAsia" w:ascii="宋体" w:hAnsi="宋体"/>
                <w:color w:val="auto"/>
                <w:sz w:val="24"/>
                <w:highlight w:val="none"/>
              </w:rPr>
              <w:t>身份证号码</w:t>
            </w:r>
          </w:p>
        </w:tc>
        <w:tc>
          <w:tcPr>
            <w:tcW w:w="1857" w:type="dxa"/>
            <w:tcBorders>
              <w:top w:val="single" w:color="auto" w:sz="4" w:space="0"/>
              <w:left w:val="single" w:color="auto" w:sz="4" w:space="0"/>
              <w:bottom w:val="single" w:color="auto" w:sz="4" w:space="0"/>
              <w:right w:val="single" w:color="auto" w:sz="4" w:space="0"/>
            </w:tcBorders>
            <w:vAlign w:val="center"/>
          </w:tcPr>
          <w:p w14:paraId="5C803B8B">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岗位</w:t>
            </w:r>
          </w:p>
        </w:tc>
        <w:tc>
          <w:tcPr>
            <w:tcW w:w="963" w:type="dxa"/>
            <w:tcBorders>
              <w:top w:val="single" w:color="auto" w:sz="4" w:space="0"/>
              <w:left w:val="single" w:color="auto" w:sz="4" w:space="0"/>
              <w:bottom w:val="single" w:color="auto" w:sz="4" w:space="0"/>
              <w:right w:val="single" w:color="auto" w:sz="4" w:space="0"/>
            </w:tcBorders>
            <w:vAlign w:val="center"/>
          </w:tcPr>
          <w:p w14:paraId="365423EC">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职称</w:t>
            </w:r>
          </w:p>
        </w:tc>
        <w:tc>
          <w:tcPr>
            <w:tcW w:w="2130" w:type="dxa"/>
            <w:tcBorders>
              <w:top w:val="single" w:color="auto" w:sz="4" w:space="0"/>
              <w:left w:val="single" w:color="auto" w:sz="4" w:space="0"/>
              <w:bottom w:val="single" w:color="auto" w:sz="4" w:space="0"/>
              <w:right w:val="single" w:color="auto" w:sz="4" w:space="0"/>
            </w:tcBorders>
            <w:vAlign w:val="center"/>
          </w:tcPr>
          <w:p w14:paraId="36CD396F">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职称证</w:t>
            </w:r>
            <w:r>
              <w:rPr>
                <w:rFonts w:hint="eastAsia" w:ascii="宋体" w:hAnsi="宋体" w:eastAsia="宋体"/>
                <w:color w:val="auto"/>
                <w:sz w:val="24"/>
                <w:highlight w:val="none"/>
                <w:lang w:eastAsia="zh-CN"/>
              </w:rPr>
              <w:t>书</w:t>
            </w:r>
            <w:r>
              <w:rPr>
                <w:rFonts w:hint="default" w:ascii="宋体" w:hAnsi="宋体" w:eastAsia="Times New Roman"/>
                <w:color w:val="auto"/>
                <w:sz w:val="24"/>
                <w:highlight w:val="none"/>
                <w:lang w:val="en-US"/>
              </w:rPr>
              <w:t>或</w:t>
            </w:r>
            <w:r>
              <w:rPr>
                <w:rFonts w:hint="eastAsia" w:ascii="宋体" w:hAnsi="宋体" w:eastAsia="Times New Roman"/>
                <w:color w:val="auto"/>
                <w:sz w:val="24"/>
                <w:highlight w:val="none"/>
              </w:rPr>
              <w:t>资格证书编号</w:t>
            </w:r>
          </w:p>
        </w:tc>
      </w:tr>
      <w:tr w14:paraId="5ACC0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vAlign w:val="center"/>
          </w:tcPr>
          <w:p w14:paraId="48DD47B3">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1</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24F3823A">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7790E72C">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6599A5F4">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项目负责人</w:t>
            </w:r>
          </w:p>
        </w:tc>
        <w:tc>
          <w:tcPr>
            <w:tcW w:w="963" w:type="dxa"/>
            <w:tcBorders>
              <w:top w:val="single" w:color="auto" w:sz="4" w:space="0"/>
              <w:left w:val="single" w:color="auto" w:sz="4" w:space="0"/>
              <w:bottom w:val="single" w:color="auto" w:sz="4" w:space="0"/>
              <w:right w:val="single" w:color="auto" w:sz="4" w:space="0"/>
            </w:tcBorders>
            <w:vAlign w:val="center"/>
          </w:tcPr>
          <w:p w14:paraId="61B1AFE7">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11681405">
            <w:pPr>
              <w:spacing w:line="360" w:lineRule="auto"/>
              <w:jc w:val="center"/>
              <w:rPr>
                <w:rFonts w:ascii="宋体" w:hAnsi="宋体" w:eastAsia="Times New Roman"/>
                <w:color w:val="auto"/>
                <w:sz w:val="24"/>
                <w:highlight w:val="none"/>
              </w:rPr>
            </w:pPr>
          </w:p>
        </w:tc>
      </w:tr>
      <w:tr w14:paraId="030A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vAlign w:val="center"/>
          </w:tcPr>
          <w:p w14:paraId="76EAD18F">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2</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113F26F7">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169AE885">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0BE70F42">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技术负责人</w:t>
            </w:r>
          </w:p>
        </w:tc>
        <w:tc>
          <w:tcPr>
            <w:tcW w:w="963" w:type="dxa"/>
            <w:tcBorders>
              <w:top w:val="single" w:color="auto" w:sz="4" w:space="0"/>
              <w:left w:val="single" w:color="auto" w:sz="4" w:space="0"/>
              <w:bottom w:val="single" w:color="auto" w:sz="4" w:space="0"/>
              <w:right w:val="single" w:color="auto" w:sz="4" w:space="0"/>
            </w:tcBorders>
            <w:vAlign w:val="center"/>
          </w:tcPr>
          <w:p w14:paraId="6AE16C98">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18FE2B32">
            <w:pPr>
              <w:spacing w:line="360" w:lineRule="auto"/>
              <w:jc w:val="center"/>
              <w:rPr>
                <w:rFonts w:ascii="宋体" w:hAnsi="宋体" w:eastAsia="Times New Roman"/>
                <w:color w:val="auto"/>
                <w:sz w:val="24"/>
                <w:highlight w:val="none"/>
              </w:rPr>
            </w:pPr>
          </w:p>
        </w:tc>
      </w:tr>
      <w:tr w14:paraId="715A0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vAlign w:val="center"/>
          </w:tcPr>
          <w:p w14:paraId="01FE5F8B">
            <w:pPr>
              <w:spacing w:line="360" w:lineRule="auto"/>
              <w:jc w:val="center"/>
              <w:rPr>
                <w:rFonts w:ascii="宋体" w:hAnsi="宋体"/>
                <w:color w:val="auto"/>
                <w:sz w:val="24"/>
                <w:highlight w:val="none"/>
              </w:rPr>
            </w:pPr>
            <w:r>
              <w:rPr>
                <w:rFonts w:hint="eastAsia" w:ascii="宋体" w:hAnsi="宋体"/>
                <w:color w:val="auto"/>
                <w:sz w:val="24"/>
                <w:highlight w:val="none"/>
              </w:rPr>
              <w:t>3</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546A017B">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5A8F1A2D">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5A22D5ED">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造价负责人</w:t>
            </w:r>
          </w:p>
        </w:tc>
        <w:tc>
          <w:tcPr>
            <w:tcW w:w="963" w:type="dxa"/>
            <w:tcBorders>
              <w:top w:val="single" w:color="auto" w:sz="4" w:space="0"/>
              <w:left w:val="single" w:color="auto" w:sz="4" w:space="0"/>
              <w:bottom w:val="single" w:color="auto" w:sz="4" w:space="0"/>
              <w:right w:val="single" w:color="auto" w:sz="4" w:space="0"/>
            </w:tcBorders>
            <w:vAlign w:val="center"/>
          </w:tcPr>
          <w:p w14:paraId="337071E5">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60FA7F0E">
            <w:pPr>
              <w:spacing w:line="360" w:lineRule="auto"/>
              <w:jc w:val="center"/>
              <w:rPr>
                <w:rFonts w:ascii="宋体" w:hAnsi="宋体" w:eastAsia="Times New Roman"/>
                <w:color w:val="auto"/>
                <w:sz w:val="24"/>
                <w:highlight w:val="none"/>
              </w:rPr>
            </w:pPr>
          </w:p>
        </w:tc>
      </w:tr>
      <w:tr w14:paraId="0B88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vAlign w:val="center"/>
          </w:tcPr>
          <w:p w14:paraId="7B6848A9">
            <w:pPr>
              <w:spacing w:line="360" w:lineRule="auto"/>
              <w:jc w:val="center"/>
              <w:rPr>
                <w:rFonts w:ascii="宋体" w:hAnsi="宋体"/>
                <w:color w:val="auto"/>
                <w:sz w:val="24"/>
                <w:highlight w:val="none"/>
              </w:rPr>
            </w:pPr>
            <w:r>
              <w:rPr>
                <w:rFonts w:hint="eastAsia" w:ascii="宋体" w:hAnsi="宋体"/>
                <w:color w:val="auto"/>
                <w:sz w:val="24"/>
                <w:highlight w:val="none"/>
              </w:rPr>
              <w:t>4</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387CDABC">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600FA587">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3D3E5C56">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施工员</w:t>
            </w:r>
          </w:p>
        </w:tc>
        <w:tc>
          <w:tcPr>
            <w:tcW w:w="963" w:type="dxa"/>
            <w:tcBorders>
              <w:top w:val="single" w:color="auto" w:sz="4" w:space="0"/>
              <w:left w:val="single" w:color="auto" w:sz="4" w:space="0"/>
              <w:bottom w:val="single" w:color="auto" w:sz="4" w:space="0"/>
              <w:right w:val="single" w:color="auto" w:sz="4" w:space="0"/>
            </w:tcBorders>
            <w:vAlign w:val="center"/>
          </w:tcPr>
          <w:p w14:paraId="375E325F">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300C358E">
            <w:pPr>
              <w:spacing w:line="360" w:lineRule="auto"/>
              <w:jc w:val="center"/>
              <w:rPr>
                <w:rFonts w:ascii="宋体" w:hAnsi="宋体" w:eastAsia="Times New Roman"/>
                <w:color w:val="auto"/>
                <w:sz w:val="24"/>
                <w:highlight w:val="none"/>
              </w:rPr>
            </w:pPr>
          </w:p>
        </w:tc>
      </w:tr>
      <w:tr w14:paraId="7EFB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vAlign w:val="center"/>
          </w:tcPr>
          <w:p w14:paraId="6757E785">
            <w:pPr>
              <w:spacing w:line="360" w:lineRule="auto"/>
              <w:jc w:val="center"/>
              <w:rPr>
                <w:rFonts w:ascii="宋体" w:hAnsi="宋体"/>
                <w:color w:val="auto"/>
                <w:sz w:val="24"/>
                <w:highlight w:val="none"/>
              </w:rPr>
            </w:pPr>
            <w:r>
              <w:rPr>
                <w:rFonts w:hint="eastAsia" w:ascii="宋体" w:hAnsi="宋体"/>
                <w:color w:val="auto"/>
                <w:sz w:val="24"/>
                <w:highlight w:val="none"/>
              </w:rPr>
              <w:t>5</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5479E10F">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0D654375">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4B4256D8">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施工员</w:t>
            </w:r>
          </w:p>
        </w:tc>
        <w:tc>
          <w:tcPr>
            <w:tcW w:w="963" w:type="dxa"/>
            <w:tcBorders>
              <w:top w:val="single" w:color="auto" w:sz="4" w:space="0"/>
              <w:left w:val="single" w:color="auto" w:sz="4" w:space="0"/>
              <w:bottom w:val="single" w:color="auto" w:sz="4" w:space="0"/>
              <w:right w:val="single" w:color="auto" w:sz="4" w:space="0"/>
            </w:tcBorders>
            <w:vAlign w:val="center"/>
          </w:tcPr>
          <w:p w14:paraId="3B9AC6AB">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599CAEEB">
            <w:pPr>
              <w:spacing w:line="360" w:lineRule="auto"/>
              <w:jc w:val="center"/>
              <w:rPr>
                <w:rFonts w:ascii="宋体" w:hAnsi="宋体" w:eastAsia="Times New Roman"/>
                <w:color w:val="auto"/>
                <w:sz w:val="24"/>
                <w:highlight w:val="none"/>
              </w:rPr>
            </w:pPr>
          </w:p>
        </w:tc>
      </w:tr>
      <w:tr w14:paraId="2DFD9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vAlign w:val="center"/>
          </w:tcPr>
          <w:p w14:paraId="66E973DD">
            <w:pPr>
              <w:spacing w:line="360" w:lineRule="auto"/>
              <w:jc w:val="center"/>
              <w:rPr>
                <w:rFonts w:ascii="宋体" w:hAnsi="宋体"/>
                <w:color w:val="auto"/>
                <w:sz w:val="24"/>
                <w:highlight w:val="none"/>
              </w:rPr>
            </w:pPr>
            <w:r>
              <w:rPr>
                <w:rFonts w:hint="eastAsia" w:ascii="宋体" w:hAnsi="宋体"/>
                <w:color w:val="auto"/>
                <w:sz w:val="24"/>
                <w:highlight w:val="none"/>
              </w:rPr>
              <w:t>6</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5BA94903">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5CAE2330">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5715B867">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质量负责人（质量检查员）</w:t>
            </w:r>
          </w:p>
        </w:tc>
        <w:tc>
          <w:tcPr>
            <w:tcW w:w="963" w:type="dxa"/>
            <w:tcBorders>
              <w:top w:val="single" w:color="auto" w:sz="4" w:space="0"/>
              <w:left w:val="single" w:color="auto" w:sz="4" w:space="0"/>
              <w:bottom w:val="single" w:color="auto" w:sz="4" w:space="0"/>
              <w:right w:val="single" w:color="auto" w:sz="4" w:space="0"/>
            </w:tcBorders>
            <w:vAlign w:val="center"/>
          </w:tcPr>
          <w:p w14:paraId="24848225">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21107D5A">
            <w:pPr>
              <w:spacing w:line="360" w:lineRule="auto"/>
              <w:jc w:val="center"/>
              <w:rPr>
                <w:rFonts w:ascii="宋体" w:hAnsi="宋体" w:eastAsia="Times New Roman"/>
                <w:color w:val="auto"/>
                <w:sz w:val="24"/>
                <w:highlight w:val="none"/>
              </w:rPr>
            </w:pPr>
          </w:p>
        </w:tc>
      </w:tr>
      <w:tr w14:paraId="41D0A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vAlign w:val="center"/>
          </w:tcPr>
          <w:p w14:paraId="4D4DC234">
            <w:pPr>
              <w:spacing w:line="360" w:lineRule="auto"/>
              <w:jc w:val="center"/>
              <w:rPr>
                <w:rFonts w:ascii="宋体" w:hAnsi="宋体"/>
                <w:color w:val="auto"/>
                <w:sz w:val="24"/>
                <w:highlight w:val="none"/>
              </w:rPr>
            </w:pPr>
            <w:r>
              <w:rPr>
                <w:rFonts w:hint="eastAsia" w:ascii="宋体" w:hAnsi="宋体"/>
                <w:color w:val="auto"/>
                <w:sz w:val="24"/>
                <w:highlight w:val="none"/>
              </w:rPr>
              <w:t>7</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61A692C6">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1DCA89F3">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5C5C32A6">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安全负责人（专职安全员）</w:t>
            </w:r>
          </w:p>
        </w:tc>
        <w:tc>
          <w:tcPr>
            <w:tcW w:w="963" w:type="dxa"/>
            <w:tcBorders>
              <w:top w:val="single" w:color="auto" w:sz="4" w:space="0"/>
              <w:left w:val="single" w:color="auto" w:sz="4" w:space="0"/>
              <w:bottom w:val="single" w:color="auto" w:sz="4" w:space="0"/>
              <w:right w:val="single" w:color="auto" w:sz="4" w:space="0"/>
            </w:tcBorders>
            <w:vAlign w:val="center"/>
          </w:tcPr>
          <w:p w14:paraId="2FCE0B0D">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5A4FEF31">
            <w:pPr>
              <w:spacing w:line="360" w:lineRule="auto"/>
              <w:jc w:val="center"/>
              <w:rPr>
                <w:rFonts w:ascii="宋体" w:hAnsi="宋体" w:eastAsia="Times New Roman"/>
                <w:color w:val="auto"/>
                <w:sz w:val="24"/>
                <w:highlight w:val="none"/>
              </w:rPr>
            </w:pPr>
          </w:p>
        </w:tc>
      </w:tr>
      <w:tr w14:paraId="78D2E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vAlign w:val="center"/>
          </w:tcPr>
          <w:p w14:paraId="3129188F">
            <w:pPr>
              <w:spacing w:line="360" w:lineRule="auto"/>
              <w:jc w:val="center"/>
              <w:rPr>
                <w:rFonts w:ascii="宋体" w:hAnsi="宋体"/>
                <w:color w:val="auto"/>
                <w:sz w:val="24"/>
                <w:highlight w:val="none"/>
              </w:rPr>
            </w:pPr>
            <w:r>
              <w:rPr>
                <w:rFonts w:hint="eastAsia" w:ascii="宋体" w:hAnsi="宋体"/>
                <w:color w:val="auto"/>
                <w:sz w:val="24"/>
                <w:highlight w:val="none"/>
              </w:rPr>
              <w:t>8</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5935FFF3">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30345229">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5CEB2D29">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材料员</w:t>
            </w:r>
          </w:p>
        </w:tc>
        <w:tc>
          <w:tcPr>
            <w:tcW w:w="963" w:type="dxa"/>
            <w:tcBorders>
              <w:top w:val="single" w:color="auto" w:sz="4" w:space="0"/>
              <w:left w:val="single" w:color="auto" w:sz="4" w:space="0"/>
              <w:bottom w:val="single" w:color="auto" w:sz="4" w:space="0"/>
              <w:right w:val="single" w:color="auto" w:sz="4" w:space="0"/>
            </w:tcBorders>
            <w:vAlign w:val="center"/>
          </w:tcPr>
          <w:p w14:paraId="5934A9FE">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453428F1">
            <w:pPr>
              <w:spacing w:line="360" w:lineRule="auto"/>
              <w:jc w:val="center"/>
              <w:rPr>
                <w:rFonts w:ascii="宋体" w:hAnsi="宋体" w:eastAsia="Times New Roman"/>
                <w:color w:val="auto"/>
                <w:sz w:val="24"/>
                <w:highlight w:val="none"/>
              </w:rPr>
            </w:pPr>
          </w:p>
        </w:tc>
      </w:tr>
      <w:tr w14:paraId="36E1A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vAlign w:val="center"/>
          </w:tcPr>
          <w:p w14:paraId="71F1AE3E">
            <w:pPr>
              <w:spacing w:line="360" w:lineRule="auto"/>
              <w:jc w:val="center"/>
              <w:rPr>
                <w:rFonts w:ascii="宋体" w:hAnsi="宋体"/>
                <w:color w:val="auto"/>
                <w:sz w:val="24"/>
                <w:highlight w:val="none"/>
              </w:rPr>
            </w:pPr>
            <w:r>
              <w:rPr>
                <w:rFonts w:hint="eastAsia" w:ascii="宋体" w:hAnsi="宋体"/>
                <w:color w:val="auto"/>
                <w:sz w:val="24"/>
                <w:highlight w:val="none"/>
              </w:rPr>
              <w:t>9</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0727B2E9">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26B9AB12">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6B6F815C">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预算员</w:t>
            </w:r>
          </w:p>
        </w:tc>
        <w:tc>
          <w:tcPr>
            <w:tcW w:w="963" w:type="dxa"/>
            <w:tcBorders>
              <w:top w:val="single" w:color="auto" w:sz="4" w:space="0"/>
              <w:left w:val="single" w:color="auto" w:sz="4" w:space="0"/>
              <w:bottom w:val="single" w:color="auto" w:sz="4" w:space="0"/>
              <w:right w:val="single" w:color="auto" w:sz="4" w:space="0"/>
            </w:tcBorders>
            <w:vAlign w:val="center"/>
          </w:tcPr>
          <w:p w14:paraId="09864D39">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5089BFBB">
            <w:pPr>
              <w:spacing w:line="360" w:lineRule="auto"/>
              <w:jc w:val="center"/>
              <w:rPr>
                <w:rFonts w:ascii="宋体" w:hAnsi="宋体" w:eastAsia="Times New Roman"/>
                <w:color w:val="auto"/>
                <w:sz w:val="24"/>
                <w:highlight w:val="none"/>
              </w:rPr>
            </w:pPr>
          </w:p>
        </w:tc>
      </w:tr>
      <w:tr w14:paraId="2EB0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vAlign w:val="center"/>
          </w:tcPr>
          <w:p w14:paraId="5716E3D8">
            <w:pPr>
              <w:spacing w:line="360" w:lineRule="auto"/>
              <w:jc w:val="center"/>
              <w:rPr>
                <w:rFonts w:ascii="宋体" w:hAnsi="宋体"/>
                <w:color w:val="auto"/>
                <w:sz w:val="24"/>
                <w:highlight w:val="none"/>
              </w:rPr>
            </w:pPr>
            <w:r>
              <w:rPr>
                <w:rFonts w:hint="eastAsia" w:ascii="宋体" w:hAnsi="宋体"/>
                <w:color w:val="auto"/>
                <w:sz w:val="24"/>
                <w:highlight w:val="none"/>
              </w:rPr>
              <w:t>10</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74184B8D">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32952608">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5998CC25">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资料员</w:t>
            </w:r>
          </w:p>
        </w:tc>
        <w:tc>
          <w:tcPr>
            <w:tcW w:w="963" w:type="dxa"/>
            <w:tcBorders>
              <w:top w:val="single" w:color="auto" w:sz="4" w:space="0"/>
              <w:left w:val="single" w:color="auto" w:sz="4" w:space="0"/>
              <w:bottom w:val="single" w:color="auto" w:sz="4" w:space="0"/>
              <w:right w:val="single" w:color="auto" w:sz="4" w:space="0"/>
            </w:tcBorders>
            <w:vAlign w:val="center"/>
          </w:tcPr>
          <w:p w14:paraId="74A20C94">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6C636EC3">
            <w:pPr>
              <w:spacing w:line="360" w:lineRule="auto"/>
              <w:jc w:val="center"/>
              <w:rPr>
                <w:rFonts w:ascii="宋体" w:hAnsi="宋体" w:eastAsia="Times New Roman"/>
                <w:color w:val="auto"/>
                <w:sz w:val="24"/>
                <w:highlight w:val="none"/>
              </w:rPr>
            </w:pPr>
          </w:p>
        </w:tc>
      </w:tr>
      <w:tr w14:paraId="5A4C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768" w:type="dxa"/>
            <w:tcBorders>
              <w:top w:val="single" w:color="auto" w:sz="4" w:space="0"/>
              <w:left w:val="single" w:color="auto" w:sz="4" w:space="0"/>
              <w:bottom w:val="single" w:color="auto" w:sz="4" w:space="0"/>
              <w:right w:val="single" w:color="auto" w:sz="4" w:space="0"/>
            </w:tcBorders>
            <w:vAlign w:val="center"/>
          </w:tcPr>
          <w:p w14:paraId="6AB4E312">
            <w:pPr>
              <w:spacing w:line="360" w:lineRule="auto"/>
              <w:jc w:val="center"/>
              <w:rPr>
                <w:rFonts w:ascii="宋体" w:hAnsi="宋体" w:eastAsia="Times New Roman"/>
                <w:color w:val="auto"/>
                <w:sz w:val="24"/>
                <w:highlight w:val="none"/>
              </w:rPr>
            </w:pPr>
            <w:r>
              <w:rPr>
                <w:rFonts w:hint="eastAsia" w:ascii="宋体" w:hAnsi="宋体" w:eastAsia="Times New Roman"/>
                <w:color w:val="auto"/>
                <w:sz w:val="24"/>
                <w:highlight w:val="none"/>
              </w:rPr>
              <w:t>...</w:t>
            </w:r>
          </w:p>
        </w:tc>
        <w:tc>
          <w:tcPr>
            <w:tcW w:w="1567" w:type="dxa"/>
            <w:gridSpan w:val="2"/>
            <w:tcBorders>
              <w:top w:val="single" w:color="auto" w:sz="4" w:space="0"/>
              <w:left w:val="single" w:color="auto" w:sz="4" w:space="0"/>
              <w:bottom w:val="single" w:color="auto" w:sz="4" w:space="0"/>
              <w:right w:val="single" w:color="auto" w:sz="4" w:space="0"/>
            </w:tcBorders>
            <w:vAlign w:val="center"/>
          </w:tcPr>
          <w:p w14:paraId="13C34260">
            <w:pPr>
              <w:spacing w:line="360" w:lineRule="auto"/>
              <w:jc w:val="center"/>
              <w:rPr>
                <w:rFonts w:ascii="宋体" w:hAnsi="宋体" w:eastAsia="Times New Roman"/>
                <w:color w:val="auto"/>
                <w:sz w:val="24"/>
                <w:highlight w:val="none"/>
              </w:rPr>
            </w:pPr>
          </w:p>
        </w:tc>
        <w:tc>
          <w:tcPr>
            <w:tcW w:w="1560" w:type="dxa"/>
            <w:tcBorders>
              <w:top w:val="single" w:color="auto" w:sz="4" w:space="0"/>
              <w:left w:val="single" w:color="auto" w:sz="4" w:space="0"/>
              <w:bottom w:val="single" w:color="auto" w:sz="4" w:space="0"/>
              <w:right w:val="single" w:color="auto" w:sz="4" w:space="0"/>
            </w:tcBorders>
            <w:vAlign w:val="center"/>
          </w:tcPr>
          <w:p w14:paraId="34EF25CF">
            <w:pPr>
              <w:spacing w:line="360" w:lineRule="auto"/>
              <w:jc w:val="center"/>
              <w:rPr>
                <w:rFonts w:ascii="宋体" w:hAnsi="宋体" w:eastAsia="Times New Roman"/>
                <w:color w:val="auto"/>
                <w:sz w:val="24"/>
                <w:highlight w:val="none"/>
              </w:rPr>
            </w:pPr>
          </w:p>
        </w:tc>
        <w:tc>
          <w:tcPr>
            <w:tcW w:w="1857" w:type="dxa"/>
            <w:tcBorders>
              <w:top w:val="single" w:color="auto" w:sz="4" w:space="0"/>
              <w:left w:val="single" w:color="auto" w:sz="4" w:space="0"/>
              <w:bottom w:val="single" w:color="auto" w:sz="4" w:space="0"/>
              <w:right w:val="single" w:color="auto" w:sz="4" w:space="0"/>
            </w:tcBorders>
            <w:vAlign w:val="center"/>
          </w:tcPr>
          <w:p w14:paraId="0294BD0E">
            <w:pPr>
              <w:spacing w:line="360" w:lineRule="auto"/>
              <w:jc w:val="center"/>
              <w:rPr>
                <w:rFonts w:ascii="宋体" w:hAnsi="宋体" w:eastAsia="Times New Roman"/>
                <w:color w:val="auto"/>
                <w:sz w:val="24"/>
                <w:highlight w:val="none"/>
              </w:rPr>
            </w:pPr>
          </w:p>
        </w:tc>
        <w:tc>
          <w:tcPr>
            <w:tcW w:w="963" w:type="dxa"/>
            <w:tcBorders>
              <w:top w:val="single" w:color="auto" w:sz="4" w:space="0"/>
              <w:left w:val="single" w:color="auto" w:sz="4" w:space="0"/>
              <w:bottom w:val="single" w:color="auto" w:sz="4" w:space="0"/>
              <w:right w:val="single" w:color="auto" w:sz="4" w:space="0"/>
            </w:tcBorders>
            <w:vAlign w:val="center"/>
          </w:tcPr>
          <w:p w14:paraId="06BB7F3C">
            <w:pPr>
              <w:spacing w:line="360" w:lineRule="auto"/>
              <w:jc w:val="center"/>
              <w:rPr>
                <w:rFonts w:ascii="宋体" w:hAnsi="宋体" w:eastAsia="Times New Roman"/>
                <w:color w:val="auto"/>
                <w:sz w:val="24"/>
                <w:highlight w:val="none"/>
              </w:rPr>
            </w:pPr>
          </w:p>
        </w:tc>
        <w:tc>
          <w:tcPr>
            <w:tcW w:w="2130" w:type="dxa"/>
            <w:tcBorders>
              <w:top w:val="single" w:color="auto" w:sz="4" w:space="0"/>
              <w:left w:val="single" w:color="auto" w:sz="4" w:space="0"/>
              <w:bottom w:val="single" w:color="auto" w:sz="4" w:space="0"/>
              <w:right w:val="single" w:color="auto" w:sz="4" w:space="0"/>
            </w:tcBorders>
            <w:vAlign w:val="center"/>
          </w:tcPr>
          <w:p w14:paraId="69268026">
            <w:pPr>
              <w:spacing w:line="360" w:lineRule="auto"/>
              <w:jc w:val="center"/>
              <w:rPr>
                <w:rFonts w:ascii="宋体" w:hAnsi="宋体" w:eastAsia="Times New Roman"/>
                <w:color w:val="auto"/>
                <w:sz w:val="24"/>
                <w:highlight w:val="none"/>
              </w:rPr>
            </w:pPr>
          </w:p>
        </w:tc>
      </w:tr>
      <w:tr w14:paraId="44E67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5" w:type="dxa"/>
            <w:gridSpan w:val="2"/>
            <w:tcBorders>
              <w:top w:val="single" w:color="auto" w:sz="4" w:space="0"/>
              <w:left w:val="single" w:color="auto" w:sz="4" w:space="0"/>
              <w:bottom w:val="single" w:color="auto" w:sz="4" w:space="0"/>
              <w:right w:val="single" w:color="auto" w:sz="4" w:space="0"/>
            </w:tcBorders>
            <w:vAlign w:val="center"/>
          </w:tcPr>
          <w:p w14:paraId="1A1D9878">
            <w:pPr>
              <w:spacing w:line="360" w:lineRule="auto"/>
              <w:jc w:val="left"/>
              <w:rPr>
                <w:rFonts w:ascii="宋体" w:hAnsi="宋体" w:eastAsia="Times New Roman"/>
                <w:color w:val="auto"/>
                <w:szCs w:val="21"/>
                <w:highlight w:val="none"/>
              </w:rPr>
            </w:pPr>
          </w:p>
        </w:tc>
        <w:tc>
          <w:tcPr>
            <w:tcW w:w="7790" w:type="dxa"/>
            <w:gridSpan w:val="5"/>
            <w:tcBorders>
              <w:top w:val="single" w:color="auto" w:sz="4" w:space="0"/>
              <w:left w:val="single" w:color="auto" w:sz="4" w:space="0"/>
              <w:bottom w:val="single" w:color="auto" w:sz="4" w:space="0"/>
              <w:right w:val="single" w:color="auto" w:sz="4" w:space="0"/>
            </w:tcBorders>
            <w:vAlign w:val="center"/>
          </w:tcPr>
          <w:p w14:paraId="13659297">
            <w:pPr>
              <w:spacing w:line="360" w:lineRule="auto"/>
              <w:jc w:val="left"/>
              <w:rPr>
                <w:rFonts w:ascii="宋体" w:hAnsi="宋体"/>
                <w:color w:val="auto"/>
                <w:szCs w:val="21"/>
                <w:highlight w:val="none"/>
              </w:rPr>
            </w:pPr>
            <w:r>
              <w:rPr>
                <w:rFonts w:hint="eastAsia" w:ascii="宋体" w:hAnsi="宋体" w:eastAsia="Times New Roman"/>
                <w:color w:val="auto"/>
                <w:szCs w:val="21"/>
                <w:highlight w:val="none"/>
              </w:rPr>
              <w:t>备注：1、“岗位”要求（除项目负责人和专职安全员外）由招标人根据项目管理需要在本表备注中明确提出，如：拟派驻施工现场的指挥长、技术负责人、造价负责人、施工员、质量负责人、安全负责人、资料员等。以上项目管理团队人员信息将由交易系统提取后供各相关单位在履约时比对、查核。</w:t>
            </w:r>
          </w:p>
          <w:p w14:paraId="78DAD06F">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2、投标人应根据本表备注中的“岗位”要求，填写本表“岗位”栏和相关人员“姓名”、“职称”和“</w:t>
            </w:r>
            <w:r>
              <w:rPr>
                <w:rFonts w:hint="eastAsia" w:ascii="宋体" w:hAnsi="宋体" w:eastAsia="Times New Roman"/>
                <w:color w:val="auto"/>
                <w:sz w:val="21"/>
                <w:szCs w:val="21"/>
                <w:highlight w:val="none"/>
              </w:rPr>
              <w:t>职称证</w:t>
            </w:r>
            <w:r>
              <w:rPr>
                <w:rFonts w:hint="eastAsia" w:ascii="宋体" w:hAnsi="宋体" w:eastAsia="宋体"/>
                <w:color w:val="auto"/>
                <w:sz w:val="21"/>
                <w:szCs w:val="21"/>
                <w:highlight w:val="none"/>
                <w:lang w:eastAsia="zh-CN"/>
              </w:rPr>
              <w:t>书或</w:t>
            </w:r>
            <w:r>
              <w:rPr>
                <w:rFonts w:hint="eastAsia" w:ascii="宋体" w:hAnsi="宋体" w:eastAsia="Times New Roman"/>
                <w:color w:val="auto"/>
                <w:sz w:val="21"/>
                <w:szCs w:val="21"/>
                <w:highlight w:val="none"/>
              </w:rPr>
              <w:t>资格证书编号</w:t>
            </w:r>
            <w:r>
              <w:rPr>
                <w:rFonts w:hint="eastAsia" w:ascii="宋体" w:hAnsi="宋体" w:eastAsia="Times New Roman"/>
                <w:color w:val="auto"/>
                <w:szCs w:val="21"/>
                <w:highlight w:val="none"/>
              </w:rPr>
              <w:t>”栏。“职称”栏填“高级”、“中级”、“初级”或“无”；无职称证书或资格证书的，“职称证书或资格证书编号”栏填“无”；同时具备职称证书和资格证书的，“职称证书或资格证书编号”栏填职称证书编号。投标人完整填写相关表格内容后，投标登记方能成功(投标截止时间前可以补充、修改、替代)。</w:t>
            </w:r>
          </w:p>
          <w:p w14:paraId="487F3F6E">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3、如评标办法对投标人拟投入的项目管理团队进行评审的，如相同岗位投入人员姓名与本表不一致的，以本表中姓名为准；投标人提供的团队人员职称或资格（含证书编号）情况与本表不一致的，以投标人提供的相关证明材料为准。</w:t>
            </w:r>
          </w:p>
          <w:p w14:paraId="2B98E2D9">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4、“职务”和“配备最低人数要求”栏目由招标人填写，其他栏目内容由投标单位按本工程要求配备人员填写上表并盖章确认。</w:t>
            </w:r>
          </w:p>
          <w:p w14:paraId="68144C7F">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5、项目机构管理人员应满足最低人数要求。若因工程特殊需要，招标人在工程施工过程中提出需增加管理人员的，中标单位必须确保增加人员在五个工作日内到位。</w:t>
            </w:r>
          </w:p>
          <w:p w14:paraId="02B4C772">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6、用于施工报建的安全员证件必须在有效期内。</w:t>
            </w:r>
          </w:p>
          <w:p w14:paraId="537E9804">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7、配备最低人数要求:施工员不少于2名，质量负责人（质量检查员</w:t>
            </w:r>
            <w:r>
              <w:rPr>
                <w:rFonts w:hint="eastAsia" w:ascii="宋体" w:hAnsi="宋体" w:eastAsia="宋体"/>
                <w:color w:val="auto"/>
                <w:szCs w:val="21"/>
                <w:highlight w:val="none"/>
                <w:lang w:eastAsia="zh-CN"/>
              </w:rPr>
              <w:t>）</w:t>
            </w:r>
            <w:r>
              <w:rPr>
                <w:rFonts w:hint="eastAsia" w:ascii="宋体" w:hAnsi="宋体" w:eastAsia="Times New Roman"/>
                <w:color w:val="auto"/>
                <w:szCs w:val="21"/>
                <w:highlight w:val="none"/>
              </w:rPr>
              <w:t>不少于1名、安全负责人（专职安全员）不少于1名，材料员不少于1名、预算员不少于1名、资料员不少于1名。</w:t>
            </w:r>
          </w:p>
          <w:p w14:paraId="0D42911A">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8、配备的质量负责人（质量检查员）需具有住房和城乡建设领域施工现场专业人员职业培训合格证（岗位名称为“市政工程质量员”）。</w:t>
            </w:r>
          </w:p>
          <w:p w14:paraId="3354A6FD">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9、配备的安全负责人（专职安全员）须具有安全生产考核合格证（C类）或建筑施工企业专职安全生产管理人员安全生产考核合格证书（C3类）。</w:t>
            </w:r>
          </w:p>
          <w:p w14:paraId="21B65422">
            <w:pPr>
              <w:spacing w:line="360" w:lineRule="auto"/>
              <w:jc w:val="left"/>
              <w:rPr>
                <w:rFonts w:ascii="宋体" w:hAnsi="宋体" w:eastAsia="Times New Roman"/>
                <w:color w:val="auto"/>
                <w:szCs w:val="21"/>
                <w:highlight w:val="none"/>
              </w:rPr>
            </w:pPr>
            <w:r>
              <w:rPr>
                <w:rFonts w:hint="eastAsia" w:ascii="宋体" w:hAnsi="宋体" w:eastAsia="Times New Roman"/>
                <w:color w:val="auto"/>
                <w:szCs w:val="21"/>
                <w:highlight w:val="none"/>
              </w:rPr>
              <w:t>10、本表后附上居民身份证、注册资格证书（如有）、注册执业证（如有）、职称资格证（如有）、上岗证书（如有）等资料</w:t>
            </w:r>
            <w:r>
              <w:rPr>
                <w:rFonts w:hint="eastAsia" w:asciiTheme="minorEastAsia" w:hAnsiTheme="minorEastAsia" w:eastAsiaTheme="minorEastAsia"/>
                <w:color w:val="auto"/>
                <w:szCs w:val="21"/>
                <w:highlight w:val="none"/>
              </w:rPr>
              <w:t>。</w:t>
            </w:r>
          </w:p>
        </w:tc>
      </w:tr>
    </w:tbl>
    <w:p w14:paraId="27EFE6C9">
      <w:pPr>
        <w:spacing w:line="360" w:lineRule="auto"/>
        <w:ind w:right="-108"/>
        <w:rPr>
          <w:rFonts w:ascii="宋体" w:hAnsi="宋体"/>
          <w:color w:val="auto"/>
          <w:sz w:val="24"/>
          <w:highlight w:val="none"/>
        </w:rPr>
      </w:pPr>
    </w:p>
    <w:p w14:paraId="2CEFEE5C">
      <w:pPr>
        <w:spacing w:line="360" w:lineRule="auto"/>
        <w:ind w:right="-108"/>
        <w:jc w:val="right"/>
        <w:rPr>
          <w:rFonts w:ascii="宋体" w:hAnsi="宋体"/>
          <w:color w:val="auto"/>
          <w:highlight w:val="none"/>
        </w:rPr>
      </w:pPr>
      <w:r>
        <w:rPr>
          <w:rFonts w:hint="eastAsia" w:ascii="宋体" w:hAnsi="宋体"/>
          <w:color w:val="auto"/>
          <w:sz w:val="24"/>
          <w:highlight w:val="none"/>
        </w:rPr>
        <w:t>投标单位（盖公章）：</w:t>
      </w:r>
    </w:p>
    <w:p w14:paraId="65ED6955">
      <w:pPr>
        <w:spacing w:line="320" w:lineRule="exact"/>
        <w:rPr>
          <w:rFonts w:ascii="仿宋_GB2312" w:hAnsi="楷体" w:eastAsia="仿宋_GB2312"/>
          <w:color w:val="auto"/>
          <w:szCs w:val="21"/>
          <w:highlight w:val="none"/>
        </w:rPr>
      </w:pPr>
      <w:r>
        <w:rPr>
          <w:rFonts w:hint="eastAsia" w:ascii="宋体" w:hAnsi="宋体"/>
          <w:color w:val="auto"/>
          <w:sz w:val="24"/>
          <w:highlight w:val="none"/>
        </w:rPr>
        <w:t xml:space="preserve">                                                    年   月    日  </w:t>
      </w:r>
    </w:p>
    <w:p w14:paraId="75BC0500">
      <w:pPr>
        <w:tabs>
          <w:tab w:val="left" w:pos="720"/>
        </w:tabs>
        <w:snapToGrid w:val="0"/>
        <w:spacing w:line="360" w:lineRule="auto"/>
        <w:rPr>
          <w:color w:val="auto"/>
          <w:sz w:val="24"/>
          <w:szCs w:val="24"/>
          <w:highlight w:val="none"/>
        </w:rPr>
      </w:pPr>
    </w:p>
    <w:p w14:paraId="3D70BFDC">
      <w:pPr>
        <w:widowControl/>
        <w:jc w:val="left"/>
        <w:rPr>
          <w:rFonts w:ascii="宋体" w:hAnsi="宋体"/>
          <w:b/>
          <w:color w:val="auto"/>
          <w:kern w:val="0"/>
          <w:sz w:val="32"/>
          <w:szCs w:val="32"/>
          <w:highlight w:val="none"/>
        </w:rPr>
      </w:pPr>
      <w:r>
        <w:rPr>
          <w:rFonts w:ascii="宋体" w:hAnsi="宋体"/>
          <w:b/>
          <w:color w:val="auto"/>
          <w:kern w:val="0"/>
          <w:sz w:val="32"/>
          <w:szCs w:val="32"/>
          <w:highlight w:val="none"/>
        </w:rPr>
        <w:br w:type="page"/>
      </w:r>
    </w:p>
    <w:p w14:paraId="646080BE">
      <w:pPr>
        <w:pStyle w:val="119"/>
        <w:tabs>
          <w:tab w:val="left" w:pos="1080"/>
        </w:tabs>
        <w:spacing w:line="360" w:lineRule="auto"/>
        <w:ind w:firstLine="813"/>
        <w:jc w:val="center"/>
        <w:rPr>
          <w:rFonts w:ascii="宋体" w:hAnsi="宋体"/>
          <w:b/>
          <w:color w:val="auto"/>
          <w:sz w:val="36"/>
          <w:szCs w:val="36"/>
          <w:highlight w:val="none"/>
        </w:rPr>
      </w:pPr>
      <w:r>
        <w:rPr>
          <w:rFonts w:hint="eastAsia" w:ascii="宋体" w:hAnsi="宋体"/>
          <w:b/>
          <w:color w:val="auto"/>
          <w:kern w:val="0"/>
          <w:sz w:val="32"/>
          <w:szCs w:val="32"/>
          <w:highlight w:val="none"/>
        </w:rPr>
        <w:t>投标人基本资料</w:t>
      </w:r>
    </w:p>
    <w:p w14:paraId="6D919365">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 xml:space="preserve">单位名称：  </w:t>
      </w:r>
    </w:p>
    <w:p w14:paraId="61A07D9C">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 xml:space="preserve">住  所：    </w:t>
      </w:r>
    </w:p>
    <w:p w14:paraId="52DE0318">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法定代表人：</w:t>
      </w:r>
    </w:p>
    <w:p w14:paraId="38D56D83">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法定代表人办公电话：</w:t>
      </w:r>
    </w:p>
    <w:p w14:paraId="0C20F130">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公司行政办公室负责人：</w:t>
      </w:r>
    </w:p>
    <w:p w14:paraId="4C94A4B3">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公司行政办公室电话：</w:t>
      </w:r>
    </w:p>
    <w:p w14:paraId="78C8E52D">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项目负责人：</w:t>
      </w:r>
    </w:p>
    <w:p w14:paraId="7655B026">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项目负责人电话：</w:t>
      </w:r>
    </w:p>
    <w:p w14:paraId="4E540961">
      <w:pPr>
        <w:pStyle w:val="5"/>
        <w:ind w:firstLine="240" w:firstLineChars="100"/>
        <w:rPr>
          <w:color w:val="auto"/>
          <w:highlight w:val="none"/>
        </w:rPr>
      </w:pPr>
      <w:r>
        <w:rPr>
          <w:rFonts w:hint="eastAsia" w:ascii="宋体" w:hAnsi="宋体"/>
          <w:snapToGrid w:val="0"/>
          <w:color w:val="auto"/>
          <w:kern w:val="13"/>
          <w:sz w:val="24"/>
          <w:highlight w:val="none"/>
        </w:rPr>
        <w:t>项目负责人邮箱：</w:t>
      </w:r>
    </w:p>
    <w:p w14:paraId="052E3341">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 xml:space="preserve">传  真： </w:t>
      </w:r>
    </w:p>
    <w:p w14:paraId="7B4DEC2D">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开户银行：</w:t>
      </w:r>
    </w:p>
    <w:p w14:paraId="0C0204A1">
      <w:pPr>
        <w:spacing w:line="360" w:lineRule="auto"/>
        <w:ind w:firstLine="307" w:firstLineChars="128"/>
        <w:rPr>
          <w:rFonts w:ascii="宋体" w:hAnsi="宋体"/>
          <w:snapToGrid w:val="0"/>
          <w:color w:val="auto"/>
          <w:kern w:val="13"/>
          <w:sz w:val="24"/>
          <w:highlight w:val="none"/>
        </w:rPr>
      </w:pPr>
      <w:r>
        <w:rPr>
          <w:rFonts w:hint="eastAsia" w:ascii="宋体" w:hAnsi="宋体"/>
          <w:snapToGrid w:val="0"/>
          <w:color w:val="auto"/>
          <w:kern w:val="13"/>
          <w:sz w:val="24"/>
          <w:highlight w:val="none"/>
        </w:rPr>
        <w:t>账  号：</w:t>
      </w:r>
    </w:p>
    <w:p w14:paraId="7E499C48">
      <w:pPr>
        <w:pStyle w:val="98"/>
        <w:spacing w:line="240" w:lineRule="auto"/>
        <w:ind w:right="98" w:firstLine="240" w:firstLineChars="100"/>
        <w:rPr>
          <w:rFonts w:ascii="宋体" w:hAnsi="宋体" w:eastAsia="宋体"/>
          <w:snapToGrid w:val="0"/>
          <w:color w:val="auto"/>
          <w:kern w:val="13"/>
          <w:sz w:val="24"/>
          <w:highlight w:val="none"/>
        </w:rPr>
      </w:pPr>
      <w:r>
        <w:rPr>
          <w:rFonts w:hint="eastAsia" w:ascii="宋体" w:hAnsi="宋体" w:eastAsia="宋体"/>
          <w:snapToGrid w:val="0"/>
          <w:color w:val="auto"/>
          <w:kern w:val="13"/>
          <w:sz w:val="24"/>
          <w:highlight w:val="none"/>
        </w:rPr>
        <w:t>公司邮政编码：</w:t>
      </w:r>
    </w:p>
    <w:p w14:paraId="47A21A43">
      <w:pPr>
        <w:pStyle w:val="98"/>
        <w:spacing w:line="240" w:lineRule="auto"/>
        <w:ind w:right="98" w:firstLine="240" w:firstLineChars="100"/>
        <w:rPr>
          <w:rFonts w:ascii="宋体" w:hAnsi="宋体" w:eastAsia="宋体"/>
          <w:snapToGrid w:val="0"/>
          <w:color w:val="auto"/>
          <w:kern w:val="13"/>
          <w:sz w:val="24"/>
          <w:highlight w:val="none"/>
        </w:rPr>
      </w:pPr>
    </w:p>
    <w:p w14:paraId="398B4DFD">
      <w:pPr>
        <w:pStyle w:val="98"/>
        <w:spacing w:line="240" w:lineRule="auto"/>
        <w:ind w:right="98" w:firstLine="240" w:firstLineChars="100"/>
        <w:rPr>
          <w:rFonts w:ascii="宋体" w:hAnsi="宋体" w:eastAsia="宋体"/>
          <w:snapToGrid w:val="0"/>
          <w:color w:val="auto"/>
          <w:kern w:val="13"/>
          <w:sz w:val="24"/>
          <w:highlight w:val="none"/>
        </w:rPr>
      </w:pPr>
    </w:p>
    <w:p w14:paraId="069F7BC2">
      <w:pPr>
        <w:pStyle w:val="98"/>
        <w:spacing w:line="240" w:lineRule="auto"/>
        <w:ind w:right="98" w:firstLine="240" w:firstLineChars="100"/>
        <w:rPr>
          <w:rFonts w:ascii="宋体" w:hAnsi="宋体" w:eastAsia="宋体"/>
          <w:snapToGrid w:val="0"/>
          <w:color w:val="auto"/>
          <w:kern w:val="13"/>
          <w:sz w:val="24"/>
          <w:highlight w:val="none"/>
        </w:rPr>
      </w:pPr>
    </w:p>
    <w:p w14:paraId="282ACB30">
      <w:pPr>
        <w:spacing w:line="360" w:lineRule="auto"/>
        <w:ind w:right="-108" w:firstLine="4560" w:firstLineChars="1900"/>
        <w:rPr>
          <w:rFonts w:ascii="宋体" w:hAnsi="宋体"/>
          <w:color w:val="auto"/>
          <w:sz w:val="24"/>
          <w:highlight w:val="none"/>
        </w:rPr>
      </w:pPr>
      <w:r>
        <w:rPr>
          <w:rFonts w:hint="eastAsia" w:ascii="宋体" w:hAnsi="宋体"/>
          <w:color w:val="auto"/>
          <w:sz w:val="24"/>
          <w:highlight w:val="none"/>
        </w:rPr>
        <w:t>投标单位（盖公章）：</w:t>
      </w:r>
    </w:p>
    <w:p w14:paraId="49CFD3C0">
      <w:pPr>
        <w:spacing w:line="360" w:lineRule="auto"/>
        <w:ind w:right="-108" w:firstLine="4560" w:firstLineChars="1900"/>
        <w:rPr>
          <w:rFonts w:ascii="宋体" w:hAnsi="宋体"/>
          <w:color w:val="auto"/>
          <w:sz w:val="24"/>
          <w:highlight w:val="none"/>
        </w:rPr>
      </w:pPr>
    </w:p>
    <w:p w14:paraId="1B6C5831">
      <w:pPr>
        <w:pStyle w:val="98"/>
        <w:spacing w:line="240" w:lineRule="auto"/>
        <w:ind w:right="98" w:firstLine="240" w:firstLineChars="100"/>
        <w:jc w:val="right"/>
        <w:rPr>
          <w:rFonts w:ascii="宋体" w:hAnsi="宋体" w:eastAsia="宋体"/>
          <w:color w:val="auto"/>
          <w:sz w:val="24"/>
          <w:highlight w:val="none"/>
        </w:rPr>
      </w:pPr>
      <w:r>
        <w:rPr>
          <w:rFonts w:hint="eastAsia" w:ascii="宋体" w:hAnsi="宋体" w:eastAsia="宋体"/>
          <w:color w:val="auto"/>
          <w:sz w:val="24"/>
          <w:highlight w:val="none"/>
        </w:rPr>
        <w:t xml:space="preserve">                                   年   月    日 </w:t>
      </w:r>
    </w:p>
    <w:p w14:paraId="4B71D0A0">
      <w:pPr>
        <w:tabs>
          <w:tab w:val="left" w:pos="720"/>
        </w:tabs>
        <w:snapToGrid w:val="0"/>
        <w:spacing w:line="360" w:lineRule="auto"/>
        <w:jc w:val="center"/>
        <w:rPr>
          <w:color w:val="auto"/>
          <w:sz w:val="24"/>
          <w:szCs w:val="24"/>
          <w:highlight w:val="none"/>
        </w:rPr>
      </w:pPr>
    </w:p>
    <w:p w14:paraId="568E5C09">
      <w:pPr>
        <w:tabs>
          <w:tab w:val="left" w:pos="720"/>
        </w:tabs>
        <w:snapToGrid w:val="0"/>
        <w:spacing w:line="360" w:lineRule="auto"/>
        <w:rPr>
          <w:color w:val="auto"/>
          <w:sz w:val="24"/>
          <w:szCs w:val="24"/>
          <w:highlight w:val="none"/>
        </w:rPr>
      </w:pPr>
      <w:r>
        <w:rPr>
          <w:color w:val="auto"/>
          <w:sz w:val="24"/>
          <w:szCs w:val="24"/>
          <w:highlight w:val="none"/>
        </w:rPr>
        <w:br w:type="page"/>
      </w:r>
    </w:p>
    <w:p w14:paraId="46C150AC">
      <w:pPr>
        <w:pStyle w:val="98"/>
        <w:spacing w:line="240" w:lineRule="auto"/>
        <w:ind w:left="420" w:right="98" w:firstLine="0"/>
        <w:jc w:val="center"/>
        <w:rPr>
          <w:rFonts w:ascii="宋体" w:hAnsi="宋体" w:eastAsia="宋体"/>
          <w:b/>
          <w:color w:val="auto"/>
          <w:sz w:val="36"/>
          <w:highlight w:val="none"/>
        </w:rPr>
      </w:pPr>
      <w:r>
        <w:rPr>
          <w:rFonts w:hint="eastAsia" w:ascii="宋体" w:hAnsi="宋体" w:eastAsia="宋体"/>
          <w:b/>
          <w:color w:val="auto"/>
          <w:szCs w:val="32"/>
          <w:highlight w:val="none"/>
        </w:rPr>
        <w:t>承诺书</w:t>
      </w:r>
    </w:p>
    <w:p w14:paraId="38505EF8">
      <w:pPr>
        <w:widowControl/>
        <w:snapToGrid w:val="0"/>
        <w:spacing w:line="400" w:lineRule="exact"/>
        <w:ind w:firstLine="0" w:firstLineChars="0"/>
        <w:rPr>
          <w:rFonts w:hint="eastAsia" w:ascii="宋体" w:hAnsi="宋体" w:cs="宋体"/>
          <w:color w:val="auto"/>
          <w:szCs w:val="21"/>
          <w:highlight w:val="none"/>
        </w:rPr>
      </w:pPr>
      <w:r>
        <w:rPr>
          <w:rFonts w:hint="eastAsia" w:ascii="宋体" w:hAnsi="宋体" w:cs="宋体"/>
          <w:color w:val="auto"/>
          <w:szCs w:val="21"/>
          <w:highlight w:val="none"/>
        </w:rPr>
        <w:t>致广州市番禺区基本建设投资管理中心：</w:t>
      </w:r>
    </w:p>
    <w:p w14:paraId="53D61F8B">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若我方成为</w:t>
      </w:r>
      <w:r>
        <w:rPr>
          <w:rFonts w:hint="eastAsia" w:ascii="宋体" w:hAnsi="宋体" w:cs="Times New Roman"/>
          <w:color w:val="auto"/>
          <w:sz w:val="21"/>
          <w:szCs w:val="21"/>
          <w:highlight w:val="none"/>
          <w:u w:val="single"/>
          <w:lang w:eastAsia="zh-CN"/>
        </w:rPr>
        <w:t>番禺区南村镇德兴北路（金山大道至园北路）工程施工总承包项目</w:t>
      </w:r>
      <w:r>
        <w:rPr>
          <w:rFonts w:hint="eastAsia" w:ascii="宋体" w:hAnsi="宋体" w:cs="宋体"/>
          <w:color w:val="auto"/>
          <w:szCs w:val="21"/>
          <w:highlight w:val="none"/>
        </w:rPr>
        <w:t>的中标单位，我方郑重承诺，将切实完成以下工作，若不在限定时间内完成以下任何一项工作</w:t>
      </w:r>
      <w:r>
        <w:rPr>
          <w:rFonts w:hint="eastAsia" w:ascii="宋体" w:hAnsi="宋体" w:eastAsia="宋体" w:cs="宋体"/>
          <w:color w:val="auto"/>
          <w:szCs w:val="21"/>
          <w:highlight w:val="none"/>
        </w:rPr>
        <w:t>或承诺陈述与事实不符</w:t>
      </w:r>
      <w:r>
        <w:rPr>
          <w:rFonts w:hint="eastAsia" w:ascii="宋体" w:hAnsi="宋体" w:cs="宋体"/>
          <w:color w:val="auto"/>
          <w:szCs w:val="21"/>
          <w:highlight w:val="none"/>
        </w:rPr>
        <w:t>，可视为我方放弃本次中标资格，招标人可另择中标单位：</w:t>
      </w:r>
    </w:p>
    <w:p w14:paraId="11366F4E">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1.中标公示完后1个工作日内缴交交易服务费。</w:t>
      </w:r>
    </w:p>
    <w:p w14:paraId="5640E0B4">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宋体"/>
          <w:color w:val="auto"/>
          <w:szCs w:val="21"/>
          <w:highlight w:val="none"/>
          <w:lang w:eastAsia="zh-CN"/>
        </w:rPr>
        <w:t>招标人</w:t>
      </w:r>
      <w:r>
        <w:rPr>
          <w:rFonts w:hint="eastAsia" w:ascii="宋体" w:hAnsi="宋体" w:cs="宋体"/>
          <w:color w:val="auto"/>
          <w:szCs w:val="21"/>
          <w:highlight w:val="none"/>
        </w:rPr>
        <w:t>在广州交易集团有限公司（广州公共资源交易中心）发布中标通知书，即视为</w:t>
      </w:r>
      <w:r>
        <w:rPr>
          <w:rFonts w:hint="eastAsia" w:ascii="宋体" w:hAnsi="宋体" w:cs="宋体"/>
          <w:color w:val="auto"/>
          <w:szCs w:val="21"/>
          <w:highlight w:val="none"/>
          <w:lang w:eastAsia="zh-CN"/>
        </w:rPr>
        <w:t>我方</w:t>
      </w:r>
      <w:r>
        <w:rPr>
          <w:rFonts w:hint="eastAsia" w:ascii="宋体" w:hAnsi="宋体" w:cs="宋体"/>
          <w:color w:val="auto"/>
          <w:szCs w:val="21"/>
          <w:highlight w:val="none"/>
        </w:rPr>
        <w:t>确认收到中标通知书。</w:t>
      </w:r>
      <w:r>
        <w:rPr>
          <w:rFonts w:hint="eastAsia" w:ascii="宋体" w:hAnsi="宋体" w:cs="宋体"/>
          <w:color w:val="auto"/>
          <w:szCs w:val="21"/>
          <w:highlight w:val="none"/>
          <w:lang w:eastAsia="zh-CN"/>
        </w:rPr>
        <w:t>我方</w:t>
      </w:r>
      <w:r>
        <w:rPr>
          <w:rFonts w:hint="eastAsia" w:ascii="宋体" w:hAnsi="宋体" w:cs="宋体"/>
          <w:color w:val="auto"/>
          <w:szCs w:val="21"/>
          <w:highlight w:val="none"/>
        </w:rPr>
        <w:t>收到中标通知书后2个工作日内提交按照招投标文件、答疑纪要及有关补充说明、通知拟写的合同稿及其电子文件给招标人。</w:t>
      </w:r>
    </w:p>
    <w:p w14:paraId="12234F2B">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3.我单位合同签订负责人收到招标人已审定的合同正式稿后，5个工作日内签订合同并送给招标人。</w:t>
      </w:r>
    </w:p>
    <w:p w14:paraId="62D649E1">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4.招标人通知领取已签订的合同文件后2个工作日内领取合同文件。</w:t>
      </w:r>
    </w:p>
    <w:p w14:paraId="4E712CF7">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5.我方承诺，在收到中标通知书后15个日历天内向招标人缴交履约保证金或履约保函。</w:t>
      </w:r>
    </w:p>
    <w:p w14:paraId="7422575B">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我方承诺，在收到中标通知书后3个工作日内向招标人提供可行的施工组织设计文件，且我方保证在工程施工中我方派出的工程技术管理人员及工人可满足本项目的需求，否则招标人可按合同的相关条款对我方进行处罚。</w:t>
      </w:r>
    </w:p>
    <w:p w14:paraId="66957307">
      <w:pPr>
        <w:widowControl/>
        <w:snapToGrid w:val="0"/>
        <w:spacing w:line="40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7.我方承诺，本项目拟委派的项目负责人没有在其他在建项目中任施工单位项目负责人，本项目拟派的专职安全员没有在其他在建项目中任职。</w:t>
      </w:r>
    </w:p>
    <w:p w14:paraId="09CBEBDB">
      <w:pPr>
        <w:widowControl/>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8.我方承诺，从本项目投标文件截止时间所在月份前6个月至投标文件截止时间前一天的时间段，我方的银行基本存款账户“未出现过被有权机关冻结”的情形。</w:t>
      </w:r>
    </w:p>
    <w:p w14:paraId="06F1C6C0">
      <w:pPr>
        <w:widowControl/>
        <w:snapToGrid w:val="0"/>
        <w:spacing w:line="40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.我方承诺，严格按照上述1～6项要求办理相关工作，若不能按上述1～6项要求办理相关工作，及我方违反上述7～8项承诺内容或承诺陈述与事实不符，我方自动放弃中标人资格和同意接受相关条款处罚。</w:t>
      </w:r>
    </w:p>
    <w:p w14:paraId="4846A0F8">
      <w:pPr>
        <w:widowControl/>
        <w:snapToGrid w:val="0"/>
        <w:spacing w:before="0" w:after="0" w:line="400" w:lineRule="exact"/>
        <w:ind w:firstLine="420" w:firstLineChars="200"/>
        <w:rPr>
          <w:rFonts w:ascii="宋体" w:hAnsi="宋体" w:cs="宋体"/>
          <w:color w:val="auto"/>
          <w:szCs w:val="21"/>
          <w:highlight w:val="none"/>
        </w:rPr>
      </w:pP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.合同签订负责人和项目负责人保持电话联系畅通。</w:t>
      </w:r>
    </w:p>
    <w:p w14:paraId="5439B19F">
      <w:pPr>
        <w:spacing w:line="460" w:lineRule="exact"/>
        <w:rPr>
          <w:rFonts w:ascii="宋体" w:hAnsi="宋体" w:cs="宋体"/>
          <w:color w:val="auto"/>
          <w:szCs w:val="21"/>
          <w:highlight w:val="none"/>
        </w:rPr>
      </w:pPr>
      <w:r>
        <w:rPr>
          <w:rFonts w:hint="eastAsia" w:ascii="宋体" w:hAnsi="宋体" w:cs="宋体"/>
          <w:color w:val="auto"/>
          <w:szCs w:val="21"/>
          <w:highlight w:val="none"/>
        </w:rPr>
        <w:t>投标单位（盖公章）：</w:t>
      </w:r>
    </w:p>
    <w:p w14:paraId="4A17B48A">
      <w:pPr>
        <w:spacing w:line="460" w:lineRule="exact"/>
        <w:rPr>
          <w:rFonts w:ascii="宋体" w:hAnsi="宋体" w:cs="宋体"/>
          <w:color w:val="auto"/>
          <w:szCs w:val="21"/>
          <w:highlight w:val="none"/>
        </w:rPr>
      </w:pPr>
      <w:r>
        <w:rPr>
          <w:rFonts w:hint="eastAsia" w:ascii="宋体" w:hAnsi="宋体" w:cs="宋体"/>
          <w:color w:val="auto"/>
          <w:szCs w:val="21"/>
          <w:highlight w:val="none"/>
        </w:rPr>
        <w:t>法定代表人（签字或盖章）：</w:t>
      </w:r>
    </w:p>
    <w:p w14:paraId="4002EF5F">
      <w:pPr>
        <w:spacing w:line="460" w:lineRule="exact"/>
        <w:rPr>
          <w:rFonts w:ascii="宋体" w:hAnsi="宋体" w:cs="宋体"/>
          <w:color w:val="auto"/>
          <w:szCs w:val="21"/>
          <w:highlight w:val="none"/>
        </w:rPr>
      </w:pPr>
      <w:r>
        <w:rPr>
          <w:rFonts w:hint="eastAsia" w:ascii="宋体" w:hAnsi="宋体" w:cs="宋体"/>
          <w:color w:val="auto"/>
          <w:szCs w:val="21"/>
          <w:highlight w:val="none"/>
        </w:rPr>
        <w:t>项目负责人（签名或盖章）：</w:t>
      </w:r>
    </w:p>
    <w:p w14:paraId="1FA537BA">
      <w:pPr>
        <w:spacing w:line="460" w:lineRule="exact"/>
        <w:rPr>
          <w:rFonts w:ascii="宋体" w:hAnsi="宋体" w:cs="宋体"/>
          <w:color w:val="auto"/>
          <w:szCs w:val="21"/>
          <w:highlight w:val="none"/>
        </w:rPr>
      </w:pPr>
      <w:r>
        <w:rPr>
          <w:rFonts w:hint="eastAsia" w:ascii="宋体" w:hAnsi="宋体" w:cs="宋体"/>
          <w:color w:val="auto"/>
          <w:szCs w:val="21"/>
          <w:highlight w:val="none"/>
        </w:rPr>
        <w:t>项目负责人联系电话：</w:t>
      </w:r>
    </w:p>
    <w:p w14:paraId="61C532E8">
      <w:pPr>
        <w:spacing w:line="460" w:lineRule="exact"/>
        <w:rPr>
          <w:rFonts w:ascii="宋体" w:hAnsi="宋体" w:cs="宋体"/>
          <w:color w:val="auto"/>
          <w:szCs w:val="21"/>
          <w:highlight w:val="none"/>
        </w:rPr>
      </w:pPr>
      <w:r>
        <w:rPr>
          <w:rFonts w:hint="eastAsia" w:ascii="宋体" w:hAnsi="宋体" w:cs="宋体"/>
          <w:color w:val="auto"/>
          <w:szCs w:val="21"/>
          <w:highlight w:val="none"/>
        </w:rPr>
        <w:t>合同签订负责人（签名或盖章）：</w:t>
      </w:r>
    </w:p>
    <w:p w14:paraId="35EB029A">
      <w:pPr>
        <w:spacing w:line="460" w:lineRule="exact"/>
        <w:rPr>
          <w:rFonts w:ascii="宋体" w:hAnsi="宋体" w:cs="宋体"/>
          <w:color w:val="auto"/>
          <w:highlight w:val="none"/>
        </w:rPr>
      </w:pPr>
      <w:r>
        <w:rPr>
          <w:rFonts w:hint="eastAsia" w:ascii="宋体" w:hAnsi="宋体" w:cs="宋体"/>
          <w:color w:val="auto"/>
          <w:szCs w:val="21"/>
          <w:highlight w:val="none"/>
        </w:rPr>
        <w:t>合同签订负责人联系电话：</w:t>
      </w:r>
    </w:p>
    <w:p w14:paraId="02C0880B">
      <w:pPr>
        <w:pStyle w:val="98"/>
        <w:spacing w:line="460" w:lineRule="exact"/>
        <w:ind w:right="518" w:firstLine="5880" w:firstLineChars="2800"/>
        <w:rPr>
          <w:rFonts w:ascii="宋体" w:hAnsi="宋体" w:eastAsia="宋体"/>
          <w:color w:val="auto"/>
          <w:sz w:val="21"/>
          <w:szCs w:val="21"/>
          <w:highlight w:val="none"/>
        </w:rPr>
      </w:pPr>
      <w:r>
        <w:rPr>
          <w:rFonts w:hint="eastAsia" w:ascii="宋体" w:hAnsi="宋体" w:eastAsia="宋体"/>
          <w:color w:val="auto"/>
          <w:sz w:val="21"/>
          <w:szCs w:val="21"/>
          <w:highlight w:val="none"/>
        </w:rPr>
        <w:t xml:space="preserve">  年  月  日</w:t>
      </w:r>
    </w:p>
    <w:p w14:paraId="66512039">
      <w:pPr>
        <w:pStyle w:val="98"/>
        <w:spacing w:line="240" w:lineRule="auto"/>
        <w:ind w:left="420" w:right="98" w:firstLine="0"/>
        <w:jc w:val="center"/>
        <w:rPr>
          <w:rFonts w:ascii="宋体" w:hAnsi="宋体"/>
          <w:color w:val="auto"/>
          <w:szCs w:val="21"/>
          <w:highlight w:val="none"/>
        </w:rPr>
      </w:pPr>
    </w:p>
    <w:p w14:paraId="7DCB9121">
      <w:pPr>
        <w:jc w:val="both"/>
        <w:rPr>
          <w:rFonts w:hint="eastAsia" w:ascii="仿宋_GB2312" w:hAnsi="仿宋_GB2312" w:eastAsia="仿宋_GB2312" w:cs="仿宋_GB2312"/>
          <w:sz w:val="30"/>
          <w:szCs w:val="30"/>
          <w:highlight w:val="none"/>
          <w:lang w:val="en-US" w:eastAsia="zh-CN"/>
        </w:rPr>
      </w:pPr>
      <w:r>
        <w:rPr>
          <w:rFonts w:hint="eastAsia" w:ascii="仿宋_GB2312" w:hAnsi="仿宋_GB2312" w:eastAsia="仿宋_GB2312" w:cs="仿宋_GB2312"/>
          <w:sz w:val="30"/>
          <w:szCs w:val="30"/>
          <w:highlight w:val="none"/>
          <w:lang w:val="en-US" w:eastAsia="zh-CN"/>
        </w:rPr>
        <w:t>（格式）</w:t>
      </w:r>
    </w:p>
    <w:p w14:paraId="228A359B">
      <w:pPr>
        <w:jc w:val="center"/>
        <w:rPr>
          <w:rFonts w:hint="default" w:ascii="仿宋_GB2312" w:hAnsi="仿宋_GB2312" w:eastAsia="仿宋_GB2312" w:cs="仿宋_GB2312"/>
          <w:sz w:val="48"/>
          <w:szCs w:val="48"/>
          <w:highlight w:val="none"/>
          <w:lang w:val="en-US" w:eastAsia="zh-CN"/>
        </w:rPr>
      </w:pPr>
      <w:r>
        <w:rPr>
          <w:rFonts w:hint="eastAsia" w:ascii="仿宋_GB2312" w:hAnsi="仿宋_GB2312" w:eastAsia="仿宋_GB2312" w:cs="仿宋_GB2312"/>
          <w:sz w:val="48"/>
          <w:szCs w:val="48"/>
          <w:highlight w:val="none"/>
          <w:u w:val="single"/>
          <w:lang w:val="en-US" w:eastAsia="zh-CN"/>
        </w:rPr>
        <w:t xml:space="preserve">        </w:t>
      </w:r>
      <w:r>
        <w:rPr>
          <w:rFonts w:hint="eastAsia" w:ascii="仿宋_GB2312" w:hAnsi="仿宋_GB2312" w:eastAsia="仿宋_GB2312" w:cs="仿宋_GB2312"/>
          <w:sz w:val="48"/>
          <w:szCs w:val="48"/>
          <w:highlight w:val="none"/>
          <w:lang w:val="en-US" w:eastAsia="zh-CN"/>
        </w:rPr>
        <w:t>公司关于参与广州市番禺区</w:t>
      </w:r>
      <w:r>
        <w:rPr>
          <w:rFonts w:hint="eastAsia" w:ascii="仿宋_GB2312" w:hAnsi="仿宋_GB2312" w:eastAsia="仿宋_GB2312" w:cs="仿宋_GB2312"/>
          <w:sz w:val="48"/>
          <w:szCs w:val="48"/>
          <w:highlight w:val="none"/>
        </w:rPr>
        <w:t>“百千万工程”</w:t>
      </w:r>
      <w:r>
        <w:rPr>
          <w:rFonts w:hint="eastAsia" w:ascii="仿宋_GB2312" w:hAnsi="仿宋_GB2312" w:eastAsia="仿宋_GB2312" w:cs="仿宋_GB2312"/>
          <w:sz w:val="48"/>
          <w:szCs w:val="48"/>
          <w:highlight w:val="none"/>
          <w:lang w:eastAsia="zh-CN"/>
        </w:rPr>
        <w:t>的承诺</w:t>
      </w:r>
      <w:r>
        <w:rPr>
          <w:rFonts w:hint="eastAsia" w:ascii="仿宋_GB2312" w:hAnsi="仿宋_GB2312" w:eastAsia="仿宋_GB2312" w:cs="仿宋_GB2312"/>
          <w:sz w:val="48"/>
          <w:szCs w:val="48"/>
          <w:highlight w:val="none"/>
          <w:lang w:val="en-US" w:eastAsia="zh-CN"/>
        </w:rPr>
        <w:t>书</w:t>
      </w:r>
    </w:p>
    <w:p w14:paraId="2C06488F">
      <w:pPr>
        <w:rPr>
          <w:rFonts w:hint="eastAsia" w:ascii="仿宋_GB2312" w:hAnsi="仿宋_GB2312" w:eastAsia="仿宋_GB2312" w:cs="仿宋_GB2312"/>
          <w:sz w:val="32"/>
          <w:szCs w:val="32"/>
          <w:highlight w:val="none"/>
          <w:lang w:eastAsia="zh-CN"/>
        </w:rPr>
      </w:pPr>
    </w:p>
    <w:p w14:paraId="394AD4EF">
      <w:pPr>
        <w:rPr>
          <w:rFonts w:hint="eastAsia" w:ascii="仿宋_GB2312" w:hAnsi="仿宋_GB2312" w:eastAsia="仿宋_GB2312" w:cs="仿宋_GB2312"/>
          <w:sz w:val="32"/>
          <w:szCs w:val="32"/>
          <w:highlight w:val="none"/>
          <w:lang w:eastAsia="zh-CN"/>
        </w:rPr>
      </w:pPr>
      <w:r>
        <w:rPr>
          <w:rFonts w:hint="eastAsia" w:ascii="仿宋_GB2312" w:hAnsi="仿宋_GB2312" w:eastAsia="仿宋_GB2312" w:cs="仿宋_GB2312"/>
          <w:sz w:val="32"/>
          <w:szCs w:val="32"/>
          <w:highlight w:val="none"/>
          <w:lang w:eastAsia="zh-CN"/>
        </w:rPr>
        <w:t>广州市番禺区基本建设投资管理中心（招标人）：</w:t>
      </w:r>
    </w:p>
    <w:p w14:paraId="197EAC64">
      <w:pPr>
        <w:pStyle w:val="98"/>
        <w:adjustRightInd w:val="0"/>
        <w:snapToGrid w:val="0"/>
        <w:spacing w:line="300" w:lineRule="auto"/>
        <w:ind w:firstLine="640" w:firstLineChars="200"/>
        <w:rPr>
          <w:rFonts w:hint="eastAsia" w:ascii="仿宋_GB2312" w:hAnsi="仿宋_GB2312" w:eastAsia="仿宋_GB2312" w:cs="仿宋_GB2312"/>
          <w:sz w:val="32"/>
          <w:szCs w:val="32"/>
          <w:highlight w:val="none"/>
          <w:lang w:val="en-US" w:eastAsia="zh-CN"/>
        </w:rPr>
      </w:pPr>
    </w:p>
    <w:p w14:paraId="1162B203">
      <w:pPr>
        <w:pStyle w:val="98"/>
        <w:adjustRightInd w:val="0"/>
        <w:snapToGrid w:val="0"/>
        <w:spacing w:line="300" w:lineRule="auto"/>
        <w:ind w:firstLine="640" w:firstLineChars="200"/>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lang w:val="en-US" w:eastAsia="zh-CN"/>
        </w:rPr>
        <w:t>我公司</w:t>
      </w:r>
      <w:r>
        <w:rPr>
          <w:rFonts w:hint="eastAsia" w:hAnsi="仿宋_GB2312" w:cs="仿宋_GB2312"/>
          <w:sz w:val="32"/>
          <w:szCs w:val="32"/>
          <w:highlight w:val="none"/>
          <w:lang w:val="en-US" w:eastAsia="zh-CN"/>
        </w:rPr>
        <w:t>有幸参与</w:t>
      </w:r>
      <w:r>
        <w:rPr>
          <w:rFonts w:hint="eastAsia" w:ascii="仿宋_GB2312" w:hAnsi="仿宋_GB2312" w:eastAsia="仿宋_GB2312" w:cs="仿宋_GB2312"/>
          <w:sz w:val="32"/>
          <w:szCs w:val="32"/>
          <w:highlight w:val="none"/>
          <w:lang w:val="en-US" w:eastAsia="zh-CN"/>
        </w:rPr>
        <w:t>贵中心的</w:t>
      </w:r>
      <w:r>
        <w:rPr>
          <w:rFonts w:hint="eastAsia" w:hAnsi="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lang w:val="en-US" w:eastAsia="zh-CN"/>
        </w:rPr>
        <w:t>工程</w:t>
      </w:r>
      <w:r>
        <w:rPr>
          <w:rFonts w:hint="eastAsia" w:ascii="仿宋_GB2312" w:hAnsi="仿宋_GB2312" w:eastAsia="仿宋_GB2312" w:cs="仿宋_GB2312"/>
          <w:b w:val="0"/>
          <w:bCs w:val="0"/>
          <w:sz w:val="32"/>
          <w:szCs w:val="32"/>
          <w:highlight w:val="none"/>
          <w:lang w:val="en-US" w:eastAsia="zh-CN"/>
        </w:rPr>
        <w:t>承包项目</w:t>
      </w:r>
      <w:r>
        <w:rPr>
          <w:rFonts w:hint="eastAsia" w:hAnsi="仿宋_GB2312" w:cs="仿宋_GB2312"/>
          <w:b w:val="0"/>
          <w:bCs w:val="0"/>
          <w:sz w:val="32"/>
          <w:szCs w:val="32"/>
          <w:highlight w:val="none"/>
          <w:lang w:val="en-US" w:eastAsia="zh-CN"/>
        </w:rPr>
        <w:t>投标，</w:t>
      </w:r>
      <w:r>
        <w:rPr>
          <w:rFonts w:hint="eastAsia" w:ascii="仿宋_GB2312" w:hAnsi="仿宋_GB2312" w:eastAsia="仿宋_GB2312" w:cs="仿宋_GB2312"/>
          <w:b w:val="0"/>
          <w:bCs w:val="0"/>
          <w:sz w:val="32"/>
          <w:szCs w:val="32"/>
          <w:highlight w:val="none"/>
          <w:lang w:val="en-US" w:eastAsia="zh-CN"/>
        </w:rPr>
        <w:t>我公司在《</w:t>
      </w:r>
      <w:r>
        <w:rPr>
          <w:rFonts w:hint="eastAsia" w:ascii="仿宋_GB2312" w:hAnsi="仿宋_GB2312" w:eastAsia="仿宋_GB2312" w:cs="仿宋_GB2312"/>
          <w:b w:val="0"/>
          <w:bCs w:val="0"/>
          <w:kern w:val="0"/>
          <w:sz w:val="32"/>
          <w:szCs w:val="32"/>
          <w:highlight w:val="none"/>
        </w:rPr>
        <w:t>投标人</w:t>
      </w:r>
      <w:r>
        <w:rPr>
          <w:rFonts w:hint="eastAsia" w:ascii="仿宋_GB2312" w:hAnsi="仿宋_GB2312" w:eastAsia="仿宋_GB2312" w:cs="仿宋_GB2312"/>
          <w:b w:val="0"/>
          <w:bCs w:val="0"/>
          <w:sz w:val="32"/>
          <w:szCs w:val="32"/>
          <w:highlight w:val="none"/>
        </w:rPr>
        <w:t>声明</w:t>
      </w:r>
      <w:r>
        <w:rPr>
          <w:rFonts w:hint="eastAsia" w:ascii="仿宋_GB2312" w:hAnsi="仿宋_GB2312" w:eastAsia="仿宋_GB2312" w:cs="仿宋_GB2312"/>
          <w:b w:val="0"/>
          <w:bCs w:val="0"/>
          <w:sz w:val="32"/>
          <w:szCs w:val="32"/>
          <w:highlight w:val="none"/>
          <w:lang w:eastAsia="zh-CN"/>
        </w:rPr>
        <w:t>》中第十点：“</w:t>
      </w:r>
      <w:r>
        <w:rPr>
          <w:rFonts w:hint="eastAsia" w:ascii="仿宋_GB2312" w:hAnsi="仿宋_GB2312" w:eastAsia="仿宋_GB2312" w:cs="仿宋_GB2312"/>
          <w:b w:val="0"/>
          <w:bCs w:val="0"/>
          <w:color w:val="auto"/>
          <w:sz w:val="32"/>
          <w:szCs w:val="32"/>
          <w:highlight w:val="none"/>
        </w:rPr>
        <w:t>本公司承诺，中标后将按招标人</w:t>
      </w:r>
      <w:r>
        <w:rPr>
          <w:rFonts w:hint="eastAsia" w:ascii="仿宋_GB2312" w:hAnsi="仿宋_GB2312" w:eastAsia="仿宋_GB2312" w:cs="仿宋_GB2312"/>
          <w:color w:val="auto"/>
          <w:sz w:val="32"/>
          <w:szCs w:val="32"/>
          <w:highlight w:val="none"/>
        </w:rPr>
        <w:t>要求，积极响应广州市关于投身“百千万工程”的号召，主动参与建筑业结对帮扶。</w:t>
      </w:r>
      <w:r>
        <w:rPr>
          <w:rFonts w:hint="eastAsia" w:ascii="仿宋_GB2312" w:hAnsi="仿宋_GB2312" w:eastAsia="仿宋_GB2312" w:cs="仿宋_GB2312"/>
          <w:color w:val="auto"/>
          <w:sz w:val="32"/>
          <w:szCs w:val="32"/>
          <w:highlight w:val="none"/>
          <w:lang w:eastAsia="zh-CN"/>
        </w:rPr>
        <w:t>”</w:t>
      </w:r>
      <w:r>
        <w:rPr>
          <w:rFonts w:hint="eastAsia" w:ascii="仿宋_GB2312" w:hAnsi="仿宋_GB2312" w:eastAsia="仿宋_GB2312" w:cs="仿宋_GB2312"/>
          <w:sz w:val="32"/>
          <w:szCs w:val="32"/>
          <w:highlight w:val="none"/>
          <w:lang w:eastAsia="zh-CN" w:bidi="ar"/>
        </w:rPr>
        <w:t>现我公司</w:t>
      </w:r>
      <w:r>
        <w:rPr>
          <w:rFonts w:hint="eastAsia" w:hAnsi="仿宋_GB2312" w:cs="仿宋_GB2312"/>
          <w:sz w:val="32"/>
          <w:szCs w:val="32"/>
          <w:highlight w:val="none"/>
          <w:lang w:eastAsia="zh-CN" w:bidi="ar"/>
        </w:rPr>
        <w:t>郑重</w:t>
      </w:r>
      <w:r>
        <w:rPr>
          <w:rFonts w:hint="eastAsia" w:ascii="仿宋_GB2312" w:hAnsi="仿宋_GB2312" w:eastAsia="仿宋_GB2312" w:cs="仿宋_GB2312"/>
          <w:sz w:val="32"/>
          <w:szCs w:val="32"/>
          <w:highlight w:val="none"/>
          <w:lang w:eastAsia="zh-CN" w:bidi="ar"/>
        </w:rPr>
        <w:t>承诺</w:t>
      </w:r>
      <w:r>
        <w:rPr>
          <w:rFonts w:hint="eastAsia" w:hAnsi="仿宋_GB2312" w:cs="仿宋_GB2312"/>
          <w:sz w:val="32"/>
          <w:szCs w:val="32"/>
          <w:highlight w:val="none"/>
          <w:lang w:eastAsia="zh-CN" w:bidi="ar"/>
        </w:rPr>
        <w:t>：若我公司有幸中标，我公司将</w:t>
      </w:r>
      <w:r>
        <w:rPr>
          <w:rFonts w:hint="eastAsia" w:ascii="仿宋_GB2312" w:hAnsi="仿宋_GB2312" w:eastAsia="仿宋_GB2312" w:cs="仿宋_GB2312"/>
          <w:sz w:val="32"/>
          <w:szCs w:val="32"/>
          <w:highlight w:val="none"/>
          <w:lang w:eastAsia="zh-CN" w:bidi="ar"/>
        </w:rPr>
        <w:t>在本项目施工总承包合同签订后</w:t>
      </w:r>
      <w:r>
        <w:rPr>
          <w:rFonts w:hint="eastAsia" w:hAnsi="仿宋_GB2312" w:cs="仿宋_GB2312"/>
          <w:sz w:val="32"/>
          <w:szCs w:val="32"/>
          <w:highlight w:val="none"/>
          <w:lang w:eastAsia="zh-CN" w:bidi="ar"/>
        </w:rPr>
        <w:t>一</w:t>
      </w:r>
      <w:r>
        <w:rPr>
          <w:rFonts w:hint="eastAsia" w:ascii="仿宋_GB2312" w:hAnsi="仿宋_GB2312" w:eastAsia="仿宋_GB2312" w:cs="仿宋_GB2312"/>
          <w:sz w:val="32"/>
          <w:szCs w:val="32"/>
          <w:highlight w:val="none"/>
          <w:lang w:val="en-US" w:eastAsia="zh-CN" w:bidi="ar"/>
        </w:rPr>
        <w:t>年内，对番禺区</w:t>
      </w:r>
      <w:r>
        <w:rPr>
          <w:rFonts w:hint="eastAsia" w:ascii="仿宋_GB2312" w:hAnsi="仿宋_GB2312" w:eastAsia="仿宋_GB2312" w:cs="仿宋_GB2312"/>
          <w:sz w:val="32"/>
          <w:szCs w:val="32"/>
          <w:highlight w:val="none"/>
        </w:rPr>
        <w:t>“百千万工程”</w:t>
      </w:r>
      <w:r>
        <w:rPr>
          <w:rFonts w:hint="eastAsia" w:hAnsi="仿宋_GB2312" w:cs="仿宋_GB2312"/>
          <w:sz w:val="32"/>
          <w:szCs w:val="32"/>
          <w:highlight w:val="none"/>
          <w:lang w:eastAsia="zh-CN"/>
        </w:rPr>
        <w:t>实施</w:t>
      </w:r>
      <w:r>
        <w:rPr>
          <w:rFonts w:hint="eastAsia" w:ascii="仿宋_GB2312" w:hAnsi="仿宋_GB2312" w:eastAsia="仿宋_GB2312" w:cs="仿宋_GB2312"/>
          <w:sz w:val="32"/>
          <w:szCs w:val="32"/>
          <w:highlight w:val="none"/>
          <w:lang w:eastAsia="zh-CN"/>
        </w:rPr>
        <w:t>捐建，捐建</w:t>
      </w:r>
      <w:r>
        <w:rPr>
          <w:rFonts w:hint="eastAsia" w:hAnsi="仿宋_GB2312" w:cs="仿宋_GB2312"/>
          <w:sz w:val="32"/>
          <w:szCs w:val="32"/>
          <w:highlight w:val="none"/>
          <w:lang w:eastAsia="zh-CN"/>
        </w:rPr>
        <w:t>项目</w:t>
      </w:r>
      <w:r>
        <w:rPr>
          <w:rFonts w:hint="eastAsia" w:ascii="仿宋_GB2312" w:hAnsi="仿宋_GB2312" w:eastAsia="仿宋_GB2312" w:cs="仿宋_GB2312"/>
          <w:sz w:val="32"/>
          <w:szCs w:val="32"/>
          <w:highlight w:val="none"/>
          <w:lang w:eastAsia="zh-CN"/>
        </w:rPr>
        <w:t>总投资</w:t>
      </w:r>
      <w:r>
        <w:rPr>
          <w:rFonts w:hint="eastAsia" w:hAnsi="仿宋_GB2312" w:cs="仿宋_GB2312"/>
          <w:sz w:val="32"/>
          <w:szCs w:val="32"/>
          <w:highlight w:val="none"/>
          <w:lang w:val="en-US" w:eastAsia="zh-CN"/>
        </w:rPr>
        <w:t>为</w:t>
      </w:r>
      <w:r>
        <w:rPr>
          <w:rFonts w:hint="eastAsia" w:ascii="仿宋_GB2312" w:hAnsi="仿宋_GB2312" w:eastAsia="仿宋_GB2312" w:cs="仿宋_GB2312"/>
          <w:sz w:val="32"/>
          <w:szCs w:val="32"/>
          <w:highlight w:val="none"/>
          <w:lang w:eastAsia="zh-CN"/>
        </w:rPr>
        <w:t>人民币</w:t>
      </w:r>
      <w:r>
        <w:rPr>
          <w:rFonts w:hint="eastAsia" w:hAnsi="仿宋_GB2312" w:cs="仿宋_GB2312"/>
          <w:sz w:val="32"/>
          <w:szCs w:val="32"/>
          <w:highlight w:val="none"/>
          <w:u w:val="single"/>
          <w:lang w:val="en-US" w:eastAsia="zh-CN"/>
        </w:rPr>
        <w:t xml:space="preserve">       </w:t>
      </w:r>
      <w:r>
        <w:rPr>
          <w:rFonts w:hint="eastAsia" w:ascii="仿宋_GB2312" w:hAnsi="仿宋_GB2312" w:eastAsia="仿宋_GB2312" w:cs="仿宋_GB2312"/>
          <w:sz w:val="32"/>
          <w:szCs w:val="32"/>
          <w:highlight w:val="none"/>
          <w:lang w:val="en-US" w:eastAsia="zh-CN"/>
        </w:rPr>
        <w:t>万元</w:t>
      </w:r>
      <w:r>
        <w:rPr>
          <w:rFonts w:hint="eastAsia" w:hAnsi="仿宋_GB2312" w:cs="仿宋_GB2312"/>
          <w:sz w:val="32"/>
          <w:szCs w:val="32"/>
          <w:highlight w:val="none"/>
          <w:lang w:val="en-US" w:eastAsia="zh-CN"/>
        </w:rPr>
        <w:t>（四舍五入，精确到万位），即为中标总金额的</w:t>
      </w:r>
      <w:r>
        <w:rPr>
          <w:rFonts w:hint="eastAsia" w:hAnsi="仿宋_GB2312" w:cs="仿宋_GB2312"/>
          <w:sz w:val="32"/>
          <w:szCs w:val="32"/>
          <w:highlight w:val="none"/>
          <w:u w:val="single"/>
          <w:lang w:val="en-US" w:eastAsia="zh-CN"/>
        </w:rPr>
        <w:t>5%</w:t>
      </w:r>
      <w:r>
        <w:rPr>
          <w:rFonts w:hint="eastAsia" w:ascii="仿宋_GB2312" w:hAnsi="仿宋_GB2312" w:eastAsia="仿宋_GB2312" w:cs="仿宋_GB2312"/>
          <w:sz w:val="32"/>
          <w:szCs w:val="32"/>
          <w:highlight w:val="none"/>
          <w:lang w:val="en-US" w:eastAsia="zh-CN"/>
        </w:rPr>
        <w:t>。</w:t>
      </w:r>
    </w:p>
    <w:p w14:paraId="50FF2CB3">
      <w:pPr>
        <w:pStyle w:val="98"/>
        <w:adjustRightInd w:val="0"/>
        <w:snapToGrid w:val="0"/>
        <w:spacing w:line="300" w:lineRule="auto"/>
        <w:ind w:firstLine="640" w:firstLineChars="200"/>
        <w:rPr>
          <w:rFonts w:hint="eastAsia" w:ascii="仿宋_GB2312" w:hAnsi="仿宋_GB2312" w:eastAsia="仿宋_GB2312" w:cs="仿宋_GB2312"/>
          <w:sz w:val="32"/>
          <w:szCs w:val="32"/>
          <w:highlight w:val="none"/>
          <w:lang w:val="en-US" w:eastAsia="zh-CN"/>
        </w:rPr>
      </w:pPr>
    </w:p>
    <w:p w14:paraId="33E5280D">
      <w:pPr>
        <w:jc w:val="center"/>
        <w:rPr>
          <w:rFonts w:hint="eastAsia" w:ascii="仿宋_GB2312" w:hAnsi="仿宋_GB2312" w:eastAsia="仿宋_GB2312" w:cs="仿宋_GB2312"/>
          <w:i w:val="0"/>
          <w:iCs w:val="0"/>
          <w:caps w:val="0"/>
          <w:spacing w:val="0"/>
          <w:sz w:val="32"/>
          <w:szCs w:val="32"/>
          <w:highlight w:val="none"/>
          <w:shd w:val="clear" w:color="auto" w:fill="FFFFFF"/>
        </w:rPr>
      </w:pPr>
      <w:r>
        <w:rPr>
          <w:rFonts w:hint="eastAsia" w:ascii="仿宋_GB2312" w:hAnsi="仿宋_GB2312" w:eastAsia="仿宋_GB2312" w:cs="仿宋_GB2312"/>
          <w:i w:val="0"/>
          <w:iCs w:val="0"/>
          <w:caps w:val="0"/>
          <w:spacing w:val="0"/>
          <w:sz w:val="32"/>
          <w:szCs w:val="32"/>
          <w:highlight w:val="none"/>
          <w:shd w:val="clear" w:color="auto" w:fill="FFFFFF"/>
          <w:lang w:val="en-US" w:eastAsia="zh-CN"/>
        </w:rPr>
        <w:t xml:space="preserve">                </w:t>
      </w:r>
      <w:r>
        <w:rPr>
          <w:rFonts w:hint="eastAsia" w:ascii="仿宋_GB2312" w:hAnsi="仿宋_GB2312" w:eastAsia="仿宋_GB2312" w:cs="仿宋_GB2312"/>
          <w:i w:val="0"/>
          <w:iCs w:val="0"/>
          <w:caps w:val="0"/>
          <w:spacing w:val="0"/>
          <w:sz w:val="32"/>
          <w:szCs w:val="32"/>
          <w:highlight w:val="none"/>
          <w:shd w:val="clear" w:color="auto" w:fill="FFFFFF"/>
        </w:rPr>
        <w:t>公司名称</w:t>
      </w:r>
      <w:r>
        <w:rPr>
          <w:rFonts w:hint="eastAsia" w:ascii="仿宋_GB2312" w:hAnsi="仿宋_GB2312" w:eastAsia="仿宋_GB2312" w:cs="仿宋_GB2312"/>
          <w:i w:val="0"/>
          <w:iCs w:val="0"/>
          <w:caps w:val="0"/>
          <w:spacing w:val="0"/>
          <w:sz w:val="32"/>
          <w:szCs w:val="32"/>
          <w:highlight w:val="none"/>
          <w:shd w:val="clear" w:color="auto" w:fill="FFFFFF"/>
          <w:lang w:eastAsia="zh-CN"/>
        </w:rPr>
        <w:t>（盖公章）</w:t>
      </w:r>
      <w:r>
        <w:rPr>
          <w:rFonts w:hint="eastAsia" w:ascii="仿宋_GB2312" w:hAnsi="仿宋_GB2312" w:eastAsia="仿宋_GB2312" w:cs="仿宋_GB2312"/>
          <w:i w:val="0"/>
          <w:iCs w:val="0"/>
          <w:caps w:val="0"/>
          <w:spacing w:val="0"/>
          <w:sz w:val="32"/>
          <w:szCs w:val="32"/>
          <w:highlight w:val="none"/>
          <w:shd w:val="clear" w:color="auto" w:fill="FFFFFF"/>
        </w:rPr>
        <w:t>：</w:t>
      </w:r>
    </w:p>
    <w:p w14:paraId="331BB712">
      <w:pPr>
        <w:jc w:val="center"/>
        <w:rPr>
          <w:rFonts w:hint="eastAsia" w:ascii="仿宋_GB2312" w:hAnsi="仿宋_GB2312" w:eastAsia="仿宋_GB2312" w:cs="仿宋_GB2312"/>
          <w:i w:val="0"/>
          <w:iCs w:val="0"/>
          <w:caps w:val="0"/>
          <w:spacing w:val="0"/>
          <w:sz w:val="32"/>
          <w:szCs w:val="32"/>
          <w:highlight w:val="none"/>
          <w:shd w:val="clear" w:color="auto" w:fill="FFFFFF"/>
        </w:rPr>
      </w:pPr>
      <w:r>
        <w:rPr>
          <w:rFonts w:hint="eastAsia" w:ascii="仿宋_GB2312" w:hAnsi="仿宋_GB2312" w:eastAsia="仿宋_GB2312" w:cs="仿宋_GB2312"/>
          <w:i w:val="0"/>
          <w:iCs w:val="0"/>
          <w:caps w:val="0"/>
          <w:spacing w:val="0"/>
          <w:sz w:val="32"/>
          <w:szCs w:val="32"/>
          <w:highlight w:val="none"/>
          <w:shd w:val="clear" w:color="auto" w:fill="FFFFFF"/>
          <w:lang w:val="en-US" w:eastAsia="zh-CN"/>
        </w:rPr>
        <w:t xml:space="preserve">            </w:t>
      </w:r>
      <w:r>
        <w:rPr>
          <w:rFonts w:hint="eastAsia" w:ascii="仿宋_GB2312" w:hAnsi="仿宋_GB2312" w:eastAsia="仿宋_GB2312" w:cs="仿宋_GB2312"/>
          <w:i w:val="0"/>
          <w:iCs w:val="0"/>
          <w:caps w:val="0"/>
          <w:spacing w:val="0"/>
          <w:sz w:val="32"/>
          <w:szCs w:val="32"/>
          <w:highlight w:val="none"/>
          <w:shd w:val="clear" w:color="auto" w:fill="FFFFFF"/>
          <w:lang w:eastAsia="zh-CN"/>
        </w:rPr>
        <w:t>公司</w:t>
      </w:r>
      <w:r>
        <w:rPr>
          <w:rFonts w:hint="eastAsia" w:ascii="仿宋_GB2312" w:hAnsi="仿宋_GB2312" w:eastAsia="仿宋_GB2312" w:cs="仿宋_GB2312"/>
          <w:i w:val="0"/>
          <w:iCs w:val="0"/>
          <w:caps w:val="0"/>
          <w:spacing w:val="0"/>
          <w:sz w:val="32"/>
          <w:szCs w:val="32"/>
          <w:highlight w:val="none"/>
          <w:shd w:val="clear" w:color="auto" w:fill="FFFFFF"/>
        </w:rPr>
        <w:t xml:space="preserve">代表人签名： </w:t>
      </w:r>
    </w:p>
    <w:p w14:paraId="0967C324">
      <w:pPr>
        <w:jc w:val="center"/>
        <w:rPr>
          <w:rFonts w:hint="eastAsia" w:ascii="仿宋_GB2312" w:hAnsi="仿宋_GB2312" w:eastAsia="仿宋_GB2312" w:cs="仿宋_GB2312"/>
          <w:i w:val="0"/>
          <w:iCs w:val="0"/>
          <w:caps w:val="0"/>
          <w:spacing w:val="0"/>
          <w:sz w:val="32"/>
          <w:szCs w:val="32"/>
          <w:highlight w:val="none"/>
          <w:shd w:val="clear" w:color="auto" w:fill="FFFFFF"/>
        </w:rPr>
      </w:pPr>
      <w:r>
        <w:rPr>
          <w:rFonts w:hint="eastAsia" w:ascii="仿宋_GB2312" w:hAnsi="仿宋_GB2312" w:eastAsia="仿宋_GB2312" w:cs="仿宋_GB2312"/>
          <w:i w:val="0"/>
          <w:iCs w:val="0"/>
          <w:caps w:val="0"/>
          <w:spacing w:val="0"/>
          <w:sz w:val="32"/>
          <w:szCs w:val="32"/>
          <w:highlight w:val="none"/>
          <w:shd w:val="clear" w:color="auto" w:fill="FFFFFF"/>
          <w:lang w:val="en-US" w:eastAsia="zh-CN"/>
        </w:rPr>
        <w:t xml:space="preserve">   </w:t>
      </w:r>
      <w:r>
        <w:rPr>
          <w:rFonts w:hint="eastAsia" w:ascii="仿宋_GB2312" w:hAnsi="仿宋_GB2312" w:eastAsia="仿宋_GB2312" w:cs="仿宋_GB2312"/>
          <w:i w:val="0"/>
          <w:iCs w:val="0"/>
          <w:caps w:val="0"/>
          <w:spacing w:val="0"/>
          <w:sz w:val="32"/>
          <w:szCs w:val="32"/>
          <w:highlight w:val="none"/>
          <w:shd w:val="clear" w:color="auto" w:fill="FFFFFF"/>
        </w:rPr>
        <w:t>日期：</w:t>
      </w:r>
    </w:p>
    <w:p w14:paraId="37A3AC84">
      <w:pPr>
        <w:tabs>
          <w:tab w:val="left" w:pos="720"/>
        </w:tabs>
        <w:snapToGrid w:val="0"/>
        <w:spacing w:line="360" w:lineRule="auto"/>
        <w:rPr>
          <w:color w:val="auto"/>
          <w:sz w:val="24"/>
          <w:szCs w:val="24"/>
          <w:highlight w:val="none"/>
        </w:rPr>
      </w:pPr>
    </w:p>
    <w:p w14:paraId="03572715">
      <w:pPr>
        <w:jc w:val="center"/>
        <w:rPr>
          <w:rFonts w:hint="eastAsia" w:ascii="宋体" w:hAnsi="宋体"/>
          <w:sz w:val="30"/>
          <w:szCs w:val="30"/>
          <w:highlight w:val="none"/>
        </w:rPr>
      </w:pPr>
      <w:r>
        <w:rPr>
          <w:rFonts w:hint="eastAsia" w:ascii="宋体" w:hAnsi="宋体"/>
          <w:b/>
          <w:color w:val="auto"/>
          <w:sz w:val="30"/>
          <w:szCs w:val="30"/>
          <w:highlight w:val="none"/>
        </w:rPr>
        <w:br w:type="page"/>
      </w:r>
      <w:r>
        <w:rPr>
          <w:rFonts w:hint="eastAsia" w:ascii="宋体" w:hAnsi="宋体"/>
          <w:b/>
          <w:sz w:val="30"/>
          <w:szCs w:val="30"/>
          <w:highlight w:val="none"/>
        </w:rPr>
        <w:t>危险性较大的分部分项工程清单及超过一定规模的危险性较大的分部分项工程清单</w:t>
      </w:r>
    </w:p>
    <w:p w14:paraId="4758B77B">
      <w:pPr>
        <w:pStyle w:val="120"/>
        <w:numPr>
          <w:ilvl w:val="0"/>
          <w:numId w:val="9"/>
        </w:numPr>
        <w:autoSpaceDE w:val="0"/>
        <w:autoSpaceDN w:val="0"/>
        <w:adjustRightInd w:val="0"/>
        <w:spacing w:before="156" w:after="156"/>
        <w:ind w:firstLineChars="0"/>
        <w:jc w:val="left"/>
        <w:rPr>
          <w:rFonts w:hint="eastAsia" w:ascii="宋体" w:hAnsi="宋体"/>
          <w:szCs w:val="28"/>
          <w:highlight w:val="none"/>
        </w:rPr>
      </w:pPr>
      <w:r>
        <w:rPr>
          <w:rFonts w:hint="eastAsia" w:ascii="宋体" w:hAnsi="宋体"/>
          <w:szCs w:val="28"/>
          <w:highlight w:val="none"/>
        </w:rPr>
        <w:t>根据中华人民共和国住房和城乡建设部令第37号《危险性较大的分部分项工程安全管理规定》（以下简称“37号文”），投标人在投标时须补充完善危大工程清单并明确相应的安全管理措施。</w:t>
      </w:r>
    </w:p>
    <w:p w14:paraId="1D67561E">
      <w:pPr>
        <w:pStyle w:val="120"/>
        <w:numPr>
          <w:ilvl w:val="0"/>
          <w:numId w:val="9"/>
        </w:numPr>
        <w:autoSpaceDE w:val="0"/>
        <w:autoSpaceDN w:val="0"/>
        <w:adjustRightInd w:val="0"/>
        <w:spacing w:before="156" w:after="156"/>
        <w:ind w:firstLineChars="0"/>
        <w:jc w:val="left"/>
        <w:rPr>
          <w:rFonts w:hint="eastAsia" w:ascii="宋体" w:hAnsi="宋体"/>
          <w:szCs w:val="28"/>
          <w:highlight w:val="none"/>
        </w:rPr>
      </w:pPr>
      <w:r>
        <w:rPr>
          <w:rFonts w:hint="eastAsia" w:ascii="宋体" w:hAnsi="宋体"/>
          <w:szCs w:val="28"/>
          <w:highlight w:val="none"/>
        </w:rPr>
        <w:t>招标人根据设计文件的要求及37号文的规定列出“危险性较大的分部分项工程清单及超过一定规模的危险性较大的分部分项工程清单”中与本招标项目相关的清单项，具体详见第5点“打</w:t>
      </w:r>
      <w:r>
        <w:rPr>
          <w:rFonts w:hint="eastAsia" w:ascii="宋体" w:hAnsi="宋体"/>
          <w:szCs w:val="36"/>
          <w:highlight w:val="none"/>
        </w:rPr>
        <w:t>√”标识。</w:t>
      </w:r>
    </w:p>
    <w:p w14:paraId="4CAB7ECD">
      <w:pPr>
        <w:pStyle w:val="120"/>
        <w:numPr>
          <w:ilvl w:val="0"/>
          <w:numId w:val="10"/>
        </w:numPr>
        <w:autoSpaceDE w:val="0"/>
        <w:autoSpaceDN w:val="0"/>
        <w:adjustRightInd w:val="0"/>
        <w:spacing w:before="156" w:after="156"/>
        <w:ind w:firstLineChars="0"/>
        <w:jc w:val="left"/>
        <w:rPr>
          <w:rFonts w:hint="eastAsia" w:ascii="宋体" w:hAnsi="宋体"/>
          <w:szCs w:val="36"/>
          <w:highlight w:val="none"/>
        </w:rPr>
      </w:pPr>
      <w:r>
        <w:rPr>
          <w:rFonts w:hint="eastAsia" w:ascii="宋体" w:hAnsi="宋体"/>
          <w:szCs w:val="28"/>
          <w:highlight w:val="none"/>
        </w:rPr>
        <w:t>投标单位同意建设单位在清单中标识的该项请在对应项打“</w:t>
      </w:r>
      <w:r>
        <w:rPr>
          <w:rFonts w:hint="eastAsia" w:ascii="宋体" w:hAnsi="宋体"/>
          <w:szCs w:val="36"/>
          <w:highlight w:val="none"/>
        </w:rPr>
        <w:t>√”标识，并与投标文件中提供相应的安全管理措施。</w:t>
      </w:r>
    </w:p>
    <w:p w14:paraId="6749DBC6">
      <w:pPr>
        <w:pStyle w:val="120"/>
        <w:numPr>
          <w:ilvl w:val="0"/>
          <w:numId w:val="10"/>
        </w:numPr>
        <w:autoSpaceDE w:val="0"/>
        <w:autoSpaceDN w:val="0"/>
        <w:adjustRightInd w:val="0"/>
        <w:spacing w:before="156" w:after="156"/>
        <w:ind w:firstLineChars="0"/>
        <w:jc w:val="left"/>
        <w:rPr>
          <w:rFonts w:hint="eastAsia" w:ascii="宋体" w:hAnsi="宋体"/>
          <w:szCs w:val="36"/>
          <w:highlight w:val="none"/>
        </w:rPr>
      </w:pPr>
      <w:r>
        <w:rPr>
          <w:rFonts w:hint="eastAsia" w:ascii="宋体" w:hAnsi="宋体"/>
          <w:szCs w:val="28"/>
          <w:highlight w:val="none"/>
        </w:rPr>
        <w:t>投标单位对清单中认为需要补充的该项请在对应项打“</w:t>
      </w:r>
      <w:r>
        <w:rPr>
          <w:rFonts w:hint="eastAsia" w:ascii="宋体" w:hAnsi="宋体"/>
          <w:szCs w:val="36"/>
          <w:highlight w:val="none"/>
        </w:rPr>
        <w:t>√”标识，并与投标文件中提供相应的安全管理措施。</w:t>
      </w:r>
    </w:p>
    <w:p w14:paraId="4D078D59">
      <w:pPr>
        <w:pStyle w:val="120"/>
        <w:numPr>
          <w:ilvl w:val="0"/>
          <w:numId w:val="10"/>
        </w:numPr>
        <w:autoSpaceDE w:val="0"/>
        <w:autoSpaceDN w:val="0"/>
        <w:adjustRightInd w:val="0"/>
        <w:spacing w:before="156" w:after="156"/>
        <w:ind w:firstLineChars="0"/>
        <w:jc w:val="left"/>
        <w:rPr>
          <w:rFonts w:hint="eastAsia" w:ascii="宋体" w:hAnsi="宋体"/>
          <w:szCs w:val="28"/>
          <w:highlight w:val="none"/>
        </w:rPr>
      </w:pPr>
      <w:r>
        <w:rPr>
          <w:rFonts w:hint="eastAsia" w:ascii="宋体" w:hAnsi="宋体"/>
          <w:szCs w:val="36"/>
          <w:highlight w:val="none"/>
        </w:rPr>
        <w:t>投标单位不同意建设单位</w:t>
      </w:r>
      <w:r>
        <w:rPr>
          <w:rFonts w:hint="eastAsia" w:ascii="宋体" w:hAnsi="宋体"/>
          <w:szCs w:val="28"/>
          <w:highlight w:val="none"/>
        </w:rPr>
        <w:t>在清单中标识的该项</w:t>
      </w:r>
      <w:r>
        <w:rPr>
          <w:rFonts w:hint="eastAsia" w:ascii="宋体" w:hAnsi="宋体"/>
          <w:szCs w:val="36"/>
          <w:highlight w:val="none"/>
        </w:rPr>
        <w:t>请在对应项打“×”标识，并在备注栏填上相关说明。</w:t>
      </w:r>
    </w:p>
    <w:p w14:paraId="07C02486">
      <w:pPr>
        <w:pStyle w:val="120"/>
        <w:numPr>
          <w:ilvl w:val="0"/>
          <w:numId w:val="9"/>
        </w:numPr>
        <w:autoSpaceDE w:val="0"/>
        <w:autoSpaceDN w:val="0"/>
        <w:adjustRightInd w:val="0"/>
        <w:spacing w:before="156" w:after="156"/>
        <w:ind w:firstLineChars="0"/>
        <w:jc w:val="left"/>
        <w:rPr>
          <w:rFonts w:hint="eastAsia" w:ascii="宋体" w:hAnsi="宋体"/>
          <w:szCs w:val="28"/>
          <w:highlight w:val="none"/>
        </w:rPr>
      </w:pPr>
      <w:r>
        <w:rPr>
          <w:rFonts w:hint="eastAsia" w:ascii="宋体" w:hAnsi="宋体"/>
          <w:szCs w:val="28"/>
          <w:highlight w:val="none"/>
        </w:rPr>
        <w:t>投标单位应当在投标时根据招标人提供的下述第5点清单，在投标施工组织中编制专项施工方案。</w:t>
      </w:r>
    </w:p>
    <w:p w14:paraId="08BCC922">
      <w:pPr>
        <w:pStyle w:val="120"/>
        <w:numPr>
          <w:ilvl w:val="0"/>
          <w:numId w:val="9"/>
        </w:numPr>
        <w:autoSpaceDE w:val="0"/>
        <w:autoSpaceDN w:val="0"/>
        <w:adjustRightInd w:val="0"/>
        <w:spacing w:before="156" w:after="156"/>
        <w:ind w:firstLineChars="0"/>
        <w:jc w:val="left"/>
        <w:rPr>
          <w:rFonts w:hint="eastAsia" w:ascii="宋体" w:hAnsi="宋体"/>
          <w:szCs w:val="28"/>
          <w:highlight w:val="none"/>
        </w:rPr>
      </w:pPr>
      <w:r>
        <w:rPr>
          <w:rFonts w:hint="eastAsia" w:ascii="宋体" w:hAnsi="宋体"/>
          <w:szCs w:val="28"/>
          <w:highlight w:val="none"/>
        </w:rPr>
        <w:t>对于超过一定规模的危大工程，中标单位应当组织召开专家论证会对专项施工方案进行论证。实行施工总承包的，由施工总承包单位组织召开专家论证会。专家论证前专项施工方案应当通过施工总承包单位审核和总监理工程师审查。</w:t>
      </w:r>
    </w:p>
    <w:p w14:paraId="78E3F92B">
      <w:pPr>
        <w:pStyle w:val="120"/>
        <w:numPr>
          <w:ilvl w:val="0"/>
          <w:numId w:val="9"/>
        </w:numPr>
        <w:autoSpaceDE w:val="0"/>
        <w:autoSpaceDN w:val="0"/>
        <w:adjustRightInd w:val="0"/>
        <w:spacing w:before="156" w:after="156"/>
        <w:ind w:firstLineChars="0"/>
        <w:jc w:val="left"/>
        <w:rPr>
          <w:rFonts w:hint="eastAsia" w:ascii="宋体" w:hAnsi="宋体"/>
          <w:szCs w:val="28"/>
          <w:highlight w:val="none"/>
        </w:rPr>
      </w:pPr>
      <w:r>
        <w:rPr>
          <w:rFonts w:hint="eastAsia" w:ascii="宋体" w:hAnsi="宋体"/>
          <w:szCs w:val="28"/>
          <w:highlight w:val="none"/>
        </w:rPr>
        <w:t>危险性较大的分部分项工程清单及超过一定规模的危险性较大的分部分项工程清单：</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40"/>
        <w:gridCol w:w="1368"/>
        <w:gridCol w:w="1284"/>
        <w:gridCol w:w="979"/>
      </w:tblGrid>
      <w:tr w14:paraId="7621A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vAlign w:val="center"/>
          </w:tcPr>
          <w:p w14:paraId="2B87816C">
            <w:pPr>
              <w:jc w:val="center"/>
              <w:rPr>
                <w:rFonts w:hint="eastAsia" w:ascii="宋体" w:hAnsi="宋体" w:cs="宋体"/>
                <w:b/>
                <w:szCs w:val="21"/>
                <w:highlight w:val="none"/>
              </w:rPr>
            </w:pPr>
            <w:r>
              <w:rPr>
                <w:rFonts w:hint="eastAsia" w:ascii="宋体" w:hAnsi="宋体" w:cs="宋体"/>
                <w:b/>
                <w:szCs w:val="21"/>
                <w:highlight w:val="none"/>
              </w:rPr>
              <w:t>一、危险性较大的分部分项工程清单</w:t>
            </w:r>
          </w:p>
        </w:tc>
        <w:tc>
          <w:tcPr>
            <w:tcW w:w="1368" w:type="dxa"/>
            <w:tcBorders>
              <w:top w:val="single" w:color="auto" w:sz="4" w:space="0"/>
              <w:left w:val="single" w:color="auto" w:sz="4" w:space="0"/>
              <w:bottom w:val="single" w:color="auto" w:sz="4" w:space="0"/>
              <w:right w:val="single" w:color="auto" w:sz="4" w:space="0"/>
            </w:tcBorders>
            <w:vAlign w:val="center"/>
          </w:tcPr>
          <w:p w14:paraId="5B4CB919">
            <w:pPr>
              <w:jc w:val="center"/>
              <w:rPr>
                <w:rFonts w:hint="eastAsia" w:ascii="宋体" w:hAnsi="宋体" w:cs="宋体"/>
                <w:szCs w:val="21"/>
                <w:highlight w:val="none"/>
              </w:rPr>
            </w:pPr>
            <w:r>
              <w:rPr>
                <w:rFonts w:hint="eastAsia" w:ascii="宋体" w:hAnsi="宋体" w:cs="宋体"/>
                <w:szCs w:val="21"/>
                <w:highlight w:val="none"/>
              </w:rPr>
              <w:t>建设单位</w:t>
            </w:r>
          </w:p>
        </w:tc>
        <w:tc>
          <w:tcPr>
            <w:tcW w:w="1284" w:type="dxa"/>
            <w:tcBorders>
              <w:top w:val="single" w:color="auto" w:sz="4" w:space="0"/>
              <w:left w:val="single" w:color="auto" w:sz="4" w:space="0"/>
              <w:bottom w:val="single" w:color="auto" w:sz="4" w:space="0"/>
              <w:right w:val="single" w:color="auto" w:sz="4" w:space="0"/>
            </w:tcBorders>
            <w:vAlign w:val="center"/>
          </w:tcPr>
          <w:p w14:paraId="51072BBD">
            <w:pPr>
              <w:jc w:val="center"/>
              <w:rPr>
                <w:rFonts w:hint="eastAsia" w:ascii="宋体" w:hAnsi="宋体" w:cs="宋体"/>
                <w:szCs w:val="21"/>
                <w:highlight w:val="none"/>
              </w:rPr>
            </w:pPr>
            <w:r>
              <w:rPr>
                <w:rFonts w:hint="eastAsia" w:ascii="宋体" w:hAnsi="宋体" w:cs="宋体"/>
                <w:szCs w:val="21"/>
                <w:highlight w:val="none"/>
              </w:rPr>
              <w:t>投标单位</w:t>
            </w:r>
          </w:p>
        </w:tc>
        <w:tc>
          <w:tcPr>
            <w:tcW w:w="979" w:type="dxa"/>
            <w:tcBorders>
              <w:top w:val="single" w:color="auto" w:sz="4" w:space="0"/>
              <w:left w:val="single" w:color="auto" w:sz="4" w:space="0"/>
              <w:bottom w:val="single" w:color="auto" w:sz="4" w:space="0"/>
              <w:right w:val="single" w:color="auto" w:sz="4" w:space="0"/>
            </w:tcBorders>
            <w:vAlign w:val="center"/>
          </w:tcPr>
          <w:p w14:paraId="589A5BB6">
            <w:pPr>
              <w:jc w:val="center"/>
              <w:rPr>
                <w:rFonts w:hint="eastAsia" w:ascii="宋体" w:hAnsi="宋体" w:cs="宋体"/>
                <w:szCs w:val="21"/>
                <w:highlight w:val="none"/>
              </w:rPr>
            </w:pPr>
            <w:r>
              <w:rPr>
                <w:rFonts w:hint="eastAsia" w:ascii="宋体" w:hAnsi="宋体" w:cs="宋体"/>
                <w:szCs w:val="21"/>
                <w:highlight w:val="none"/>
              </w:rPr>
              <w:t>备注</w:t>
            </w:r>
          </w:p>
        </w:tc>
      </w:tr>
      <w:tr w14:paraId="6784B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FC54EED">
            <w:pPr>
              <w:jc w:val="left"/>
              <w:rPr>
                <w:rFonts w:hint="eastAsia" w:ascii="宋体" w:hAnsi="宋体" w:cs="宋体"/>
                <w:szCs w:val="21"/>
                <w:highlight w:val="none"/>
              </w:rPr>
            </w:pPr>
            <w:r>
              <w:rPr>
                <w:rFonts w:hint="eastAsia" w:ascii="宋体" w:hAnsi="宋体" w:cs="宋体"/>
                <w:szCs w:val="21"/>
                <w:highlight w:val="none"/>
              </w:rPr>
              <w:t>一、基坑支护</w:t>
            </w:r>
          </w:p>
        </w:tc>
        <w:tc>
          <w:tcPr>
            <w:tcW w:w="1368" w:type="dxa"/>
            <w:tcBorders>
              <w:top w:val="single" w:color="auto" w:sz="4" w:space="0"/>
              <w:left w:val="single" w:color="auto" w:sz="4" w:space="0"/>
              <w:bottom w:val="single" w:color="auto" w:sz="4" w:space="0"/>
              <w:right w:val="single" w:color="auto" w:sz="4" w:space="0"/>
            </w:tcBorders>
            <w:vAlign w:val="center"/>
          </w:tcPr>
          <w:p w14:paraId="2269C3AF">
            <w:pPr>
              <w:jc w:val="center"/>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szCs w:val="36"/>
                <w:highlight w:val="none"/>
              </w:rPr>
              <w:t xml:space="preserve">  </w:t>
            </w:r>
            <w:r>
              <w:rPr>
                <w:rFonts w:hint="eastAsia" w:ascii="宋体" w:hAnsi="宋体" w:cs="宋体"/>
                <w:szCs w:val="21"/>
                <w:highlight w:val="none"/>
              </w:rPr>
              <w:t xml:space="preserve"> )</w:t>
            </w:r>
          </w:p>
        </w:tc>
        <w:tc>
          <w:tcPr>
            <w:tcW w:w="1284" w:type="dxa"/>
            <w:tcBorders>
              <w:top w:val="single" w:color="auto" w:sz="4" w:space="0"/>
              <w:left w:val="single" w:color="auto" w:sz="4" w:space="0"/>
              <w:bottom w:val="single" w:color="auto" w:sz="4" w:space="0"/>
              <w:right w:val="single" w:color="auto" w:sz="4" w:space="0"/>
            </w:tcBorders>
            <w:vAlign w:val="center"/>
          </w:tcPr>
          <w:p w14:paraId="0CC50E12">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B9A03AC">
            <w:pPr>
              <w:jc w:val="center"/>
              <w:rPr>
                <w:rFonts w:hint="eastAsia" w:ascii="宋体" w:hAnsi="宋体" w:cs="宋体"/>
                <w:szCs w:val="21"/>
                <w:highlight w:val="none"/>
              </w:rPr>
            </w:pPr>
          </w:p>
        </w:tc>
      </w:tr>
      <w:tr w14:paraId="1C9F4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5A10B892">
            <w:pPr>
              <w:jc w:val="left"/>
              <w:rPr>
                <w:rFonts w:hint="eastAsia" w:ascii="宋体" w:hAnsi="宋体" w:cs="宋体"/>
                <w:szCs w:val="21"/>
                <w:highlight w:val="none"/>
              </w:rPr>
            </w:pPr>
            <w:r>
              <w:rPr>
                <w:rFonts w:hint="eastAsia" w:ascii="宋体" w:hAnsi="宋体" w:cs="宋体"/>
                <w:szCs w:val="21"/>
                <w:highlight w:val="none"/>
              </w:rPr>
              <w:t>（一）开挖深度超过3m（含3m）的基坑（槽）的土方开挖、支护、降水工程。</w:t>
            </w:r>
          </w:p>
        </w:tc>
        <w:tc>
          <w:tcPr>
            <w:tcW w:w="1368" w:type="dxa"/>
            <w:tcBorders>
              <w:top w:val="single" w:color="auto" w:sz="4" w:space="0"/>
              <w:left w:val="single" w:color="auto" w:sz="4" w:space="0"/>
              <w:bottom w:val="single" w:color="auto" w:sz="4" w:space="0"/>
              <w:right w:val="single" w:color="auto" w:sz="4" w:space="0"/>
            </w:tcBorders>
            <w:vAlign w:val="center"/>
          </w:tcPr>
          <w:p w14:paraId="720DCA73">
            <w:pPr>
              <w:jc w:val="center"/>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szCs w:val="36"/>
                <w:highlight w:val="none"/>
              </w:rPr>
              <w:t xml:space="preserve">√ </w:t>
            </w:r>
            <w:r>
              <w:rPr>
                <w:rFonts w:hint="eastAsia" w:ascii="宋体" w:hAnsi="宋体" w:cs="宋体"/>
                <w:szCs w:val="21"/>
                <w:highlight w:val="none"/>
              </w:rPr>
              <w:t>)</w:t>
            </w:r>
          </w:p>
        </w:tc>
        <w:tc>
          <w:tcPr>
            <w:tcW w:w="1284" w:type="dxa"/>
            <w:tcBorders>
              <w:top w:val="single" w:color="auto" w:sz="4" w:space="0"/>
              <w:left w:val="single" w:color="auto" w:sz="4" w:space="0"/>
              <w:bottom w:val="single" w:color="auto" w:sz="4" w:space="0"/>
              <w:right w:val="single" w:color="auto" w:sz="4" w:space="0"/>
            </w:tcBorders>
            <w:vAlign w:val="center"/>
          </w:tcPr>
          <w:p w14:paraId="50DF0D2C">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CAAD748">
            <w:pPr>
              <w:jc w:val="center"/>
              <w:rPr>
                <w:rFonts w:hint="eastAsia" w:ascii="宋体" w:hAnsi="宋体" w:cs="宋体"/>
                <w:szCs w:val="21"/>
                <w:highlight w:val="none"/>
              </w:rPr>
            </w:pPr>
          </w:p>
        </w:tc>
      </w:tr>
      <w:tr w14:paraId="3A0A2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38CE69DD">
            <w:pPr>
              <w:jc w:val="left"/>
              <w:rPr>
                <w:rFonts w:hint="eastAsia" w:ascii="宋体" w:hAnsi="宋体" w:cs="宋体"/>
                <w:szCs w:val="21"/>
                <w:highlight w:val="none"/>
              </w:rPr>
            </w:pPr>
            <w:r>
              <w:rPr>
                <w:rFonts w:hint="eastAsia" w:ascii="宋体" w:hAnsi="宋体" w:cs="宋体"/>
                <w:szCs w:val="21"/>
                <w:highlight w:val="none"/>
              </w:rPr>
              <w:t>（二）开挖深度虽未超过3m，但地质条件、周围环境和地下管线复杂，或影响毗邻建、构筑物安全的基坑（槽）的土方开挖、支护、降水工程。</w:t>
            </w:r>
          </w:p>
        </w:tc>
        <w:tc>
          <w:tcPr>
            <w:tcW w:w="1368" w:type="dxa"/>
            <w:tcBorders>
              <w:top w:val="single" w:color="auto" w:sz="4" w:space="0"/>
              <w:left w:val="single" w:color="auto" w:sz="4" w:space="0"/>
              <w:bottom w:val="single" w:color="auto" w:sz="4" w:space="0"/>
              <w:right w:val="single" w:color="auto" w:sz="4" w:space="0"/>
            </w:tcBorders>
            <w:vAlign w:val="center"/>
          </w:tcPr>
          <w:p w14:paraId="6E925467">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5E8DE2B3">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23FC16AD">
            <w:pPr>
              <w:jc w:val="center"/>
              <w:rPr>
                <w:rFonts w:hint="eastAsia" w:ascii="宋体" w:hAnsi="宋体" w:cs="宋体"/>
                <w:szCs w:val="21"/>
                <w:highlight w:val="none"/>
              </w:rPr>
            </w:pPr>
          </w:p>
        </w:tc>
      </w:tr>
      <w:tr w14:paraId="0443C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4940" w:type="dxa"/>
            <w:tcBorders>
              <w:top w:val="single" w:color="auto" w:sz="4" w:space="0"/>
              <w:left w:val="single" w:color="auto" w:sz="4" w:space="0"/>
              <w:bottom w:val="single" w:color="auto" w:sz="4" w:space="0"/>
              <w:right w:val="single" w:color="auto" w:sz="4" w:space="0"/>
            </w:tcBorders>
          </w:tcPr>
          <w:p w14:paraId="415DF709">
            <w:pPr>
              <w:jc w:val="left"/>
              <w:rPr>
                <w:rFonts w:hint="eastAsia" w:ascii="宋体" w:hAnsi="宋体" w:cs="宋体"/>
                <w:szCs w:val="21"/>
                <w:highlight w:val="none"/>
              </w:rPr>
            </w:pPr>
            <w:r>
              <w:rPr>
                <w:rFonts w:hint="eastAsia" w:ascii="宋体" w:hAnsi="宋体" w:cs="宋体"/>
                <w:szCs w:val="21"/>
                <w:highlight w:val="none"/>
              </w:rPr>
              <w:t>二、模板工程及支撑体系</w:t>
            </w:r>
          </w:p>
        </w:tc>
        <w:tc>
          <w:tcPr>
            <w:tcW w:w="1368" w:type="dxa"/>
            <w:tcBorders>
              <w:top w:val="single" w:color="auto" w:sz="4" w:space="0"/>
              <w:left w:val="single" w:color="auto" w:sz="4" w:space="0"/>
              <w:bottom w:val="single" w:color="auto" w:sz="4" w:space="0"/>
              <w:right w:val="single" w:color="auto" w:sz="4" w:space="0"/>
            </w:tcBorders>
            <w:vAlign w:val="center"/>
          </w:tcPr>
          <w:p w14:paraId="24400EAE">
            <w:pPr>
              <w:jc w:val="center"/>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szCs w:val="36"/>
                <w:highlight w:val="none"/>
              </w:rPr>
              <w:t xml:space="preserve">  </w:t>
            </w:r>
            <w:r>
              <w:rPr>
                <w:rFonts w:hint="eastAsia" w:ascii="宋体" w:hAnsi="宋体" w:cs="宋体"/>
                <w:szCs w:val="21"/>
                <w:highlight w:val="none"/>
              </w:rPr>
              <w:t xml:space="preserve"> )</w:t>
            </w:r>
          </w:p>
        </w:tc>
        <w:tc>
          <w:tcPr>
            <w:tcW w:w="1284" w:type="dxa"/>
            <w:tcBorders>
              <w:top w:val="single" w:color="auto" w:sz="4" w:space="0"/>
              <w:left w:val="single" w:color="auto" w:sz="4" w:space="0"/>
              <w:bottom w:val="single" w:color="auto" w:sz="4" w:space="0"/>
              <w:right w:val="single" w:color="auto" w:sz="4" w:space="0"/>
            </w:tcBorders>
            <w:vAlign w:val="center"/>
          </w:tcPr>
          <w:p w14:paraId="3055ABC4">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8F584C6">
            <w:pPr>
              <w:jc w:val="center"/>
              <w:rPr>
                <w:rFonts w:hint="eastAsia" w:ascii="宋体" w:hAnsi="宋体" w:cs="宋体"/>
                <w:szCs w:val="21"/>
                <w:highlight w:val="none"/>
              </w:rPr>
            </w:pPr>
          </w:p>
        </w:tc>
      </w:tr>
      <w:tr w14:paraId="3995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trPr>
        <w:tc>
          <w:tcPr>
            <w:tcW w:w="4940" w:type="dxa"/>
            <w:tcBorders>
              <w:top w:val="single" w:color="auto" w:sz="4" w:space="0"/>
              <w:left w:val="single" w:color="auto" w:sz="4" w:space="0"/>
              <w:bottom w:val="single" w:color="auto" w:sz="4" w:space="0"/>
              <w:right w:val="single" w:color="auto" w:sz="4" w:space="0"/>
            </w:tcBorders>
          </w:tcPr>
          <w:p w14:paraId="26092AE5">
            <w:pPr>
              <w:jc w:val="left"/>
              <w:rPr>
                <w:rFonts w:hint="eastAsia" w:ascii="宋体" w:hAnsi="宋体" w:cs="宋体"/>
                <w:szCs w:val="21"/>
                <w:highlight w:val="none"/>
              </w:rPr>
            </w:pPr>
            <w:r>
              <w:rPr>
                <w:rFonts w:hint="eastAsia" w:ascii="宋体" w:hAnsi="宋体" w:cs="宋体"/>
                <w:szCs w:val="21"/>
                <w:highlight w:val="none"/>
              </w:rPr>
              <w:t>（一）各类工具式模板工程：包括滑模、爬模、飞模、隧道模等工程。</w:t>
            </w:r>
          </w:p>
        </w:tc>
        <w:tc>
          <w:tcPr>
            <w:tcW w:w="1368" w:type="dxa"/>
            <w:tcBorders>
              <w:top w:val="single" w:color="auto" w:sz="4" w:space="0"/>
              <w:left w:val="single" w:color="auto" w:sz="4" w:space="0"/>
              <w:bottom w:val="single" w:color="auto" w:sz="4" w:space="0"/>
              <w:right w:val="single" w:color="auto" w:sz="4" w:space="0"/>
            </w:tcBorders>
            <w:vAlign w:val="center"/>
          </w:tcPr>
          <w:p w14:paraId="3AD95F2D">
            <w:pPr>
              <w:jc w:val="center"/>
              <w:rPr>
                <w:rFonts w:hint="eastAsia" w:ascii="宋体" w:hAnsi="宋体" w:cs="宋体"/>
                <w:szCs w:val="21"/>
                <w:highlight w:val="none"/>
              </w:rPr>
            </w:pPr>
            <w:r>
              <w:rPr>
                <w:rFonts w:hint="eastAsia" w:ascii="宋体" w:hAnsi="宋体" w:cs="宋体"/>
                <w:szCs w:val="21"/>
                <w:highlight w:val="none"/>
              </w:rPr>
              <w:t>(</w:t>
            </w:r>
            <w:r>
              <w:rPr>
                <w:rFonts w:hint="eastAsia" w:ascii="宋体" w:hAnsi="宋体"/>
                <w:szCs w:val="36"/>
                <w:highlight w:val="none"/>
              </w:rPr>
              <w:t xml:space="preserve"> √ </w:t>
            </w:r>
            <w:r>
              <w:rPr>
                <w:rFonts w:hint="eastAsia" w:ascii="宋体" w:hAnsi="宋体" w:cs="宋体"/>
                <w:szCs w:val="21"/>
                <w:highlight w:val="none"/>
              </w:rPr>
              <w:t>)</w:t>
            </w:r>
          </w:p>
        </w:tc>
        <w:tc>
          <w:tcPr>
            <w:tcW w:w="1284" w:type="dxa"/>
            <w:tcBorders>
              <w:top w:val="single" w:color="auto" w:sz="4" w:space="0"/>
              <w:left w:val="single" w:color="auto" w:sz="4" w:space="0"/>
              <w:bottom w:val="single" w:color="auto" w:sz="4" w:space="0"/>
              <w:right w:val="single" w:color="auto" w:sz="4" w:space="0"/>
            </w:tcBorders>
            <w:vAlign w:val="center"/>
          </w:tcPr>
          <w:p w14:paraId="5FF95C5E">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51DAF5F">
            <w:pPr>
              <w:jc w:val="center"/>
              <w:rPr>
                <w:rFonts w:hint="eastAsia" w:ascii="宋体" w:hAnsi="宋体" w:cs="宋体"/>
                <w:szCs w:val="21"/>
                <w:highlight w:val="none"/>
              </w:rPr>
            </w:pPr>
          </w:p>
        </w:tc>
      </w:tr>
      <w:tr w14:paraId="3A17C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3B583F10">
            <w:pPr>
              <w:jc w:val="left"/>
              <w:rPr>
                <w:rFonts w:hint="eastAsia" w:ascii="宋体" w:hAnsi="宋体" w:cs="宋体"/>
                <w:szCs w:val="21"/>
                <w:highlight w:val="none"/>
              </w:rPr>
            </w:pPr>
            <w:r>
              <w:rPr>
                <w:rFonts w:hint="eastAsia" w:ascii="宋体" w:hAnsi="宋体" w:cs="宋体"/>
                <w:szCs w:val="21"/>
                <w:highlight w:val="none"/>
              </w:rPr>
              <w:t>（二）混凝土模板支撑工程：搭设高度5m及以上，或搭设跨度10m及以上，或施工总荷载（荷载效应基本组合的设计值，以下简称设计值）10kN/m2及以上，或集中线荷载（设计值）15kN/m及以上，或高度大于支撑水平投影宽度且相对独立无联系构件的混凝土模板支撑工程。</w:t>
            </w:r>
          </w:p>
        </w:tc>
        <w:tc>
          <w:tcPr>
            <w:tcW w:w="1368" w:type="dxa"/>
            <w:tcBorders>
              <w:top w:val="single" w:color="auto" w:sz="4" w:space="0"/>
              <w:left w:val="single" w:color="auto" w:sz="4" w:space="0"/>
              <w:bottom w:val="single" w:color="auto" w:sz="4" w:space="0"/>
              <w:right w:val="single" w:color="auto" w:sz="4" w:space="0"/>
            </w:tcBorders>
            <w:vAlign w:val="center"/>
          </w:tcPr>
          <w:p w14:paraId="2AD41D54">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1505BE5F">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FB1C30B">
            <w:pPr>
              <w:jc w:val="center"/>
              <w:rPr>
                <w:rFonts w:hint="eastAsia" w:ascii="宋体" w:hAnsi="宋体" w:cs="宋体"/>
                <w:szCs w:val="21"/>
                <w:highlight w:val="none"/>
              </w:rPr>
            </w:pPr>
          </w:p>
        </w:tc>
      </w:tr>
      <w:tr w14:paraId="60CDE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C280AFB">
            <w:pPr>
              <w:widowControl/>
              <w:spacing w:line="360" w:lineRule="atLeast"/>
              <w:jc w:val="left"/>
              <w:rPr>
                <w:rFonts w:hint="eastAsia" w:ascii="宋体" w:hAnsi="宋体" w:cs="宋体"/>
                <w:szCs w:val="21"/>
                <w:highlight w:val="none"/>
              </w:rPr>
            </w:pPr>
            <w:r>
              <w:rPr>
                <w:rFonts w:hint="eastAsia" w:ascii="宋体" w:hAnsi="宋体" w:cs="宋体"/>
                <w:szCs w:val="21"/>
                <w:highlight w:val="none"/>
              </w:rPr>
              <w:t>（三）承重支撑体系：用于钢结构安装等满堂支撑体系。</w:t>
            </w:r>
          </w:p>
        </w:tc>
        <w:tc>
          <w:tcPr>
            <w:tcW w:w="1368" w:type="dxa"/>
            <w:tcBorders>
              <w:top w:val="single" w:color="auto" w:sz="4" w:space="0"/>
              <w:left w:val="single" w:color="auto" w:sz="4" w:space="0"/>
              <w:bottom w:val="single" w:color="auto" w:sz="4" w:space="0"/>
              <w:right w:val="single" w:color="auto" w:sz="4" w:space="0"/>
            </w:tcBorders>
            <w:vAlign w:val="center"/>
          </w:tcPr>
          <w:p w14:paraId="4F89DC94">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D763D14">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1F234B83">
            <w:pPr>
              <w:jc w:val="center"/>
              <w:rPr>
                <w:rFonts w:hint="eastAsia" w:ascii="宋体" w:hAnsi="宋体" w:cs="宋体"/>
                <w:szCs w:val="21"/>
                <w:highlight w:val="none"/>
              </w:rPr>
            </w:pPr>
          </w:p>
        </w:tc>
      </w:tr>
      <w:tr w14:paraId="3BCFB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55E45E53">
            <w:pPr>
              <w:widowControl/>
              <w:spacing w:line="360" w:lineRule="atLeast"/>
              <w:jc w:val="left"/>
              <w:rPr>
                <w:rFonts w:hint="eastAsia" w:ascii="宋体" w:hAnsi="宋体" w:cs="宋体"/>
                <w:szCs w:val="21"/>
                <w:highlight w:val="none"/>
              </w:rPr>
            </w:pPr>
            <w:r>
              <w:rPr>
                <w:rFonts w:hint="eastAsia" w:ascii="宋体" w:hAnsi="宋体" w:cs="宋体"/>
                <w:szCs w:val="21"/>
                <w:highlight w:val="none"/>
              </w:rPr>
              <w:t>　三、起重吊装及起重机械安装拆卸工程</w:t>
            </w:r>
          </w:p>
        </w:tc>
        <w:tc>
          <w:tcPr>
            <w:tcW w:w="1368" w:type="dxa"/>
            <w:tcBorders>
              <w:top w:val="single" w:color="auto" w:sz="4" w:space="0"/>
              <w:left w:val="single" w:color="auto" w:sz="4" w:space="0"/>
              <w:bottom w:val="single" w:color="auto" w:sz="4" w:space="0"/>
              <w:right w:val="single" w:color="auto" w:sz="4" w:space="0"/>
            </w:tcBorders>
            <w:vAlign w:val="center"/>
          </w:tcPr>
          <w:p w14:paraId="6DCCFBEC">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2FEE4383">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5027D85">
            <w:pPr>
              <w:jc w:val="center"/>
              <w:rPr>
                <w:rFonts w:hint="eastAsia" w:ascii="宋体" w:hAnsi="宋体" w:cs="宋体"/>
                <w:szCs w:val="21"/>
                <w:highlight w:val="none"/>
              </w:rPr>
            </w:pPr>
          </w:p>
        </w:tc>
      </w:tr>
      <w:tr w14:paraId="36CC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26381259">
            <w:pPr>
              <w:widowControl/>
              <w:spacing w:line="360" w:lineRule="atLeast"/>
              <w:jc w:val="left"/>
              <w:rPr>
                <w:rFonts w:hint="eastAsia" w:ascii="宋体" w:hAnsi="宋体" w:cs="宋体"/>
                <w:szCs w:val="21"/>
                <w:highlight w:val="none"/>
              </w:rPr>
            </w:pPr>
            <w:r>
              <w:rPr>
                <w:rFonts w:hint="eastAsia" w:ascii="宋体" w:hAnsi="宋体" w:cs="宋体"/>
                <w:szCs w:val="21"/>
                <w:highlight w:val="none"/>
              </w:rPr>
              <w:t>（一）采用非常规起重设备、方法，且单件起吊重量在10kN及以上的起重吊装工程。</w:t>
            </w:r>
          </w:p>
        </w:tc>
        <w:tc>
          <w:tcPr>
            <w:tcW w:w="1368" w:type="dxa"/>
            <w:tcBorders>
              <w:top w:val="single" w:color="auto" w:sz="4" w:space="0"/>
              <w:left w:val="single" w:color="auto" w:sz="4" w:space="0"/>
              <w:bottom w:val="single" w:color="auto" w:sz="4" w:space="0"/>
              <w:right w:val="single" w:color="auto" w:sz="4" w:space="0"/>
            </w:tcBorders>
            <w:vAlign w:val="center"/>
          </w:tcPr>
          <w:p w14:paraId="591A78A6">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51B0F573">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A359976">
            <w:pPr>
              <w:jc w:val="center"/>
              <w:rPr>
                <w:rFonts w:hint="eastAsia" w:ascii="宋体" w:hAnsi="宋体" w:cs="宋体"/>
                <w:szCs w:val="21"/>
                <w:highlight w:val="none"/>
              </w:rPr>
            </w:pPr>
          </w:p>
        </w:tc>
      </w:tr>
      <w:tr w14:paraId="08D14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2F26677A">
            <w:pPr>
              <w:jc w:val="left"/>
              <w:rPr>
                <w:rFonts w:hint="eastAsia" w:ascii="宋体" w:hAnsi="宋体" w:cs="宋体"/>
                <w:szCs w:val="21"/>
                <w:highlight w:val="none"/>
              </w:rPr>
            </w:pPr>
            <w:r>
              <w:rPr>
                <w:rFonts w:hint="eastAsia" w:ascii="宋体" w:hAnsi="宋体" w:cs="宋体"/>
                <w:szCs w:val="21"/>
                <w:highlight w:val="none"/>
              </w:rPr>
              <w:t>（二）采用起重机械进行安装的工程。</w:t>
            </w:r>
          </w:p>
        </w:tc>
        <w:tc>
          <w:tcPr>
            <w:tcW w:w="1368" w:type="dxa"/>
            <w:tcBorders>
              <w:top w:val="single" w:color="auto" w:sz="4" w:space="0"/>
              <w:left w:val="single" w:color="auto" w:sz="4" w:space="0"/>
              <w:bottom w:val="single" w:color="auto" w:sz="4" w:space="0"/>
              <w:right w:val="single" w:color="auto" w:sz="4" w:space="0"/>
            </w:tcBorders>
            <w:vAlign w:val="center"/>
          </w:tcPr>
          <w:p w14:paraId="781383C1">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38369EAC">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7646EDF5">
            <w:pPr>
              <w:jc w:val="center"/>
              <w:rPr>
                <w:rFonts w:hint="eastAsia" w:ascii="宋体" w:hAnsi="宋体" w:cs="宋体"/>
                <w:szCs w:val="21"/>
                <w:highlight w:val="none"/>
              </w:rPr>
            </w:pPr>
          </w:p>
        </w:tc>
      </w:tr>
      <w:tr w14:paraId="69636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5E0BC63E">
            <w:pPr>
              <w:jc w:val="left"/>
              <w:rPr>
                <w:rFonts w:hint="eastAsia" w:ascii="宋体" w:hAnsi="宋体" w:cs="宋体"/>
                <w:szCs w:val="21"/>
                <w:highlight w:val="none"/>
              </w:rPr>
            </w:pPr>
            <w:r>
              <w:rPr>
                <w:rFonts w:hint="eastAsia" w:ascii="宋体" w:hAnsi="宋体" w:cs="宋体"/>
                <w:szCs w:val="21"/>
                <w:highlight w:val="none"/>
              </w:rPr>
              <w:t>（三）起重机械安装和拆卸工程。</w:t>
            </w:r>
          </w:p>
        </w:tc>
        <w:tc>
          <w:tcPr>
            <w:tcW w:w="1368" w:type="dxa"/>
            <w:tcBorders>
              <w:top w:val="single" w:color="auto" w:sz="4" w:space="0"/>
              <w:left w:val="single" w:color="auto" w:sz="4" w:space="0"/>
              <w:bottom w:val="single" w:color="auto" w:sz="4" w:space="0"/>
              <w:right w:val="single" w:color="auto" w:sz="4" w:space="0"/>
            </w:tcBorders>
            <w:vAlign w:val="center"/>
          </w:tcPr>
          <w:p w14:paraId="60BA683F">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381887A">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0D9C1FAF">
            <w:pPr>
              <w:jc w:val="center"/>
              <w:rPr>
                <w:rFonts w:hint="eastAsia" w:ascii="宋体" w:hAnsi="宋体" w:cs="宋体"/>
                <w:szCs w:val="21"/>
                <w:highlight w:val="none"/>
              </w:rPr>
            </w:pPr>
          </w:p>
        </w:tc>
      </w:tr>
      <w:tr w14:paraId="47C13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3315AB1A">
            <w:pPr>
              <w:jc w:val="left"/>
              <w:rPr>
                <w:rFonts w:hint="eastAsia" w:ascii="宋体" w:hAnsi="宋体" w:cs="宋体"/>
                <w:szCs w:val="21"/>
                <w:highlight w:val="none"/>
              </w:rPr>
            </w:pPr>
            <w:r>
              <w:rPr>
                <w:rFonts w:hint="eastAsia" w:ascii="宋体" w:hAnsi="宋体" w:cs="宋体"/>
                <w:szCs w:val="21"/>
                <w:highlight w:val="none"/>
              </w:rPr>
              <w:t>四、脚手架工程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3FDBB1BD">
            <w:pPr>
              <w:jc w:val="center"/>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szCs w:val="36"/>
                <w:highlight w:val="none"/>
              </w:rPr>
              <w:t xml:space="preserve">  </w:t>
            </w:r>
            <w:r>
              <w:rPr>
                <w:rFonts w:hint="eastAsia" w:ascii="宋体" w:hAnsi="宋体" w:cs="宋体"/>
                <w:szCs w:val="21"/>
                <w:highlight w:val="none"/>
              </w:rPr>
              <w:t xml:space="preserve"> )</w:t>
            </w:r>
          </w:p>
        </w:tc>
        <w:tc>
          <w:tcPr>
            <w:tcW w:w="1284" w:type="dxa"/>
            <w:tcBorders>
              <w:top w:val="single" w:color="auto" w:sz="4" w:space="0"/>
              <w:left w:val="single" w:color="auto" w:sz="4" w:space="0"/>
              <w:bottom w:val="single" w:color="auto" w:sz="4" w:space="0"/>
              <w:right w:val="single" w:color="auto" w:sz="4" w:space="0"/>
            </w:tcBorders>
            <w:vAlign w:val="center"/>
          </w:tcPr>
          <w:p w14:paraId="40FC4A05">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BAEF9D2">
            <w:pPr>
              <w:jc w:val="center"/>
              <w:rPr>
                <w:rFonts w:hint="eastAsia" w:ascii="宋体" w:hAnsi="宋体" w:cs="宋体"/>
                <w:szCs w:val="21"/>
                <w:highlight w:val="none"/>
              </w:rPr>
            </w:pPr>
          </w:p>
        </w:tc>
      </w:tr>
      <w:tr w14:paraId="55E94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5D7E731">
            <w:pPr>
              <w:jc w:val="left"/>
              <w:rPr>
                <w:rFonts w:hint="eastAsia" w:ascii="宋体" w:hAnsi="宋体" w:cs="宋体"/>
                <w:szCs w:val="21"/>
                <w:highlight w:val="none"/>
              </w:rPr>
            </w:pPr>
            <w:r>
              <w:rPr>
                <w:rFonts w:hint="eastAsia" w:ascii="宋体" w:hAnsi="宋体" w:cs="宋体"/>
                <w:szCs w:val="21"/>
                <w:highlight w:val="none"/>
              </w:rPr>
              <w:t>（一）搭设高度24m及以上的落地式钢管脚手架工程（包括采光井、电梯井脚手架）。</w:t>
            </w:r>
          </w:p>
        </w:tc>
        <w:tc>
          <w:tcPr>
            <w:tcW w:w="1368" w:type="dxa"/>
            <w:tcBorders>
              <w:top w:val="single" w:color="auto" w:sz="4" w:space="0"/>
              <w:left w:val="single" w:color="auto" w:sz="4" w:space="0"/>
              <w:bottom w:val="single" w:color="auto" w:sz="4" w:space="0"/>
              <w:right w:val="single" w:color="auto" w:sz="4" w:space="0"/>
            </w:tcBorders>
            <w:vAlign w:val="center"/>
          </w:tcPr>
          <w:p w14:paraId="2C34B718">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2A41B1D3">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0BB2B15A">
            <w:pPr>
              <w:jc w:val="center"/>
              <w:rPr>
                <w:rFonts w:hint="eastAsia" w:ascii="宋体" w:hAnsi="宋体" w:cs="宋体"/>
                <w:szCs w:val="21"/>
                <w:highlight w:val="none"/>
              </w:rPr>
            </w:pPr>
          </w:p>
        </w:tc>
      </w:tr>
      <w:tr w14:paraId="4F1B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DDCE098">
            <w:pPr>
              <w:jc w:val="left"/>
              <w:rPr>
                <w:rFonts w:hint="eastAsia" w:ascii="宋体" w:hAnsi="宋体" w:cs="宋体"/>
                <w:szCs w:val="21"/>
                <w:highlight w:val="none"/>
              </w:rPr>
            </w:pPr>
            <w:r>
              <w:rPr>
                <w:rFonts w:hint="eastAsia" w:ascii="宋体" w:hAnsi="宋体" w:cs="宋体"/>
                <w:szCs w:val="21"/>
                <w:highlight w:val="none"/>
              </w:rPr>
              <w:t>（二）附着式升降脚手架工程。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25C5F1FA">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48F5107A">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3A78488A">
            <w:pPr>
              <w:jc w:val="center"/>
              <w:rPr>
                <w:rFonts w:hint="eastAsia" w:ascii="宋体" w:hAnsi="宋体" w:cs="宋体"/>
                <w:szCs w:val="21"/>
                <w:highlight w:val="none"/>
              </w:rPr>
            </w:pPr>
          </w:p>
        </w:tc>
      </w:tr>
      <w:tr w14:paraId="543E3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50FAEE37">
            <w:pPr>
              <w:jc w:val="left"/>
              <w:rPr>
                <w:rFonts w:hint="eastAsia" w:ascii="宋体" w:hAnsi="宋体" w:cs="宋体"/>
                <w:szCs w:val="21"/>
                <w:highlight w:val="none"/>
              </w:rPr>
            </w:pPr>
            <w:r>
              <w:rPr>
                <w:rFonts w:hint="eastAsia" w:ascii="宋体" w:hAnsi="宋体" w:cs="宋体"/>
                <w:szCs w:val="21"/>
                <w:highlight w:val="none"/>
              </w:rPr>
              <w:t>（三）悬挑式脚手架工程。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11C92C11">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6417D8DB">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D55754B">
            <w:pPr>
              <w:jc w:val="center"/>
              <w:rPr>
                <w:rFonts w:hint="eastAsia" w:ascii="宋体" w:hAnsi="宋体" w:cs="宋体"/>
                <w:szCs w:val="21"/>
                <w:highlight w:val="none"/>
              </w:rPr>
            </w:pPr>
          </w:p>
        </w:tc>
      </w:tr>
      <w:tr w14:paraId="2FC76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F3333E0">
            <w:pPr>
              <w:jc w:val="left"/>
              <w:rPr>
                <w:rFonts w:hint="eastAsia" w:ascii="宋体" w:hAnsi="宋体" w:cs="宋体"/>
                <w:szCs w:val="21"/>
                <w:highlight w:val="none"/>
              </w:rPr>
            </w:pPr>
            <w:r>
              <w:rPr>
                <w:rFonts w:hint="eastAsia" w:ascii="宋体" w:hAnsi="宋体" w:cs="宋体"/>
                <w:szCs w:val="21"/>
                <w:highlight w:val="none"/>
              </w:rPr>
              <w:t>（四）高处作业吊篮。</w:t>
            </w:r>
          </w:p>
        </w:tc>
        <w:tc>
          <w:tcPr>
            <w:tcW w:w="1368" w:type="dxa"/>
            <w:tcBorders>
              <w:top w:val="single" w:color="auto" w:sz="4" w:space="0"/>
              <w:left w:val="single" w:color="auto" w:sz="4" w:space="0"/>
              <w:bottom w:val="single" w:color="auto" w:sz="4" w:space="0"/>
              <w:right w:val="single" w:color="auto" w:sz="4" w:space="0"/>
            </w:tcBorders>
            <w:vAlign w:val="center"/>
          </w:tcPr>
          <w:p w14:paraId="2C8A9330">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3E84D720">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1218402D">
            <w:pPr>
              <w:jc w:val="center"/>
              <w:rPr>
                <w:rFonts w:hint="eastAsia" w:ascii="宋体" w:hAnsi="宋体" w:cs="宋体"/>
                <w:szCs w:val="21"/>
                <w:highlight w:val="none"/>
              </w:rPr>
            </w:pPr>
          </w:p>
        </w:tc>
      </w:tr>
      <w:tr w14:paraId="1172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7154A2CD">
            <w:pPr>
              <w:jc w:val="left"/>
              <w:rPr>
                <w:rFonts w:hint="eastAsia" w:ascii="宋体" w:hAnsi="宋体" w:cs="宋体"/>
                <w:szCs w:val="21"/>
                <w:highlight w:val="none"/>
              </w:rPr>
            </w:pPr>
            <w:r>
              <w:rPr>
                <w:rFonts w:hint="eastAsia" w:ascii="宋体" w:hAnsi="宋体" w:cs="宋体"/>
                <w:szCs w:val="21"/>
                <w:highlight w:val="none"/>
              </w:rPr>
              <w:t>（五）卸料平台、操作平台工程。</w:t>
            </w:r>
          </w:p>
        </w:tc>
        <w:tc>
          <w:tcPr>
            <w:tcW w:w="1368" w:type="dxa"/>
            <w:tcBorders>
              <w:top w:val="single" w:color="auto" w:sz="4" w:space="0"/>
              <w:left w:val="single" w:color="auto" w:sz="4" w:space="0"/>
              <w:bottom w:val="single" w:color="auto" w:sz="4" w:space="0"/>
              <w:right w:val="single" w:color="auto" w:sz="4" w:space="0"/>
            </w:tcBorders>
            <w:vAlign w:val="center"/>
          </w:tcPr>
          <w:p w14:paraId="4F373C00">
            <w:pPr>
              <w:jc w:val="center"/>
              <w:rPr>
                <w:rFonts w:hint="eastAsia" w:ascii="宋体" w:hAnsi="宋体" w:cs="宋体"/>
                <w:szCs w:val="21"/>
                <w:highlight w:val="none"/>
              </w:rPr>
            </w:pPr>
            <w:r>
              <w:rPr>
                <w:rFonts w:hint="eastAsia" w:ascii="宋体" w:hAnsi="宋体" w:cs="宋体"/>
                <w:szCs w:val="21"/>
                <w:highlight w:val="none"/>
              </w:rPr>
              <w:t>( √ )</w:t>
            </w:r>
          </w:p>
        </w:tc>
        <w:tc>
          <w:tcPr>
            <w:tcW w:w="1284" w:type="dxa"/>
            <w:tcBorders>
              <w:top w:val="single" w:color="auto" w:sz="4" w:space="0"/>
              <w:left w:val="single" w:color="auto" w:sz="4" w:space="0"/>
              <w:bottom w:val="single" w:color="auto" w:sz="4" w:space="0"/>
              <w:right w:val="single" w:color="auto" w:sz="4" w:space="0"/>
            </w:tcBorders>
            <w:vAlign w:val="center"/>
          </w:tcPr>
          <w:p w14:paraId="6D7230A8">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FD9E611">
            <w:pPr>
              <w:jc w:val="center"/>
              <w:rPr>
                <w:rFonts w:hint="eastAsia" w:ascii="宋体" w:hAnsi="宋体" w:cs="宋体"/>
                <w:szCs w:val="21"/>
                <w:highlight w:val="none"/>
              </w:rPr>
            </w:pPr>
          </w:p>
        </w:tc>
      </w:tr>
      <w:tr w14:paraId="1B9AD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38C0FFCF">
            <w:pPr>
              <w:jc w:val="left"/>
              <w:rPr>
                <w:rFonts w:hint="eastAsia" w:ascii="宋体" w:hAnsi="宋体" w:cs="宋体"/>
                <w:szCs w:val="21"/>
                <w:highlight w:val="none"/>
              </w:rPr>
            </w:pPr>
            <w:r>
              <w:rPr>
                <w:rFonts w:hint="eastAsia" w:ascii="宋体" w:hAnsi="宋体" w:cs="宋体"/>
                <w:szCs w:val="21"/>
                <w:highlight w:val="none"/>
              </w:rPr>
              <w:t>（六）异型脚手架工程。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2F874DCC">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1F554D5D">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175CF946">
            <w:pPr>
              <w:jc w:val="center"/>
              <w:rPr>
                <w:rFonts w:hint="eastAsia" w:ascii="宋体" w:hAnsi="宋体" w:cs="宋体"/>
                <w:szCs w:val="21"/>
                <w:highlight w:val="none"/>
              </w:rPr>
            </w:pPr>
          </w:p>
        </w:tc>
      </w:tr>
      <w:tr w14:paraId="75544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47956AA6">
            <w:pPr>
              <w:jc w:val="left"/>
              <w:rPr>
                <w:rFonts w:hint="eastAsia" w:ascii="宋体" w:hAnsi="宋体" w:cs="宋体"/>
                <w:szCs w:val="21"/>
                <w:highlight w:val="none"/>
              </w:rPr>
            </w:pPr>
            <w:r>
              <w:rPr>
                <w:rFonts w:hint="eastAsia" w:ascii="宋体" w:hAnsi="宋体" w:cs="宋体"/>
                <w:szCs w:val="21"/>
                <w:highlight w:val="none"/>
              </w:rPr>
              <w:t>五、拆除工程</w:t>
            </w:r>
          </w:p>
        </w:tc>
        <w:tc>
          <w:tcPr>
            <w:tcW w:w="1368" w:type="dxa"/>
            <w:tcBorders>
              <w:top w:val="single" w:color="auto" w:sz="4" w:space="0"/>
              <w:left w:val="single" w:color="auto" w:sz="4" w:space="0"/>
              <w:bottom w:val="single" w:color="auto" w:sz="4" w:space="0"/>
              <w:right w:val="single" w:color="auto" w:sz="4" w:space="0"/>
            </w:tcBorders>
            <w:vAlign w:val="center"/>
          </w:tcPr>
          <w:p w14:paraId="56E971E1">
            <w:pPr>
              <w:jc w:val="center"/>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szCs w:val="36"/>
                <w:highlight w:val="none"/>
              </w:rPr>
              <w:t xml:space="preserve">  </w:t>
            </w:r>
            <w:r>
              <w:rPr>
                <w:rFonts w:hint="eastAsia" w:ascii="宋体" w:hAnsi="宋体" w:cs="宋体"/>
                <w:szCs w:val="21"/>
                <w:highlight w:val="none"/>
              </w:rPr>
              <w:t xml:space="preserve"> )</w:t>
            </w:r>
          </w:p>
        </w:tc>
        <w:tc>
          <w:tcPr>
            <w:tcW w:w="1284" w:type="dxa"/>
            <w:tcBorders>
              <w:top w:val="single" w:color="auto" w:sz="4" w:space="0"/>
              <w:left w:val="single" w:color="auto" w:sz="4" w:space="0"/>
              <w:bottom w:val="single" w:color="auto" w:sz="4" w:space="0"/>
              <w:right w:val="single" w:color="auto" w:sz="4" w:space="0"/>
            </w:tcBorders>
            <w:vAlign w:val="center"/>
          </w:tcPr>
          <w:p w14:paraId="5D722CBF">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0D39EFCB">
            <w:pPr>
              <w:jc w:val="center"/>
              <w:rPr>
                <w:rFonts w:hint="eastAsia" w:ascii="宋体" w:hAnsi="宋体" w:cs="宋体"/>
                <w:szCs w:val="21"/>
                <w:highlight w:val="none"/>
              </w:rPr>
            </w:pPr>
          </w:p>
        </w:tc>
      </w:tr>
      <w:tr w14:paraId="58700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48831AD0">
            <w:pPr>
              <w:jc w:val="left"/>
              <w:rPr>
                <w:rFonts w:hint="eastAsia" w:ascii="宋体" w:hAnsi="宋体" w:cs="宋体"/>
                <w:szCs w:val="21"/>
                <w:highlight w:val="none"/>
              </w:rPr>
            </w:pPr>
            <w:r>
              <w:rPr>
                <w:rFonts w:hint="eastAsia" w:ascii="宋体" w:hAnsi="宋体" w:cs="宋体"/>
                <w:szCs w:val="21"/>
                <w:highlight w:val="none"/>
              </w:rPr>
              <w:t>可能影响行人、交通、电力设施、通讯设施或其它建、构筑物安全的拆除工程。</w:t>
            </w:r>
          </w:p>
        </w:tc>
        <w:tc>
          <w:tcPr>
            <w:tcW w:w="1368" w:type="dxa"/>
            <w:tcBorders>
              <w:top w:val="single" w:color="auto" w:sz="4" w:space="0"/>
              <w:left w:val="single" w:color="auto" w:sz="4" w:space="0"/>
              <w:bottom w:val="single" w:color="auto" w:sz="4" w:space="0"/>
              <w:right w:val="single" w:color="auto" w:sz="4" w:space="0"/>
            </w:tcBorders>
            <w:vAlign w:val="center"/>
          </w:tcPr>
          <w:p w14:paraId="32F68026">
            <w:pPr>
              <w:jc w:val="center"/>
              <w:rPr>
                <w:rFonts w:hint="eastAsia" w:ascii="宋体" w:hAnsi="宋体" w:cs="宋体"/>
                <w:szCs w:val="21"/>
                <w:highlight w:val="none"/>
              </w:rPr>
            </w:pPr>
            <w:r>
              <w:rPr>
                <w:rFonts w:hint="eastAsia" w:ascii="宋体" w:hAnsi="宋体" w:cs="宋体"/>
                <w:szCs w:val="21"/>
                <w:highlight w:val="none"/>
              </w:rPr>
              <w:t>( √ )</w:t>
            </w:r>
          </w:p>
        </w:tc>
        <w:tc>
          <w:tcPr>
            <w:tcW w:w="1284" w:type="dxa"/>
            <w:tcBorders>
              <w:top w:val="single" w:color="auto" w:sz="4" w:space="0"/>
              <w:left w:val="single" w:color="auto" w:sz="4" w:space="0"/>
              <w:bottom w:val="single" w:color="auto" w:sz="4" w:space="0"/>
              <w:right w:val="single" w:color="auto" w:sz="4" w:space="0"/>
            </w:tcBorders>
            <w:vAlign w:val="center"/>
          </w:tcPr>
          <w:p w14:paraId="0CF8AF44">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2DC42816">
            <w:pPr>
              <w:jc w:val="center"/>
              <w:rPr>
                <w:rFonts w:hint="eastAsia" w:ascii="宋体" w:hAnsi="宋体" w:cs="宋体"/>
                <w:szCs w:val="21"/>
                <w:highlight w:val="none"/>
              </w:rPr>
            </w:pPr>
          </w:p>
        </w:tc>
      </w:tr>
      <w:tr w14:paraId="367D8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FF37A38">
            <w:pPr>
              <w:jc w:val="left"/>
              <w:rPr>
                <w:rFonts w:hint="eastAsia" w:ascii="宋体" w:hAnsi="宋体" w:cs="宋体"/>
                <w:szCs w:val="21"/>
                <w:highlight w:val="none"/>
              </w:rPr>
            </w:pPr>
            <w:r>
              <w:rPr>
                <w:rFonts w:hint="eastAsia" w:ascii="宋体" w:hAnsi="宋体" w:cs="宋体"/>
                <w:szCs w:val="21"/>
                <w:highlight w:val="none"/>
              </w:rPr>
              <w:t>　六、暗挖工程</w:t>
            </w:r>
          </w:p>
        </w:tc>
        <w:tc>
          <w:tcPr>
            <w:tcW w:w="1368" w:type="dxa"/>
            <w:tcBorders>
              <w:top w:val="single" w:color="auto" w:sz="4" w:space="0"/>
              <w:left w:val="single" w:color="auto" w:sz="4" w:space="0"/>
              <w:bottom w:val="single" w:color="auto" w:sz="4" w:space="0"/>
              <w:right w:val="single" w:color="auto" w:sz="4" w:space="0"/>
            </w:tcBorders>
            <w:vAlign w:val="center"/>
          </w:tcPr>
          <w:p w14:paraId="5576B025">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23EF5D6">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0594F3C">
            <w:pPr>
              <w:jc w:val="center"/>
              <w:rPr>
                <w:rFonts w:hint="eastAsia" w:ascii="宋体" w:hAnsi="宋体" w:cs="宋体"/>
                <w:szCs w:val="21"/>
                <w:highlight w:val="none"/>
              </w:rPr>
            </w:pPr>
          </w:p>
        </w:tc>
      </w:tr>
      <w:tr w14:paraId="7113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393EEFC8">
            <w:pPr>
              <w:jc w:val="left"/>
              <w:rPr>
                <w:rFonts w:hint="eastAsia" w:ascii="宋体" w:hAnsi="宋体" w:cs="宋体"/>
                <w:szCs w:val="21"/>
                <w:highlight w:val="none"/>
              </w:rPr>
            </w:pPr>
            <w:r>
              <w:rPr>
                <w:rFonts w:hint="eastAsia" w:ascii="宋体" w:hAnsi="宋体" w:cs="宋体"/>
                <w:szCs w:val="21"/>
                <w:highlight w:val="none"/>
              </w:rPr>
              <w:t>采用矿山法、盾构法、顶管法施工的隧道、洞室工程。</w:t>
            </w:r>
          </w:p>
        </w:tc>
        <w:tc>
          <w:tcPr>
            <w:tcW w:w="1368" w:type="dxa"/>
            <w:tcBorders>
              <w:top w:val="single" w:color="auto" w:sz="4" w:space="0"/>
              <w:left w:val="single" w:color="auto" w:sz="4" w:space="0"/>
              <w:bottom w:val="single" w:color="auto" w:sz="4" w:space="0"/>
              <w:right w:val="single" w:color="auto" w:sz="4" w:space="0"/>
            </w:tcBorders>
            <w:vAlign w:val="center"/>
          </w:tcPr>
          <w:p w14:paraId="353A7233">
            <w:pPr>
              <w:jc w:val="center"/>
              <w:rPr>
                <w:rFonts w:hint="eastAsia" w:ascii="宋体" w:hAnsi="宋体" w:cs="宋体"/>
                <w:szCs w:val="21"/>
                <w:highlight w:val="none"/>
              </w:rPr>
            </w:pPr>
            <w:r>
              <w:rPr>
                <w:rFonts w:hint="eastAsia" w:ascii="宋体" w:hAnsi="宋体" w:cs="宋体"/>
                <w:szCs w:val="21"/>
                <w:highlight w:val="none"/>
              </w:rPr>
              <w:t>( √ )</w:t>
            </w:r>
          </w:p>
        </w:tc>
        <w:tc>
          <w:tcPr>
            <w:tcW w:w="1284" w:type="dxa"/>
            <w:tcBorders>
              <w:top w:val="single" w:color="auto" w:sz="4" w:space="0"/>
              <w:left w:val="single" w:color="auto" w:sz="4" w:space="0"/>
              <w:bottom w:val="single" w:color="auto" w:sz="4" w:space="0"/>
              <w:right w:val="single" w:color="auto" w:sz="4" w:space="0"/>
            </w:tcBorders>
            <w:vAlign w:val="center"/>
          </w:tcPr>
          <w:p w14:paraId="6DF4D6AF">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6CBB5D7">
            <w:pPr>
              <w:jc w:val="center"/>
              <w:rPr>
                <w:rFonts w:hint="eastAsia" w:ascii="宋体" w:hAnsi="宋体" w:cs="宋体"/>
                <w:szCs w:val="21"/>
                <w:highlight w:val="none"/>
              </w:rPr>
            </w:pPr>
          </w:p>
        </w:tc>
      </w:tr>
      <w:tr w14:paraId="3623A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E3EBD85">
            <w:pPr>
              <w:jc w:val="left"/>
              <w:rPr>
                <w:rFonts w:hint="eastAsia" w:ascii="宋体" w:hAnsi="宋体" w:cs="宋体"/>
                <w:szCs w:val="21"/>
                <w:highlight w:val="none"/>
              </w:rPr>
            </w:pPr>
            <w:r>
              <w:rPr>
                <w:rFonts w:hint="eastAsia" w:ascii="宋体" w:hAnsi="宋体" w:cs="宋体"/>
                <w:szCs w:val="21"/>
                <w:highlight w:val="none"/>
              </w:rPr>
              <w:t>七、其它</w:t>
            </w:r>
          </w:p>
        </w:tc>
        <w:tc>
          <w:tcPr>
            <w:tcW w:w="1368" w:type="dxa"/>
            <w:tcBorders>
              <w:top w:val="single" w:color="auto" w:sz="4" w:space="0"/>
              <w:left w:val="single" w:color="auto" w:sz="4" w:space="0"/>
              <w:bottom w:val="single" w:color="auto" w:sz="4" w:space="0"/>
              <w:right w:val="single" w:color="auto" w:sz="4" w:space="0"/>
            </w:tcBorders>
            <w:vAlign w:val="center"/>
          </w:tcPr>
          <w:p w14:paraId="2C472F3F">
            <w:pPr>
              <w:jc w:val="center"/>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szCs w:val="36"/>
                <w:highlight w:val="none"/>
              </w:rPr>
              <w:t xml:space="preserve">   </w:t>
            </w:r>
            <w:r>
              <w:rPr>
                <w:rFonts w:hint="eastAsia" w:ascii="宋体" w:hAnsi="宋体" w:cs="宋体"/>
                <w:szCs w:val="21"/>
                <w:highlight w:val="none"/>
              </w:rPr>
              <w:t>)</w:t>
            </w:r>
          </w:p>
        </w:tc>
        <w:tc>
          <w:tcPr>
            <w:tcW w:w="1284" w:type="dxa"/>
            <w:tcBorders>
              <w:top w:val="single" w:color="auto" w:sz="4" w:space="0"/>
              <w:left w:val="single" w:color="auto" w:sz="4" w:space="0"/>
              <w:bottom w:val="single" w:color="auto" w:sz="4" w:space="0"/>
              <w:right w:val="single" w:color="auto" w:sz="4" w:space="0"/>
            </w:tcBorders>
            <w:vAlign w:val="center"/>
          </w:tcPr>
          <w:p w14:paraId="701DDE4D">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3E525731">
            <w:pPr>
              <w:jc w:val="center"/>
              <w:rPr>
                <w:rFonts w:hint="eastAsia" w:ascii="宋体" w:hAnsi="宋体" w:cs="宋体"/>
                <w:szCs w:val="21"/>
                <w:highlight w:val="none"/>
              </w:rPr>
            </w:pPr>
          </w:p>
        </w:tc>
      </w:tr>
      <w:tr w14:paraId="31E4A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42E550EB">
            <w:pPr>
              <w:jc w:val="left"/>
              <w:rPr>
                <w:rFonts w:hint="eastAsia" w:ascii="宋体" w:hAnsi="宋体" w:cs="宋体"/>
                <w:szCs w:val="21"/>
                <w:highlight w:val="none"/>
              </w:rPr>
            </w:pPr>
            <w:r>
              <w:rPr>
                <w:rFonts w:hint="eastAsia" w:ascii="宋体" w:hAnsi="宋体" w:cs="宋体"/>
                <w:szCs w:val="21"/>
                <w:highlight w:val="none"/>
              </w:rPr>
              <w:t>（一）水下作业工程。</w:t>
            </w:r>
          </w:p>
        </w:tc>
        <w:tc>
          <w:tcPr>
            <w:tcW w:w="1368" w:type="dxa"/>
            <w:tcBorders>
              <w:top w:val="single" w:color="auto" w:sz="4" w:space="0"/>
              <w:left w:val="single" w:color="auto" w:sz="4" w:space="0"/>
              <w:bottom w:val="single" w:color="auto" w:sz="4" w:space="0"/>
              <w:right w:val="single" w:color="auto" w:sz="4" w:space="0"/>
            </w:tcBorders>
            <w:vAlign w:val="center"/>
          </w:tcPr>
          <w:p w14:paraId="1AA655A8">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E87D4FC">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2AA51AE1">
            <w:pPr>
              <w:jc w:val="center"/>
              <w:rPr>
                <w:rFonts w:hint="eastAsia" w:ascii="宋体" w:hAnsi="宋体" w:cs="宋体"/>
                <w:szCs w:val="21"/>
                <w:highlight w:val="none"/>
              </w:rPr>
            </w:pPr>
          </w:p>
        </w:tc>
      </w:tr>
      <w:tr w14:paraId="2D37E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163B8DFD">
            <w:pPr>
              <w:jc w:val="left"/>
              <w:rPr>
                <w:rFonts w:hint="eastAsia" w:ascii="宋体" w:hAnsi="宋体" w:cs="宋体"/>
                <w:szCs w:val="21"/>
                <w:highlight w:val="none"/>
              </w:rPr>
            </w:pPr>
            <w:r>
              <w:rPr>
                <w:rFonts w:hint="eastAsia" w:ascii="宋体" w:hAnsi="宋体" w:cs="宋体"/>
                <w:szCs w:val="21"/>
                <w:highlight w:val="none"/>
              </w:rPr>
              <w:t>（二）装配式建筑混凝土预制构件安装工程。</w:t>
            </w:r>
          </w:p>
        </w:tc>
        <w:tc>
          <w:tcPr>
            <w:tcW w:w="1368" w:type="dxa"/>
            <w:tcBorders>
              <w:top w:val="single" w:color="auto" w:sz="4" w:space="0"/>
              <w:left w:val="single" w:color="auto" w:sz="4" w:space="0"/>
              <w:bottom w:val="single" w:color="auto" w:sz="4" w:space="0"/>
              <w:right w:val="single" w:color="auto" w:sz="4" w:space="0"/>
            </w:tcBorders>
            <w:vAlign w:val="center"/>
          </w:tcPr>
          <w:p w14:paraId="502FF3FB">
            <w:pPr>
              <w:jc w:val="center"/>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szCs w:val="36"/>
                <w:highlight w:val="none"/>
              </w:rPr>
              <w:t xml:space="preserve">  </w:t>
            </w:r>
            <w:r>
              <w:rPr>
                <w:rFonts w:hint="eastAsia" w:ascii="宋体" w:hAnsi="宋体" w:cs="宋体"/>
                <w:szCs w:val="21"/>
                <w:highlight w:val="none"/>
              </w:rPr>
              <w:t xml:space="preserve"> )</w:t>
            </w:r>
          </w:p>
        </w:tc>
        <w:tc>
          <w:tcPr>
            <w:tcW w:w="1284" w:type="dxa"/>
            <w:tcBorders>
              <w:top w:val="single" w:color="auto" w:sz="4" w:space="0"/>
              <w:left w:val="single" w:color="auto" w:sz="4" w:space="0"/>
              <w:bottom w:val="single" w:color="auto" w:sz="4" w:space="0"/>
              <w:right w:val="single" w:color="auto" w:sz="4" w:space="0"/>
            </w:tcBorders>
            <w:vAlign w:val="center"/>
          </w:tcPr>
          <w:p w14:paraId="1DCC0813">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7BFEDFF4">
            <w:pPr>
              <w:jc w:val="center"/>
              <w:rPr>
                <w:rFonts w:hint="eastAsia" w:ascii="宋体" w:hAnsi="宋体" w:cs="宋体"/>
                <w:szCs w:val="21"/>
                <w:highlight w:val="none"/>
              </w:rPr>
            </w:pPr>
          </w:p>
        </w:tc>
      </w:tr>
      <w:tr w14:paraId="6FE75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2C3A5CE">
            <w:pPr>
              <w:jc w:val="left"/>
              <w:rPr>
                <w:rFonts w:hint="eastAsia" w:ascii="宋体" w:hAnsi="宋体" w:cs="宋体"/>
                <w:szCs w:val="21"/>
                <w:highlight w:val="none"/>
              </w:rPr>
            </w:pPr>
            <w:r>
              <w:rPr>
                <w:rFonts w:hint="eastAsia" w:ascii="宋体" w:hAnsi="宋体" w:cs="宋体"/>
                <w:szCs w:val="21"/>
                <w:highlight w:val="none"/>
              </w:rPr>
              <w:t>（三）采用新技术、新工艺、新材料、新设备可能影响工程施工安全，尚无国家、行业及地方技术标准的分部分项工程。</w:t>
            </w:r>
          </w:p>
        </w:tc>
        <w:tc>
          <w:tcPr>
            <w:tcW w:w="1368" w:type="dxa"/>
            <w:tcBorders>
              <w:top w:val="single" w:color="auto" w:sz="4" w:space="0"/>
              <w:left w:val="single" w:color="auto" w:sz="4" w:space="0"/>
              <w:bottom w:val="single" w:color="auto" w:sz="4" w:space="0"/>
              <w:right w:val="single" w:color="auto" w:sz="4" w:space="0"/>
            </w:tcBorders>
            <w:vAlign w:val="center"/>
          </w:tcPr>
          <w:p w14:paraId="11FFCC3D">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33D524F4">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B21E38D">
            <w:pPr>
              <w:jc w:val="center"/>
              <w:rPr>
                <w:rFonts w:hint="eastAsia" w:ascii="宋体" w:hAnsi="宋体" w:cs="宋体"/>
                <w:szCs w:val="21"/>
                <w:highlight w:val="none"/>
              </w:rPr>
            </w:pPr>
          </w:p>
        </w:tc>
      </w:tr>
      <w:tr w14:paraId="352F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vAlign w:val="center"/>
          </w:tcPr>
          <w:p w14:paraId="2725BFE7">
            <w:pPr>
              <w:widowControl/>
              <w:spacing w:line="360" w:lineRule="atLeast"/>
              <w:rPr>
                <w:rFonts w:hint="eastAsia" w:ascii="宋体" w:hAnsi="宋体" w:cs="宋体"/>
                <w:b/>
                <w:szCs w:val="21"/>
                <w:highlight w:val="none"/>
              </w:rPr>
            </w:pPr>
            <w:r>
              <w:rPr>
                <w:rFonts w:hint="eastAsia" w:ascii="宋体" w:hAnsi="宋体" w:cs="宋体"/>
                <w:b/>
                <w:bCs/>
                <w:szCs w:val="21"/>
                <w:highlight w:val="none"/>
              </w:rPr>
              <w:t>二、超过一定规模的危险性较大的分部分项工程清单</w:t>
            </w:r>
          </w:p>
        </w:tc>
        <w:tc>
          <w:tcPr>
            <w:tcW w:w="1368" w:type="dxa"/>
            <w:tcBorders>
              <w:top w:val="single" w:color="auto" w:sz="4" w:space="0"/>
              <w:left w:val="single" w:color="auto" w:sz="4" w:space="0"/>
              <w:bottom w:val="single" w:color="auto" w:sz="4" w:space="0"/>
              <w:right w:val="single" w:color="auto" w:sz="4" w:space="0"/>
            </w:tcBorders>
            <w:vAlign w:val="center"/>
          </w:tcPr>
          <w:p w14:paraId="59C90D1C">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38F90C8B">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F182547">
            <w:pPr>
              <w:jc w:val="center"/>
              <w:rPr>
                <w:rFonts w:hint="eastAsia" w:ascii="宋体" w:hAnsi="宋体" w:cs="宋体"/>
                <w:szCs w:val="21"/>
                <w:highlight w:val="none"/>
              </w:rPr>
            </w:pPr>
          </w:p>
        </w:tc>
      </w:tr>
      <w:tr w14:paraId="664FC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BA2A9CC">
            <w:pPr>
              <w:jc w:val="left"/>
              <w:rPr>
                <w:rFonts w:hint="eastAsia" w:ascii="宋体" w:hAnsi="宋体" w:cs="宋体"/>
                <w:szCs w:val="21"/>
                <w:highlight w:val="none"/>
              </w:rPr>
            </w:pPr>
            <w:r>
              <w:rPr>
                <w:rFonts w:hint="eastAsia" w:ascii="宋体" w:hAnsi="宋体" w:cs="宋体"/>
                <w:szCs w:val="21"/>
                <w:highlight w:val="none"/>
              </w:rPr>
              <w:t>一、深基坑工程</w:t>
            </w:r>
          </w:p>
        </w:tc>
        <w:tc>
          <w:tcPr>
            <w:tcW w:w="1368" w:type="dxa"/>
            <w:tcBorders>
              <w:top w:val="single" w:color="auto" w:sz="4" w:space="0"/>
              <w:left w:val="single" w:color="auto" w:sz="4" w:space="0"/>
              <w:bottom w:val="single" w:color="auto" w:sz="4" w:space="0"/>
              <w:right w:val="single" w:color="auto" w:sz="4" w:space="0"/>
            </w:tcBorders>
            <w:vAlign w:val="center"/>
          </w:tcPr>
          <w:p w14:paraId="301F5248">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2B8659F5">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7421A01F">
            <w:pPr>
              <w:jc w:val="center"/>
              <w:rPr>
                <w:rFonts w:hint="eastAsia" w:ascii="宋体" w:hAnsi="宋体" w:cs="宋体"/>
                <w:szCs w:val="21"/>
                <w:highlight w:val="none"/>
              </w:rPr>
            </w:pPr>
          </w:p>
        </w:tc>
      </w:tr>
      <w:tr w14:paraId="2602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13E2229">
            <w:pPr>
              <w:jc w:val="left"/>
              <w:rPr>
                <w:rFonts w:hint="eastAsia" w:ascii="宋体" w:hAnsi="宋体" w:cs="宋体"/>
                <w:szCs w:val="21"/>
                <w:highlight w:val="none"/>
              </w:rPr>
            </w:pPr>
            <w:r>
              <w:rPr>
                <w:rFonts w:hint="eastAsia" w:ascii="宋体" w:hAnsi="宋体" w:cs="宋体"/>
                <w:szCs w:val="21"/>
                <w:highlight w:val="none"/>
              </w:rPr>
              <w:t>开挖深度超过5m（含5m）的基坑（槽）的土方开挖、支护、降水工程。</w:t>
            </w:r>
          </w:p>
        </w:tc>
        <w:tc>
          <w:tcPr>
            <w:tcW w:w="1368" w:type="dxa"/>
            <w:tcBorders>
              <w:top w:val="single" w:color="auto" w:sz="4" w:space="0"/>
              <w:left w:val="single" w:color="auto" w:sz="4" w:space="0"/>
              <w:bottom w:val="single" w:color="auto" w:sz="4" w:space="0"/>
              <w:right w:val="single" w:color="auto" w:sz="4" w:space="0"/>
            </w:tcBorders>
            <w:vAlign w:val="center"/>
          </w:tcPr>
          <w:p w14:paraId="7C932C36">
            <w:pPr>
              <w:jc w:val="center"/>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szCs w:val="36"/>
                <w:highlight w:val="none"/>
              </w:rPr>
              <w:t>√</w:t>
            </w:r>
            <w:r>
              <w:rPr>
                <w:rFonts w:hint="eastAsia" w:ascii="宋体" w:hAnsi="宋体" w:cs="宋体"/>
                <w:szCs w:val="21"/>
                <w:highlight w:val="none"/>
              </w:rPr>
              <w:t xml:space="preserve"> )</w:t>
            </w:r>
          </w:p>
        </w:tc>
        <w:tc>
          <w:tcPr>
            <w:tcW w:w="1284" w:type="dxa"/>
            <w:tcBorders>
              <w:top w:val="single" w:color="auto" w:sz="4" w:space="0"/>
              <w:left w:val="single" w:color="auto" w:sz="4" w:space="0"/>
              <w:bottom w:val="single" w:color="auto" w:sz="4" w:space="0"/>
              <w:right w:val="single" w:color="auto" w:sz="4" w:space="0"/>
            </w:tcBorders>
            <w:vAlign w:val="center"/>
          </w:tcPr>
          <w:p w14:paraId="0F8BE81D">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351C8B8C">
            <w:pPr>
              <w:jc w:val="center"/>
              <w:rPr>
                <w:rFonts w:hint="eastAsia" w:ascii="宋体" w:hAnsi="宋体" w:cs="宋体"/>
                <w:szCs w:val="21"/>
                <w:highlight w:val="none"/>
              </w:rPr>
            </w:pPr>
          </w:p>
        </w:tc>
      </w:tr>
      <w:tr w14:paraId="41B3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76F265CE">
            <w:pPr>
              <w:jc w:val="left"/>
              <w:rPr>
                <w:rFonts w:hint="eastAsia" w:ascii="宋体" w:hAnsi="宋体" w:cs="宋体"/>
                <w:szCs w:val="21"/>
                <w:highlight w:val="none"/>
              </w:rPr>
            </w:pPr>
            <w:r>
              <w:rPr>
                <w:rFonts w:hint="eastAsia" w:ascii="宋体" w:hAnsi="宋体" w:cs="宋体"/>
                <w:szCs w:val="21"/>
                <w:highlight w:val="none"/>
              </w:rPr>
              <w:t>二、模板工程及支撑体系</w:t>
            </w:r>
          </w:p>
        </w:tc>
        <w:tc>
          <w:tcPr>
            <w:tcW w:w="1368" w:type="dxa"/>
            <w:tcBorders>
              <w:top w:val="single" w:color="auto" w:sz="4" w:space="0"/>
              <w:left w:val="single" w:color="auto" w:sz="4" w:space="0"/>
              <w:bottom w:val="single" w:color="auto" w:sz="4" w:space="0"/>
              <w:right w:val="single" w:color="auto" w:sz="4" w:space="0"/>
            </w:tcBorders>
            <w:vAlign w:val="center"/>
          </w:tcPr>
          <w:p w14:paraId="7B2F5459">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454577AE">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20ED2DC9">
            <w:pPr>
              <w:jc w:val="center"/>
              <w:rPr>
                <w:rFonts w:hint="eastAsia" w:ascii="宋体" w:hAnsi="宋体" w:cs="宋体"/>
                <w:szCs w:val="21"/>
                <w:highlight w:val="none"/>
              </w:rPr>
            </w:pPr>
          </w:p>
        </w:tc>
      </w:tr>
      <w:tr w14:paraId="11E79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4940" w:type="dxa"/>
            <w:tcBorders>
              <w:top w:val="single" w:color="auto" w:sz="4" w:space="0"/>
              <w:left w:val="single" w:color="auto" w:sz="4" w:space="0"/>
              <w:bottom w:val="single" w:color="auto" w:sz="4" w:space="0"/>
              <w:right w:val="single" w:color="auto" w:sz="4" w:space="0"/>
            </w:tcBorders>
          </w:tcPr>
          <w:p w14:paraId="76B53D27">
            <w:pPr>
              <w:jc w:val="left"/>
              <w:rPr>
                <w:rFonts w:hint="eastAsia" w:ascii="宋体" w:hAnsi="宋体" w:cs="宋体"/>
                <w:szCs w:val="21"/>
                <w:highlight w:val="none"/>
              </w:rPr>
            </w:pPr>
            <w:r>
              <w:rPr>
                <w:rFonts w:hint="eastAsia" w:ascii="宋体" w:hAnsi="宋体" w:cs="宋体"/>
                <w:szCs w:val="21"/>
                <w:highlight w:val="none"/>
              </w:rPr>
              <w:t>（一）各类工具式模板工程：包括滑模、爬模、飞模、隧道模等工程。</w:t>
            </w:r>
          </w:p>
        </w:tc>
        <w:tc>
          <w:tcPr>
            <w:tcW w:w="1368" w:type="dxa"/>
            <w:tcBorders>
              <w:top w:val="single" w:color="auto" w:sz="4" w:space="0"/>
              <w:left w:val="single" w:color="auto" w:sz="4" w:space="0"/>
              <w:bottom w:val="single" w:color="auto" w:sz="4" w:space="0"/>
              <w:right w:val="single" w:color="auto" w:sz="4" w:space="0"/>
            </w:tcBorders>
            <w:vAlign w:val="center"/>
          </w:tcPr>
          <w:p w14:paraId="57CB87E9">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3D4066A">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6758E24">
            <w:pPr>
              <w:jc w:val="center"/>
              <w:rPr>
                <w:rFonts w:hint="eastAsia" w:ascii="宋体" w:hAnsi="宋体" w:cs="宋体"/>
                <w:szCs w:val="21"/>
                <w:highlight w:val="none"/>
              </w:rPr>
            </w:pPr>
          </w:p>
        </w:tc>
      </w:tr>
      <w:tr w14:paraId="6C30A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52690787">
            <w:pPr>
              <w:jc w:val="left"/>
              <w:rPr>
                <w:rFonts w:hint="eastAsia" w:ascii="宋体" w:hAnsi="宋体" w:cs="宋体"/>
                <w:szCs w:val="21"/>
                <w:highlight w:val="none"/>
              </w:rPr>
            </w:pPr>
            <w:r>
              <w:rPr>
                <w:rFonts w:hint="eastAsia" w:ascii="宋体" w:hAnsi="宋体" w:cs="宋体"/>
                <w:szCs w:val="21"/>
                <w:highlight w:val="none"/>
              </w:rPr>
              <w:t>（二）混凝土模板支撑工程：搭设高度8m及以上，或搭设跨度18m及以上，或施工总荷载（设计值）15kN/m2及以上，或集中线荷载（设计值）20kN/m及以上。</w:t>
            </w:r>
          </w:p>
        </w:tc>
        <w:tc>
          <w:tcPr>
            <w:tcW w:w="1368" w:type="dxa"/>
            <w:tcBorders>
              <w:top w:val="single" w:color="auto" w:sz="4" w:space="0"/>
              <w:left w:val="single" w:color="auto" w:sz="4" w:space="0"/>
              <w:bottom w:val="single" w:color="auto" w:sz="4" w:space="0"/>
              <w:right w:val="single" w:color="auto" w:sz="4" w:space="0"/>
            </w:tcBorders>
            <w:vAlign w:val="center"/>
          </w:tcPr>
          <w:p w14:paraId="7EBFDF08">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4995D429">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7FF79491">
            <w:pPr>
              <w:jc w:val="center"/>
              <w:rPr>
                <w:rFonts w:hint="eastAsia" w:ascii="宋体" w:hAnsi="宋体" w:cs="宋体"/>
                <w:szCs w:val="21"/>
                <w:highlight w:val="none"/>
              </w:rPr>
            </w:pPr>
          </w:p>
        </w:tc>
      </w:tr>
      <w:tr w14:paraId="79030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205134B5">
            <w:pPr>
              <w:jc w:val="left"/>
              <w:rPr>
                <w:rFonts w:hint="eastAsia" w:ascii="宋体" w:hAnsi="宋体" w:cs="宋体"/>
                <w:szCs w:val="21"/>
                <w:highlight w:val="none"/>
              </w:rPr>
            </w:pPr>
            <w:r>
              <w:rPr>
                <w:rFonts w:hint="eastAsia" w:ascii="宋体" w:hAnsi="宋体" w:cs="宋体"/>
                <w:szCs w:val="21"/>
                <w:highlight w:val="none"/>
              </w:rPr>
              <w:t>（三）承重支撑体系：用于钢结构安装等满堂支撑体系，承受单点集中荷载7kN及以上。</w:t>
            </w:r>
          </w:p>
        </w:tc>
        <w:tc>
          <w:tcPr>
            <w:tcW w:w="1368" w:type="dxa"/>
            <w:tcBorders>
              <w:top w:val="single" w:color="auto" w:sz="4" w:space="0"/>
              <w:left w:val="single" w:color="auto" w:sz="4" w:space="0"/>
              <w:bottom w:val="single" w:color="auto" w:sz="4" w:space="0"/>
              <w:right w:val="single" w:color="auto" w:sz="4" w:space="0"/>
            </w:tcBorders>
            <w:vAlign w:val="center"/>
          </w:tcPr>
          <w:p w14:paraId="32413098">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6B28F537">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ED558C7">
            <w:pPr>
              <w:jc w:val="center"/>
              <w:rPr>
                <w:rFonts w:hint="eastAsia" w:ascii="宋体" w:hAnsi="宋体" w:cs="宋体"/>
                <w:szCs w:val="21"/>
                <w:highlight w:val="none"/>
              </w:rPr>
            </w:pPr>
          </w:p>
        </w:tc>
      </w:tr>
      <w:tr w14:paraId="632F8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24511568">
            <w:pPr>
              <w:jc w:val="left"/>
              <w:rPr>
                <w:rFonts w:hint="eastAsia" w:ascii="宋体" w:hAnsi="宋体" w:cs="宋体"/>
                <w:szCs w:val="21"/>
                <w:highlight w:val="none"/>
              </w:rPr>
            </w:pPr>
            <w:r>
              <w:rPr>
                <w:rFonts w:hint="eastAsia" w:ascii="宋体" w:hAnsi="宋体" w:cs="宋体"/>
                <w:szCs w:val="21"/>
                <w:highlight w:val="none"/>
              </w:rPr>
              <w:t>　三、起重吊装及起重机械安装拆卸工程</w:t>
            </w:r>
          </w:p>
        </w:tc>
        <w:tc>
          <w:tcPr>
            <w:tcW w:w="1368" w:type="dxa"/>
            <w:tcBorders>
              <w:top w:val="single" w:color="auto" w:sz="4" w:space="0"/>
              <w:left w:val="single" w:color="auto" w:sz="4" w:space="0"/>
              <w:bottom w:val="single" w:color="auto" w:sz="4" w:space="0"/>
              <w:right w:val="single" w:color="auto" w:sz="4" w:space="0"/>
            </w:tcBorders>
            <w:vAlign w:val="center"/>
          </w:tcPr>
          <w:p w14:paraId="07C245C1">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299E4260">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16623E0D">
            <w:pPr>
              <w:jc w:val="center"/>
              <w:rPr>
                <w:rFonts w:hint="eastAsia" w:ascii="宋体" w:hAnsi="宋体" w:cs="宋体"/>
                <w:szCs w:val="21"/>
                <w:highlight w:val="none"/>
              </w:rPr>
            </w:pPr>
          </w:p>
        </w:tc>
      </w:tr>
      <w:tr w14:paraId="42A1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121040AE">
            <w:pPr>
              <w:jc w:val="left"/>
              <w:rPr>
                <w:rFonts w:hint="eastAsia" w:ascii="宋体" w:hAnsi="宋体" w:cs="宋体"/>
                <w:szCs w:val="21"/>
                <w:highlight w:val="none"/>
              </w:rPr>
            </w:pPr>
            <w:r>
              <w:rPr>
                <w:rFonts w:hint="eastAsia" w:ascii="宋体" w:hAnsi="宋体" w:cs="宋体"/>
                <w:szCs w:val="21"/>
                <w:highlight w:val="none"/>
              </w:rPr>
              <w:t>（一）采用非常规起重设备、方法，且单件起吊重量在100kN及以上的起重吊装工程。</w:t>
            </w:r>
          </w:p>
        </w:tc>
        <w:tc>
          <w:tcPr>
            <w:tcW w:w="1368" w:type="dxa"/>
            <w:tcBorders>
              <w:top w:val="single" w:color="auto" w:sz="4" w:space="0"/>
              <w:left w:val="single" w:color="auto" w:sz="4" w:space="0"/>
              <w:bottom w:val="single" w:color="auto" w:sz="4" w:space="0"/>
              <w:right w:val="single" w:color="auto" w:sz="4" w:space="0"/>
            </w:tcBorders>
            <w:vAlign w:val="center"/>
          </w:tcPr>
          <w:p w14:paraId="44619003">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2D8052D0">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06EC47E9">
            <w:pPr>
              <w:jc w:val="center"/>
              <w:rPr>
                <w:rFonts w:hint="eastAsia" w:ascii="宋体" w:hAnsi="宋体" w:cs="宋体"/>
                <w:szCs w:val="21"/>
                <w:highlight w:val="none"/>
              </w:rPr>
            </w:pPr>
          </w:p>
        </w:tc>
      </w:tr>
      <w:tr w14:paraId="5BE3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7C67D0B2">
            <w:pPr>
              <w:jc w:val="left"/>
              <w:rPr>
                <w:rFonts w:hint="eastAsia" w:ascii="宋体" w:hAnsi="宋体" w:cs="宋体"/>
                <w:szCs w:val="21"/>
                <w:highlight w:val="none"/>
              </w:rPr>
            </w:pPr>
            <w:r>
              <w:rPr>
                <w:rFonts w:hint="eastAsia" w:ascii="宋体" w:hAnsi="宋体" w:cs="宋体"/>
                <w:szCs w:val="21"/>
                <w:highlight w:val="none"/>
              </w:rPr>
              <w:t>（二）起重量300kN及以上，或搭设总高度200m及以上，或搭设基础标高在200m及以上的起重机械安装和拆卸工程。</w:t>
            </w:r>
          </w:p>
        </w:tc>
        <w:tc>
          <w:tcPr>
            <w:tcW w:w="1368" w:type="dxa"/>
            <w:tcBorders>
              <w:top w:val="single" w:color="auto" w:sz="4" w:space="0"/>
              <w:left w:val="single" w:color="auto" w:sz="4" w:space="0"/>
              <w:bottom w:val="single" w:color="auto" w:sz="4" w:space="0"/>
              <w:right w:val="single" w:color="auto" w:sz="4" w:space="0"/>
            </w:tcBorders>
            <w:vAlign w:val="center"/>
          </w:tcPr>
          <w:p w14:paraId="073C8556">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9D0B9FE">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1BDB71C">
            <w:pPr>
              <w:jc w:val="center"/>
              <w:rPr>
                <w:rFonts w:hint="eastAsia" w:ascii="宋体" w:hAnsi="宋体" w:cs="宋体"/>
                <w:szCs w:val="21"/>
                <w:highlight w:val="none"/>
              </w:rPr>
            </w:pPr>
          </w:p>
        </w:tc>
      </w:tr>
      <w:tr w14:paraId="626C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19822826">
            <w:pPr>
              <w:jc w:val="left"/>
              <w:rPr>
                <w:rFonts w:hint="eastAsia" w:ascii="宋体" w:hAnsi="宋体" w:cs="宋体"/>
                <w:szCs w:val="21"/>
                <w:highlight w:val="none"/>
              </w:rPr>
            </w:pPr>
            <w:r>
              <w:rPr>
                <w:rFonts w:hint="eastAsia" w:ascii="宋体" w:hAnsi="宋体" w:cs="宋体"/>
                <w:szCs w:val="21"/>
                <w:highlight w:val="none"/>
              </w:rPr>
              <w:t>四、脚手架工程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20C081A8">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09392F7D">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BAF599C">
            <w:pPr>
              <w:jc w:val="center"/>
              <w:rPr>
                <w:rFonts w:hint="eastAsia" w:ascii="宋体" w:hAnsi="宋体" w:cs="宋体"/>
                <w:szCs w:val="21"/>
                <w:highlight w:val="none"/>
              </w:rPr>
            </w:pPr>
          </w:p>
        </w:tc>
      </w:tr>
      <w:tr w14:paraId="44530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3CBE9E02">
            <w:pPr>
              <w:jc w:val="left"/>
              <w:rPr>
                <w:rFonts w:hint="eastAsia" w:ascii="宋体" w:hAnsi="宋体" w:cs="宋体"/>
                <w:szCs w:val="21"/>
                <w:highlight w:val="none"/>
              </w:rPr>
            </w:pPr>
            <w:r>
              <w:rPr>
                <w:rFonts w:hint="eastAsia" w:ascii="宋体" w:hAnsi="宋体" w:cs="宋体"/>
                <w:szCs w:val="21"/>
                <w:highlight w:val="none"/>
              </w:rPr>
              <w:t>（一）搭设高度50m及以上的落地式钢管脚手架工程。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6A019D2A">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087C6D0D">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43812A2">
            <w:pPr>
              <w:jc w:val="center"/>
              <w:rPr>
                <w:rFonts w:hint="eastAsia" w:ascii="宋体" w:hAnsi="宋体" w:cs="宋体"/>
                <w:szCs w:val="21"/>
                <w:highlight w:val="none"/>
              </w:rPr>
            </w:pPr>
          </w:p>
        </w:tc>
      </w:tr>
      <w:tr w14:paraId="5E132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6344ABF">
            <w:pPr>
              <w:jc w:val="left"/>
              <w:rPr>
                <w:rFonts w:hint="eastAsia" w:ascii="宋体" w:hAnsi="宋体" w:cs="宋体"/>
                <w:szCs w:val="21"/>
                <w:highlight w:val="none"/>
              </w:rPr>
            </w:pPr>
            <w:r>
              <w:rPr>
                <w:rFonts w:hint="eastAsia" w:ascii="宋体" w:hAnsi="宋体" w:cs="宋体"/>
                <w:szCs w:val="21"/>
                <w:highlight w:val="none"/>
              </w:rPr>
              <w:t>（二）提升高度在150m及以上的附着式升降脚手架工程或附着式升降操作平台工程。</w:t>
            </w:r>
          </w:p>
        </w:tc>
        <w:tc>
          <w:tcPr>
            <w:tcW w:w="1368" w:type="dxa"/>
            <w:tcBorders>
              <w:top w:val="single" w:color="auto" w:sz="4" w:space="0"/>
              <w:left w:val="single" w:color="auto" w:sz="4" w:space="0"/>
              <w:bottom w:val="single" w:color="auto" w:sz="4" w:space="0"/>
              <w:right w:val="single" w:color="auto" w:sz="4" w:space="0"/>
            </w:tcBorders>
            <w:vAlign w:val="center"/>
          </w:tcPr>
          <w:p w14:paraId="277FCB42">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2E9614F6">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37DDDDE7">
            <w:pPr>
              <w:jc w:val="center"/>
              <w:rPr>
                <w:rFonts w:hint="eastAsia" w:ascii="宋体" w:hAnsi="宋体" w:cs="宋体"/>
                <w:szCs w:val="21"/>
                <w:highlight w:val="none"/>
              </w:rPr>
            </w:pPr>
          </w:p>
        </w:tc>
      </w:tr>
      <w:tr w14:paraId="5805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D02A76B">
            <w:pPr>
              <w:jc w:val="left"/>
              <w:rPr>
                <w:rFonts w:hint="eastAsia" w:ascii="宋体" w:hAnsi="宋体" w:cs="宋体"/>
                <w:szCs w:val="21"/>
                <w:highlight w:val="none"/>
              </w:rPr>
            </w:pPr>
            <w:r>
              <w:rPr>
                <w:rFonts w:hint="eastAsia" w:ascii="宋体" w:hAnsi="宋体" w:cs="宋体"/>
                <w:szCs w:val="21"/>
                <w:highlight w:val="none"/>
              </w:rPr>
              <w:t>（三）分段架体搭设高度20m及以上的悬挑式脚手架工程。</w:t>
            </w:r>
          </w:p>
        </w:tc>
        <w:tc>
          <w:tcPr>
            <w:tcW w:w="1368" w:type="dxa"/>
            <w:tcBorders>
              <w:top w:val="single" w:color="auto" w:sz="4" w:space="0"/>
              <w:left w:val="single" w:color="auto" w:sz="4" w:space="0"/>
              <w:bottom w:val="single" w:color="auto" w:sz="4" w:space="0"/>
              <w:right w:val="single" w:color="auto" w:sz="4" w:space="0"/>
            </w:tcBorders>
            <w:vAlign w:val="center"/>
          </w:tcPr>
          <w:p w14:paraId="76EC82BB">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287197FD">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CE53C02">
            <w:pPr>
              <w:jc w:val="center"/>
              <w:rPr>
                <w:rFonts w:hint="eastAsia" w:ascii="宋体" w:hAnsi="宋体" w:cs="宋体"/>
                <w:szCs w:val="21"/>
                <w:highlight w:val="none"/>
              </w:rPr>
            </w:pPr>
          </w:p>
        </w:tc>
      </w:tr>
      <w:tr w14:paraId="34B1C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58ADD9EF">
            <w:pPr>
              <w:jc w:val="left"/>
              <w:rPr>
                <w:rFonts w:hint="eastAsia" w:ascii="宋体" w:hAnsi="宋体" w:cs="宋体"/>
                <w:szCs w:val="21"/>
                <w:highlight w:val="none"/>
              </w:rPr>
            </w:pPr>
            <w:r>
              <w:rPr>
                <w:rFonts w:hint="eastAsia" w:ascii="宋体" w:hAnsi="宋体" w:cs="宋体"/>
                <w:szCs w:val="21"/>
                <w:highlight w:val="none"/>
              </w:rPr>
              <w:t>五、拆除工程</w:t>
            </w:r>
          </w:p>
        </w:tc>
        <w:tc>
          <w:tcPr>
            <w:tcW w:w="1368" w:type="dxa"/>
            <w:tcBorders>
              <w:top w:val="single" w:color="auto" w:sz="4" w:space="0"/>
              <w:left w:val="single" w:color="auto" w:sz="4" w:space="0"/>
              <w:bottom w:val="single" w:color="auto" w:sz="4" w:space="0"/>
              <w:right w:val="single" w:color="auto" w:sz="4" w:space="0"/>
            </w:tcBorders>
            <w:vAlign w:val="center"/>
          </w:tcPr>
          <w:p w14:paraId="0A921F80">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7FA0728A">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1E4A9C4">
            <w:pPr>
              <w:jc w:val="center"/>
              <w:rPr>
                <w:rFonts w:hint="eastAsia" w:ascii="宋体" w:hAnsi="宋体" w:cs="宋体"/>
                <w:szCs w:val="21"/>
                <w:highlight w:val="none"/>
              </w:rPr>
            </w:pPr>
          </w:p>
        </w:tc>
      </w:tr>
      <w:tr w14:paraId="6720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52652FB">
            <w:pPr>
              <w:jc w:val="left"/>
              <w:rPr>
                <w:rFonts w:hint="eastAsia" w:ascii="宋体" w:hAnsi="宋体" w:cs="宋体"/>
                <w:szCs w:val="21"/>
                <w:highlight w:val="none"/>
              </w:rPr>
            </w:pPr>
            <w:r>
              <w:rPr>
                <w:rFonts w:hint="eastAsia" w:ascii="宋体" w:hAnsi="宋体" w:cs="宋体"/>
                <w:szCs w:val="21"/>
                <w:highlight w:val="none"/>
              </w:rPr>
              <w:t>（一）码头、桥梁、高架、烟囱、水塔或拆除中容易引起有毒有害气（液）体或粉尘扩散、易燃易爆事故发生的特殊建、构筑物的拆除工程。</w:t>
            </w:r>
          </w:p>
        </w:tc>
        <w:tc>
          <w:tcPr>
            <w:tcW w:w="1368" w:type="dxa"/>
            <w:tcBorders>
              <w:top w:val="single" w:color="auto" w:sz="4" w:space="0"/>
              <w:left w:val="single" w:color="auto" w:sz="4" w:space="0"/>
              <w:bottom w:val="single" w:color="auto" w:sz="4" w:space="0"/>
              <w:right w:val="single" w:color="auto" w:sz="4" w:space="0"/>
            </w:tcBorders>
            <w:vAlign w:val="center"/>
          </w:tcPr>
          <w:p w14:paraId="572C5064">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6B83ED28">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2630DEC5">
            <w:pPr>
              <w:jc w:val="center"/>
              <w:rPr>
                <w:rFonts w:hint="eastAsia" w:ascii="宋体" w:hAnsi="宋体" w:cs="宋体"/>
                <w:szCs w:val="21"/>
                <w:highlight w:val="none"/>
              </w:rPr>
            </w:pPr>
          </w:p>
        </w:tc>
      </w:tr>
      <w:tr w14:paraId="4A0BD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58C78E2">
            <w:pPr>
              <w:jc w:val="left"/>
              <w:rPr>
                <w:rFonts w:hint="eastAsia" w:ascii="宋体" w:hAnsi="宋体" w:cs="宋体"/>
                <w:szCs w:val="21"/>
                <w:highlight w:val="none"/>
              </w:rPr>
            </w:pPr>
            <w:r>
              <w:rPr>
                <w:rFonts w:hint="eastAsia" w:ascii="宋体" w:hAnsi="宋体" w:cs="宋体"/>
                <w:szCs w:val="21"/>
                <w:highlight w:val="none"/>
              </w:rPr>
              <w:t>（二）文物保护建筑、优秀历史建筑或历史文化风貌区影响范围内的拆除工程。</w:t>
            </w:r>
          </w:p>
        </w:tc>
        <w:tc>
          <w:tcPr>
            <w:tcW w:w="1368" w:type="dxa"/>
            <w:tcBorders>
              <w:top w:val="single" w:color="auto" w:sz="4" w:space="0"/>
              <w:left w:val="single" w:color="auto" w:sz="4" w:space="0"/>
              <w:bottom w:val="single" w:color="auto" w:sz="4" w:space="0"/>
              <w:right w:val="single" w:color="auto" w:sz="4" w:space="0"/>
            </w:tcBorders>
            <w:vAlign w:val="center"/>
          </w:tcPr>
          <w:p w14:paraId="4972E802">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3EDDBEC7">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A907B8B">
            <w:pPr>
              <w:jc w:val="center"/>
              <w:rPr>
                <w:rFonts w:hint="eastAsia" w:ascii="宋体" w:hAnsi="宋体" w:cs="宋体"/>
                <w:szCs w:val="21"/>
                <w:highlight w:val="none"/>
              </w:rPr>
            </w:pPr>
          </w:p>
        </w:tc>
      </w:tr>
      <w:tr w14:paraId="01669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EDD3E7A">
            <w:pPr>
              <w:jc w:val="left"/>
              <w:rPr>
                <w:rFonts w:hint="eastAsia" w:ascii="宋体" w:hAnsi="宋体" w:cs="宋体"/>
                <w:szCs w:val="21"/>
                <w:highlight w:val="none"/>
              </w:rPr>
            </w:pPr>
            <w:r>
              <w:rPr>
                <w:rFonts w:hint="eastAsia" w:ascii="宋体" w:hAnsi="宋体" w:cs="宋体"/>
                <w:szCs w:val="21"/>
                <w:highlight w:val="none"/>
              </w:rPr>
              <w:t>六、暗挖工程</w:t>
            </w:r>
          </w:p>
        </w:tc>
        <w:tc>
          <w:tcPr>
            <w:tcW w:w="1368" w:type="dxa"/>
            <w:tcBorders>
              <w:top w:val="single" w:color="auto" w:sz="4" w:space="0"/>
              <w:left w:val="single" w:color="auto" w:sz="4" w:space="0"/>
              <w:bottom w:val="single" w:color="auto" w:sz="4" w:space="0"/>
              <w:right w:val="single" w:color="auto" w:sz="4" w:space="0"/>
            </w:tcBorders>
            <w:vAlign w:val="center"/>
          </w:tcPr>
          <w:p w14:paraId="5B01558C">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142992FE">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0D89422C">
            <w:pPr>
              <w:jc w:val="center"/>
              <w:rPr>
                <w:rFonts w:hint="eastAsia" w:ascii="宋体" w:hAnsi="宋体" w:cs="宋体"/>
                <w:szCs w:val="21"/>
                <w:highlight w:val="none"/>
              </w:rPr>
            </w:pPr>
          </w:p>
        </w:tc>
      </w:tr>
      <w:tr w14:paraId="60A23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7924C9D9">
            <w:pPr>
              <w:jc w:val="left"/>
              <w:rPr>
                <w:rFonts w:hint="eastAsia" w:ascii="宋体" w:hAnsi="宋体" w:cs="宋体"/>
                <w:szCs w:val="21"/>
                <w:highlight w:val="none"/>
              </w:rPr>
            </w:pPr>
            <w:r>
              <w:rPr>
                <w:rFonts w:hint="eastAsia" w:ascii="宋体" w:hAnsi="宋体" w:cs="宋体"/>
                <w:szCs w:val="21"/>
                <w:highlight w:val="none"/>
              </w:rPr>
              <w:t>采用矿山法、盾构法、顶管法施工的隧道、洞室工程。</w:t>
            </w:r>
          </w:p>
        </w:tc>
        <w:tc>
          <w:tcPr>
            <w:tcW w:w="1368" w:type="dxa"/>
            <w:tcBorders>
              <w:top w:val="single" w:color="auto" w:sz="4" w:space="0"/>
              <w:left w:val="single" w:color="auto" w:sz="4" w:space="0"/>
              <w:bottom w:val="single" w:color="auto" w:sz="4" w:space="0"/>
              <w:right w:val="single" w:color="auto" w:sz="4" w:space="0"/>
            </w:tcBorders>
            <w:vAlign w:val="center"/>
          </w:tcPr>
          <w:p w14:paraId="29F5686F">
            <w:pPr>
              <w:jc w:val="center"/>
              <w:rPr>
                <w:rFonts w:hint="eastAsia" w:ascii="宋体" w:hAnsi="宋体" w:cs="宋体"/>
                <w:szCs w:val="21"/>
                <w:highlight w:val="none"/>
              </w:rPr>
            </w:pPr>
            <w:r>
              <w:rPr>
                <w:rFonts w:hint="eastAsia" w:ascii="宋体" w:hAnsi="宋体" w:cs="宋体"/>
                <w:szCs w:val="21"/>
                <w:highlight w:val="none"/>
              </w:rPr>
              <w:t xml:space="preserve">( </w:t>
            </w:r>
            <w:r>
              <w:rPr>
                <w:rFonts w:hint="eastAsia" w:ascii="宋体" w:hAnsi="宋体"/>
                <w:szCs w:val="36"/>
                <w:highlight w:val="none"/>
              </w:rPr>
              <w:t>√</w:t>
            </w:r>
            <w:r>
              <w:rPr>
                <w:rFonts w:hint="eastAsia" w:ascii="宋体" w:hAnsi="宋体" w:cs="宋体"/>
                <w:szCs w:val="21"/>
                <w:highlight w:val="none"/>
              </w:rPr>
              <w:t xml:space="preserve"> )</w:t>
            </w:r>
          </w:p>
        </w:tc>
        <w:tc>
          <w:tcPr>
            <w:tcW w:w="1284" w:type="dxa"/>
            <w:tcBorders>
              <w:top w:val="single" w:color="auto" w:sz="4" w:space="0"/>
              <w:left w:val="single" w:color="auto" w:sz="4" w:space="0"/>
              <w:bottom w:val="single" w:color="auto" w:sz="4" w:space="0"/>
              <w:right w:val="single" w:color="auto" w:sz="4" w:space="0"/>
            </w:tcBorders>
            <w:vAlign w:val="center"/>
          </w:tcPr>
          <w:p w14:paraId="661B0D82">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376B8A3A">
            <w:pPr>
              <w:jc w:val="center"/>
              <w:rPr>
                <w:rFonts w:hint="eastAsia" w:ascii="宋体" w:hAnsi="宋体" w:cs="宋体"/>
                <w:szCs w:val="21"/>
                <w:highlight w:val="none"/>
              </w:rPr>
            </w:pPr>
          </w:p>
        </w:tc>
      </w:tr>
      <w:tr w14:paraId="540DC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6A131B1A">
            <w:pPr>
              <w:jc w:val="left"/>
              <w:rPr>
                <w:rFonts w:hint="eastAsia" w:ascii="宋体" w:hAnsi="宋体" w:cs="宋体"/>
                <w:szCs w:val="21"/>
                <w:highlight w:val="none"/>
              </w:rPr>
            </w:pPr>
            <w:r>
              <w:rPr>
                <w:rFonts w:hint="eastAsia" w:ascii="宋体" w:hAnsi="宋体" w:cs="宋体"/>
                <w:szCs w:val="21"/>
                <w:highlight w:val="none"/>
              </w:rPr>
              <w:t>七、其它</w:t>
            </w:r>
          </w:p>
        </w:tc>
        <w:tc>
          <w:tcPr>
            <w:tcW w:w="1368" w:type="dxa"/>
            <w:tcBorders>
              <w:top w:val="single" w:color="auto" w:sz="4" w:space="0"/>
              <w:left w:val="single" w:color="auto" w:sz="4" w:space="0"/>
              <w:bottom w:val="single" w:color="auto" w:sz="4" w:space="0"/>
              <w:right w:val="single" w:color="auto" w:sz="4" w:space="0"/>
            </w:tcBorders>
            <w:vAlign w:val="center"/>
          </w:tcPr>
          <w:p w14:paraId="4CB94FCF">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0753AE97">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33621651">
            <w:pPr>
              <w:jc w:val="center"/>
              <w:rPr>
                <w:rFonts w:hint="eastAsia" w:ascii="宋体" w:hAnsi="宋体" w:cs="宋体"/>
                <w:szCs w:val="21"/>
                <w:highlight w:val="none"/>
              </w:rPr>
            </w:pPr>
          </w:p>
        </w:tc>
      </w:tr>
      <w:tr w14:paraId="5BA82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17BFF312">
            <w:pPr>
              <w:jc w:val="left"/>
              <w:rPr>
                <w:rFonts w:hint="eastAsia" w:ascii="宋体" w:hAnsi="宋体" w:cs="宋体"/>
                <w:szCs w:val="21"/>
                <w:highlight w:val="none"/>
              </w:rPr>
            </w:pPr>
            <w:r>
              <w:rPr>
                <w:rFonts w:hint="eastAsia" w:ascii="宋体" w:hAnsi="宋体" w:cs="宋体"/>
                <w:szCs w:val="21"/>
                <w:highlight w:val="none"/>
              </w:rPr>
              <w:t>（一）施工高度50m及以上的建筑幕墙安装工程。</w:t>
            </w:r>
          </w:p>
        </w:tc>
        <w:tc>
          <w:tcPr>
            <w:tcW w:w="1368" w:type="dxa"/>
            <w:tcBorders>
              <w:top w:val="single" w:color="auto" w:sz="4" w:space="0"/>
              <w:left w:val="single" w:color="auto" w:sz="4" w:space="0"/>
              <w:bottom w:val="single" w:color="auto" w:sz="4" w:space="0"/>
              <w:right w:val="single" w:color="auto" w:sz="4" w:space="0"/>
            </w:tcBorders>
            <w:vAlign w:val="center"/>
          </w:tcPr>
          <w:p w14:paraId="4FB5D673">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57024036">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678DEF47">
            <w:pPr>
              <w:jc w:val="center"/>
              <w:rPr>
                <w:rFonts w:hint="eastAsia" w:ascii="宋体" w:hAnsi="宋体" w:cs="宋体"/>
                <w:szCs w:val="21"/>
                <w:highlight w:val="none"/>
              </w:rPr>
            </w:pPr>
          </w:p>
        </w:tc>
      </w:tr>
      <w:tr w14:paraId="342D0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341C2DB5">
            <w:pPr>
              <w:jc w:val="left"/>
              <w:rPr>
                <w:rFonts w:hint="eastAsia" w:ascii="宋体" w:hAnsi="宋体" w:cs="宋体"/>
                <w:szCs w:val="21"/>
                <w:highlight w:val="none"/>
              </w:rPr>
            </w:pPr>
            <w:r>
              <w:rPr>
                <w:rFonts w:hint="eastAsia" w:ascii="宋体" w:hAnsi="宋体" w:cs="宋体"/>
                <w:szCs w:val="21"/>
                <w:highlight w:val="none"/>
              </w:rPr>
              <w:t>（二）跨度36m及以上的钢结构安装工程，或跨度60m及以上的网架和索膜结构安装工程。</w:t>
            </w:r>
          </w:p>
        </w:tc>
        <w:tc>
          <w:tcPr>
            <w:tcW w:w="1368" w:type="dxa"/>
            <w:tcBorders>
              <w:top w:val="single" w:color="auto" w:sz="4" w:space="0"/>
              <w:left w:val="single" w:color="auto" w:sz="4" w:space="0"/>
              <w:bottom w:val="single" w:color="auto" w:sz="4" w:space="0"/>
              <w:right w:val="single" w:color="auto" w:sz="4" w:space="0"/>
            </w:tcBorders>
            <w:vAlign w:val="center"/>
          </w:tcPr>
          <w:p w14:paraId="0B7D1C88">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64E1CB0A">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BB64F55">
            <w:pPr>
              <w:jc w:val="center"/>
              <w:rPr>
                <w:rFonts w:hint="eastAsia" w:ascii="宋体" w:hAnsi="宋体" w:cs="宋体"/>
                <w:szCs w:val="21"/>
                <w:highlight w:val="none"/>
              </w:rPr>
            </w:pPr>
          </w:p>
        </w:tc>
      </w:tr>
      <w:tr w14:paraId="383B3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0687AD4B">
            <w:pPr>
              <w:jc w:val="left"/>
              <w:rPr>
                <w:rFonts w:hint="eastAsia" w:ascii="宋体" w:hAnsi="宋体" w:cs="宋体"/>
                <w:szCs w:val="21"/>
                <w:highlight w:val="none"/>
              </w:rPr>
            </w:pPr>
            <w:r>
              <w:rPr>
                <w:rFonts w:hint="eastAsia" w:ascii="宋体" w:hAnsi="宋体" w:cs="宋体"/>
                <w:szCs w:val="21"/>
                <w:highlight w:val="none"/>
              </w:rPr>
              <w:t>（三）开挖深度16m及以上的人工挖孔桩工程。</w:t>
            </w:r>
          </w:p>
        </w:tc>
        <w:tc>
          <w:tcPr>
            <w:tcW w:w="1368" w:type="dxa"/>
            <w:tcBorders>
              <w:top w:val="single" w:color="auto" w:sz="4" w:space="0"/>
              <w:left w:val="single" w:color="auto" w:sz="4" w:space="0"/>
              <w:bottom w:val="single" w:color="auto" w:sz="4" w:space="0"/>
              <w:right w:val="single" w:color="auto" w:sz="4" w:space="0"/>
            </w:tcBorders>
            <w:vAlign w:val="center"/>
          </w:tcPr>
          <w:p w14:paraId="7346D509">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59C13246">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5A558DE2">
            <w:pPr>
              <w:jc w:val="center"/>
              <w:rPr>
                <w:rFonts w:hint="eastAsia" w:ascii="宋体" w:hAnsi="宋体" w:cs="宋体"/>
                <w:szCs w:val="21"/>
                <w:highlight w:val="none"/>
              </w:rPr>
            </w:pPr>
          </w:p>
        </w:tc>
      </w:tr>
      <w:tr w14:paraId="4FCB1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1E4BD54B">
            <w:pPr>
              <w:jc w:val="left"/>
              <w:rPr>
                <w:rFonts w:hint="eastAsia" w:ascii="宋体" w:hAnsi="宋体" w:cs="宋体"/>
                <w:szCs w:val="21"/>
                <w:highlight w:val="none"/>
              </w:rPr>
            </w:pPr>
            <w:r>
              <w:rPr>
                <w:rFonts w:hint="eastAsia" w:ascii="宋体" w:hAnsi="宋体" w:cs="宋体"/>
                <w:szCs w:val="21"/>
                <w:highlight w:val="none"/>
              </w:rPr>
              <w:t>（四）水下作业工程。</w:t>
            </w:r>
          </w:p>
        </w:tc>
        <w:tc>
          <w:tcPr>
            <w:tcW w:w="1368" w:type="dxa"/>
            <w:tcBorders>
              <w:top w:val="single" w:color="auto" w:sz="4" w:space="0"/>
              <w:left w:val="single" w:color="auto" w:sz="4" w:space="0"/>
              <w:bottom w:val="single" w:color="auto" w:sz="4" w:space="0"/>
              <w:right w:val="single" w:color="auto" w:sz="4" w:space="0"/>
            </w:tcBorders>
            <w:vAlign w:val="center"/>
          </w:tcPr>
          <w:p w14:paraId="45B7E806">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2D0F6D32">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4261EFB9">
            <w:pPr>
              <w:jc w:val="center"/>
              <w:rPr>
                <w:rFonts w:hint="eastAsia" w:ascii="宋体" w:hAnsi="宋体" w:cs="宋体"/>
                <w:szCs w:val="21"/>
                <w:highlight w:val="none"/>
              </w:rPr>
            </w:pPr>
          </w:p>
        </w:tc>
      </w:tr>
      <w:tr w14:paraId="636D9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2F84BC7A">
            <w:pPr>
              <w:jc w:val="left"/>
              <w:rPr>
                <w:rFonts w:hint="eastAsia" w:ascii="宋体" w:hAnsi="宋体" w:cs="宋体"/>
                <w:szCs w:val="21"/>
                <w:highlight w:val="none"/>
              </w:rPr>
            </w:pPr>
            <w:r>
              <w:rPr>
                <w:rFonts w:hint="eastAsia" w:ascii="宋体" w:hAnsi="宋体" w:cs="宋体"/>
                <w:szCs w:val="21"/>
                <w:highlight w:val="none"/>
              </w:rPr>
              <w:t>（五）重量1000kN及以上的大型结构整体顶升、平移、转体等施工工艺。</w:t>
            </w:r>
          </w:p>
        </w:tc>
        <w:tc>
          <w:tcPr>
            <w:tcW w:w="1368" w:type="dxa"/>
            <w:tcBorders>
              <w:top w:val="single" w:color="auto" w:sz="4" w:space="0"/>
              <w:left w:val="single" w:color="auto" w:sz="4" w:space="0"/>
              <w:bottom w:val="single" w:color="auto" w:sz="4" w:space="0"/>
              <w:right w:val="single" w:color="auto" w:sz="4" w:space="0"/>
            </w:tcBorders>
            <w:vAlign w:val="center"/>
          </w:tcPr>
          <w:p w14:paraId="7AFA3F6A">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37AC8BDC">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0E53C9E1">
            <w:pPr>
              <w:jc w:val="center"/>
              <w:rPr>
                <w:rFonts w:hint="eastAsia" w:ascii="宋体" w:hAnsi="宋体" w:cs="宋体"/>
                <w:szCs w:val="21"/>
                <w:highlight w:val="none"/>
              </w:rPr>
            </w:pPr>
          </w:p>
        </w:tc>
      </w:tr>
      <w:tr w14:paraId="4C841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40" w:type="dxa"/>
            <w:tcBorders>
              <w:top w:val="single" w:color="auto" w:sz="4" w:space="0"/>
              <w:left w:val="single" w:color="auto" w:sz="4" w:space="0"/>
              <w:bottom w:val="single" w:color="auto" w:sz="4" w:space="0"/>
              <w:right w:val="single" w:color="auto" w:sz="4" w:space="0"/>
            </w:tcBorders>
          </w:tcPr>
          <w:p w14:paraId="193B2CBD">
            <w:pPr>
              <w:jc w:val="left"/>
              <w:rPr>
                <w:rFonts w:hint="eastAsia" w:ascii="宋体" w:hAnsi="宋体" w:cs="宋体"/>
                <w:szCs w:val="21"/>
                <w:highlight w:val="none"/>
              </w:rPr>
            </w:pPr>
            <w:r>
              <w:rPr>
                <w:rFonts w:hint="eastAsia" w:ascii="宋体" w:hAnsi="宋体" w:cs="宋体"/>
                <w:szCs w:val="21"/>
                <w:highlight w:val="none"/>
              </w:rPr>
              <w:t>（六）采用新技术、新工艺、新材料、新设备可能影响工程施工安全，尚无国家、行业及地方技术标准的分部分项工程。</w:t>
            </w:r>
          </w:p>
        </w:tc>
        <w:tc>
          <w:tcPr>
            <w:tcW w:w="1368" w:type="dxa"/>
            <w:tcBorders>
              <w:top w:val="single" w:color="auto" w:sz="4" w:space="0"/>
              <w:left w:val="single" w:color="auto" w:sz="4" w:space="0"/>
              <w:bottom w:val="single" w:color="auto" w:sz="4" w:space="0"/>
              <w:right w:val="single" w:color="auto" w:sz="4" w:space="0"/>
            </w:tcBorders>
            <w:vAlign w:val="center"/>
          </w:tcPr>
          <w:p w14:paraId="7F9A5C85">
            <w:pPr>
              <w:jc w:val="center"/>
              <w:rPr>
                <w:rFonts w:hint="eastAsia" w:ascii="宋体" w:hAnsi="宋体" w:cs="宋体"/>
                <w:szCs w:val="21"/>
                <w:highlight w:val="none"/>
              </w:rPr>
            </w:pPr>
            <w:r>
              <w:rPr>
                <w:rFonts w:hint="eastAsia" w:ascii="宋体" w:hAnsi="宋体" w:cs="宋体"/>
                <w:szCs w:val="21"/>
                <w:highlight w:val="none"/>
              </w:rPr>
              <w:t>(    )</w:t>
            </w:r>
          </w:p>
        </w:tc>
        <w:tc>
          <w:tcPr>
            <w:tcW w:w="1284" w:type="dxa"/>
            <w:tcBorders>
              <w:top w:val="single" w:color="auto" w:sz="4" w:space="0"/>
              <w:left w:val="single" w:color="auto" w:sz="4" w:space="0"/>
              <w:bottom w:val="single" w:color="auto" w:sz="4" w:space="0"/>
              <w:right w:val="single" w:color="auto" w:sz="4" w:space="0"/>
            </w:tcBorders>
            <w:vAlign w:val="center"/>
          </w:tcPr>
          <w:p w14:paraId="3505D820">
            <w:pPr>
              <w:jc w:val="center"/>
              <w:rPr>
                <w:rFonts w:hint="eastAsia" w:ascii="宋体" w:hAnsi="宋体" w:cs="宋体"/>
                <w:szCs w:val="21"/>
                <w:highlight w:val="none"/>
              </w:rPr>
            </w:pPr>
            <w:r>
              <w:rPr>
                <w:rFonts w:hint="eastAsia" w:ascii="宋体" w:hAnsi="宋体" w:cs="宋体"/>
                <w:szCs w:val="21"/>
                <w:highlight w:val="none"/>
              </w:rPr>
              <w:t>(    )</w:t>
            </w:r>
          </w:p>
        </w:tc>
        <w:tc>
          <w:tcPr>
            <w:tcW w:w="979" w:type="dxa"/>
            <w:tcBorders>
              <w:top w:val="single" w:color="auto" w:sz="4" w:space="0"/>
              <w:left w:val="single" w:color="auto" w:sz="4" w:space="0"/>
              <w:bottom w:val="single" w:color="auto" w:sz="4" w:space="0"/>
              <w:right w:val="single" w:color="auto" w:sz="4" w:space="0"/>
            </w:tcBorders>
            <w:vAlign w:val="center"/>
          </w:tcPr>
          <w:p w14:paraId="3E62EDD7">
            <w:pPr>
              <w:jc w:val="center"/>
              <w:rPr>
                <w:rFonts w:hint="eastAsia" w:ascii="宋体" w:hAnsi="宋体" w:cs="宋体"/>
                <w:szCs w:val="21"/>
                <w:highlight w:val="none"/>
              </w:rPr>
            </w:pPr>
          </w:p>
        </w:tc>
      </w:tr>
    </w:tbl>
    <w:p w14:paraId="6F045FDD">
      <w:pPr>
        <w:spacing w:line="360" w:lineRule="auto"/>
        <w:rPr>
          <w:rFonts w:hint="eastAsia" w:ascii="宋体" w:hAnsi="宋体" w:cs="宋体"/>
          <w:sz w:val="24"/>
          <w:szCs w:val="20"/>
          <w:highlight w:val="none"/>
          <w:u w:val="single"/>
        </w:rPr>
      </w:pPr>
      <w:r>
        <w:rPr>
          <w:rFonts w:hint="eastAsia" w:ascii="宋体" w:hAnsi="宋体" w:cs="宋体"/>
          <w:sz w:val="24"/>
          <w:szCs w:val="20"/>
          <w:highlight w:val="none"/>
        </w:rPr>
        <w:t>投标人名称（盖法人公章）：</w:t>
      </w:r>
    </w:p>
    <w:p w14:paraId="4C0FF512">
      <w:pPr>
        <w:spacing w:line="360" w:lineRule="auto"/>
        <w:rPr>
          <w:rFonts w:hint="eastAsia" w:ascii="宋体" w:hAnsi="宋体" w:cs="宋体"/>
          <w:sz w:val="24"/>
          <w:szCs w:val="20"/>
          <w:highlight w:val="none"/>
          <w:u w:val="single"/>
        </w:rPr>
      </w:pPr>
      <w:r>
        <w:rPr>
          <w:rFonts w:hint="eastAsia" w:ascii="宋体" w:hAnsi="宋体" w:cs="宋体"/>
          <w:sz w:val="24"/>
          <w:szCs w:val="20"/>
          <w:highlight w:val="none"/>
        </w:rPr>
        <w:t>法定代表人或被授权人（签字或盖章）：</w:t>
      </w:r>
    </w:p>
    <w:p w14:paraId="61569DB9">
      <w:pPr>
        <w:spacing w:line="360" w:lineRule="auto"/>
        <w:jc w:val="left"/>
        <w:rPr>
          <w:rStyle w:val="48"/>
          <w:highlight w:val="none"/>
        </w:rPr>
      </w:pPr>
      <w:r>
        <w:rPr>
          <w:rFonts w:hint="eastAsia" w:ascii="宋体" w:hAnsi="宋体" w:cs="宋体"/>
          <w:sz w:val="24"/>
          <w:szCs w:val="20"/>
          <w:highlight w:val="none"/>
        </w:rPr>
        <w:t>日期：   年  月  日</w:t>
      </w:r>
    </w:p>
    <w:p w14:paraId="03C5D7E1">
      <w:pPr>
        <w:ind w:firstLineChars="200"/>
        <w:jc w:val="center"/>
        <w:rPr>
          <w:rFonts w:hint="eastAsia" w:ascii="宋体" w:hAnsi="宋体" w:eastAsia="宋体" w:cs="宋体"/>
          <w:b/>
          <w:bCs/>
          <w:color w:val="auto"/>
          <w:sz w:val="30"/>
          <w:szCs w:val="30"/>
          <w:highlight w:val="none"/>
          <w:lang w:val="zh-CN"/>
        </w:rPr>
      </w:pPr>
    </w:p>
    <w:p w14:paraId="15EB1033">
      <w:pPr>
        <w:spacing w:line="560" w:lineRule="exact"/>
        <w:ind w:firstLineChars="0"/>
        <w:jc w:val="both"/>
        <w:rPr>
          <w:rFonts w:hint="eastAsia" w:ascii="宋体" w:hAnsi="宋体" w:eastAsia="宋体" w:cs="宋体"/>
          <w:b/>
          <w:bCs/>
          <w:color w:val="auto"/>
          <w:sz w:val="30"/>
          <w:szCs w:val="30"/>
          <w:highlight w:val="none"/>
          <w:lang w:val="zh-CN"/>
        </w:rPr>
      </w:pPr>
      <w:r>
        <w:rPr>
          <w:rFonts w:hint="eastAsia" w:ascii="宋体" w:hAnsi="宋体" w:eastAsia="宋体" w:cs="宋体"/>
          <w:b/>
          <w:bCs/>
          <w:color w:val="auto"/>
          <w:sz w:val="30"/>
          <w:szCs w:val="30"/>
          <w:highlight w:val="none"/>
          <w:lang w:val="zh-CN"/>
        </w:rPr>
        <w:br w:type="page"/>
      </w:r>
    </w:p>
    <w:p w14:paraId="6C2484A8">
      <w:pPr>
        <w:pStyle w:val="21"/>
        <w:spacing w:line="560" w:lineRule="exact"/>
        <w:ind w:firstLine="602" w:firstLineChars="20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lang w:val="zh-CN"/>
        </w:rPr>
        <w:t>关于投标保证金的承诺</w:t>
      </w:r>
    </w:p>
    <w:p w14:paraId="00000FE0">
      <w:pPr>
        <w:pStyle w:val="21"/>
        <w:spacing w:line="560" w:lineRule="exact"/>
        <w:ind w:firstLine="640" w:firstLineChars="200"/>
        <w:rPr>
          <w:rFonts w:ascii="仿宋_GB2312" w:hAnsi="Times New Roman" w:eastAsia="仿宋_GB2312"/>
          <w:color w:val="auto"/>
          <w:sz w:val="32"/>
          <w:szCs w:val="32"/>
          <w:highlight w:val="none"/>
        </w:rPr>
      </w:pPr>
    </w:p>
    <w:p w14:paraId="2C6313BB">
      <w:pPr>
        <w:jc w:val="lef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本招标项目招标人及招标监管机构：</w:t>
      </w:r>
    </w:p>
    <w:p w14:paraId="4B46EBBD">
      <w:pPr>
        <w:ind w:firstLine="600" w:firstLineChars="200"/>
        <w:jc w:val="lef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本公司就参加</w:t>
      </w:r>
      <w:r>
        <w:rPr>
          <w:rFonts w:hint="eastAsia" w:ascii="宋体" w:hAnsi="宋体" w:eastAsia="宋体" w:cs="宋体"/>
          <w:color w:val="auto"/>
          <w:sz w:val="30"/>
          <w:szCs w:val="30"/>
          <w:highlight w:val="none"/>
          <w:u w:val="single"/>
        </w:rPr>
        <w:t xml:space="preserve">   </w:t>
      </w:r>
      <w:r>
        <w:rPr>
          <w:rFonts w:hint="eastAsia" w:ascii="宋体" w:hAnsi="宋体" w:cs="宋体"/>
          <w:color w:val="auto"/>
          <w:sz w:val="30"/>
          <w:szCs w:val="30"/>
          <w:highlight w:val="none"/>
          <w:u w:val="single"/>
          <w:lang w:eastAsia="zh-CN"/>
        </w:rPr>
        <w:t>番禺区南村镇德兴北路（金山大道至园北路）工程施工总承包</w:t>
      </w:r>
      <w:r>
        <w:rPr>
          <w:rFonts w:hint="eastAsia" w:ascii="宋体" w:hAnsi="宋体" w:eastAsia="宋体" w:cs="宋体"/>
          <w:color w:val="auto"/>
          <w:sz w:val="30"/>
          <w:szCs w:val="30"/>
          <w:highlight w:val="none"/>
          <w:u w:val="single"/>
        </w:rPr>
        <w:t xml:space="preserve"> </w:t>
      </w:r>
      <w:r>
        <w:rPr>
          <w:rFonts w:hint="eastAsia" w:ascii="宋体" w:hAnsi="宋体" w:eastAsia="宋体" w:cs="宋体"/>
          <w:color w:val="auto"/>
          <w:sz w:val="30"/>
          <w:szCs w:val="30"/>
          <w:highlight w:val="none"/>
        </w:rPr>
        <w:t>项目的投标工作，作出郑重声明：</w:t>
      </w:r>
    </w:p>
    <w:p w14:paraId="05B29543">
      <w:pPr>
        <w:ind w:firstLine="600" w:firstLineChars="200"/>
        <w:jc w:val="lef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本公司满足招标文件中免交投标保证金的相关要求，在投标时未提交投标保证金。我司理解在投标时免交投标保证金是为企业减负的举措，并未免除我司的投标义务，本公司</w:t>
      </w:r>
      <w:r>
        <w:rPr>
          <w:rFonts w:hint="eastAsia" w:ascii="宋体" w:hAnsi="宋体" w:eastAsia="宋体" w:cs="宋体"/>
          <w:color w:val="auto"/>
          <w:kern w:val="0"/>
          <w:sz w:val="30"/>
          <w:szCs w:val="30"/>
          <w:highlight w:val="none"/>
          <w:lang w:val="zh-CN"/>
        </w:rPr>
        <w:t>一旦发生符合招标文件规定的不予退还投标保证金情形的，将</w:t>
      </w:r>
      <w:r>
        <w:rPr>
          <w:rFonts w:hint="eastAsia" w:ascii="宋体" w:hAnsi="宋体" w:eastAsia="宋体" w:cs="宋体"/>
          <w:color w:val="auto"/>
          <w:sz w:val="30"/>
          <w:szCs w:val="30"/>
          <w:highlight w:val="none"/>
        </w:rPr>
        <w:t>按照招标人的要求，在规定的时间内向招标人足额补交投标保证金。</w:t>
      </w:r>
    </w:p>
    <w:p w14:paraId="613DDEEA">
      <w:pPr>
        <w:ind w:firstLine="600" w:firstLineChars="200"/>
        <w:jc w:val="lef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本公司违反上述保证的，将被视为虚假承诺，按相关规定进行信用记录。本公司对失信行为产生的一切后果已知悉，并承担由此产生的相应责任。</w:t>
      </w:r>
    </w:p>
    <w:p w14:paraId="2B02DF57">
      <w:pPr>
        <w:ind w:firstLine="600" w:firstLineChars="200"/>
        <w:jc w:val="lef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特此承诺。</w:t>
      </w:r>
    </w:p>
    <w:p w14:paraId="5453202D">
      <w:pPr>
        <w:ind w:firstLine="600" w:firstLineChars="200"/>
        <w:jc w:val="left"/>
        <w:rPr>
          <w:rFonts w:hint="eastAsia" w:ascii="宋体" w:hAnsi="宋体" w:eastAsia="宋体" w:cs="宋体"/>
          <w:color w:val="auto"/>
          <w:sz w:val="30"/>
          <w:szCs w:val="30"/>
          <w:highlight w:val="none"/>
        </w:rPr>
      </w:pPr>
    </w:p>
    <w:p w14:paraId="02248FAA">
      <w:pPr>
        <w:ind w:firstLine="600" w:firstLineChars="200"/>
        <w:jc w:val="left"/>
        <w:rPr>
          <w:rFonts w:hint="eastAsia" w:ascii="宋体" w:hAnsi="宋体" w:eastAsia="宋体" w:cs="宋体"/>
          <w:color w:val="auto"/>
          <w:sz w:val="30"/>
          <w:szCs w:val="30"/>
          <w:highlight w:val="none"/>
        </w:rPr>
      </w:pPr>
    </w:p>
    <w:p w14:paraId="0B951B8E">
      <w:pPr>
        <w:ind w:firstLine="600" w:firstLineChars="200"/>
        <w:jc w:val="left"/>
        <w:rPr>
          <w:rFonts w:hint="eastAsia" w:ascii="宋体" w:hAnsi="宋体" w:eastAsia="宋体" w:cs="宋体"/>
          <w:color w:val="auto"/>
          <w:sz w:val="30"/>
          <w:szCs w:val="30"/>
          <w:highlight w:val="none"/>
        </w:rPr>
      </w:pPr>
    </w:p>
    <w:p w14:paraId="22AC38B5">
      <w:pPr>
        <w:ind w:firstLine="3900" w:firstLineChars="1300"/>
        <w:jc w:val="left"/>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投标人：　　（盖章）</w:t>
      </w:r>
    </w:p>
    <w:p w14:paraId="7413C30F">
      <w:pPr>
        <w:pStyle w:val="5"/>
        <w:ind w:right="1280" w:firstLine="393" w:firstLineChars="131"/>
        <w:jc w:val="cente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 xml:space="preserve">          日  期：    </w:t>
      </w:r>
    </w:p>
    <w:p w14:paraId="4487B46C">
      <w:pPr>
        <w:tabs>
          <w:tab w:val="left" w:pos="720"/>
        </w:tabs>
        <w:snapToGrid w:val="0"/>
        <w:spacing w:line="360" w:lineRule="auto"/>
        <w:rPr>
          <w:rFonts w:hint="eastAsia" w:ascii="宋体" w:hAnsi="宋体" w:eastAsia="宋体" w:cs="宋体"/>
          <w:color w:val="auto"/>
          <w:sz w:val="30"/>
          <w:szCs w:val="30"/>
          <w:highlight w:val="none"/>
        </w:rPr>
        <w:sectPr>
          <w:pgSz w:w="11906" w:h="16838"/>
          <w:pgMar w:top="1440" w:right="1800" w:bottom="1440" w:left="1800" w:header="851" w:footer="992" w:gutter="0"/>
          <w:cols w:space="425" w:num="1"/>
          <w:docGrid w:type="lines" w:linePitch="312" w:charSpace="0"/>
        </w:sectPr>
      </w:pPr>
    </w:p>
    <w:p w14:paraId="4AE1F964">
      <w:pPr>
        <w:tabs>
          <w:tab w:val="left" w:pos="720"/>
        </w:tabs>
        <w:snapToGrid w:val="0"/>
        <w:spacing w:line="360" w:lineRule="auto"/>
        <w:ind w:firstLine="0" w:firstLineChars="0"/>
        <w:jc w:val="center"/>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中小企业声明函</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lang w:val="en-US" w:eastAsia="zh-CN"/>
        </w:rPr>
        <w:t>如有</w:t>
      </w:r>
      <w:r>
        <w:rPr>
          <w:rFonts w:hint="eastAsia" w:ascii="宋体" w:hAnsi="宋体" w:eastAsia="宋体" w:cs="宋体"/>
          <w:b/>
          <w:color w:val="auto"/>
          <w:sz w:val="32"/>
          <w:szCs w:val="32"/>
          <w:highlight w:val="none"/>
          <w:lang w:eastAsia="zh-CN"/>
        </w:rPr>
        <w:t>）</w:t>
      </w:r>
    </w:p>
    <w:p w14:paraId="5031218E">
      <w:pPr>
        <w:tabs>
          <w:tab w:val="left" w:pos="720"/>
        </w:tabs>
        <w:snapToGrid w:val="0"/>
        <w:spacing w:line="360" w:lineRule="auto"/>
        <w:ind w:firstLine="0" w:firstLineChars="0"/>
        <w:jc w:val="center"/>
        <w:rPr>
          <w:rFonts w:hint="eastAsia" w:ascii="宋体" w:hAnsi="宋体" w:eastAsia="宋体" w:cs="宋体"/>
          <w:b/>
          <w:color w:val="auto"/>
          <w:sz w:val="32"/>
          <w:szCs w:val="32"/>
          <w:highlight w:val="none"/>
        </w:rPr>
      </w:pPr>
    </w:p>
    <w:p w14:paraId="64747451">
      <w:pPr>
        <w:snapToGrid/>
        <w:spacing w:line="360" w:lineRule="auto"/>
        <w:ind w:firstLine="0" w:firstLineChars="0"/>
        <w:jc w:val="both"/>
        <w:rPr>
          <w:rFonts w:hint="default" w:ascii="宋体" w:hAnsi="宋体" w:cs="宋体"/>
          <w:color w:val="auto"/>
          <w:sz w:val="24"/>
          <w:szCs w:val="20"/>
          <w:highlight w:val="none"/>
          <w:u w:val="single"/>
        </w:rPr>
      </w:pPr>
      <w:r>
        <w:rPr>
          <w:rFonts w:hint="eastAsia" w:ascii="宋体" w:hAnsi="宋体" w:cs="宋体"/>
          <w:color w:val="auto"/>
          <w:sz w:val="24"/>
          <w:szCs w:val="20"/>
          <w:highlight w:val="none"/>
        </w:rPr>
        <w:t>致：</w:t>
      </w:r>
      <w:r>
        <w:rPr>
          <w:rFonts w:hint="eastAsia" w:ascii="宋体" w:hAnsi="宋体" w:cs="宋体"/>
          <w:color w:val="auto"/>
          <w:sz w:val="24"/>
          <w:szCs w:val="20"/>
          <w:highlight w:val="none"/>
          <w:u w:val="single"/>
        </w:rPr>
        <w:t xml:space="preserve">        （招标人）</w:t>
      </w:r>
      <w:r>
        <w:rPr>
          <w:rFonts w:hint="eastAsia" w:ascii="宋体" w:hAnsi="宋体" w:cs="宋体"/>
          <w:color w:val="auto"/>
          <w:sz w:val="24"/>
          <w:szCs w:val="20"/>
          <w:highlight w:val="none"/>
          <w:u w:val="single"/>
          <w:lang w:val="en-US" w:eastAsia="zh-CN"/>
        </w:rPr>
        <w:t xml:space="preserve">         </w:t>
      </w:r>
    </w:p>
    <w:p w14:paraId="0759D4F6">
      <w:pPr>
        <w:snapToGrid/>
        <w:spacing w:line="360" w:lineRule="auto"/>
        <w:ind w:firstLine="480" w:firstLineChars="20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本公司郑重声明，根据《政府采购促进中小企业发展管理办法》（财库﹝2020﹞46号）的规定，本公司参加</w:t>
      </w:r>
      <w:r>
        <w:rPr>
          <w:rFonts w:hint="eastAsia" w:ascii="宋体" w:hAnsi="宋体" w:cs="宋体"/>
          <w:color w:val="auto"/>
          <w:sz w:val="24"/>
          <w:szCs w:val="20"/>
          <w:highlight w:val="none"/>
          <w:u w:val="single"/>
        </w:rPr>
        <w:t xml:space="preserve">   （招标人）</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的</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single"/>
        </w:rPr>
        <w:t>（项目名称）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lang w:val="en-US" w:eastAsia="zh-CN"/>
        </w:rPr>
        <w:t>招标</w:t>
      </w:r>
      <w:r>
        <w:rPr>
          <w:rFonts w:hint="eastAsia" w:ascii="宋体" w:hAnsi="宋体" w:cs="宋体"/>
          <w:color w:val="auto"/>
          <w:sz w:val="24"/>
          <w:szCs w:val="20"/>
          <w:highlight w:val="none"/>
        </w:rPr>
        <w:t>活动，工程的施工单位全部为符合政策要求的中小企业。相关企业（含签订分包意向协议的中小企业）的具体情况如下：</w:t>
      </w:r>
    </w:p>
    <w:p w14:paraId="748CAEEC">
      <w:pPr>
        <w:snapToGrid/>
        <w:spacing w:line="360" w:lineRule="auto"/>
        <w:ind w:firstLine="480" w:firstLineChars="20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1.</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single"/>
        </w:rPr>
        <w:t>（项目名称）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，属于</w:t>
      </w:r>
      <w:r>
        <w:rPr>
          <w:rFonts w:hint="eastAsia" w:ascii="宋体" w:hAnsi="宋体" w:cs="宋体"/>
          <w:color w:val="auto"/>
          <w:sz w:val="24"/>
          <w:szCs w:val="20"/>
          <w:highlight w:val="none"/>
          <w:u w:val="single"/>
        </w:rPr>
        <w:t>建筑业</w:t>
      </w:r>
      <w:r>
        <w:rPr>
          <w:rFonts w:hint="eastAsia" w:ascii="宋体" w:hAnsi="宋体" w:cs="宋体"/>
          <w:color w:val="auto"/>
          <w:sz w:val="24"/>
          <w:szCs w:val="20"/>
          <w:highlight w:val="none"/>
        </w:rPr>
        <w:t>；承建（承接）企业为</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single"/>
        </w:rPr>
        <w:t>（企业名称）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，从业人员</w:t>
      </w:r>
      <w:r>
        <w:rPr>
          <w:rFonts w:hint="eastAsia" w:ascii="宋体" w:hAnsi="宋体" w:cs="宋体"/>
          <w:color w:val="auto"/>
          <w:sz w:val="24"/>
          <w:szCs w:val="20"/>
          <w:highlight w:val="none"/>
          <w:u w:val="single"/>
          <w:lang w:eastAsia="zh-CN"/>
        </w:rPr>
        <w:t xml:space="preserve"> </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人，营业收入为</w:t>
      </w:r>
      <w:r>
        <w:rPr>
          <w:rFonts w:hint="eastAsia" w:ascii="宋体" w:hAnsi="宋体" w:cs="宋体"/>
          <w:color w:val="auto"/>
          <w:sz w:val="24"/>
          <w:szCs w:val="20"/>
          <w:highlight w:val="none"/>
          <w:u w:val="single"/>
          <w:lang w:eastAsia="zh-CN"/>
        </w:rPr>
        <w:t xml:space="preserve"> </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万元，资产总额为</w:t>
      </w:r>
      <w:r>
        <w:rPr>
          <w:rFonts w:hint="eastAsia" w:ascii="宋体" w:hAnsi="宋体" w:cs="宋体"/>
          <w:color w:val="auto"/>
          <w:sz w:val="24"/>
          <w:szCs w:val="20"/>
          <w:highlight w:val="none"/>
          <w:u w:val="single"/>
          <w:lang w:eastAsia="zh-CN"/>
        </w:rPr>
        <w:t xml:space="preserve"> </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万元，属于</w:t>
      </w:r>
      <w:r>
        <w:rPr>
          <w:rFonts w:hint="eastAsia" w:ascii="宋体" w:hAnsi="宋体" w:cs="宋体"/>
          <w:color w:val="auto"/>
          <w:sz w:val="24"/>
          <w:szCs w:val="20"/>
          <w:highlight w:val="none"/>
          <w:u w:val="single"/>
        </w:rPr>
        <w:t>（□小型企业、□微型企业）</w:t>
      </w:r>
      <w:r>
        <w:rPr>
          <w:rFonts w:hint="eastAsia" w:ascii="宋体" w:hAnsi="宋体" w:cs="宋体"/>
          <w:color w:val="auto"/>
          <w:sz w:val="24"/>
          <w:szCs w:val="20"/>
          <w:highlight w:val="none"/>
        </w:rPr>
        <w:t>；在本项目中拟承担工作，在本项目的合同份额占合同总金额</w:t>
      </w:r>
      <w:r>
        <w:rPr>
          <w:rFonts w:hint="eastAsia" w:ascii="宋体" w:hAnsi="宋体" w:cs="宋体"/>
          <w:color w:val="auto"/>
          <w:sz w:val="24"/>
          <w:szCs w:val="20"/>
          <w:highlight w:val="none"/>
          <w:u w:val="single"/>
        </w:rPr>
        <w:t xml:space="preserve">   </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single"/>
        </w:rPr>
        <w:t xml:space="preserve"> </w:t>
      </w:r>
      <w:r>
        <w:rPr>
          <w:rFonts w:hint="eastAsia" w:ascii="宋体" w:hAnsi="宋体" w:cs="宋体"/>
          <w:color w:val="auto"/>
          <w:sz w:val="24"/>
          <w:szCs w:val="20"/>
          <w:highlight w:val="none"/>
        </w:rPr>
        <w:t>%。</w:t>
      </w:r>
    </w:p>
    <w:p w14:paraId="772CE0FE">
      <w:pPr>
        <w:snapToGrid/>
        <w:spacing w:line="360" w:lineRule="auto"/>
        <w:ind w:firstLine="480" w:firstLineChars="20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2.</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single"/>
        </w:rPr>
        <w:t>（项目名称）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，属于</w:t>
      </w:r>
      <w:r>
        <w:rPr>
          <w:rFonts w:hint="eastAsia" w:ascii="宋体" w:hAnsi="宋体" w:cs="宋体"/>
          <w:color w:val="auto"/>
          <w:sz w:val="24"/>
          <w:szCs w:val="20"/>
          <w:highlight w:val="none"/>
          <w:u w:val="single"/>
        </w:rPr>
        <w:t>建筑业</w:t>
      </w:r>
      <w:r>
        <w:rPr>
          <w:rFonts w:hint="eastAsia" w:ascii="宋体" w:hAnsi="宋体" w:cs="宋体"/>
          <w:color w:val="auto"/>
          <w:sz w:val="24"/>
          <w:szCs w:val="20"/>
          <w:highlight w:val="none"/>
        </w:rPr>
        <w:t>；承建（承接）企业为</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single"/>
        </w:rPr>
        <w:t>（企业名称）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，从业人员</w:t>
      </w:r>
      <w:r>
        <w:rPr>
          <w:rFonts w:hint="eastAsia" w:ascii="宋体" w:hAnsi="宋体" w:cs="宋体"/>
          <w:color w:val="auto"/>
          <w:sz w:val="24"/>
          <w:szCs w:val="20"/>
          <w:highlight w:val="none"/>
          <w:u w:val="single"/>
          <w:lang w:eastAsia="zh-CN"/>
        </w:rPr>
        <w:t xml:space="preserve"> </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人，营业收入为</w:t>
      </w:r>
      <w:r>
        <w:rPr>
          <w:rFonts w:hint="eastAsia" w:ascii="宋体" w:hAnsi="宋体" w:cs="宋体"/>
          <w:color w:val="auto"/>
          <w:sz w:val="24"/>
          <w:szCs w:val="20"/>
          <w:highlight w:val="none"/>
          <w:u w:val="single"/>
          <w:lang w:eastAsia="zh-CN"/>
        </w:rPr>
        <w:t xml:space="preserve"> </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万元，资产总额为</w:t>
      </w:r>
      <w:r>
        <w:rPr>
          <w:rFonts w:hint="eastAsia" w:ascii="宋体" w:hAnsi="宋体" w:cs="宋体"/>
          <w:color w:val="auto"/>
          <w:sz w:val="24"/>
          <w:szCs w:val="20"/>
          <w:highlight w:val="none"/>
          <w:u w:val="single"/>
          <w:lang w:eastAsia="zh-CN"/>
        </w:rPr>
        <w:t xml:space="preserve"> </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万元，属于</w:t>
      </w:r>
      <w:r>
        <w:rPr>
          <w:rFonts w:hint="eastAsia" w:ascii="宋体" w:hAnsi="宋体" w:cs="宋体"/>
          <w:color w:val="auto"/>
          <w:sz w:val="24"/>
          <w:szCs w:val="20"/>
          <w:highlight w:val="none"/>
          <w:u w:val="single"/>
        </w:rPr>
        <w:t>（□小型企业、□微型企业）</w:t>
      </w:r>
      <w:r>
        <w:rPr>
          <w:rFonts w:hint="eastAsia" w:ascii="宋体" w:hAnsi="宋体" w:cs="宋体"/>
          <w:color w:val="auto"/>
          <w:sz w:val="24"/>
          <w:szCs w:val="20"/>
          <w:highlight w:val="none"/>
        </w:rPr>
        <w:t>；在本项目中拟承担工作，在本项目的合同份额占合同总金额</w:t>
      </w:r>
      <w:r>
        <w:rPr>
          <w:rFonts w:hint="eastAsia" w:ascii="宋体" w:hAnsi="宋体" w:cs="宋体"/>
          <w:color w:val="auto"/>
          <w:sz w:val="24"/>
          <w:szCs w:val="20"/>
          <w:highlight w:val="none"/>
          <w:u w:val="single"/>
        </w:rPr>
        <w:t xml:space="preserve">   </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single"/>
        </w:rPr>
        <w:t xml:space="preserve"> </w:t>
      </w:r>
      <w:r>
        <w:rPr>
          <w:rFonts w:hint="eastAsia" w:ascii="宋体" w:hAnsi="宋体" w:cs="宋体"/>
          <w:color w:val="auto"/>
          <w:sz w:val="24"/>
          <w:szCs w:val="20"/>
          <w:highlight w:val="none"/>
        </w:rPr>
        <w:t>%。</w:t>
      </w:r>
    </w:p>
    <w:p w14:paraId="2A1CCFFB">
      <w:pPr>
        <w:snapToGrid/>
        <w:spacing w:line="360" w:lineRule="auto"/>
        <w:ind w:firstLine="480" w:firstLineChars="20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w:t>
      </w:r>
    </w:p>
    <w:p w14:paraId="610EEBB4">
      <w:pPr>
        <w:snapToGrid/>
        <w:spacing w:line="360" w:lineRule="auto"/>
        <w:ind w:firstLine="480" w:firstLineChars="20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以上企业，不属于大企业的分支机构，不存在控股股东为大企业的情形，也不存在与大企业的负责人为同一人的情形。</w:t>
      </w:r>
    </w:p>
    <w:p w14:paraId="70A45541">
      <w:pPr>
        <w:snapToGrid/>
        <w:spacing w:line="360" w:lineRule="auto"/>
        <w:ind w:firstLine="480" w:firstLineChars="20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本企业对上述声明内容的真实性负责。如有虚假，将依法承担相应责任。</w:t>
      </w:r>
    </w:p>
    <w:p w14:paraId="6E9F8FC6">
      <w:pPr>
        <w:snapToGrid/>
        <w:spacing w:line="360" w:lineRule="auto"/>
        <w:ind w:firstLine="480" w:firstLineChars="200"/>
        <w:jc w:val="both"/>
        <w:rPr>
          <w:rFonts w:hint="eastAsia" w:ascii="宋体" w:hAnsi="宋体" w:cs="宋体"/>
          <w:color w:val="auto"/>
          <w:sz w:val="24"/>
          <w:szCs w:val="20"/>
          <w:highlight w:val="none"/>
        </w:rPr>
      </w:pPr>
    </w:p>
    <w:p w14:paraId="5146000C">
      <w:pPr>
        <w:pStyle w:val="21"/>
        <w:rPr>
          <w:rFonts w:hint="eastAsia" w:ascii="宋体" w:hAnsi="宋体" w:cs="宋体"/>
          <w:color w:val="auto"/>
          <w:sz w:val="24"/>
          <w:szCs w:val="20"/>
          <w:highlight w:val="none"/>
        </w:rPr>
      </w:pPr>
    </w:p>
    <w:p w14:paraId="0BF834E8">
      <w:pPr>
        <w:pStyle w:val="21"/>
        <w:rPr>
          <w:rFonts w:hint="eastAsia" w:ascii="宋体" w:hAnsi="宋体" w:cs="宋体"/>
          <w:color w:val="auto"/>
          <w:sz w:val="24"/>
          <w:szCs w:val="20"/>
          <w:highlight w:val="none"/>
        </w:rPr>
      </w:pPr>
    </w:p>
    <w:p w14:paraId="316F6360">
      <w:pPr>
        <w:snapToGrid/>
        <w:spacing w:line="360" w:lineRule="auto"/>
        <w:ind w:firstLine="0" w:firstLineChars="0"/>
        <w:jc w:val="right"/>
        <w:rPr>
          <w:rFonts w:hint="eastAsia" w:ascii="宋体" w:hAnsi="宋体" w:cs="宋体"/>
          <w:color w:val="auto"/>
          <w:sz w:val="24"/>
          <w:szCs w:val="20"/>
          <w:highlight w:val="none"/>
        </w:rPr>
      </w:pPr>
      <w:r>
        <w:rPr>
          <w:rFonts w:hint="eastAsia" w:ascii="宋体" w:hAnsi="宋体" w:cs="宋体"/>
          <w:color w:val="auto"/>
          <w:sz w:val="24"/>
          <w:szCs w:val="20"/>
          <w:highlight w:val="none"/>
          <w:lang w:val="en-US" w:eastAsia="zh-CN"/>
        </w:rPr>
        <w:t>投标人</w:t>
      </w:r>
      <w:r>
        <w:rPr>
          <w:rFonts w:hint="eastAsia" w:ascii="宋体" w:hAnsi="宋体" w:cs="宋体"/>
          <w:color w:val="auto"/>
          <w:sz w:val="24"/>
          <w:szCs w:val="20"/>
          <w:highlight w:val="none"/>
        </w:rPr>
        <w:t>名称（盖章</w:t>
      </w:r>
      <w:r>
        <w:rPr>
          <w:rFonts w:hint="eastAsia" w:ascii="宋体" w:hAnsi="宋体" w:cs="宋体"/>
          <w:color w:val="auto"/>
          <w:sz w:val="24"/>
          <w:szCs w:val="20"/>
          <w:highlight w:val="none"/>
          <w:lang w:val="en-US" w:eastAsia="zh-CN"/>
        </w:rPr>
        <w:t>或电子印章</w:t>
      </w:r>
      <w:r>
        <w:rPr>
          <w:rFonts w:hint="eastAsia" w:ascii="宋体" w:hAnsi="宋体" w:cs="宋体"/>
          <w:color w:val="auto"/>
          <w:sz w:val="24"/>
          <w:szCs w:val="20"/>
          <w:highlight w:val="none"/>
        </w:rPr>
        <w:t>）：</w:t>
      </w:r>
    </w:p>
    <w:p w14:paraId="75CBB924">
      <w:pPr>
        <w:snapToGrid/>
        <w:spacing w:line="360" w:lineRule="auto"/>
        <w:ind w:firstLine="0" w:firstLineChars="0"/>
        <w:jc w:val="center"/>
        <w:rPr>
          <w:rFonts w:hint="eastAsia" w:ascii="宋体" w:hAnsi="宋体" w:cs="宋体"/>
          <w:color w:val="auto"/>
          <w:sz w:val="24"/>
          <w:szCs w:val="20"/>
          <w:highlight w:val="none"/>
        </w:rPr>
      </w:pP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 xml:space="preserve">日 </w:t>
      </w: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 xml:space="preserve">期： </w:t>
      </w: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 xml:space="preserve">  年  </w:t>
      </w: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 xml:space="preserve">月 </w:t>
      </w: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 xml:space="preserve"> 日</w:t>
      </w:r>
    </w:p>
    <w:p w14:paraId="67C53378">
      <w:pPr>
        <w:pStyle w:val="21"/>
        <w:rPr>
          <w:rFonts w:hint="eastAsia" w:ascii="宋体" w:hAnsi="宋体" w:cs="宋体"/>
          <w:color w:val="auto"/>
          <w:sz w:val="24"/>
          <w:szCs w:val="20"/>
          <w:highlight w:val="none"/>
        </w:rPr>
      </w:pPr>
    </w:p>
    <w:p w14:paraId="514F0550">
      <w:pPr>
        <w:snapToGrid/>
        <w:spacing w:line="360" w:lineRule="auto"/>
        <w:ind w:firstLine="422" w:firstLineChars="200"/>
        <w:jc w:val="both"/>
        <w:rPr>
          <w:rFonts w:hint="eastAsia" w:ascii="宋体" w:hAnsi="宋体" w:cs="宋体"/>
          <w:b/>
          <w:bCs/>
          <w:color w:val="auto"/>
          <w:sz w:val="21"/>
          <w:szCs w:val="21"/>
          <w:highlight w:val="none"/>
        </w:rPr>
      </w:pPr>
      <w:r>
        <w:rPr>
          <w:rFonts w:hint="eastAsia" w:ascii="宋体" w:hAnsi="宋体" w:eastAsia="宋体" w:cs="宋体"/>
          <w:b/>
          <w:bCs/>
          <w:color w:val="auto"/>
          <w:sz w:val="21"/>
          <w:szCs w:val="21"/>
          <w:highlight w:val="none"/>
          <w:vertAlign w:val="baseline"/>
          <w:lang w:val="en-US" w:eastAsia="zh-CN"/>
        </w:rPr>
        <w:t>注：1、</w:t>
      </w:r>
      <w:r>
        <w:rPr>
          <w:rFonts w:hint="eastAsia" w:ascii="宋体" w:hAnsi="宋体" w:cs="宋体"/>
          <w:b/>
          <w:bCs/>
          <w:color w:val="auto"/>
          <w:sz w:val="21"/>
          <w:szCs w:val="21"/>
          <w:highlight w:val="none"/>
        </w:rPr>
        <w:t>从业人员、营业收入、资产总额填报上一年度数据，无上一年度数据的新成立企业可不填报。</w:t>
      </w:r>
    </w:p>
    <w:p w14:paraId="526E7D43">
      <w:pPr>
        <w:pStyle w:val="21"/>
        <w:ind w:firstLine="843" w:firstLineChars="400"/>
        <w:rPr>
          <w:rFonts w:hint="eastAsia"/>
          <w:b/>
          <w:bCs/>
          <w:color w:val="auto"/>
          <w:highlight w:val="none"/>
          <w:u w:val="single"/>
          <w:lang w:eastAsia="zh-CN"/>
        </w:rPr>
      </w:pPr>
      <w:r>
        <w:rPr>
          <w:rFonts w:hint="eastAsia"/>
          <w:b/>
          <w:bCs/>
          <w:color w:val="auto"/>
          <w:highlight w:val="none"/>
          <w:u w:val="single"/>
          <w:lang w:val="en-US" w:eastAsia="zh-CN"/>
        </w:rPr>
        <w:t>2、《中小企业声明函》（如有）</w:t>
      </w:r>
      <w:r>
        <w:rPr>
          <w:rFonts w:hint="eastAsia"/>
          <w:b/>
          <w:bCs/>
          <w:color w:val="auto"/>
          <w:highlight w:val="none"/>
          <w:u w:val="single"/>
        </w:rPr>
        <w:t>适用于小</w:t>
      </w:r>
      <w:r>
        <w:rPr>
          <w:rFonts w:hint="eastAsia"/>
          <w:b/>
          <w:bCs/>
          <w:color w:val="auto"/>
          <w:highlight w:val="none"/>
          <w:u w:val="single"/>
          <w:lang w:val="en-US" w:eastAsia="zh-CN"/>
        </w:rPr>
        <w:t>微</w:t>
      </w:r>
      <w:r>
        <w:rPr>
          <w:rFonts w:hint="eastAsia"/>
          <w:b/>
          <w:bCs/>
          <w:color w:val="auto"/>
          <w:highlight w:val="none"/>
          <w:u w:val="single"/>
        </w:rPr>
        <w:t>企业参加招投标活动的</w:t>
      </w:r>
      <w:r>
        <w:rPr>
          <w:rFonts w:hint="eastAsia"/>
          <w:b/>
          <w:bCs/>
          <w:color w:val="auto"/>
          <w:highlight w:val="none"/>
          <w:u w:val="single"/>
          <w:lang w:eastAsia="zh-CN"/>
        </w:rPr>
        <w:t>。投标人应当自行核实是否属于小微企业，并认真填写，若有虚假将追究其责任。</w:t>
      </w:r>
    </w:p>
    <w:p w14:paraId="73231DF6">
      <w:pPr>
        <w:pStyle w:val="21"/>
        <w:ind w:firstLine="843" w:firstLineChars="400"/>
        <w:rPr>
          <w:rFonts w:hint="eastAsia"/>
          <w:b/>
          <w:bCs/>
          <w:color w:val="auto"/>
          <w:highlight w:val="none"/>
          <w:u w:val="single"/>
          <w:lang w:eastAsia="zh-CN"/>
        </w:rPr>
      </w:pPr>
      <w:r>
        <w:rPr>
          <w:rFonts w:hint="eastAsia"/>
          <w:b/>
          <w:bCs/>
          <w:color w:val="auto"/>
          <w:highlight w:val="none"/>
          <w:u w:val="single"/>
          <w:lang w:val="en-US" w:eastAsia="zh-CN"/>
        </w:rPr>
        <w:t>3、</w:t>
      </w:r>
      <w:r>
        <w:rPr>
          <w:rFonts w:hint="eastAsia"/>
          <w:b/>
          <w:bCs/>
          <w:color w:val="auto"/>
          <w:highlight w:val="none"/>
          <w:u w:val="single"/>
          <w:lang w:eastAsia="zh-CN"/>
        </w:rPr>
        <w:t>需按照本项目对应行业出具</w:t>
      </w:r>
      <w:r>
        <w:rPr>
          <w:rFonts w:hint="eastAsia"/>
          <w:b/>
          <w:bCs/>
          <w:color w:val="auto"/>
          <w:highlight w:val="none"/>
          <w:u w:val="single"/>
          <w:lang w:val="en-US" w:eastAsia="zh-CN"/>
        </w:rPr>
        <w:t>《中小企业声明函》</w:t>
      </w:r>
      <w:r>
        <w:rPr>
          <w:rFonts w:hint="eastAsia"/>
          <w:b/>
          <w:bCs/>
          <w:color w:val="auto"/>
          <w:highlight w:val="none"/>
          <w:u w:val="single"/>
          <w:lang w:eastAsia="zh-CN"/>
        </w:rPr>
        <w:t>，而非按照供应商的经营范围出具。</w:t>
      </w:r>
    </w:p>
    <w:p w14:paraId="2512D2B0">
      <w:pPr>
        <w:pStyle w:val="21"/>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br w:type="page"/>
      </w:r>
    </w:p>
    <w:p w14:paraId="027E4572">
      <w:pPr>
        <w:tabs>
          <w:tab w:val="left" w:pos="720"/>
        </w:tabs>
        <w:snapToGrid w:val="0"/>
        <w:spacing w:line="360" w:lineRule="auto"/>
        <w:jc w:val="center"/>
        <w:rPr>
          <w:rFonts w:hint="eastAsia" w:ascii="宋体" w:hAnsi="宋体" w:eastAsia="宋体" w:cs="宋体"/>
          <w:b/>
          <w:color w:val="auto"/>
          <w:kern w:val="2"/>
          <w:sz w:val="32"/>
          <w:szCs w:val="32"/>
          <w:highlight w:val="none"/>
          <w:lang w:val="en-US" w:eastAsia="zh-CN"/>
        </w:rPr>
      </w:pPr>
      <w:r>
        <w:rPr>
          <w:rFonts w:hint="eastAsia" w:ascii="宋体" w:hAnsi="宋体" w:eastAsia="宋体" w:cs="宋体"/>
          <w:b/>
          <w:color w:val="auto"/>
          <w:kern w:val="2"/>
          <w:sz w:val="32"/>
          <w:szCs w:val="32"/>
          <w:highlight w:val="none"/>
          <w:lang w:val="en-US" w:eastAsia="zh-CN"/>
        </w:rPr>
        <w:t>分包意向协议</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lang w:val="en-US" w:eastAsia="zh-CN"/>
        </w:rPr>
        <w:t>如有</w:t>
      </w:r>
      <w:r>
        <w:rPr>
          <w:rFonts w:hint="eastAsia" w:ascii="宋体" w:hAnsi="宋体" w:eastAsia="宋体" w:cs="宋体"/>
          <w:b/>
          <w:color w:val="auto"/>
          <w:sz w:val="32"/>
          <w:szCs w:val="32"/>
          <w:highlight w:val="none"/>
          <w:lang w:eastAsia="zh-CN"/>
        </w:rPr>
        <w:t>）</w:t>
      </w:r>
    </w:p>
    <w:p w14:paraId="0FB20409">
      <w:pPr>
        <w:pStyle w:val="21"/>
        <w:rPr>
          <w:rFonts w:hint="default" w:ascii="宋体" w:hAnsi="Courier New" w:cs="Times New Roman"/>
          <w:color w:val="auto"/>
          <w:sz w:val="21"/>
          <w:szCs w:val="20"/>
          <w:highlight w:val="none"/>
        </w:rPr>
      </w:pPr>
    </w:p>
    <w:p w14:paraId="7CD6CE69">
      <w:pPr>
        <w:snapToGrid/>
        <w:spacing w:line="360" w:lineRule="auto"/>
        <w:ind w:firstLine="0" w:firstLineChars="0"/>
        <w:jc w:val="both"/>
        <w:rPr>
          <w:rFonts w:hint="eastAsia" w:ascii="宋体" w:hAnsi="宋体" w:cs="宋体"/>
          <w:color w:val="auto"/>
          <w:sz w:val="24"/>
          <w:szCs w:val="20"/>
          <w:highlight w:val="none"/>
          <w:u w:val="single"/>
        </w:rPr>
      </w:pPr>
      <w:r>
        <w:rPr>
          <w:rFonts w:hint="eastAsia" w:ascii="宋体" w:hAnsi="宋体" w:cs="宋体"/>
          <w:color w:val="auto"/>
          <w:sz w:val="24"/>
          <w:szCs w:val="20"/>
          <w:highlight w:val="none"/>
        </w:rPr>
        <w:t>立约方：</w:t>
      </w:r>
      <w:r>
        <w:rPr>
          <w:rFonts w:hint="eastAsia" w:ascii="宋体" w:hAnsi="宋体" w:cs="宋体"/>
          <w:color w:val="auto"/>
          <w:sz w:val="24"/>
          <w:szCs w:val="20"/>
          <w:highlight w:val="none"/>
          <w:u w:val="single"/>
        </w:rPr>
        <w:t>（甲公司全称）</w:t>
      </w:r>
    </w:p>
    <w:p w14:paraId="2FFEC1D3">
      <w:pPr>
        <w:snapToGrid/>
        <w:spacing w:line="360" w:lineRule="auto"/>
        <w:ind w:firstLine="960" w:firstLineChars="400"/>
        <w:jc w:val="both"/>
        <w:rPr>
          <w:rFonts w:hint="eastAsia" w:ascii="宋体" w:hAnsi="宋体" w:cs="宋体"/>
          <w:color w:val="auto"/>
          <w:sz w:val="24"/>
          <w:szCs w:val="20"/>
          <w:highlight w:val="none"/>
          <w:u w:val="single"/>
        </w:rPr>
      </w:pPr>
      <w:r>
        <w:rPr>
          <w:rFonts w:hint="eastAsia" w:ascii="宋体" w:hAnsi="宋体" w:cs="宋体"/>
          <w:color w:val="auto"/>
          <w:sz w:val="24"/>
          <w:szCs w:val="20"/>
          <w:highlight w:val="none"/>
          <w:u w:val="single"/>
        </w:rPr>
        <w:t>（乙公司全称）</w:t>
      </w:r>
    </w:p>
    <w:p w14:paraId="5138EA26">
      <w:pPr>
        <w:snapToGrid/>
        <w:spacing w:line="360" w:lineRule="auto"/>
        <w:ind w:firstLine="960" w:firstLineChars="400"/>
        <w:jc w:val="both"/>
        <w:rPr>
          <w:rFonts w:hint="eastAsia" w:ascii="宋体" w:hAnsi="宋体" w:cs="宋体"/>
          <w:color w:val="auto"/>
          <w:sz w:val="24"/>
          <w:szCs w:val="20"/>
          <w:highlight w:val="none"/>
          <w:u w:val="single"/>
        </w:rPr>
      </w:pPr>
      <w:r>
        <w:rPr>
          <w:rFonts w:hint="eastAsia" w:ascii="宋体" w:hAnsi="宋体" w:cs="宋体"/>
          <w:color w:val="auto"/>
          <w:sz w:val="24"/>
          <w:szCs w:val="20"/>
          <w:highlight w:val="none"/>
          <w:u w:val="single"/>
        </w:rPr>
        <w:t>（……公司全称）</w:t>
      </w:r>
    </w:p>
    <w:p w14:paraId="6ED53B84">
      <w:pPr>
        <w:snapToGrid/>
        <w:spacing w:line="360" w:lineRule="auto"/>
        <w:ind w:firstLine="480" w:firstLineChars="200"/>
        <w:jc w:val="both"/>
        <w:rPr>
          <w:rFonts w:hint="eastAsia" w:ascii="宋体" w:hAnsi="宋体" w:cs="宋体"/>
          <w:color w:val="auto"/>
          <w:sz w:val="24"/>
          <w:szCs w:val="20"/>
          <w:highlight w:val="none"/>
        </w:rPr>
      </w:pPr>
      <w:r>
        <w:rPr>
          <w:rFonts w:hint="eastAsia" w:ascii="宋体" w:hAnsi="宋体" w:cs="宋体"/>
          <w:color w:val="auto"/>
          <w:sz w:val="24"/>
          <w:szCs w:val="20"/>
          <w:highlight w:val="none"/>
          <w:u w:val="single"/>
        </w:rPr>
        <w:t>（甲公司全称）、（乙公司全称）、（……公司全称）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自愿达成分包意向，参加</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single"/>
        </w:rPr>
        <w:t>（项目名称）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的投标活动。经各方充分协商一致，就项目的投标和合同实施阶段的有关事务协商一致订立意向如下：</w:t>
      </w:r>
    </w:p>
    <w:p w14:paraId="51D5418E">
      <w:pPr>
        <w:snapToGrid/>
        <w:spacing w:line="360" w:lineRule="auto"/>
        <w:ind w:firstLine="480" w:firstLineChars="200"/>
        <w:jc w:val="both"/>
        <w:rPr>
          <w:rFonts w:hint="eastAsia" w:ascii="宋体" w:hAnsi="宋体" w:cs="宋体"/>
          <w:b w:val="0"/>
          <w:bCs w:val="0"/>
          <w:color w:val="auto"/>
          <w:sz w:val="24"/>
          <w:szCs w:val="20"/>
          <w:highlight w:val="none"/>
        </w:rPr>
      </w:pPr>
      <w:r>
        <w:rPr>
          <w:rFonts w:hint="eastAsia" w:ascii="宋体" w:hAnsi="宋体" w:cs="宋体"/>
          <w:b w:val="0"/>
          <w:bCs w:val="0"/>
          <w:color w:val="auto"/>
          <w:sz w:val="24"/>
          <w:szCs w:val="20"/>
          <w:highlight w:val="none"/>
        </w:rPr>
        <w:t>一、分包意向各方关系</w:t>
      </w:r>
      <w:r>
        <w:rPr>
          <w:rFonts w:hint="eastAsia" w:ascii="宋体" w:hAnsi="宋体" w:cs="宋体"/>
          <w:b w:val="0"/>
          <w:bCs w:val="0"/>
          <w:color w:val="auto"/>
          <w:sz w:val="24"/>
          <w:szCs w:val="20"/>
          <w:highlight w:val="none"/>
          <w:lang w:eastAsia="zh-CN"/>
        </w:rPr>
        <w:t>：</w:t>
      </w:r>
    </w:p>
    <w:p w14:paraId="2C855F63">
      <w:pPr>
        <w:snapToGrid/>
        <w:spacing w:line="360" w:lineRule="auto"/>
        <w:ind w:firstLine="480" w:firstLineChars="200"/>
        <w:jc w:val="both"/>
        <w:rPr>
          <w:rFonts w:hint="eastAsia" w:ascii="宋体" w:hAnsi="宋体" w:cs="宋体"/>
          <w:color w:val="auto"/>
          <w:sz w:val="24"/>
          <w:szCs w:val="20"/>
          <w:highlight w:val="none"/>
        </w:rPr>
      </w:pPr>
      <w:r>
        <w:rPr>
          <w:rFonts w:hint="eastAsia" w:ascii="宋体" w:hAnsi="宋体" w:cs="宋体"/>
          <w:color w:val="auto"/>
          <w:sz w:val="24"/>
          <w:szCs w:val="20"/>
          <w:highlight w:val="none"/>
          <w:u w:val="single"/>
        </w:rPr>
        <w:t>（甲公司全称）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none"/>
        </w:rPr>
        <w:t>为投标人，</w:t>
      </w:r>
      <w:r>
        <w:rPr>
          <w:rFonts w:hint="eastAsia" w:ascii="宋体" w:hAnsi="宋体" w:cs="宋体"/>
          <w:color w:val="auto"/>
          <w:sz w:val="24"/>
          <w:szCs w:val="20"/>
          <w:highlight w:val="none"/>
          <w:u w:val="single"/>
        </w:rPr>
        <w:t>（乙公司全称）、（……公司全称）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none"/>
        </w:rPr>
        <w:t>为分包意向单位，</w:t>
      </w:r>
      <w:r>
        <w:rPr>
          <w:rFonts w:hint="eastAsia" w:ascii="宋体" w:hAnsi="宋体" w:cs="宋体"/>
          <w:color w:val="auto"/>
          <w:sz w:val="24"/>
          <w:szCs w:val="20"/>
          <w:highlight w:val="none"/>
          <w:u w:val="single"/>
        </w:rPr>
        <w:t>（甲公司全称）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none"/>
        </w:rPr>
        <w:t>以投标人的身份参加本项目的投标。若中标，</w:t>
      </w:r>
      <w:r>
        <w:rPr>
          <w:rFonts w:hint="eastAsia" w:ascii="宋体" w:hAnsi="宋体" w:cs="宋体"/>
          <w:color w:val="auto"/>
          <w:sz w:val="24"/>
          <w:szCs w:val="20"/>
          <w:highlight w:val="none"/>
          <w:u w:val="single"/>
        </w:rPr>
        <w:t>（甲公司全称）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none"/>
        </w:rPr>
        <w:t>与招标人签订建设工程施工合同。承接分包意向的各单位与</w:t>
      </w:r>
      <w:r>
        <w:rPr>
          <w:rFonts w:hint="eastAsia" w:ascii="宋体" w:hAnsi="宋体" w:cs="宋体"/>
          <w:color w:val="auto"/>
          <w:sz w:val="24"/>
          <w:szCs w:val="20"/>
          <w:highlight w:val="none"/>
          <w:u w:val="single"/>
        </w:rPr>
        <w:t>（甲公司全称）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none"/>
        </w:rPr>
        <w:t>签订分包合同。</w:t>
      </w:r>
      <w:r>
        <w:rPr>
          <w:rFonts w:hint="eastAsia" w:ascii="宋体" w:hAnsi="宋体" w:cs="宋体"/>
          <w:color w:val="auto"/>
          <w:sz w:val="24"/>
          <w:szCs w:val="20"/>
          <w:highlight w:val="none"/>
          <w:u w:val="single"/>
        </w:rPr>
        <w:t>（甲公司全称）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none"/>
        </w:rPr>
        <w:t>就招标项目和分包项目向招标人负责，分包单位就分包项目承担责任。</w:t>
      </w:r>
    </w:p>
    <w:p w14:paraId="2D9DDB10">
      <w:pPr>
        <w:snapToGrid/>
        <w:spacing w:line="360" w:lineRule="auto"/>
        <w:ind w:firstLine="480" w:firstLineChars="200"/>
        <w:jc w:val="both"/>
        <w:rPr>
          <w:rFonts w:hint="eastAsia" w:ascii="宋体" w:hAnsi="宋体" w:cs="宋体"/>
          <w:b w:val="0"/>
          <w:bCs w:val="0"/>
          <w:color w:val="auto"/>
          <w:sz w:val="24"/>
          <w:szCs w:val="20"/>
          <w:highlight w:val="none"/>
        </w:rPr>
      </w:pPr>
      <w:r>
        <w:rPr>
          <w:rFonts w:hint="eastAsia" w:ascii="宋体" w:hAnsi="宋体" w:cs="宋体"/>
          <w:b w:val="0"/>
          <w:bCs w:val="0"/>
          <w:color w:val="auto"/>
          <w:sz w:val="24"/>
          <w:szCs w:val="20"/>
          <w:highlight w:val="none"/>
        </w:rPr>
        <w:t>二、有关事项约定如下：</w:t>
      </w:r>
    </w:p>
    <w:p w14:paraId="3D4DF79A">
      <w:pPr>
        <w:snapToGrid/>
        <w:spacing w:line="360" w:lineRule="auto"/>
        <w:ind w:firstLine="480" w:firstLineChars="200"/>
        <w:jc w:val="both"/>
        <w:rPr>
          <w:rFonts w:hint="eastAsia" w:ascii="宋体" w:hAnsi="宋体" w:eastAsia="宋体" w:cs="宋体"/>
          <w:color w:val="auto"/>
          <w:sz w:val="24"/>
          <w:szCs w:val="20"/>
          <w:highlight w:val="none"/>
          <w:lang w:eastAsia="zh-CN"/>
        </w:rPr>
      </w:pPr>
      <w:r>
        <w:rPr>
          <w:rFonts w:hint="eastAsia" w:ascii="宋体" w:hAnsi="宋体" w:cs="宋体"/>
          <w:color w:val="auto"/>
          <w:sz w:val="24"/>
          <w:szCs w:val="20"/>
          <w:highlight w:val="none"/>
        </w:rPr>
        <w:t>1.如中标，分包单位分别与</w:t>
      </w:r>
      <w:r>
        <w:rPr>
          <w:rFonts w:hint="eastAsia" w:ascii="宋体" w:hAnsi="宋体" w:cs="宋体"/>
          <w:color w:val="auto"/>
          <w:sz w:val="24"/>
          <w:szCs w:val="20"/>
          <w:highlight w:val="none"/>
          <w:u w:val="single"/>
        </w:rPr>
        <w:t>（甲公司全称）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签订合同书，并就中标项目分包部分承担法律责任</w:t>
      </w:r>
      <w:r>
        <w:rPr>
          <w:rFonts w:hint="eastAsia" w:ascii="宋体" w:hAnsi="宋体" w:cs="宋体"/>
          <w:color w:val="auto"/>
          <w:sz w:val="24"/>
          <w:szCs w:val="20"/>
          <w:highlight w:val="none"/>
          <w:lang w:eastAsia="zh-CN"/>
        </w:rPr>
        <w:t>。</w:t>
      </w:r>
    </w:p>
    <w:p w14:paraId="38632F18">
      <w:pPr>
        <w:snapToGrid/>
        <w:spacing w:line="360" w:lineRule="auto"/>
        <w:ind w:firstLine="480" w:firstLineChars="200"/>
        <w:jc w:val="both"/>
        <w:rPr>
          <w:rFonts w:hint="eastAsia" w:ascii="宋体" w:hAnsi="宋体" w:cs="宋体"/>
          <w:color w:val="auto"/>
          <w:sz w:val="24"/>
          <w:szCs w:val="20"/>
          <w:highlight w:val="none"/>
          <w:lang w:val="en-US" w:eastAsia="zh-CN"/>
        </w:rPr>
      </w:pPr>
      <w:r>
        <w:rPr>
          <w:rFonts w:hint="eastAsia" w:ascii="宋体" w:hAnsi="宋体" w:cs="宋体"/>
          <w:color w:val="auto"/>
          <w:sz w:val="24"/>
          <w:szCs w:val="20"/>
          <w:highlight w:val="none"/>
          <w:lang w:val="en-US" w:eastAsia="zh-CN"/>
        </w:rPr>
        <w:t>2.分包意向单位1：</w:t>
      </w:r>
      <w:r>
        <w:rPr>
          <w:rFonts w:hint="eastAsia" w:ascii="宋体" w:hAnsi="宋体" w:cs="宋体"/>
          <w:color w:val="auto"/>
          <w:sz w:val="24"/>
          <w:szCs w:val="20"/>
          <w:highlight w:val="none"/>
          <w:u w:val="single"/>
          <w:lang w:val="en-US" w:eastAsia="zh-CN"/>
        </w:rPr>
        <w:t xml:space="preserve">（乙公司全称）     </w:t>
      </w:r>
      <w:r>
        <w:rPr>
          <w:rFonts w:hint="eastAsia" w:ascii="宋体" w:hAnsi="宋体" w:cs="宋体"/>
          <w:color w:val="auto"/>
          <w:sz w:val="24"/>
          <w:szCs w:val="20"/>
          <w:highlight w:val="none"/>
          <w:lang w:val="en-US" w:eastAsia="zh-CN"/>
        </w:rPr>
        <w:t>为</w:t>
      </w:r>
      <w:r>
        <w:rPr>
          <w:rFonts w:hint="eastAsia" w:ascii="宋体" w:hAnsi="宋体" w:cs="宋体"/>
          <w:color w:val="auto"/>
          <w:sz w:val="24"/>
          <w:szCs w:val="20"/>
          <w:highlight w:val="none"/>
          <w:u w:val="single"/>
          <w:lang w:val="en-US" w:eastAsia="zh-CN"/>
        </w:rPr>
        <w:t>（请填写：大型、中型、小型、微型）</w:t>
      </w:r>
      <w:r>
        <w:rPr>
          <w:rFonts w:hint="eastAsia" w:ascii="宋体" w:hAnsi="宋体" w:cs="宋体"/>
          <w:color w:val="auto"/>
          <w:sz w:val="24"/>
          <w:szCs w:val="20"/>
          <w:highlight w:val="none"/>
          <w:lang w:val="en-US" w:eastAsia="zh-CN"/>
        </w:rPr>
        <w:t>企业，将承担适宜分包部分</w:t>
      </w:r>
      <w:r>
        <w:rPr>
          <w:rFonts w:hint="eastAsia" w:ascii="宋体" w:hAnsi="宋体" w:cs="宋体"/>
          <w:color w:val="auto"/>
          <w:sz w:val="24"/>
          <w:szCs w:val="20"/>
          <w:highlight w:val="none"/>
          <w:u w:val="single"/>
          <w:lang w:val="en-US" w:eastAsia="zh-CN"/>
        </w:rPr>
        <w:t xml:space="preserve">   （具体分包内容）   </w:t>
      </w:r>
      <w:r>
        <w:rPr>
          <w:rFonts w:hint="eastAsia" w:ascii="宋体" w:hAnsi="宋体" w:cs="宋体"/>
          <w:color w:val="auto"/>
          <w:sz w:val="24"/>
          <w:szCs w:val="20"/>
          <w:highlight w:val="none"/>
          <w:lang w:val="en-US" w:eastAsia="zh-CN"/>
        </w:rPr>
        <w:t>占合同总金额</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lang w:val="en-US" w:eastAsia="zh-CN"/>
        </w:rPr>
        <w:t>%的工作内容。</w:t>
      </w:r>
    </w:p>
    <w:p w14:paraId="7E22FC13">
      <w:pPr>
        <w:snapToGrid/>
        <w:spacing w:line="360" w:lineRule="auto"/>
        <w:ind w:firstLine="480" w:firstLineChars="200"/>
        <w:jc w:val="both"/>
        <w:rPr>
          <w:rFonts w:hint="eastAsia" w:ascii="宋体" w:hAnsi="宋体" w:cs="宋体"/>
          <w:color w:val="auto"/>
          <w:sz w:val="24"/>
          <w:szCs w:val="20"/>
          <w:highlight w:val="none"/>
          <w:lang w:val="en-US" w:eastAsia="zh-CN"/>
        </w:rPr>
      </w:pPr>
      <w:r>
        <w:rPr>
          <w:rFonts w:hint="eastAsia" w:ascii="宋体" w:hAnsi="宋体" w:cs="宋体"/>
          <w:color w:val="auto"/>
          <w:sz w:val="24"/>
          <w:szCs w:val="20"/>
          <w:highlight w:val="none"/>
          <w:lang w:val="en-US" w:eastAsia="zh-CN"/>
        </w:rPr>
        <w:t>3.分包意向单位2：</w:t>
      </w:r>
      <w:r>
        <w:rPr>
          <w:rFonts w:hint="eastAsia" w:ascii="宋体" w:hAnsi="宋体" w:cs="宋体"/>
          <w:color w:val="auto"/>
          <w:sz w:val="24"/>
          <w:szCs w:val="20"/>
          <w:highlight w:val="none"/>
          <w:u w:val="single"/>
          <w:lang w:val="en-US" w:eastAsia="zh-CN"/>
        </w:rPr>
        <w:t xml:space="preserve">（……公司全称）   </w:t>
      </w:r>
      <w:r>
        <w:rPr>
          <w:rFonts w:hint="eastAsia" w:ascii="宋体" w:hAnsi="宋体" w:cs="宋体"/>
          <w:color w:val="auto"/>
          <w:sz w:val="24"/>
          <w:szCs w:val="20"/>
          <w:highlight w:val="none"/>
          <w:lang w:val="en-US" w:eastAsia="zh-CN"/>
        </w:rPr>
        <w:t>为</w:t>
      </w:r>
      <w:r>
        <w:rPr>
          <w:rFonts w:hint="eastAsia" w:ascii="宋体" w:hAnsi="宋体" w:cs="宋体"/>
          <w:color w:val="auto"/>
          <w:sz w:val="24"/>
          <w:szCs w:val="20"/>
          <w:highlight w:val="none"/>
          <w:u w:val="single"/>
          <w:lang w:val="en-US" w:eastAsia="zh-CN"/>
        </w:rPr>
        <w:t>（请填写：大型、中型、小型、微型）</w:t>
      </w:r>
      <w:r>
        <w:rPr>
          <w:rFonts w:hint="eastAsia" w:ascii="宋体" w:hAnsi="宋体" w:cs="宋体"/>
          <w:color w:val="auto"/>
          <w:sz w:val="24"/>
          <w:szCs w:val="20"/>
          <w:highlight w:val="none"/>
          <w:lang w:val="en-US" w:eastAsia="zh-CN"/>
        </w:rPr>
        <w:t>企业，将承担适宜分包部分</w:t>
      </w:r>
      <w:r>
        <w:rPr>
          <w:rFonts w:hint="eastAsia" w:ascii="宋体" w:hAnsi="宋体" w:cs="宋体"/>
          <w:color w:val="auto"/>
          <w:sz w:val="24"/>
          <w:szCs w:val="20"/>
          <w:highlight w:val="none"/>
          <w:u w:val="single"/>
          <w:lang w:val="en-US" w:eastAsia="zh-CN"/>
        </w:rPr>
        <w:t xml:space="preserve">   （具体分包内容）   </w:t>
      </w:r>
      <w:r>
        <w:rPr>
          <w:rFonts w:hint="eastAsia" w:ascii="宋体" w:hAnsi="宋体" w:cs="宋体"/>
          <w:color w:val="auto"/>
          <w:sz w:val="24"/>
          <w:szCs w:val="20"/>
          <w:highlight w:val="none"/>
          <w:lang w:val="en-US" w:eastAsia="zh-CN"/>
        </w:rPr>
        <w:t>占合同总金额</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lang w:val="en-US" w:eastAsia="zh-CN"/>
        </w:rPr>
        <w:t>%的工作内容。</w:t>
      </w:r>
    </w:p>
    <w:p w14:paraId="42F38B77">
      <w:pPr>
        <w:snapToGrid/>
        <w:spacing w:line="360" w:lineRule="auto"/>
        <w:ind w:firstLine="480" w:firstLineChars="20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w:t>
      </w:r>
    </w:p>
    <w:p w14:paraId="55AEAD01">
      <w:pPr>
        <w:snapToGrid/>
        <w:spacing w:line="360" w:lineRule="auto"/>
        <w:ind w:firstLine="482" w:firstLineChars="200"/>
        <w:jc w:val="both"/>
        <w:rPr>
          <w:rFonts w:hint="eastAsia" w:ascii="宋体" w:hAnsi="宋体" w:cs="宋体"/>
          <w:b/>
          <w:bCs/>
          <w:color w:val="auto"/>
          <w:sz w:val="24"/>
          <w:szCs w:val="20"/>
          <w:highlight w:val="none"/>
        </w:rPr>
      </w:pPr>
    </w:p>
    <w:p w14:paraId="318B5C2D">
      <w:pPr>
        <w:snapToGrid/>
        <w:spacing w:line="360" w:lineRule="auto"/>
        <w:ind w:firstLine="480" w:firstLineChars="200"/>
        <w:jc w:val="both"/>
        <w:rPr>
          <w:rFonts w:hint="eastAsia" w:ascii="宋体" w:hAnsi="宋体" w:cs="宋体"/>
          <w:b w:val="0"/>
          <w:bCs w:val="0"/>
          <w:color w:val="auto"/>
          <w:sz w:val="24"/>
          <w:szCs w:val="20"/>
          <w:highlight w:val="none"/>
        </w:rPr>
      </w:pPr>
      <w:r>
        <w:rPr>
          <w:rFonts w:hint="eastAsia" w:ascii="宋体" w:hAnsi="宋体" w:cs="宋体"/>
          <w:b w:val="0"/>
          <w:bCs w:val="0"/>
          <w:color w:val="auto"/>
          <w:sz w:val="24"/>
          <w:szCs w:val="20"/>
          <w:highlight w:val="none"/>
        </w:rPr>
        <w:t>三、接受分包的企业与投标人之间的关系：</w:t>
      </w:r>
    </w:p>
    <w:p w14:paraId="1024AD5B">
      <w:pPr>
        <w:snapToGrid/>
        <w:spacing w:line="360" w:lineRule="auto"/>
        <w:ind w:firstLine="480" w:firstLineChars="20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1.分包意向单位1</w:t>
      </w:r>
      <w:r>
        <w:rPr>
          <w:rFonts w:hint="eastAsia" w:ascii="宋体" w:hAnsi="宋体" w:cs="宋体"/>
          <w:color w:val="auto"/>
          <w:sz w:val="24"/>
          <w:szCs w:val="20"/>
          <w:highlight w:val="none"/>
          <w:lang w:eastAsia="zh-CN"/>
        </w:rPr>
        <w:t>：</w:t>
      </w:r>
      <w:r>
        <w:rPr>
          <w:rFonts w:hint="eastAsia" w:ascii="宋体" w:hAnsi="宋体" w:cs="宋体"/>
          <w:color w:val="auto"/>
          <w:sz w:val="24"/>
          <w:szCs w:val="20"/>
          <w:highlight w:val="none"/>
          <w:u w:val="single"/>
        </w:rPr>
        <w:t>（公司全称）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与投标人之间</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single"/>
        </w:rPr>
        <w:t>（请填写：是否存在）</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直接控股、管理关系的情形。</w:t>
      </w:r>
    </w:p>
    <w:p w14:paraId="714B05EF">
      <w:pPr>
        <w:snapToGrid/>
        <w:spacing w:line="360" w:lineRule="auto"/>
        <w:ind w:firstLine="480" w:firstLineChars="20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2.分包意向单位2</w:t>
      </w:r>
      <w:r>
        <w:rPr>
          <w:rFonts w:hint="eastAsia" w:ascii="宋体" w:hAnsi="宋体" w:cs="宋体"/>
          <w:color w:val="auto"/>
          <w:sz w:val="24"/>
          <w:szCs w:val="20"/>
          <w:highlight w:val="none"/>
          <w:lang w:eastAsia="zh-CN"/>
        </w:rPr>
        <w:t>：</w:t>
      </w:r>
      <w:r>
        <w:rPr>
          <w:rFonts w:hint="eastAsia" w:ascii="宋体" w:hAnsi="宋体" w:cs="宋体"/>
          <w:color w:val="auto"/>
          <w:sz w:val="24"/>
          <w:szCs w:val="20"/>
          <w:highlight w:val="none"/>
          <w:u w:val="single"/>
        </w:rPr>
        <w:t>（公司全称）</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与投标人之间</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single"/>
        </w:rPr>
        <w:t>（请填写：是否存在）</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rPr>
        <w:t>直接控股、管理关系的情形。</w:t>
      </w:r>
    </w:p>
    <w:p w14:paraId="743576A1">
      <w:pPr>
        <w:snapToGrid/>
        <w:spacing w:line="360" w:lineRule="auto"/>
        <w:ind w:firstLine="480" w:firstLineChars="20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w:t>
      </w:r>
    </w:p>
    <w:p w14:paraId="6989531E">
      <w:pPr>
        <w:snapToGrid/>
        <w:spacing w:line="360" w:lineRule="auto"/>
        <w:ind w:firstLine="480" w:firstLineChars="200"/>
        <w:jc w:val="both"/>
        <w:rPr>
          <w:rFonts w:hint="eastAsia" w:ascii="宋体" w:hAnsi="宋体" w:cs="宋体"/>
          <w:color w:val="auto"/>
          <w:sz w:val="24"/>
          <w:szCs w:val="20"/>
          <w:highlight w:val="none"/>
        </w:rPr>
      </w:pPr>
    </w:p>
    <w:p w14:paraId="12F0ECA2">
      <w:pPr>
        <w:autoSpaceDE/>
        <w:autoSpaceDN/>
        <w:adjustRightInd/>
        <w:spacing w:line="360" w:lineRule="auto"/>
        <w:ind w:firstLine="480" w:firstLineChars="200"/>
        <w:jc w:val="both"/>
        <w:rPr>
          <w:rFonts w:hint="eastAsia" w:ascii="宋体" w:hAnsi="宋体" w:eastAsia="宋体" w:cs="宋体"/>
          <w:b w:val="0"/>
          <w:bCs w:val="0"/>
          <w:color w:val="auto"/>
          <w:kern w:val="2"/>
          <w:sz w:val="24"/>
          <w:szCs w:val="20"/>
          <w:highlight w:val="none"/>
          <w:u w:val="none"/>
          <w:lang w:val="en-US" w:eastAsia="zh-CN" w:bidi="ar-SA"/>
        </w:rPr>
      </w:pPr>
      <w:r>
        <w:rPr>
          <w:rFonts w:hint="eastAsia" w:ascii="宋体" w:hAnsi="宋体" w:eastAsia="宋体" w:cs="宋体"/>
          <w:b w:val="0"/>
          <w:bCs w:val="0"/>
          <w:color w:val="auto"/>
          <w:kern w:val="2"/>
          <w:sz w:val="24"/>
          <w:szCs w:val="20"/>
          <w:highlight w:val="none"/>
          <w:u w:val="none"/>
          <w:lang w:val="en-US" w:eastAsia="zh-CN" w:bidi="ar-SA"/>
        </w:rPr>
        <w:t>四、如因违约过失责任而导致招标人经济损失或被索赔时，</w:t>
      </w:r>
      <w:r>
        <w:rPr>
          <w:rFonts w:hint="eastAsia" w:ascii="宋体" w:hAnsi="宋体" w:eastAsia="宋体" w:cs="宋体"/>
          <w:b w:val="0"/>
          <w:bCs w:val="0"/>
          <w:color w:val="auto"/>
          <w:kern w:val="2"/>
          <w:sz w:val="24"/>
          <w:szCs w:val="20"/>
          <w:highlight w:val="none"/>
          <w:u w:val="single"/>
          <w:lang w:val="en-US" w:eastAsia="zh-CN" w:bidi="ar-SA"/>
        </w:rPr>
        <w:t xml:space="preserve">（甲公司全称）      </w:t>
      </w:r>
      <w:r>
        <w:rPr>
          <w:rFonts w:hint="eastAsia" w:ascii="宋体" w:hAnsi="宋体" w:eastAsia="宋体" w:cs="宋体"/>
          <w:b w:val="0"/>
          <w:bCs w:val="0"/>
          <w:color w:val="auto"/>
          <w:kern w:val="2"/>
          <w:sz w:val="24"/>
          <w:szCs w:val="20"/>
          <w:highlight w:val="none"/>
          <w:u w:val="none"/>
          <w:lang w:val="en-US" w:eastAsia="zh-CN" w:bidi="ar-SA"/>
        </w:rPr>
        <w:t>同意无条件优先清偿招标人的一切债务和经济赔偿。</w:t>
      </w:r>
    </w:p>
    <w:p w14:paraId="41FDA770">
      <w:pPr>
        <w:autoSpaceDE/>
        <w:autoSpaceDN/>
        <w:adjustRightInd/>
        <w:spacing w:line="360" w:lineRule="auto"/>
        <w:ind w:firstLine="480" w:firstLineChars="200"/>
        <w:jc w:val="both"/>
        <w:rPr>
          <w:rFonts w:hint="eastAsia" w:ascii="宋体" w:hAnsi="宋体" w:eastAsia="宋体" w:cs="宋体"/>
          <w:b w:val="0"/>
          <w:bCs w:val="0"/>
          <w:color w:val="auto"/>
          <w:kern w:val="2"/>
          <w:sz w:val="24"/>
          <w:szCs w:val="20"/>
          <w:highlight w:val="none"/>
          <w:u w:val="none"/>
          <w:lang w:val="en-US" w:eastAsia="zh-CN" w:bidi="ar-SA"/>
        </w:rPr>
      </w:pPr>
      <w:r>
        <w:rPr>
          <w:rFonts w:hint="eastAsia" w:ascii="宋体" w:hAnsi="宋体" w:eastAsia="宋体" w:cs="宋体"/>
          <w:b w:val="0"/>
          <w:bCs w:val="0"/>
          <w:color w:val="auto"/>
          <w:kern w:val="2"/>
          <w:sz w:val="24"/>
          <w:szCs w:val="20"/>
          <w:highlight w:val="none"/>
          <w:u w:val="none"/>
          <w:lang w:val="en-US" w:eastAsia="zh-CN" w:bidi="ar-SA"/>
        </w:rPr>
        <w:t>五、如中标，分包意向单位不得以任何理由提出终止本意向协议。</w:t>
      </w:r>
    </w:p>
    <w:p w14:paraId="77367A11">
      <w:pPr>
        <w:autoSpaceDE/>
        <w:autoSpaceDN/>
        <w:adjustRightInd/>
        <w:spacing w:line="360" w:lineRule="auto"/>
        <w:ind w:firstLine="480" w:firstLineChars="200"/>
        <w:jc w:val="both"/>
        <w:rPr>
          <w:rFonts w:hint="eastAsia" w:ascii="宋体" w:hAnsi="宋体" w:eastAsia="宋体" w:cs="宋体"/>
          <w:b w:val="0"/>
          <w:bCs w:val="0"/>
          <w:color w:val="auto"/>
          <w:kern w:val="2"/>
          <w:sz w:val="24"/>
          <w:szCs w:val="20"/>
          <w:highlight w:val="none"/>
          <w:u w:val="none"/>
          <w:lang w:val="en-US" w:eastAsia="zh-CN" w:bidi="ar-SA"/>
        </w:rPr>
      </w:pPr>
      <w:r>
        <w:rPr>
          <w:rFonts w:hint="eastAsia" w:ascii="宋体" w:hAnsi="宋体" w:eastAsia="宋体" w:cs="宋体"/>
          <w:b w:val="0"/>
          <w:bCs w:val="0"/>
          <w:color w:val="auto"/>
          <w:kern w:val="2"/>
          <w:sz w:val="24"/>
          <w:szCs w:val="20"/>
          <w:highlight w:val="none"/>
          <w:u w:val="none"/>
          <w:lang w:val="en-US" w:eastAsia="zh-CN" w:bidi="ar-SA"/>
        </w:rPr>
        <w:t>六、如中标，分包意向单位确定后，不得擅自变更。</w:t>
      </w:r>
    </w:p>
    <w:p w14:paraId="0C4E56C5">
      <w:pPr>
        <w:autoSpaceDE/>
        <w:autoSpaceDN/>
        <w:adjustRightInd/>
        <w:spacing w:line="360" w:lineRule="auto"/>
        <w:ind w:firstLine="480" w:firstLineChars="200"/>
        <w:jc w:val="both"/>
        <w:rPr>
          <w:rFonts w:hint="eastAsia" w:ascii="宋体" w:hAnsi="宋体" w:eastAsia="宋体" w:cs="宋体"/>
          <w:b w:val="0"/>
          <w:bCs w:val="0"/>
          <w:color w:val="auto"/>
          <w:kern w:val="2"/>
          <w:sz w:val="24"/>
          <w:szCs w:val="20"/>
          <w:highlight w:val="none"/>
          <w:u w:val="none"/>
          <w:lang w:val="en-US" w:eastAsia="zh-CN" w:bidi="ar-SA"/>
        </w:rPr>
      </w:pPr>
      <w:r>
        <w:rPr>
          <w:rFonts w:hint="eastAsia" w:ascii="宋体" w:hAnsi="宋体" w:eastAsia="宋体" w:cs="宋体"/>
          <w:b w:val="0"/>
          <w:bCs w:val="0"/>
          <w:color w:val="auto"/>
          <w:kern w:val="2"/>
          <w:sz w:val="24"/>
          <w:szCs w:val="20"/>
          <w:highlight w:val="none"/>
          <w:u w:val="none"/>
          <w:lang w:val="en-US" w:eastAsia="zh-CN" w:bidi="ar-SA"/>
        </w:rPr>
        <w:t>七、本分包意向协议在自签署之日起生效，有效期内有效，如获中标资格，有效期延续至合同履行完毕之日。</w:t>
      </w:r>
    </w:p>
    <w:p w14:paraId="4F39917B">
      <w:pPr>
        <w:snapToGrid/>
        <w:spacing w:line="360" w:lineRule="auto"/>
        <w:ind w:firstLine="480" w:firstLineChars="200"/>
        <w:jc w:val="both"/>
        <w:rPr>
          <w:rFonts w:hint="eastAsia" w:ascii="宋体" w:hAnsi="宋体" w:cs="宋体"/>
          <w:color w:val="auto"/>
          <w:sz w:val="24"/>
          <w:szCs w:val="20"/>
          <w:highlight w:val="none"/>
        </w:rPr>
      </w:pPr>
      <w:r>
        <w:rPr>
          <w:rFonts w:hint="eastAsia" w:ascii="宋体" w:hAnsi="宋体" w:cs="宋体"/>
          <w:color w:val="auto"/>
          <w:sz w:val="24"/>
          <w:szCs w:val="20"/>
          <w:highlight w:val="none"/>
          <w:lang w:val="en-US" w:eastAsia="zh-CN"/>
        </w:rPr>
        <w:t>八、</w:t>
      </w:r>
      <w:r>
        <w:rPr>
          <w:rFonts w:hint="eastAsia" w:ascii="宋体" w:hAnsi="宋体" w:cs="宋体"/>
          <w:color w:val="auto"/>
          <w:sz w:val="24"/>
          <w:szCs w:val="20"/>
          <w:highlight w:val="none"/>
        </w:rPr>
        <w:t>本企业对上述内容的真实性负责。如有虚假，将依法承担相应责任。以上</w:t>
      </w:r>
      <w:r>
        <w:rPr>
          <w:rFonts w:hint="eastAsia" w:ascii="宋体" w:hAnsi="宋体" w:cs="宋体"/>
          <w:color w:val="auto"/>
          <w:sz w:val="24"/>
          <w:szCs w:val="20"/>
          <w:highlight w:val="none"/>
          <w:lang w:val="en-US" w:eastAsia="zh-CN"/>
        </w:rPr>
        <w:t>分包意向单位</w:t>
      </w:r>
      <w:r>
        <w:rPr>
          <w:rFonts w:hint="eastAsia" w:ascii="宋体" w:hAnsi="宋体" w:cs="宋体"/>
          <w:color w:val="auto"/>
          <w:sz w:val="24"/>
          <w:szCs w:val="20"/>
          <w:highlight w:val="none"/>
        </w:rPr>
        <w:t>，不属于大企业的分支机构，不存在控股股东为大企业的情形，也不存在与大企业的负责人为同一人的情形。</w:t>
      </w:r>
    </w:p>
    <w:p w14:paraId="43C6FE00">
      <w:pPr>
        <w:snapToGrid/>
        <w:spacing w:line="360" w:lineRule="auto"/>
        <w:ind w:firstLine="0" w:firstLineChars="0"/>
        <w:jc w:val="both"/>
        <w:rPr>
          <w:rFonts w:hint="eastAsia" w:ascii="宋体" w:hAnsi="宋体" w:cs="宋体"/>
          <w:color w:val="auto"/>
          <w:sz w:val="24"/>
          <w:szCs w:val="20"/>
          <w:highlight w:val="none"/>
        </w:rPr>
      </w:pPr>
    </w:p>
    <w:p w14:paraId="5B86C6A7">
      <w:pPr>
        <w:snapToGrid/>
        <w:spacing w:line="360" w:lineRule="auto"/>
        <w:ind w:firstLine="0" w:firstLineChars="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甲公司全称：（盖章）</w:t>
      </w:r>
    </w:p>
    <w:p w14:paraId="64BAC360">
      <w:pPr>
        <w:snapToGrid/>
        <w:spacing w:line="360" w:lineRule="auto"/>
        <w:ind w:firstLine="0" w:firstLineChars="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法定代表人</w:t>
      </w:r>
      <w:r>
        <w:rPr>
          <w:rFonts w:hint="eastAsia" w:ascii="宋体" w:hAnsi="宋体" w:cs="宋体"/>
          <w:color w:val="auto"/>
          <w:sz w:val="24"/>
          <w:szCs w:val="20"/>
          <w:highlight w:val="none"/>
          <w:lang w:eastAsia="zh-CN"/>
        </w:rPr>
        <w:t>：</w:t>
      </w:r>
      <w:r>
        <w:rPr>
          <w:rFonts w:hint="eastAsia" w:ascii="宋体" w:hAnsi="宋体" w:cs="宋体"/>
          <w:color w:val="auto"/>
          <w:sz w:val="24"/>
          <w:szCs w:val="20"/>
          <w:highlight w:val="none"/>
        </w:rPr>
        <w:t>（签字或盖章）</w:t>
      </w:r>
    </w:p>
    <w:p w14:paraId="17CB0929">
      <w:pPr>
        <w:snapToGrid/>
        <w:spacing w:line="360" w:lineRule="auto"/>
        <w:ind w:firstLine="0" w:firstLineChars="0"/>
        <w:jc w:val="both"/>
        <w:rPr>
          <w:rFonts w:hint="eastAsia" w:ascii="宋体" w:hAnsi="宋体" w:cs="宋体"/>
          <w:color w:val="auto"/>
          <w:sz w:val="24"/>
          <w:szCs w:val="20"/>
          <w:highlight w:val="none"/>
        </w:rPr>
      </w:pP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年</w:t>
      </w: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月</w:t>
      </w: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日</w:t>
      </w:r>
    </w:p>
    <w:p w14:paraId="398C91D9">
      <w:pPr>
        <w:snapToGrid/>
        <w:spacing w:line="360" w:lineRule="auto"/>
        <w:ind w:firstLine="0" w:firstLineChars="0"/>
        <w:jc w:val="both"/>
        <w:rPr>
          <w:rFonts w:hint="eastAsia" w:ascii="宋体" w:hAnsi="宋体" w:cs="宋体"/>
          <w:color w:val="auto"/>
          <w:sz w:val="24"/>
          <w:szCs w:val="20"/>
          <w:highlight w:val="none"/>
        </w:rPr>
      </w:pPr>
    </w:p>
    <w:p w14:paraId="33702016">
      <w:pPr>
        <w:snapToGrid/>
        <w:spacing w:line="360" w:lineRule="auto"/>
        <w:ind w:firstLine="0" w:firstLineChars="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乙公司全称：（盖章）</w:t>
      </w:r>
    </w:p>
    <w:p w14:paraId="6263289B">
      <w:pPr>
        <w:snapToGrid/>
        <w:spacing w:line="360" w:lineRule="auto"/>
        <w:ind w:firstLine="0" w:firstLineChars="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法定代表人</w:t>
      </w:r>
      <w:r>
        <w:rPr>
          <w:rFonts w:hint="eastAsia" w:ascii="宋体" w:hAnsi="宋体" w:cs="宋体"/>
          <w:color w:val="auto"/>
          <w:sz w:val="24"/>
          <w:szCs w:val="20"/>
          <w:highlight w:val="none"/>
          <w:lang w:eastAsia="zh-CN"/>
        </w:rPr>
        <w:t>：</w:t>
      </w:r>
      <w:r>
        <w:rPr>
          <w:rFonts w:hint="eastAsia" w:ascii="宋体" w:hAnsi="宋体" w:cs="宋体"/>
          <w:color w:val="auto"/>
          <w:sz w:val="24"/>
          <w:szCs w:val="20"/>
          <w:highlight w:val="none"/>
        </w:rPr>
        <w:t>（签字或盖章）</w:t>
      </w:r>
    </w:p>
    <w:p w14:paraId="6FB11563">
      <w:pPr>
        <w:snapToGrid/>
        <w:spacing w:line="360" w:lineRule="auto"/>
        <w:ind w:firstLine="0" w:firstLineChars="0"/>
        <w:jc w:val="both"/>
        <w:rPr>
          <w:rFonts w:hint="eastAsia" w:ascii="宋体" w:hAnsi="宋体" w:cs="宋体"/>
          <w:color w:val="auto"/>
          <w:sz w:val="24"/>
          <w:szCs w:val="20"/>
          <w:highlight w:val="none"/>
        </w:rPr>
      </w:pP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年</w:t>
      </w: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月</w:t>
      </w: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日</w:t>
      </w:r>
    </w:p>
    <w:p w14:paraId="549FCAA9">
      <w:pPr>
        <w:snapToGrid/>
        <w:spacing w:line="360" w:lineRule="auto"/>
        <w:ind w:firstLine="0" w:firstLineChars="0"/>
        <w:jc w:val="both"/>
        <w:rPr>
          <w:rFonts w:hint="eastAsia" w:ascii="宋体" w:hAnsi="宋体" w:cs="宋体"/>
          <w:color w:val="auto"/>
          <w:sz w:val="24"/>
          <w:szCs w:val="20"/>
          <w:highlight w:val="none"/>
        </w:rPr>
      </w:pPr>
    </w:p>
    <w:p w14:paraId="1BBBB4F4">
      <w:pPr>
        <w:snapToGrid/>
        <w:spacing w:line="360" w:lineRule="auto"/>
        <w:ind w:firstLine="0" w:firstLineChars="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……公司全称（盖章）</w:t>
      </w:r>
    </w:p>
    <w:p w14:paraId="617B1AFB">
      <w:pPr>
        <w:snapToGrid/>
        <w:spacing w:line="360" w:lineRule="auto"/>
        <w:ind w:firstLine="0" w:firstLineChars="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法定代表人：（签字或盖章）</w:t>
      </w:r>
    </w:p>
    <w:p w14:paraId="62F70194">
      <w:pPr>
        <w:snapToGrid/>
        <w:spacing w:line="360" w:lineRule="auto"/>
        <w:ind w:firstLine="0" w:firstLineChars="0"/>
        <w:jc w:val="both"/>
        <w:rPr>
          <w:rFonts w:hint="eastAsia" w:ascii="宋体" w:hAnsi="宋体" w:cs="宋体"/>
          <w:color w:val="auto"/>
          <w:sz w:val="24"/>
          <w:szCs w:val="20"/>
          <w:highlight w:val="none"/>
        </w:rPr>
      </w:pP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年</w:t>
      </w: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月</w:t>
      </w:r>
      <w:r>
        <w:rPr>
          <w:rFonts w:hint="eastAsia" w:ascii="宋体" w:hAnsi="宋体" w:cs="宋体"/>
          <w:color w:val="auto"/>
          <w:sz w:val="24"/>
          <w:szCs w:val="20"/>
          <w:highlight w:val="none"/>
          <w:lang w:val="en-US" w:eastAsia="zh-CN"/>
        </w:rPr>
        <w:t xml:space="preserve">   </w:t>
      </w:r>
      <w:r>
        <w:rPr>
          <w:rFonts w:hint="eastAsia" w:ascii="宋体" w:hAnsi="宋体" w:cs="宋体"/>
          <w:color w:val="auto"/>
          <w:sz w:val="24"/>
          <w:szCs w:val="20"/>
          <w:highlight w:val="none"/>
        </w:rPr>
        <w:t>日</w:t>
      </w:r>
    </w:p>
    <w:p w14:paraId="5EBD9A0F">
      <w:pPr>
        <w:snapToGrid/>
        <w:spacing w:line="360" w:lineRule="auto"/>
        <w:ind w:firstLine="0" w:firstLineChars="0"/>
        <w:jc w:val="both"/>
        <w:rPr>
          <w:rFonts w:hint="eastAsia" w:ascii="宋体" w:hAnsi="宋体" w:cs="宋体"/>
          <w:color w:val="auto"/>
          <w:sz w:val="24"/>
          <w:szCs w:val="20"/>
          <w:highlight w:val="none"/>
        </w:rPr>
      </w:pPr>
      <w:r>
        <w:rPr>
          <w:rFonts w:hint="eastAsia" w:ascii="宋体" w:hAnsi="宋体" w:cs="宋体"/>
          <w:color w:val="auto"/>
          <w:sz w:val="24"/>
          <w:szCs w:val="20"/>
          <w:highlight w:val="none"/>
        </w:rPr>
        <w:t>……</w:t>
      </w:r>
    </w:p>
    <w:p w14:paraId="3FE8FD28">
      <w:pPr>
        <w:snapToGrid/>
        <w:spacing w:line="360" w:lineRule="auto"/>
        <w:ind w:firstLine="0" w:firstLineChars="0"/>
        <w:jc w:val="both"/>
        <w:rPr>
          <w:rFonts w:hint="eastAsia" w:ascii="宋体" w:hAnsi="宋体" w:cs="宋体"/>
          <w:b/>
          <w:bCs/>
          <w:color w:val="auto"/>
          <w:sz w:val="24"/>
          <w:szCs w:val="20"/>
          <w:highlight w:val="none"/>
        </w:rPr>
      </w:pPr>
    </w:p>
    <w:p w14:paraId="74A27D1D">
      <w:pPr>
        <w:snapToGrid/>
        <w:spacing w:line="360" w:lineRule="auto"/>
        <w:ind w:firstLine="0" w:firstLineChars="0"/>
        <w:jc w:val="both"/>
        <w:rPr>
          <w:rFonts w:hint="eastAsia" w:ascii="宋体" w:hAnsi="宋体" w:cs="宋体"/>
          <w:b/>
          <w:bCs/>
          <w:color w:val="auto"/>
          <w:sz w:val="24"/>
          <w:szCs w:val="20"/>
          <w:highlight w:val="none"/>
        </w:rPr>
      </w:pPr>
      <w:r>
        <w:rPr>
          <w:rFonts w:hint="eastAsia" w:ascii="宋体" w:hAnsi="宋体" w:cs="宋体"/>
          <w:b/>
          <w:bCs/>
          <w:color w:val="auto"/>
          <w:sz w:val="24"/>
          <w:szCs w:val="20"/>
          <w:highlight w:val="none"/>
        </w:rPr>
        <w:t>注：1．各方应在本分包意向协议上共同盖章确认。</w:t>
      </w:r>
    </w:p>
    <w:p w14:paraId="47299CA8">
      <w:pPr>
        <w:snapToGrid/>
        <w:spacing w:line="360" w:lineRule="auto"/>
        <w:ind w:firstLine="482" w:firstLineChars="200"/>
        <w:jc w:val="both"/>
        <w:rPr>
          <w:rFonts w:hint="eastAsia" w:ascii="宋体" w:hAnsi="宋体" w:cs="宋体"/>
          <w:b/>
          <w:bCs/>
          <w:color w:val="auto"/>
          <w:sz w:val="24"/>
          <w:szCs w:val="20"/>
          <w:highlight w:val="none"/>
        </w:rPr>
      </w:pPr>
      <w:r>
        <w:rPr>
          <w:rFonts w:hint="eastAsia" w:ascii="宋体" w:hAnsi="宋体" w:cs="宋体"/>
          <w:b/>
          <w:bCs/>
          <w:color w:val="auto"/>
          <w:sz w:val="24"/>
          <w:szCs w:val="20"/>
          <w:highlight w:val="none"/>
        </w:rPr>
        <w:t>2．本分包意向协议内容将作为签订合同的附件之一。</w:t>
      </w:r>
    </w:p>
    <w:p w14:paraId="160A4E98">
      <w:pPr>
        <w:widowControl/>
        <w:kinsoku w:val="0"/>
        <w:autoSpaceDE w:val="0"/>
        <w:autoSpaceDN w:val="0"/>
        <w:adjustRightInd w:val="0"/>
        <w:snapToGrid w:val="0"/>
        <w:ind w:firstLine="482" w:firstLineChars="200"/>
        <w:jc w:val="left"/>
        <w:textAlignment w:val="baseline"/>
        <w:rPr>
          <w:rFonts w:hint="eastAsia" w:ascii="宋体" w:hAnsi="宋体" w:eastAsia="宋体" w:cs="宋体"/>
          <w:i w:val="0"/>
          <w:iCs w:val="0"/>
          <w:color w:val="auto"/>
          <w:spacing w:val="11"/>
          <w:sz w:val="30"/>
          <w:szCs w:val="30"/>
          <w:highlight w:val="none"/>
        </w:rPr>
        <w:sectPr>
          <w:pgSz w:w="11906" w:h="16838"/>
          <w:pgMar w:top="1440" w:right="1800" w:bottom="1440" w:left="1800" w:header="851" w:footer="992" w:gutter="0"/>
          <w:cols w:space="425" w:num="1"/>
          <w:docGrid w:type="lines" w:linePitch="312" w:charSpace="0"/>
        </w:sectPr>
      </w:pPr>
      <w:r>
        <w:rPr>
          <w:rFonts w:hint="eastAsia" w:ascii="宋体" w:hAnsi="宋体" w:cs="宋体"/>
          <w:b/>
          <w:bCs/>
          <w:color w:val="auto"/>
          <w:sz w:val="24"/>
          <w:szCs w:val="20"/>
          <w:highlight w:val="none"/>
          <w:lang w:val="en-US" w:eastAsia="zh-CN"/>
        </w:rPr>
        <w:t>3</w:t>
      </w:r>
      <w:r>
        <w:rPr>
          <w:rFonts w:hint="eastAsia" w:ascii="宋体" w:hAnsi="宋体" w:cs="宋体"/>
          <w:b/>
          <w:bCs/>
          <w:color w:val="auto"/>
          <w:sz w:val="24"/>
          <w:szCs w:val="20"/>
          <w:highlight w:val="none"/>
        </w:rPr>
        <w:t>．</w:t>
      </w:r>
      <w:r>
        <w:rPr>
          <w:rFonts w:hint="eastAsia" w:ascii="宋体" w:hAnsi="宋体" w:eastAsia="宋体" w:cs="宋体"/>
          <w:b/>
          <w:bCs/>
          <w:color w:val="auto"/>
          <w:kern w:val="2"/>
          <w:sz w:val="24"/>
          <w:szCs w:val="20"/>
          <w:highlight w:val="none"/>
          <w:lang w:val="en-US" w:eastAsia="zh-CN"/>
        </w:rPr>
        <w:t>分包意向协议</w:t>
      </w:r>
      <w:r>
        <w:rPr>
          <w:rFonts w:hint="eastAsia" w:ascii="宋体" w:hAnsi="宋体" w:eastAsia="宋体" w:cs="宋体"/>
          <w:b/>
          <w:bCs/>
          <w:color w:val="auto"/>
          <w:sz w:val="24"/>
          <w:szCs w:val="20"/>
          <w:highlight w:val="none"/>
          <w:lang w:eastAsia="zh-CN"/>
        </w:rPr>
        <w:t>（</w:t>
      </w:r>
      <w:r>
        <w:rPr>
          <w:rFonts w:hint="eastAsia" w:ascii="宋体" w:hAnsi="宋体" w:eastAsia="宋体" w:cs="宋体"/>
          <w:b/>
          <w:bCs/>
          <w:color w:val="auto"/>
          <w:sz w:val="24"/>
          <w:szCs w:val="20"/>
          <w:highlight w:val="none"/>
          <w:lang w:val="en-US" w:eastAsia="zh-CN"/>
        </w:rPr>
        <w:t>如有</w:t>
      </w:r>
      <w:r>
        <w:rPr>
          <w:rFonts w:hint="eastAsia" w:ascii="宋体" w:hAnsi="宋体" w:eastAsia="宋体" w:cs="宋体"/>
          <w:b/>
          <w:bCs/>
          <w:color w:val="auto"/>
          <w:sz w:val="24"/>
          <w:szCs w:val="20"/>
          <w:highlight w:val="none"/>
          <w:lang w:eastAsia="zh-CN"/>
        </w:rPr>
        <w:t>）</w:t>
      </w:r>
      <w:r>
        <w:rPr>
          <w:rFonts w:hint="eastAsia" w:ascii="宋体" w:hAnsi="宋体" w:eastAsia="宋体" w:cs="宋体"/>
          <w:b/>
          <w:bCs/>
          <w:color w:val="auto"/>
          <w:sz w:val="24"/>
          <w:szCs w:val="20"/>
          <w:highlight w:val="none"/>
          <w:lang w:val="en-US" w:eastAsia="zh-CN"/>
        </w:rPr>
        <w:t>适用于大中型企业向一家或者多家小微企业分包且分包承诺小微企业的合同份额占到合同总金额30%以上的。</w:t>
      </w:r>
      <w:r>
        <w:rPr>
          <w:rFonts w:hint="eastAsia" w:ascii="宋体" w:hAnsi="宋体" w:eastAsia="宋体" w:cs="宋体"/>
          <w:i w:val="0"/>
          <w:iCs w:val="0"/>
          <w:color w:val="auto"/>
          <w:spacing w:val="11"/>
          <w:sz w:val="30"/>
          <w:szCs w:val="30"/>
          <w:highlight w:val="none"/>
        </w:rPr>
        <w:t xml:space="preserve"> </w:t>
      </w:r>
    </w:p>
    <w:p w14:paraId="4CEC1E51">
      <w:pPr>
        <w:pStyle w:val="121"/>
        <w:jc w:val="center"/>
        <w:outlineLvl w:val="3"/>
        <w:rPr>
          <w:rFonts w:hint="eastAsia" w:eastAsia="宋体"/>
          <w:color w:val="auto"/>
          <w:highlight w:val="none"/>
          <w:lang w:eastAsia="zh-CN"/>
        </w:rPr>
      </w:pPr>
      <w:r>
        <w:rPr>
          <w:rFonts w:ascii="宋体" w:hAnsi="宋体" w:eastAsia="宋体" w:cs="宋体"/>
          <w:b/>
          <w:color w:val="auto"/>
          <w:kern w:val="2"/>
          <w:sz w:val="32"/>
          <w:szCs w:val="32"/>
          <w:highlight w:val="none"/>
          <w:lang w:eastAsia="zh-CN" w:bidi="ar-SA"/>
        </w:rPr>
        <w:t>监狱企业</w:t>
      </w:r>
      <w:r>
        <w:rPr>
          <w:rFonts w:hint="eastAsia" w:ascii="宋体" w:hAnsi="宋体" w:eastAsia="宋体" w:cs="宋体"/>
          <w:b/>
          <w:color w:val="auto"/>
          <w:kern w:val="2"/>
          <w:sz w:val="32"/>
          <w:szCs w:val="32"/>
          <w:highlight w:val="none"/>
          <w:lang w:val="en-US" w:eastAsia="zh-CN" w:bidi="ar-SA"/>
        </w:rPr>
        <w:t>证明文件</w:t>
      </w:r>
      <w:r>
        <w:rPr>
          <w:rFonts w:hint="eastAsia" w:ascii="宋体" w:hAnsi="宋体" w:eastAsia="宋体" w:cs="宋体"/>
          <w:b/>
          <w:color w:val="auto"/>
          <w:kern w:val="2"/>
          <w:sz w:val="32"/>
          <w:szCs w:val="32"/>
          <w:highlight w:val="none"/>
          <w:lang w:eastAsia="zh-CN" w:bidi="ar-SA"/>
        </w:rPr>
        <w:t>（</w:t>
      </w:r>
      <w:r>
        <w:rPr>
          <w:rFonts w:hint="eastAsia" w:ascii="宋体" w:hAnsi="宋体" w:eastAsia="宋体" w:cs="宋体"/>
          <w:b/>
          <w:color w:val="auto"/>
          <w:kern w:val="2"/>
          <w:sz w:val="32"/>
          <w:szCs w:val="32"/>
          <w:highlight w:val="none"/>
          <w:lang w:val="en-US" w:eastAsia="zh-CN" w:bidi="ar-SA"/>
        </w:rPr>
        <w:t>如有</w:t>
      </w:r>
      <w:r>
        <w:rPr>
          <w:rFonts w:hint="eastAsia" w:ascii="宋体" w:hAnsi="宋体" w:eastAsia="宋体" w:cs="宋体"/>
          <w:b/>
          <w:color w:val="auto"/>
          <w:kern w:val="2"/>
          <w:sz w:val="32"/>
          <w:szCs w:val="32"/>
          <w:highlight w:val="none"/>
          <w:lang w:eastAsia="zh-CN" w:bidi="ar-SA"/>
        </w:rPr>
        <w:t>）</w:t>
      </w:r>
    </w:p>
    <w:p w14:paraId="3BE822D5">
      <w:pPr>
        <w:pStyle w:val="121"/>
        <w:ind w:firstLine="480"/>
        <w:rPr>
          <w:rFonts w:hint="eastAsia"/>
          <w:color w:val="auto"/>
          <w:highlight w:val="none"/>
          <w:lang w:val="en-US" w:eastAsia="zh-CN"/>
        </w:rPr>
      </w:pPr>
    </w:p>
    <w:p w14:paraId="284D84A9">
      <w:pPr>
        <w:pStyle w:val="121"/>
        <w:ind w:firstLine="480"/>
        <w:rPr>
          <w:rFonts w:hint="eastAsia"/>
          <w:color w:val="auto"/>
          <w:highlight w:val="none"/>
          <w:lang w:val="en-US" w:eastAsia="zh-CN"/>
        </w:rPr>
      </w:pPr>
    </w:p>
    <w:p w14:paraId="05D8EBA8">
      <w:pPr>
        <w:pStyle w:val="121"/>
        <w:ind w:firstLine="480"/>
        <w:rPr>
          <w:rFonts w:hint="eastAsia"/>
          <w:color w:val="auto"/>
          <w:highlight w:val="none"/>
          <w:lang w:val="en-US" w:eastAsia="zh-CN"/>
        </w:rPr>
      </w:pPr>
    </w:p>
    <w:p w14:paraId="6642E65C">
      <w:pPr>
        <w:pStyle w:val="121"/>
        <w:ind w:firstLine="480"/>
        <w:rPr>
          <w:rFonts w:hint="eastAsia"/>
          <w:color w:val="auto"/>
          <w:highlight w:val="none"/>
          <w:lang w:val="en-US" w:eastAsia="zh-CN"/>
        </w:rPr>
      </w:pPr>
    </w:p>
    <w:p w14:paraId="3D790413">
      <w:pPr>
        <w:pStyle w:val="121"/>
        <w:ind w:firstLine="480"/>
        <w:rPr>
          <w:rFonts w:hint="eastAsia"/>
          <w:color w:val="auto"/>
          <w:highlight w:val="none"/>
          <w:lang w:val="en-US" w:eastAsia="zh-CN"/>
        </w:rPr>
      </w:pPr>
    </w:p>
    <w:p w14:paraId="607900EB">
      <w:pPr>
        <w:pStyle w:val="121"/>
        <w:ind w:firstLine="480"/>
        <w:rPr>
          <w:rFonts w:hint="eastAsia"/>
          <w:color w:val="auto"/>
          <w:highlight w:val="none"/>
          <w:lang w:val="en-US" w:eastAsia="zh-CN"/>
        </w:rPr>
      </w:pPr>
    </w:p>
    <w:p w14:paraId="4B1546DD">
      <w:pPr>
        <w:pStyle w:val="121"/>
        <w:ind w:firstLine="480"/>
        <w:rPr>
          <w:rFonts w:hint="eastAsia"/>
          <w:color w:val="auto"/>
          <w:highlight w:val="none"/>
          <w:lang w:val="en-US" w:eastAsia="zh-CN"/>
        </w:rPr>
      </w:pPr>
    </w:p>
    <w:p w14:paraId="5E04649F">
      <w:pPr>
        <w:pStyle w:val="121"/>
        <w:ind w:firstLine="480"/>
        <w:rPr>
          <w:rFonts w:hint="eastAsia"/>
          <w:color w:val="auto"/>
          <w:highlight w:val="none"/>
          <w:lang w:val="en-US" w:eastAsia="zh-CN"/>
        </w:rPr>
      </w:pPr>
    </w:p>
    <w:p w14:paraId="184AA321">
      <w:pPr>
        <w:pStyle w:val="121"/>
        <w:ind w:firstLine="480"/>
        <w:rPr>
          <w:rFonts w:hint="eastAsia"/>
          <w:color w:val="auto"/>
          <w:highlight w:val="none"/>
          <w:lang w:val="en-US" w:eastAsia="zh-CN"/>
        </w:rPr>
      </w:pPr>
    </w:p>
    <w:p w14:paraId="4B53E799">
      <w:pPr>
        <w:pStyle w:val="121"/>
        <w:ind w:firstLine="480"/>
        <w:rPr>
          <w:rFonts w:hint="eastAsia"/>
          <w:color w:val="auto"/>
          <w:highlight w:val="none"/>
          <w:lang w:val="en-US" w:eastAsia="zh-CN"/>
        </w:rPr>
      </w:pPr>
    </w:p>
    <w:p w14:paraId="06D623E8">
      <w:pPr>
        <w:pStyle w:val="121"/>
        <w:ind w:firstLine="480"/>
        <w:rPr>
          <w:rFonts w:hint="eastAsia"/>
          <w:color w:val="auto"/>
          <w:highlight w:val="none"/>
          <w:lang w:val="en-US" w:eastAsia="zh-CN"/>
        </w:rPr>
      </w:pPr>
    </w:p>
    <w:p w14:paraId="16FCCC8D">
      <w:pPr>
        <w:pStyle w:val="121"/>
        <w:ind w:firstLine="480"/>
        <w:rPr>
          <w:rFonts w:hint="eastAsia"/>
          <w:color w:val="auto"/>
          <w:highlight w:val="none"/>
          <w:lang w:val="en-US" w:eastAsia="zh-CN"/>
        </w:rPr>
      </w:pPr>
    </w:p>
    <w:p w14:paraId="39323CEC">
      <w:pPr>
        <w:pStyle w:val="121"/>
        <w:ind w:firstLine="480"/>
        <w:rPr>
          <w:rFonts w:hint="eastAsia"/>
          <w:color w:val="auto"/>
          <w:highlight w:val="none"/>
          <w:lang w:val="en-US" w:eastAsia="zh-CN"/>
        </w:rPr>
      </w:pPr>
    </w:p>
    <w:p w14:paraId="506A6A64">
      <w:pPr>
        <w:pStyle w:val="121"/>
        <w:ind w:firstLine="480"/>
        <w:rPr>
          <w:rFonts w:hint="eastAsia"/>
          <w:color w:val="auto"/>
          <w:highlight w:val="none"/>
          <w:lang w:val="en-US" w:eastAsia="zh-CN"/>
        </w:rPr>
      </w:pPr>
    </w:p>
    <w:p w14:paraId="43A7558B">
      <w:pPr>
        <w:pStyle w:val="121"/>
        <w:ind w:firstLine="480"/>
        <w:rPr>
          <w:rFonts w:hint="eastAsia"/>
          <w:color w:val="auto"/>
          <w:highlight w:val="none"/>
          <w:lang w:val="en-US" w:eastAsia="zh-CN"/>
        </w:rPr>
      </w:pPr>
    </w:p>
    <w:p w14:paraId="308AF5AF">
      <w:pPr>
        <w:pStyle w:val="121"/>
        <w:ind w:firstLine="480"/>
        <w:rPr>
          <w:rFonts w:hint="eastAsia"/>
          <w:color w:val="auto"/>
          <w:highlight w:val="none"/>
          <w:lang w:val="en-US" w:eastAsia="zh-CN"/>
        </w:rPr>
      </w:pPr>
    </w:p>
    <w:p w14:paraId="7215F35D">
      <w:pPr>
        <w:pStyle w:val="121"/>
        <w:ind w:firstLine="480"/>
        <w:rPr>
          <w:rFonts w:hint="eastAsia"/>
          <w:color w:val="auto"/>
          <w:highlight w:val="none"/>
          <w:lang w:val="en-US" w:eastAsia="zh-CN"/>
        </w:rPr>
      </w:pPr>
    </w:p>
    <w:p w14:paraId="638D6C0D">
      <w:pPr>
        <w:pStyle w:val="121"/>
        <w:ind w:firstLine="480"/>
        <w:rPr>
          <w:rFonts w:hint="eastAsia"/>
          <w:color w:val="auto"/>
          <w:highlight w:val="none"/>
          <w:lang w:val="en-US" w:eastAsia="zh-CN"/>
        </w:rPr>
      </w:pPr>
    </w:p>
    <w:p w14:paraId="45F41D49">
      <w:pPr>
        <w:pStyle w:val="121"/>
        <w:ind w:firstLine="480"/>
        <w:rPr>
          <w:rFonts w:hint="eastAsia"/>
          <w:color w:val="auto"/>
          <w:highlight w:val="none"/>
          <w:lang w:val="en-US" w:eastAsia="zh-CN"/>
        </w:rPr>
      </w:pPr>
    </w:p>
    <w:p w14:paraId="10784A45">
      <w:pPr>
        <w:pStyle w:val="121"/>
        <w:ind w:firstLine="480"/>
        <w:rPr>
          <w:rFonts w:hint="eastAsia"/>
          <w:color w:val="auto"/>
          <w:highlight w:val="none"/>
          <w:lang w:val="en-US" w:eastAsia="zh-CN"/>
        </w:rPr>
      </w:pPr>
    </w:p>
    <w:p w14:paraId="2FDAF190">
      <w:pPr>
        <w:pStyle w:val="121"/>
        <w:ind w:firstLine="480"/>
        <w:rPr>
          <w:rFonts w:hint="eastAsia"/>
          <w:color w:val="auto"/>
          <w:highlight w:val="none"/>
          <w:lang w:val="en-US" w:eastAsia="zh-CN"/>
        </w:rPr>
      </w:pPr>
    </w:p>
    <w:p w14:paraId="5B434778">
      <w:pPr>
        <w:pStyle w:val="121"/>
        <w:ind w:firstLine="480"/>
        <w:rPr>
          <w:rFonts w:hint="eastAsia"/>
          <w:color w:val="auto"/>
          <w:highlight w:val="none"/>
          <w:lang w:val="en-US" w:eastAsia="zh-CN"/>
        </w:rPr>
      </w:pPr>
    </w:p>
    <w:p w14:paraId="1EA559EF">
      <w:pPr>
        <w:pStyle w:val="121"/>
        <w:ind w:firstLine="480"/>
        <w:rPr>
          <w:rFonts w:hint="eastAsia"/>
          <w:color w:val="auto"/>
          <w:highlight w:val="none"/>
          <w:lang w:val="en-US" w:eastAsia="zh-CN"/>
        </w:rPr>
      </w:pPr>
    </w:p>
    <w:p w14:paraId="2039E85D">
      <w:pPr>
        <w:pStyle w:val="121"/>
        <w:ind w:firstLine="480"/>
        <w:rPr>
          <w:rFonts w:hint="eastAsia"/>
          <w:color w:val="auto"/>
          <w:highlight w:val="none"/>
          <w:lang w:val="en-US" w:eastAsia="zh-CN"/>
        </w:rPr>
      </w:pPr>
    </w:p>
    <w:p w14:paraId="5D1A6A2C">
      <w:pPr>
        <w:pStyle w:val="121"/>
        <w:ind w:firstLine="480"/>
        <w:rPr>
          <w:rFonts w:hint="eastAsia"/>
          <w:color w:val="auto"/>
          <w:highlight w:val="none"/>
          <w:lang w:val="en-US" w:eastAsia="zh-CN"/>
        </w:rPr>
      </w:pPr>
    </w:p>
    <w:p w14:paraId="3A5A465D">
      <w:pPr>
        <w:pStyle w:val="121"/>
        <w:ind w:firstLine="480"/>
        <w:rPr>
          <w:rFonts w:hint="eastAsia"/>
          <w:color w:val="auto"/>
          <w:highlight w:val="none"/>
          <w:lang w:val="en-US" w:eastAsia="zh-CN"/>
        </w:rPr>
      </w:pPr>
    </w:p>
    <w:p w14:paraId="772E4503">
      <w:pPr>
        <w:pStyle w:val="121"/>
        <w:ind w:firstLine="480"/>
        <w:rPr>
          <w:rFonts w:hint="eastAsia"/>
          <w:color w:val="auto"/>
          <w:highlight w:val="none"/>
          <w:lang w:val="en-US" w:eastAsia="zh-CN"/>
        </w:rPr>
      </w:pPr>
    </w:p>
    <w:p w14:paraId="469642AA">
      <w:pPr>
        <w:pStyle w:val="121"/>
        <w:ind w:firstLine="480"/>
        <w:rPr>
          <w:rFonts w:hint="eastAsia"/>
          <w:color w:val="auto"/>
          <w:highlight w:val="none"/>
          <w:lang w:val="en-US" w:eastAsia="zh-CN"/>
        </w:rPr>
      </w:pPr>
    </w:p>
    <w:p w14:paraId="54855205">
      <w:pPr>
        <w:pStyle w:val="121"/>
        <w:ind w:firstLine="480"/>
        <w:rPr>
          <w:rFonts w:hint="eastAsia"/>
          <w:color w:val="auto"/>
          <w:highlight w:val="none"/>
          <w:lang w:val="en-US" w:eastAsia="zh-CN"/>
        </w:rPr>
      </w:pPr>
    </w:p>
    <w:p w14:paraId="63E9EAD4">
      <w:pPr>
        <w:pStyle w:val="121"/>
        <w:ind w:firstLine="480"/>
        <w:rPr>
          <w:rFonts w:hint="eastAsia"/>
          <w:color w:val="auto"/>
          <w:highlight w:val="none"/>
          <w:lang w:val="en-US" w:eastAsia="zh-CN"/>
        </w:rPr>
      </w:pPr>
    </w:p>
    <w:p w14:paraId="7A8AD45B">
      <w:pPr>
        <w:spacing w:line="240" w:lineRule="auto"/>
        <w:ind w:firstLine="422" w:firstLineChars="200"/>
        <w:jc w:val="both"/>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1、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4B23BB77">
      <w:pPr>
        <w:spacing w:line="240" w:lineRule="auto"/>
        <w:ind w:firstLine="843" w:firstLineChars="400"/>
        <w:jc w:val="both"/>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2、监狱企业参与投标的，需提供由省级以上监狱管理局、戒毒管理局（含新疆生产建设兵团）出具的属于监狱企业的证明文件。监狱企业视同小微企业，无需再提供《中小企业声明函》。</w:t>
      </w:r>
    </w:p>
    <w:p w14:paraId="258C77CF">
      <w:pPr>
        <w:pStyle w:val="121"/>
        <w:ind w:firstLine="0"/>
        <w:outlineLvl w:val="9"/>
        <w:rPr>
          <w:color w:val="auto"/>
          <w:highlight w:val="none"/>
        </w:rPr>
      </w:pPr>
      <w:r>
        <w:rPr>
          <w:color w:val="auto"/>
          <w:highlight w:val="none"/>
        </w:rPr>
        <w:br w:type="page"/>
      </w:r>
    </w:p>
    <w:p w14:paraId="5183E741">
      <w:pPr>
        <w:pStyle w:val="121"/>
        <w:jc w:val="center"/>
        <w:outlineLvl w:val="3"/>
        <w:rPr>
          <w:rFonts w:ascii="宋体" w:hAnsi="宋体" w:eastAsia="宋体" w:cs="宋体"/>
          <w:b/>
          <w:color w:val="auto"/>
          <w:kern w:val="2"/>
          <w:sz w:val="32"/>
          <w:szCs w:val="32"/>
          <w:highlight w:val="none"/>
          <w:lang w:eastAsia="zh-CN" w:bidi="ar-SA"/>
        </w:rPr>
      </w:pPr>
      <w:r>
        <w:rPr>
          <w:rFonts w:ascii="宋体" w:hAnsi="宋体" w:eastAsia="宋体" w:cs="宋体"/>
          <w:b/>
          <w:color w:val="auto"/>
          <w:kern w:val="2"/>
          <w:sz w:val="32"/>
          <w:szCs w:val="32"/>
          <w:highlight w:val="none"/>
          <w:lang w:eastAsia="zh-CN" w:bidi="ar-SA"/>
        </w:rPr>
        <w:t>残疾人福利性单位声明函</w:t>
      </w:r>
      <w:r>
        <w:rPr>
          <w:rFonts w:hint="eastAsia" w:ascii="宋体" w:hAnsi="宋体" w:eastAsia="宋体" w:cs="宋体"/>
          <w:b/>
          <w:color w:val="auto"/>
          <w:kern w:val="2"/>
          <w:sz w:val="32"/>
          <w:szCs w:val="32"/>
          <w:highlight w:val="none"/>
          <w:lang w:eastAsia="zh-CN" w:bidi="ar-SA"/>
        </w:rPr>
        <w:t>（</w:t>
      </w:r>
      <w:r>
        <w:rPr>
          <w:rFonts w:hint="eastAsia" w:ascii="宋体" w:hAnsi="宋体" w:eastAsia="宋体" w:cs="宋体"/>
          <w:b/>
          <w:color w:val="auto"/>
          <w:kern w:val="2"/>
          <w:sz w:val="32"/>
          <w:szCs w:val="32"/>
          <w:highlight w:val="none"/>
          <w:lang w:val="en-US" w:eastAsia="zh-CN" w:bidi="ar-SA"/>
        </w:rPr>
        <w:t>如有</w:t>
      </w:r>
      <w:r>
        <w:rPr>
          <w:rFonts w:hint="eastAsia" w:ascii="宋体" w:hAnsi="宋体" w:eastAsia="宋体" w:cs="宋体"/>
          <w:b/>
          <w:color w:val="auto"/>
          <w:kern w:val="2"/>
          <w:sz w:val="32"/>
          <w:szCs w:val="32"/>
          <w:highlight w:val="none"/>
          <w:lang w:eastAsia="zh-CN" w:bidi="ar-SA"/>
        </w:rPr>
        <w:t>）</w:t>
      </w:r>
    </w:p>
    <w:p w14:paraId="5925FE49">
      <w:pPr>
        <w:pStyle w:val="121"/>
        <w:spacing w:line="360" w:lineRule="auto"/>
        <w:ind w:firstLine="480" w:firstLineChars="200"/>
        <w:rPr>
          <w:rFonts w:hint="eastAsia" w:ascii="宋体" w:hAnsi="宋体" w:cs="宋体"/>
          <w:color w:val="auto"/>
          <w:sz w:val="24"/>
          <w:szCs w:val="20"/>
          <w:highlight w:val="none"/>
        </w:rPr>
      </w:pPr>
    </w:p>
    <w:p w14:paraId="35EDB022">
      <w:pPr>
        <w:pStyle w:val="121"/>
        <w:spacing w:line="360" w:lineRule="auto"/>
        <w:ind w:firstLine="480" w:firstLineChars="200"/>
        <w:rPr>
          <w:color w:val="auto"/>
          <w:highlight w:val="none"/>
        </w:rPr>
      </w:pPr>
      <w:r>
        <w:rPr>
          <w:rFonts w:hint="eastAsia" w:ascii="宋体" w:hAnsi="宋体" w:cs="宋体"/>
          <w:color w:val="auto"/>
          <w:sz w:val="24"/>
          <w:szCs w:val="20"/>
          <w:highlight w:val="none"/>
        </w:rPr>
        <w:t>致：</w:t>
      </w:r>
      <w:r>
        <w:rPr>
          <w:rFonts w:hint="eastAsia" w:ascii="宋体" w:hAnsi="宋体" w:cs="宋体"/>
          <w:color w:val="auto"/>
          <w:sz w:val="24"/>
          <w:szCs w:val="20"/>
          <w:highlight w:val="none"/>
          <w:u w:val="single"/>
        </w:rPr>
        <w:t xml:space="preserve">        （招标人）</w:t>
      </w:r>
      <w:r>
        <w:rPr>
          <w:rFonts w:hint="eastAsia" w:ascii="宋体" w:hAnsi="宋体" w:cs="宋体"/>
          <w:color w:val="auto"/>
          <w:sz w:val="24"/>
          <w:szCs w:val="20"/>
          <w:highlight w:val="none"/>
          <w:u w:val="single"/>
          <w:lang w:val="en-US" w:eastAsia="zh-CN"/>
        </w:rPr>
        <w:t xml:space="preserve">         </w:t>
      </w:r>
    </w:p>
    <w:p w14:paraId="4CA9C1C1">
      <w:pPr>
        <w:pStyle w:val="121"/>
        <w:spacing w:line="360" w:lineRule="auto"/>
        <w:ind w:firstLine="480" w:firstLineChars="200"/>
        <w:rPr>
          <w:rFonts w:ascii="宋体" w:hAnsi="宋体" w:eastAsia="宋体" w:cs="宋体"/>
          <w:color w:val="auto"/>
          <w:sz w:val="24"/>
          <w:szCs w:val="24"/>
          <w:highlight w:val="none"/>
        </w:rPr>
      </w:pPr>
      <w:r>
        <w:rPr>
          <w:rFonts w:ascii="宋体" w:hAnsi="宋体" w:eastAsia="宋体" w:cs="宋体"/>
          <w:color w:val="auto"/>
          <w:sz w:val="24"/>
          <w:szCs w:val="24"/>
          <w:highlight w:val="none"/>
        </w:rPr>
        <w:t>本单位郑重声明，根据《财政部 民政部 中国残疾人联合会关于促进残疾人就业政府采购政策的通知》</w:t>
      </w:r>
      <w:r>
        <w:rPr>
          <w:rFonts w:hint="eastAsia" w:ascii="宋体" w:hAnsi="宋体" w:eastAsia="宋体" w:cs="宋体"/>
          <w:color w:val="auto"/>
          <w:sz w:val="24"/>
          <w:szCs w:val="24"/>
          <w:highlight w:val="none"/>
        </w:rPr>
        <w:t>（财库〔2017〕141号）</w:t>
      </w:r>
      <w:r>
        <w:rPr>
          <w:rFonts w:ascii="宋体" w:hAnsi="宋体" w:eastAsia="宋体" w:cs="宋体"/>
          <w:color w:val="auto"/>
          <w:sz w:val="24"/>
          <w:szCs w:val="24"/>
          <w:highlight w:val="none"/>
        </w:rPr>
        <w:t>的规定，本单位为符合条件的残疾人福利性单位，且本单位参加</w:t>
      </w:r>
      <w:r>
        <w:rPr>
          <w:rFonts w:hint="eastAsia" w:ascii="宋体" w:hAnsi="宋体" w:cs="宋体"/>
          <w:color w:val="auto"/>
          <w:sz w:val="24"/>
          <w:szCs w:val="20"/>
          <w:highlight w:val="none"/>
          <w:u w:val="single"/>
        </w:rPr>
        <w:t xml:space="preserve">        （招标人）</w:t>
      </w:r>
      <w:r>
        <w:rPr>
          <w:rFonts w:hint="eastAsia" w:ascii="宋体" w:hAnsi="宋体" w:cs="宋体"/>
          <w:color w:val="auto"/>
          <w:sz w:val="24"/>
          <w:szCs w:val="20"/>
          <w:highlight w:val="none"/>
          <w:u w:val="single"/>
          <w:lang w:val="en-US" w:eastAsia="zh-CN"/>
        </w:rPr>
        <w:t xml:space="preserve">         </w:t>
      </w:r>
      <w:r>
        <w:rPr>
          <w:rFonts w:ascii="宋体" w:hAnsi="宋体" w:eastAsia="宋体" w:cs="宋体"/>
          <w:color w:val="auto"/>
          <w:sz w:val="24"/>
          <w:szCs w:val="24"/>
          <w:highlight w:val="none"/>
        </w:rPr>
        <w:t>单位的</w:t>
      </w:r>
      <w:r>
        <w:rPr>
          <w:rFonts w:hint="eastAsia" w:ascii="宋体" w:hAnsi="宋体" w:cs="宋体"/>
          <w:color w:val="auto"/>
          <w:sz w:val="24"/>
          <w:szCs w:val="20"/>
          <w:highlight w:val="none"/>
          <w:u w:val="single"/>
        </w:rPr>
        <w:t xml:space="preserve">        （</w:t>
      </w:r>
      <w:r>
        <w:rPr>
          <w:rFonts w:hint="eastAsia" w:ascii="宋体" w:hAnsi="宋体" w:cs="宋体"/>
          <w:color w:val="auto"/>
          <w:sz w:val="24"/>
          <w:szCs w:val="20"/>
          <w:highlight w:val="none"/>
          <w:u w:val="single"/>
          <w:lang w:val="en-US" w:eastAsia="zh-CN"/>
        </w:rPr>
        <w:t>项目名称</w:t>
      </w:r>
      <w:r>
        <w:rPr>
          <w:rFonts w:hint="eastAsia" w:ascii="宋体" w:hAnsi="宋体" w:cs="宋体"/>
          <w:color w:val="auto"/>
          <w:sz w:val="24"/>
          <w:szCs w:val="20"/>
          <w:highlight w:val="none"/>
          <w:u w:val="single"/>
        </w:rPr>
        <w:t>）</w:t>
      </w:r>
      <w:r>
        <w:rPr>
          <w:rFonts w:hint="eastAsia" w:ascii="宋体" w:hAnsi="宋体" w:cs="宋体"/>
          <w:color w:val="auto"/>
          <w:sz w:val="24"/>
          <w:szCs w:val="20"/>
          <w:highlight w:val="none"/>
          <w:u w:val="single"/>
          <w:lang w:val="en-US" w:eastAsia="zh-CN"/>
        </w:rPr>
        <w:t xml:space="preserve">         </w:t>
      </w:r>
      <w:r>
        <w:rPr>
          <w:rFonts w:hint="eastAsia" w:ascii="宋体" w:hAnsi="宋体" w:cs="宋体"/>
          <w:color w:val="auto"/>
          <w:sz w:val="24"/>
          <w:szCs w:val="20"/>
          <w:highlight w:val="none"/>
          <w:u w:val="none"/>
          <w:lang w:val="en-US" w:eastAsia="zh-CN"/>
        </w:rPr>
        <w:t>项目</w:t>
      </w:r>
      <w:r>
        <w:rPr>
          <w:rFonts w:hint="eastAsia" w:ascii="宋体" w:hAnsi="宋体" w:eastAsia="宋体" w:cs="宋体"/>
          <w:color w:val="auto"/>
          <w:sz w:val="24"/>
          <w:szCs w:val="24"/>
          <w:highlight w:val="none"/>
          <w:lang w:val="en-US" w:eastAsia="zh-CN"/>
        </w:rPr>
        <w:t>招标</w:t>
      </w:r>
      <w:r>
        <w:rPr>
          <w:rFonts w:ascii="宋体" w:hAnsi="宋体" w:eastAsia="宋体" w:cs="宋体"/>
          <w:color w:val="auto"/>
          <w:sz w:val="24"/>
          <w:szCs w:val="24"/>
          <w:highlight w:val="none"/>
        </w:rPr>
        <w:t>活动</w:t>
      </w:r>
      <w:r>
        <w:rPr>
          <w:rFonts w:hint="eastAsia" w:ascii="宋体" w:hAnsi="宋体" w:eastAsia="宋体" w:cs="宋体"/>
          <w:color w:val="auto"/>
          <w:sz w:val="24"/>
          <w:szCs w:val="24"/>
          <w:highlight w:val="none"/>
          <w:lang w:eastAsia="zh-CN"/>
        </w:rPr>
        <w:t>，</w:t>
      </w:r>
      <w:r>
        <w:rPr>
          <w:rFonts w:ascii="宋体" w:hAnsi="宋体" w:eastAsia="宋体" w:cs="宋体"/>
          <w:color w:val="auto"/>
          <w:sz w:val="24"/>
          <w:szCs w:val="24"/>
          <w:highlight w:val="none"/>
        </w:rPr>
        <w:t>由本单位承担工程。</w:t>
      </w:r>
    </w:p>
    <w:p w14:paraId="38813AE9">
      <w:pPr>
        <w:pStyle w:val="121"/>
        <w:spacing w:line="360" w:lineRule="auto"/>
        <w:ind w:firstLine="480" w:firstLineChars="200"/>
        <w:rPr>
          <w:color w:val="auto"/>
          <w:highlight w:val="none"/>
        </w:rPr>
      </w:pPr>
      <w:r>
        <w:rPr>
          <w:rFonts w:ascii="宋体" w:hAnsi="宋体" w:eastAsia="宋体" w:cs="宋体"/>
          <w:color w:val="auto"/>
          <w:sz w:val="24"/>
          <w:szCs w:val="24"/>
          <w:highlight w:val="none"/>
        </w:rPr>
        <w:t>本单位对上述声明的真实性负责。如有虚假，将依法承担相应责任。</w:t>
      </w:r>
    </w:p>
    <w:p w14:paraId="3C6229F7">
      <w:pPr>
        <w:snapToGrid/>
        <w:spacing w:line="360" w:lineRule="auto"/>
        <w:ind w:firstLine="5040" w:firstLineChars="2100"/>
        <w:jc w:val="both"/>
        <w:rPr>
          <w:rFonts w:hint="eastAsia" w:ascii="宋体" w:hAnsi="宋体" w:cs="宋体"/>
          <w:color w:val="auto"/>
          <w:sz w:val="24"/>
          <w:szCs w:val="20"/>
          <w:highlight w:val="none"/>
          <w:lang w:val="en-US" w:eastAsia="zh-CN"/>
        </w:rPr>
      </w:pPr>
    </w:p>
    <w:p w14:paraId="51D7DB14">
      <w:pPr>
        <w:snapToGrid/>
        <w:spacing w:line="360" w:lineRule="auto"/>
        <w:ind w:firstLine="5040" w:firstLineChars="2100"/>
        <w:jc w:val="both"/>
        <w:rPr>
          <w:rFonts w:hint="eastAsia" w:ascii="宋体" w:hAnsi="宋体" w:cs="宋体"/>
          <w:color w:val="auto"/>
          <w:sz w:val="24"/>
          <w:szCs w:val="20"/>
          <w:highlight w:val="none"/>
          <w:lang w:val="en-US" w:eastAsia="zh-CN"/>
        </w:rPr>
      </w:pPr>
    </w:p>
    <w:p w14:paraId="4B6A051B">
      <w:pPr>
        <w:pStyle w:val="21"/>
        <w:rPr>
          <w:rFonts w:hint="eastAsia" w:ascii="宋体" w:hAnsi="宋体" w:cs="宋体"/>
          <w:color w:val="auto"/>
          <w:sz w:val="24"/>
          <w:szCs w:val="20"/>
          <w:highlight w:val="none"/>
          <w:lang w:val="en-US" w:eastAsia="zh-CN"/>
        </w:rPr>
      </w:pPr>
    </w:p>
    <w:p w14:paraId="0D0E6042">
      <w:pPr>
        <w:pStyle w:val="21"/>
        <w:rPr>
          <w:rFonts w:hint="eastAsia" w:ascii="宋体" w:hAnsi="宋体" w:cs="宋体"/>
          <w:color w:val="auto"/>
          <w:sz w:val="24"/>
          <w:szCs w:val="20"/>
          <w:highlight w:val="none"/>
          <w:lang w:val="en-US" w:eastAsia="zh-CN"/>
        </w:rPr>
      </w:pPr>
    </w:p>
    <w:p w14:paraId="09DCF4D8">
      <w:pPr>
        <w:spacing w:line="360" w:lineRule="auto"/>
        <w:ind w:firstLine="5040" w:firstLineChars="2100"/>
        <w:jc w:val="both"/>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lang w:val="en-US" w:eastAsia="zh-CN"/>
        </w:rPr>
        <w:t>投标人</w:t>
      </w:r>
      <w:r>
        <w:rPr>
          <w:rFonts w:hint="eastAsia" w:ascii="宋体" w:hAnsi="宋体" w:eastAsia="宋体" w:cs="宋体"/>
          <w:color w:val="auto"/>
          <w:sz w:val="24"/>
          <w:szCs w:val="20"/>
          <w:highlight w:val="none"/>
        </w:rPr>
        <w:t>名称（盖章</w:t>
      </w:r>
      <w:r>
        <w:rPr>
          <w:rFonts w:hint="eastAsia" w:ascii="宋体" w:hAnsi="宋体" w:eastAsia="宋体" w:cs="宋体"/>
          <w:color w:val="auto"/>
          <w:sz w:val="24"/>
          <w:szCs w:val="20"/>
          <w:highlight w:val="none"/>
          <w:lang w:val="en-US" w:eastAsia="zh-CN"/>
        </w:rPr>
        <w:t>或电子印章</w:t>
      </w:r>
      <w:r>
        <w:rPr>
          <w:rFonts w:hint="eastAsia" w:ascii="宋体" w:hAnsi="宋体" w:eastAsia="宋体" w:cs="宋体"/>
          <w:color w:val="auto"/>
          <w:sz w:val="24"/>
          <w:szCs w:val="20"/>
          <w:highlight w:val="none"/>
        </w:rPr>
        <w:t>）：</w:t>
      </w:r>
    </w:p>
    <w:p w14:paraId="719C3D4F">
      <w:pPr>
        <w:spacing w:line="360" w:lineRule="auto"/>
        <w:ind w:firstLine="5040" w:firstLineChars="2100"/>
        <w:jc w:val="both"/>
        <w:rPr>
          <w:rFonts w:hint="eastAsia" w:ascii="宋体" w:hAnsi="宋体" w:eastAsia="宋体" w:cs="宋体"/>
          <w:color w:val="auto"/>
          <w:sz w:val="24"/>
          <w:szCs w:val="20"/>
          <w:highlight w:val="none"/>
        </w:rPr>
      </w:pPr>
      <w:r>
        <w:rPr>
          <w:rFonts w:hint="eastAsia" w:ascii="宋体" w:hAnsi="宋体" w:eastAsia="宋体" w:cs="宋体"/>
          <w:color w:val="auto"/>
          <w:sz w:val="24"/>
          <w:szCs w:val="20"/>
          <w:highlight w:val="none"/>
        </w:rPr>
        <w:t xml:space="preserve">日 </w:t>
      </w:r>
      <w:r>
        <w:rPr>
          <w:rFonts w:hint="eastAsia" w:ascii="宋体" w:hAnsi="宋体" w:eastAsia="宋体" w:cs="宋体"/>
          <w:color w:val="auto"/>
          <w:sz w:val="24"/>
          <w:szCs w:val="20"/>
          <w:highlight w:val="none"/>
          <w:lang w:val="en-US" w:eastAsia="zh-CN"/>
        </w:rPr>
        <w:t xml:space="preserve">  </w:t>
      </w:r>
      <w:r>
        <w:rPr>
          <w:rFonts w:hint="eastAsia" w:ascii="宋体" w:hAnsi="宋体" w:eastAsia="宋体" w:cs="宋体"/>
          <w:color w:val="auto"/>
          <w:sz w:val="24"/>
          <w:szCs w:val="20"/>
          <w:highlight w:val="none"/>
        </w:rPr>
        <w:t xml:space="preserve">期： </w:t>
      </w:r>
      <w:r>
        <w:rPr>
          <w:rFonts w:hint="eastAsia" w:ascii="宋体" w:hAnsi="宋体" w:eastAsia="宋体" w:cs="宋体"/>
          <w:color w:val="auto"/>
          <w:sz w:val="24"/>
          <w:szCs w:val="20"/>
          <w:highlight w:val="none"/>
          <w:lang w:val="en-US" w:eastAsia="zh-CN"/>
        </w:rPr>
        <w:t xml:space="preserve">  </w:t>
      </w:r>
      <w:r>
        <w:rPr>
          <w:rFonts w:hint="eastAsia" w:ascii="宋体" w:hAnsi="宋体" w:eastAsia="宋体" w:cs="宋体"/>
          <w:color w:val="auto"/>
          <w:sz w:val="24"/>
          <w:szCs w:val="20"/>
          <w:highlight w:val="none"/>
        </w:rPr>
        <w:t xml:space="preserve">  年  </w:t>
      </w:r>
      <w:r>
        <w:rPr>
          <w:rFonts w:hint="eastAsia" w:ascii="宋体" w:hAnsi="宋体" w:eastAsia="宋体" w:cs="宋体"/>
          <w:color w:val="auto"/>
          <w:sz w:val="24"/>
          <w:szCs w:val="20"/>
          <w:highlight w:val="none"/>
          <w:lang w:val="en-US" w:eastAsia="zh-CN"/>
        </w:rPr>
        <w:t xml:space="preserve"> </w:t>
      </w:r>
      <w:r>
        <w:rPr>
          <w:rFonts w:hint="eastAsia" w:ascii="宋体" w:hAnsi="宋体" w:eastAsia="宋体" w:cs="宋体"/>
          <w:color w:val="auto"/>
          <w:sz w:val="24"/>
          <w:szCs w:val="20"/>
          <w:highlight w:val="none"/>
        </w:rPr>
        <w:t xml:space="preserve">月 </w:t>
      </w:r>
      <w:r>
        <w:rPr>
          <w:rFonts w:hint="eastAsia" w:ascii="宋体" w:hAnsi="宋体" w:eastAsia="宋体" w:cs="宋体"/>
          <w:color w:val="auto"/>
          <w:sz w:val="24"/>
          <w:szCs w:val="20"/>
          <w:highlight w:val="none"/>
          <w:lang w:val="en-US" w:eastAsia="zh-CN"/>
        </w:rPr>
        <w:t xml:space="preserve"> </w:t>
      </w:r>
      <w:r>
        <w:rPr>
          <w:rFonts w:hint="eastAsia" w:ascii="宋体" w:hAnsi="宋体" w:eastAsia="宋体" w:cs="宋体"/>
          <w:color w:val="auto"/>
          <w:sz w:val="24"/>
          <w:szCs w:val="20"/>
          <w:highlight w:val="none"/>
        </w:rPr>
        <w:t xml:space="preserve"> 日</w:t>
      </w:r>
    </w:p>
    <w:p w14:paraId="7CAD6DF0">
      <w:pPr>
        <w:spacing w:line="360" w:lineRule="auto"/>
        <w:ind w:firstLine="5040" w:firstLineChars="2100"/>
        <w:jc w:val="both"/>
        <w:rPr>
          <w:rFonts w:hint="eastAsia" w:ascii="宋体" w:hAnsi="宋体" w:eastAsia="宋体" w:cs="宋体"/>
          <w:color w:val="auto"/>
          <w:sz w:val="24"/>
          <w:szCs w:val="20"/>
          <w:highlight w:val="none"/>
        </w:rPr>
      </w:pPr>
    </w:p>
    <w:p w14:paraId="54AA802E">
      <w:pPr>
        <w:spacing w:line="360" w:lineRule="auto"/>
        <w:ind w:firstLine="5040" w:firstLineChars="2100"/>
        <w:jc w:val="both"/>
        <w:rPr>
          <w:rFonts w:hint="eastAsia" w:ascii="宋体" w:hAnsi="宋体" w:eastAsia="宋体" w:cs="宋体"/>
          <w:color w:val="auto"/>
          <w:sz w:val="24"/>
          <w:szCs w:val="20"/>
          <w:highlight w:val="none"/>
        </w:rPr>
      </w:pPr>
    </w:p>
    <w:p w14:paraId="6D501369">
      <w:pPr>
        <w:spacing w:line="360" w:lineRule="auto"/>
        <w:ind w:firstLine="5040" w:firstLineChars="2100"/>
        <w:jc w:val="both"/>
        <w:rPr>
          <w:rFonts w:hint="eastAsia" w:ascii="宋体" w:hAnsi="宋体" w:eastAsia="宋体" w:cs="宋体"/>
          <w:color w:val="auto"/>
          <w:sz w:val="24"/>
          <w:szCs w:val="20"/>
          <w:highlight w:val="none"/>
        </w:rPr>
      </w:pPr>
    </w:p>
    <w:p w14:paraId="3E9FC215">
      <w:pPr>
        <w:spacing w:line="360" w:lineRule="auto"/>
        <w:ind w:firstLine="5040" w:firstLineChars="2100"/>
        <w:jc w:val="both"/>
        <w:rPr>
          <w:rFonts w:hint="eastAsia" w:ascii="宋体" w:hAnsi="宋体" w:eastAsia="宋体" w:cs="宋体"/>
          <w:color w:val="auto"/>
          <w:sz w:val="24"/>
          <w:szCs w:val="20"/>
          <w:highlight w:val="none"/>
        </w:rPr>
      </w:pPr>
    </w:p>
    <w:p w14:paraId="5FA3C422">
      <w:pPr>
        <w:snapToGrid/>
        <w:spacing w:line="360" w:lineRule="auto"/>
        <w:ind w:firstLine="0" w:firstLineChars="0"/>
        <w:jc w:val="center"/>
        <w:rPr>
          <w:b/>
          <w:bCs/>
          <w:i w:val="0"/>
          <w:iCs w:val="0"/>
          <w:color w:val="auto"/>
          <w:highlight w:val="none"/>
        </w:rPr>
      </w:pPr>
    </w:p>
    <w:p w14:paraId="76C6377B">
      <w:pPr>
        <w:snapToGrid/>
        <w:spacing w:line="240" w:lineRule="auto"/>
        <w:ind w:firstLine="0" w:firstLineChars="0"/>
        <w:jc w:val="both"/>
        <w:rPr>
          <w:rFonts w:hint="eastAsia" w:ascii="宋体" w:hAnsi="宋体" w:eastAsia="宋体" w:cs="宋体"/>
          <w:b/>
          <w:bCs/>
          <w:i w:val="0"/>
          <w:iCs w:val="0"/>
          <w:color w:val="auto"/>
          <w:szCs w:val="21"/>
          <w:highlight w:val="none"/>
        </w:rPr>
      </w:pPr>
      <w:r>
        <w:rPr>
          <w:rFonts w:hint="eastAsia" w:ascii="宋体" w:hAnsi="宋体" w:eastAsia="宋体" w:cs="宋体"/>
          <w:b/>
          <w:bCs/>
          <w:i w:val="0"/>
          <w:iCs w:val="0"/>
          <w:color w:val="auto"/>
          <w:szCs w:val="21"/>
          <w:highlight w:val="none"/>
        </w:rPr>
        <w:t>注：</w:t>
      </w:r>
      <w:r>
        <w:rPr>
          <w:rFonts w:hint="eastAsia" w:ascii="宋体" w:hAnsi="宋体" w:eastAsia="宋体" w:cs="宋体"/>
          <w:b/>
          <w:bCs/>
          <w:i w:val="0"/>
          <w:iCs w:val="0"/>
          <w:color w:val="auto"/>
          <w:szCs w:val="21"/>
          <w:highlight w:val="none"/>
          <w:lang w:val="en-US" w:eastAsia="zh-CN"/>
        </w:rPr>
        <w:t>1、</w:t>
      </w:r>
      <w:r>
        <w:rPr>
          <w:rFonts w:hint="eastAsia" w:ascii="宋体" w:hAnsi="宋体" w:eastAsia="宋体" w:cs="宋体"/>
          <w:b/>
          <w:bCs/>
          <w:i w:val="0"/>
          <w:iCs w:val="0"/>
          <w:color w:val="auto"/>
          <w:szCs w:val="21"/>
          <w:highlight w:val="none"/>
        </w:rPr>
        <w:t>残疾人福利性单位声明函（如有）适用于残疾人福利性单位参加招投标活动的。本函未填写的视作未做声明。</w:t>
      </w:r>
    </w:p>
    <w:p w14:paraId="10541CDA">
      <w:pPr>
        <w:spacing w:line="360" w:lineRule="auto"/>
        <w:ind w:firstLine="0" w:firstLineChars="0"/>
        <w:jc w:val="both"/>
        <w:rPr>
          <w:rFonts w:hint="eastAsia" w:ascii="宋体" w:hAnsi="宋体" w:eastAsia="宋体" w:cs="宋体"/>
          <w:color w:val="auto"/>
          <w:sz w:val="24"/>
          <w:szCs w:val="20"/>
          <w:highlight w:val="none"/>
        </w:rPr>
      </w:pPr>
      <w:r>
        <w:rPr>
          <w:rFonts w:hint="eastAsia" w:ascii="宋体" w:hAnsi="宋体" w:eastAsia="宋体" w:cs="宋体"/>
          <w:b/>
          <w:bCs/>
          <w:i w:val="0"/>
          <w:iCs w:val="0"/>
          <w:color w:val="auto"/>
          <w:szCs w:val="21"/>
          <w:highlight w:val="none"/>
          <w:lang w:val="en-US" w:eastAsia="zh-CN"/>
        </w:rPr>
        <w:t>2、</w:t>
      </w:r>
      <w:r>
        <w:rPr>
          <w:rFonts w:hint="eastAsia" w:ascii="宋体" w:hAnsi="宋体" w:eastAsia="宋体" w:cs="宋体"/>
          <w:b/>
          <w:bCs/>
          <w:i w:val="0"/>
          <w:iCs w:val="0"/>
          <w:color w:val="auto"/>
          <w:szCs w:val="21"/>
          <w:highlight w:val="none"/>
        </w:rPr>
        <w:t>残疾人福利性单位视同小微企业，无需再提供《中小企业声明函》。</w:t>
      </w:r>
    </w:p>
    <w:p w14:paraId="43EC4BD6">
      <w:pPr>
        <w:spacing w:line="360" w:lineRule="auto"/>
        <w:ind w:firstLine="5040" w:firstLineChars="2100"/>
        <w:jc w:val="both"/>
        <w:rPr>
          <w:rFonts w:hint="eastAsia" w:ascii="宋体" w:hAnsi="宋体" w:eastAsia="宋体" w:cs="宋体"/>
          <w:color w:val="auto"/>
          <w:sz w:val="24"/>
          <w:szCs w:val="20"/>
          <w:highlight w:val="none"/>
        </w:rPr>
      </w:pPr>
    </w:p>
    <w:p w14:paraId="48BFBADE">
      <w:pPr>
        <w:spacing w:line="360" w:lineRule="auto"/>
        <w:ind w:firstLine="5040" w:firstLineChars="2100"/>
        <w:jc w:val="both"/>
        <w:rPr>
          <w:rFonts w:hint="eastAsia" w:ascii="宋体" w:hAnsi="宋体" w:eastAsia="宋体" w:cs="宋体"/>
          <w:color w:val="auto"/>
          <w:sz w:val="24"/>
          <w:szCs w:val="20"/>
          <w:highlight w:val="none"/>
        </w:rPr>
      </w:pPr>
    </w:p>
    <w:p w14:paraId="6742ED4F">
      <w:pPr>
        <w:spacing w:before="157" w:beforeLines="50" w:beforeAutospacing="0" w:after="157" w:afterLines="50" w:afterAutospacing="0"/>
        <w:jc w:val="left"/>
        <w:rPr>
          <w:rFonts w:hint="eastAsia" w:eastAsia="宋体" w:cs="宋体"/>
          <w:b w:val="0"/>
          <w:bCs w:val="0"/>
          <w:color w:val="auto"/>
          <w:sz w:val="28"/>
          <w:szCs w:val="28"/>
          <w:highlight w:val="none"/>
          <w:lang w:val="en-US" w:eastAsia="zh-CN"/>
        </w:rPr>
      </w:pPr>
      <w:bookmarkStart w:id="103" w:name="_Toc15835"/>
      <w:bookmarkStart w:id="104" w:name="_Toc21525513"/>
      <w:bookmarkStart w:id="105" w:name="_Toc2272568"/>
      <w:r>
        <w:rPr>
          <w:rFonts w:hint="eastAsia" w:eastAsia="宋体" w:cs="宋体"/>
          <w:b w:val="0"/>
          <w:bCs w:val="0"/>
          <w:color w:val="auto"/>
          <w:sz w:val="28"/>
          <w:szCs w:val="28"/>
          <w:highlight w:val="none"/>
          <w:lang w:val="en-US" w:eastAsia="zh-CN"/>
        </w:rPr>
        <w:br w:type="page"/>
      </w:r>
    </w:p>
    <w:p w14:paraId="57F4F7A9">
      <w:pPr>
        <w:pStyle w:val="34"/>
        <w:spacing w:before="157" w:beforeLines="50" w:beforeAutospacing="0" w:after="157" w:afterLines="50" w:afterAutospacing="0" w:line="360" w:lineRule="auto"/>
        <w:ind w:firstLine="482"/>
        <w:jc w:val="center"/>
        <w:rPr>
          <w:rFonts w:hint="eastAsia" w:ascii="宋体" w:hAnsi="宋体" w:cs="宋体"/>
          <w:b/>
          <w:bCs/>
          <w:color w:val="auto"/>
          <w:sz w:val="32"/>
          <w:szCs w:val="32"/>
          <w:highlight w:val="none"/>
        </w:rPr>
      </w:pPr>
      <w:r>
        <w:rPr>
          <w:rFonts w:hint="eastAsia" w:ascii="宋体" w:hAnsi="宋体" w:eastAsia="宋体" w:cs="宋体"/>
          <w:b/>
          <w:bCs/>
          <w:color w:val="auto"/>
          <w:sz w:val="32"/>
          <w:szCs w:val="32"/>
          <w:highlight w:val="none"/>
        </w:rPr>
        <w:t>投标人廉洁承诺书</w:t>
      </w:r>
    </w:p>
    <w:p w14:paraId="760055FF">
      <w:pPr>
        <w:pStyle w:val="21"/>
        <w:spacing w:line="360" w:lineRule="auto"/>
        <w:ind w:right="420"/>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本招标项目招标人及招标监管机构：</w:t>
      </w:r>
    </w:p>
    <w:p w14:paraId="3C5838ED">
      <w:pPr>
        <w:pStyle w:val="21"/>
        <w:spacing w:line="360" w:lineRule="auto"/>
        <w:ind w:right="420" w:firstLine="420" w:firstLineChars="200"/>
        <w:jc w:val="both"/>
        <w:rPr>
          <w:rFonts w:hint="eastAsia" w:hAnsi="宋体" w:eastAsia="宋体" w:cs="宋体"/>
          <w:color w:val="auto"/>
          <w:sz w:val="21"/>
          <w:szCs w:val="21"/>
          <w:highlight w:val="none"/>
        </w:rPr>
      </w:pPr>
      <w:r>
        <w:rPr>
          <w:rFonts w:hint="eastAsia" w:ascii="宋体" w:hAnsi="宋体" w:eastAsia="宋体" w:cs="宋体"/>
          <w:color w:val="auto"/>
          <w:sz w:val="21"/>
          <w:szCs w:val="21"/>
          <w:highlight w:val="none"/>
        </w:rPr>
        <w:t>本公司参加了</w:t>
      </w:r>
      <w:r>
        <w:rPr>
          <w:rFonts w:hint="eastAsia" w:ascii="宋体" w:hAnsi="宋体" w:eastAsia="宋体" w:cs="宋体"/>
          <w:color w:val="auto"/>
          <w:sz w:val="21"/>
          <w:szCs w:val="21"/>
          <w:highlight w:val="none"/>
          <w:u w:val="single"/>
        </w:rPr>
        <w:t xml:space="preserve">   （项目名称/标段名称）    </w:t>
      </w:r>
      <w:r>
        <w:rPr>
          <w:rFonts w:hint="eastAsia" w:ascii="宋体" w:hAnsi="宋体" w:eastAsia="宋体" w:cs="宋体"/>
          <w:color w:val="auto"/>
          <w:sz w:val="21"/>
          <w:szCs w:val="21"/>
          <w:highlight w:val="none"/>
        </w:rPr>
        <w:t>投标， 为确保招标工作的公平、公正、公开、有序进行，我们保证遵守《中华人民共和国招标投标法》、《中华人民共和国招标投标法实施条例》、《广东省实施&lt;中华人民共和国招标投标法&gt;办法》等法律法规，特承诺如下事项：</w:t>
      </w:r>
    </w:p>
    <w:p w14:paraId="692B800D">
      <w:pPr>
        <w:pStyle w:val="21"/>
        <w:spacing w:line="360" w:lineRule="auto"/>
        <w:ind w:right="420" w:firstLine="420" w:firstLineChars="200"/>
        <w:rPr>
          <w:rFonts w:hint="eastAsia" w:hAnsi="宋体" w:eastAsia="宋体" w:cs="宋体"/>
          <w:color w:val="auto"/>
          <w:sz w:val="21"/>
          <w:szCs w:val="21"/>
          <w:highlight w:val="none"/>
        </w:rPr>
      </w:pPr>
      <w:r>
        <w:rPr>
          <w:rFonts w:hint="eastAsia" w:ascii="宋体" w:hAnsi="宋体" w:eastAsia="宋体" w:cs="宋体"/>
          <w:color w:val="auto"/>
          <w:sz w:val="21"/>
          <w:szCs w:val="21"/>
          <w:highlight w:val="none"/>
        </w:rPr>
        <w:t>一、自觉遵守国家有关法律法规及廉洁规定。</w:t>
      </w:r>
    </w:p>
    <w:p w14:paraId="4BD99366">
      <w:pPr>
        <w:pStyle w:val="21"/>
        <w:spacing w:line="360" w:lineRule="auto"/>
        <w:ind w:right="420" w:firstLine="420" w:firstLineChars="200"/>
        <w:jc w:val="both"/>
        <w:rPr>
          <w:rFonts w:hint="eastAsia" w:hAnsi="宋体" w:eastAsia="宋体" w:cs="宋体"/>
          <w:color w:val="auto"/>
          <w:sz w:val="21"/>
          <w:szCs w:val="21"/>
          <w:highlight w:val="none"/>
        </w:rPr>
      </w:pPr>
      <w:r>
        <w:rPr>
          <w:rFonts w:hint="eastAsia" w:ascii="宋体" w:hAnsi="宋体" w:eastAsia="宋体" w:cs="宋体"/>
          <w:color w:val="auto"/>
          <w:sz w:val="21"/>
          <w:szCs w:val="21"/>
          <w:highlight w:val="none"/>
        </w:rPr>
        <w:t>二、不与招标单位工作人员串通投标，损害国家利益、企业利益以及他人的合法利益；</w:t>
      </w:r>
    </w:p>
    <w:p w14:paraId="5CE9DBF3">
      <w:pPr>
        <w:pStyle w:val="21"/>
        <w:spacing w:line="360" w:lineRule="auto"/>
        <w:ind w:right="420" w:firstLine="420" w:firstLineChars="200"/>
        <w:jc w:val="both"/>
        <w:rPr>
          <w:rFonts w:hint="eastAsia" w:hAnsi="宋体" w:eastAsia="宋体" w:cs="宋体"/>
          <w:color w:val="auto"/>
          <w:sz w:val="21"/>
          <w:szCs w:val="21"/>
          <w:highlight w:val="none"/>
        </w:rPr>
      </w:pPr>
      <w:r>
        <w:rPr>
          <w:rFonts w:hint="eastAsia" w:ascii="宋体" w:hAnsi="宋体" w:eastAsia="宋体" w:cs="宋体"/>
          <w:color w:val="auto"/>
          <w:sz w:val="21"/>
          <w:szCs w:val="21"/>
          <w:highlight w:val="none"/>
        </w:rPr>
        <w:t>三、不与其他单位围标、串标，不出让投标资格，不向招标人或评标委员会成员行贿。</w:t>
      </w:r>
    </w:p>
    <w:p w14:paraId="2E37005D">
      <w:pPr>
        <w:pStyle w:val="21"/>
        <w:spacing w:line="360" w:lineRule="auto"/>
        <w:ind w:right="420" w:firstLine="420" w:firstLineChars="200"/>
        <w:jc w:val="both"/>
        <w:rPr>
          <w:rFonts w:hint="eastAsia" w:hAnsi="宋体" w:eastAsia="宋体" w:cs="宋体"/>
          <w:color w:val="auto"/>
          <w:sz w:val="21"/>
          <w:szCs w:val="21"/>
          <w:highlight w:val="none"/>
        </w:rPr>
      </w:pPr>
      <w:r>
        <w:rPr>
          <w:rFonts w:hint="eastAsia" w:ascii="宋体" w:hAnsi="宋体" w:eastAsia="宋体" w:cs="宋体"/>
          <w:color w:val="auto"/>
          <w:sz w:val="21"/>
          <w:szCs w:val="21"/>
          <w:highlight w:val="none"/>
        </w:rPr>
        <w:t xml:space="preserve">四、不以任何名义向参与招标、评标工作的有关人员提供高消费宴请及娱乐活动和赠送回扣、红包、礼金、购物卡、有价证券、贵重物品和好处费、感谢费等； </w:t>
      </w:r>
    </w:p>
    <w:p w14:paraId="4B12A0E3">
      <w:pPr>
        <w:pStyle w:val="21"/>
        <w:spacing w:line="360" w:lineRule="auto"/>
        <w:ind w:right="420" w:firstLine="420" w:firstLineChars="200"/>
        <w:jc w:val="both"/>
        <w:rPr>
          <w:rFonts w:hint="eastAsia" w:hAnsi="宋体" w:eastAsia="宋体" w:cs="宋体"/>
          <w:color w:val="auto"/>
          <w:sz w:val="21"/>
          <w:szCs w:val="21"/>
          <w:highlight w:val="none"/>
        </w:rPr>
      </w:pPr>
      <w:r>
        <w:rPr>
          <w:rFonts w:hint="eastAsia" w:ascii="宋体" w:hAnsi="宋体" w:eastAsia="宋体" w:cs="宋体"/>
          <w:color w:val="auto"/>
          <w:sz w:val="21"/>
          <w:szCs w:val="21"/>
          <w:highlight w:val="none"/>
        </w:rPr>
        <w:t>五、不以任何名义为参与招标、评标工作的有关人员装修住房、婚丧嫁</w:t>
      </w:r>
      <w:r>
        <w:rPr>
          <w:rFonts w:hint="eastAsia" w:hAnsi="宋体" w:cs="宋体"/>
          <w:color w:val="auto"/>
          <w:sz w:val="21"/>
          <w:szCs w:val="21"/>
          <w:highlight w:val="none"/>
          <w:lang w:eastAsia="zh-CN"/>
        </w:rPr>
        <w:t>娶</w:t>
      </w:r>
      <w:r>
        <w:rPr>
          <w:rFonts w:hint="eastAsia" w:ascii="宋体" w:hAnsi="宋体" w:eastAsia="宋体" w:cs="宋体"/>
          <w:color w:val="auto"/>
          <w:sz w:val="21"/>
          <w:szCs w:val="21"/>
          <w:highlight w:val="none"/>
        </w:rPr>
        <w:t>、配偶子女的工作安排以及境内外旅游等提供方便；</w:t>
      </w:r>
    </w:p>
    <w:p w14:paraId="6069F3A1">
      <w:pPr>
        <w:pStyle w:val="21"/>
        <w:spacing w:line="360" w:lineRule="auto"/>
        <w:ind w:right="420" w:firstLine="420" w:firstLineChars="200"/>
        <w:rPr>
          <w:rFonts w:hint="eastAsia"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六、不以谋取非正当利益为目的，擅自与参与招标、评标工作的有关人员就业务问题进行私下商谈或者达成利益默契</w:t>
      </w:r>
      <w:r>
        <w:rPr>
          <w:rFonts w:hint="eastAsia" w:hAnsi="宋体" w:eastAsia="宋体" w:cs="宋体"/>
          <w:color w:val="auto"/>
          <w:sz w:val="21"/>
          <w:szCs w:val="21"/>
          <w:highlight w:val="none"/>
          <w:lang w:eastAsia="zh-CN"/>
        </w:rPr>
        <w:t>。</w:t>
      </w:r>
    </w:p>
    <w:p w14:paraId="51275F47">
      <w:pPr>
        <w:pStyle w:val="21"/>
        <w:spacing w:line="360" w:lineRule="auto"/>
        <w:ind w:right="420" w:firstLine="420" w:firstLineChars="200"/>
        <w:rPr>
          <w:rFonts w:hint="eastAsia" w:hAnsi="宋体" w:eastAsia="宋体" w:cs="宋体"/>
          <w:color w:val="auto"/>
          <w:sz w:val="21"/>
          <w:szCs w:val="21"/>
          <w:highlight w:val="none"/>
          <w:lang w:eastAsia="zh-CN"/>
        </w:rPr>
      </w:pPr>
      <w:r>
        <w:rPr>
          <w:rFonts w:hint="eastAsia" w:hAnsi="宋体" w:eastAsia="宋体" w:cs="宋体"/>
          <w:color w:val="auto"/>
          <w:sz w:val="21"/>
          <w:szCs w:val="21"/>
          <w:highlight w:val="none"/>
          <w:lang w:eastAsia="zh-CN"/>
        </w:rPr>
        <w:t>本公司违反上述承诺，或本承诺陈述与事实不符，经查实，本公司愿意接受公开通报，被招标监管部门信用评价记录不良行为并扣分，并承担由此带来的法律后果。</w:t>
      </w:r>
    </w:p>
    <w:p w14:paraId="1DD75165">
      <w:pPr>
        <w:rPr>
          <w:rFonts w:hint="eastAsia" w:hAnsi="宋体" w:eastAsia="宋体" w:cs="宋体"/>
          <w:color w:val="auto"/>
          <w:sz w:val="21"/>
          <w:szCs w:val="21"/>
          <w:highlight w:val="none"/>
          <w:lang w:eastAsia="zh-CN"/>
        </w:rPr>
      </w:pPr>
    </w:p>
    <w:p w14:paraId="3B09790A">
      <w:pPr>
        <w:pStyle w:val="9"/>
        <w:rPr>
          <w:rFonts w:hint="eastAsia" w:hAnsi="宋体" w:eastAsia="宋体" w:cs="宋体"/>
          <w:color w:val="auto"/>
          <w:sz w:val="21"/>
          <w:szCs w:val="21"/>
          <w:highlight w:val="none"/>
          <w:lang w:eastAsia="zh-CN"/>
        </w:rPr>
      </w:pPr>
    </w:p>
    <w:p w14:paraId="6B3D3443">
      <w:pPr>
        <w:jc w:val="right"/>
        <w:rPr>
          <w:rFonts w:hint="eastAsia" w:hAnsi="宋体" w:eastAsia="宋体" w:cs="宋体"/>
          <w:color w:val="auto"/>
          <w:sz w:val="21"/>
          <w:szCs w:val="21"/>
          <w:highlight w:val="none"/>
          <w:lang w:eastAsia="zh-CN"/>
        </w:rPr>
      </w:pPr>
      <w:r>
        <w:rPr>
          <w:rFonts w:hint="eastAsia" w:hAnsi="宋体" w:eastAsia="宋体" w:cs="宋体"/>
          <w:color w:val="auto"/>
          <w:sz w:val="21"/>
          <w:szCs w:val="21"/>
          <w:highlight w:val="none"/>
          <w:lang w:eastAsia="zh-CN"/>
        </w:rPr>
        <w:t>承诺企业：</w:t>
      </w:r>
      <w:r>
        <w:rPr>
          <w:rFonts w:hint="eastAsia" w:hAnsi="宋体" w:eastAsia="宋体" w:cs="宋体"/>
          <w:color w:val="auto"/>
          <w:sz w:val="21"/>
          <w:szCs w:val="21"/>
          <w:highlight w:val="none"/>
          <w:u w:val="single"/>
          <w:lang w:val="en-US" w:eastAsia="zh-CN"/>
        </w:rPr>
        <w:t xml:space="preserve">                           </w:t>
      </w:r>
      <w:r>
        <w:rPr>
          <w:rFonts w:hint="eastAsia" w:hAnsi="宋体" w:eastAsia="宋体" w:cs="宋体"/>
          <w:color w:val="auto"/>
          <w:sz w:val="21"/>
          <w:szCs w:val="21"/>
          <w:highlight w:val="none"/>
          <w:lang w:eastAsia="zh-CN"/>
        </w:rPr>
        <w:t>（盖单位章）</w:t>
      </w:r>
    </w:p>
    <w:p w14:paraId="1E22A1F1">
      <w:pPr>
        <w:pStyle w:val="9"/>
        <w:rPr>
          <w:rFonts w:hint="eastAsia"/>
          <w:color w:val="auto"/>
          <w:highlight w:val="none"/>
          <w:lang w:eastAsia="zh-CN"/>
        </w:rPr>
      </w:pPr>
    </w:p>
    <w:p w14:paraId="431F0D75">
      <w:pPr>
        <w:pStyle w:val="9"/>
        <w:wordWrap w:val="0"/>
        <w:jc w:val="right"/>
        <w:rPr>
          <w:rFonts w:hint="default"/>
          <w:color w:val="auto"/>
          <w:highlight w:val="none"/>
          <w:u w:val="single"/>
          <w:lang w:val="en-US" w:eastAsia="zh-CN"/>
        </w:rPr>
      </w:pPr>
      <w:r>
        <w:rPr>
          <w:rFonts w:hint="eastAsia" w:hAnsi="宋体" w:eastAsia="宋体" w:cs="宋体"/>
          <w:color w:val="auto"/>
          <w:sz w:val="21"/>
          <w:szCs w:val="21"/>
          <w:highlight w:val="none"/>
          <w:lang w:eastAsia="zh-CN"/>
        </w:rPr>
        <w:t>法定代表人：</w:t>
      </w:r>
      <w:r>
        <w:rPr>
          <w:rFonts w:hint="eastAsia" w:hAnsi="宋体" w:eastAsia="宋体" w:cs="宋体"/>
          <w:color w:val="auto"/>
          <w:sz w:val="21"/>
          <w:szCs w:val="21"/>
          <w:highlight w:val="none"/>
          <w:u w:val="single"/>
          <w:lang w:val="en-US" w:eastAsia="zh-CN"/>
        </w:rPr>
        <w:t xml:space="preserve">                                                    </w:t>
      </w:r>
      <w:r>
        <w:rPr>
          <w:rFonts w:hint="eastAsia" w:hAnsi="宋体" w:eastAsia="宋体" w:cs="宋体"/>
          <w:color w:val="auto"/>
          <w:sz w:val="21"/>
          <w:szCs w:val="21"/>
          <w:highlight w:val="none"/>
          <w:u w:val="none"/>
          <w:lang w:val="en-US" w:eastAsia="zh-CN"/>
        </w:rPr>
        <w:t>（签字或盖章）</w:t>
      </w:r>
    </w:p>
    <w:p w14:paraId="5027C22B">
      <w:pPr>
        <w:tabs>
          <w:tab w:val="left" w:pos="720"/>
        </w:tabs>
        <w:snapToGrid w:val="0"/>
        <w:spacing w:line="360" w:lineRule="auto"/>
        <w:ind w:firstLine="2530" w:firstLineChars="900"/>
        <w:rPr>
          <w:rStyle w:val="61"/>
          <w:rFonts w:hint="eastAsia"/>
          <w:color w:val="auto"/>
          <w:highlight w:val="none"/>
        </w:rPr>
      </w:pPr>
      <w:bookmarkStart w:id="106" w:name="_Toc26180"/>
    </w:p>
    <w:p w14:paraId="2C5CC417">
      <w:pPr>
        <w:tabs>
          <w:tab w:val="left" w:pos="720"/>
        </w:tabs>
        <w:snapToGrid w:val="0"/>
        <w:spacing w:line="360" w:lineRule="auto"/>
        <w:ind w:firstLine="2530" w:firstLineChars="900"/>
        <w:rPr>
          <w:rStyle w:val="61"/>
          <w:rFonts w:hint="eastAsia"/>
          <w:color w:val="auto"/>
          <w:highlight w:val="none"/>
        </w:rPr>
      </w:pPr>
    </w:p>
    <w:p w14:paraId="1D5A39C4">
      <w:pPr>
        <w:tabs>
          <w:tab w:val="left" w:pos="720"/>
        </w:tabs>
        <w:snapToGrid w:val="0"/>
        <w:spacing w:line="360" w:lineRule="auto"/>
        <w:ind w:firstLine="2530" w:firstLineChars="900"/>
        <w:rPr>
          <w:rStyle w:val="61"/>
          <w:rFonts w:hint="eastAsia"/>
          <w:color w:val="auto"/>
          <w:highlight w:val="none"/>
        </w:rPr>
      </w:pPr>
    </w:p>
    <w:p w14:paraId="6DD59748">
      <w:pPr>
        <w:tabs>
          <w:tab w:val="left" w:pos="720"/>
        </w:tabs>
        <w:snapToGrid w:val="0"/>
        <w:spacing w:line="360" w:lineRule="auto"/>
        <w:ind w:firstLine="2530" w:firstLineChars="900"/>
        <w:rPr>
          <w:rStyle w:val="61"/>
          <w:rFonts w:hint="eastAsia"/>
          <w:color w:val="auto"/>
          <w:highlight w:val="none"/>
        </w:rPr>
      </w:pPr>
    </w:p>
    <w:p w14:paraId="6E463F4D">
      <w:pPr>
        <w:snapToGrid/>
        <w:spacing w:line="240" w:lineRule="auto"/>
        <w:jc w:val="left"/>
        <w:rPr>
          <w:rStyle w:val="61"/>
          <w:rFonts w:hint="eastAsia"/>
          <w:color w:val="auto"/>
          <w:highlight w:val="none"/>
        </w:rPr>
      </w:pPr>
      <w:bookmarkStart w:id="107" w:name="_Toc9484"/>
      <w:bookmarkStart w:id="108" w:name="_Toc11260"/>
      <w:r>
        <w:rPr>
          <w:rStyle w:val="61"/>
          <w:rFonts w:hint="eastAsia"/>
          <w:color w:val="auto"/>
          <w:highlight w:val="none"/>
        </w:rPr>
        <w:br w:type="page"/>
      </w:r>
    </w:p>
    <w:p w14:paraId="56CDC770">
      <w:pPr>
        <w:tabs>
          <w:tab w:val="left" w:pos="720"/>
        </w:tabs>
        <w:snapToGrid w:val="0"/>
        <w:spacing w:line="360" w:lineRule="auto"/>
        <w:jc w:val="center"/>
        <w:rPr>
          <w:rStyle w:val="61"/>
          <w:color w:val="auto"/>
          <w:highlight w:val="none"/>
        </w:rPr>
      </w:pPr>
      <w:r>
        <w:rPr>
          <w:rStyle w:val="61"/>
          <w:rFonts w:hint="eastAsia"/>
          <w:color w:val="auto"/>
          <w:highlight w:val="none"/>
        </w:rPr>
        <w:t>第五章</w:t>
      </w:r>
      <w:r>
        <w:rPr>
          <w:rStyle w:val="61"/>
          <w:color w:val="auto"/>
          <w:highlight w:val="none"/>
        </w:rPr>
        <w:t xml:space="preserve">  </w:t>
      </w:r>
      <w:r>
        <w:rPr>
          <w:rStyle w:val="61"/>
          <w:rFonts w:hint="eastAsia"/>
          <w:color w:val="auto"/>
          <w:highlight w:val="none"/>
        </w:rPr>
        <w:t>技术条件（工程建设标准）</w:t>
      </w:r>
    </w:p>
    <w:bookmarkEnd w:id="107"/>
    <w:bookmarkEnd w:id="108"/>
    <w:p w14:paraId="42744B4F">
      <w:pPr>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施工组织设计要点</w:t>
      </w:r>
    </w:p>
    <w:p w14:paraId="75C547FE">
      <w:pPr>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第一节  编制要求</w:t>
      </w:r>
    </w:p>
    <w:p w14:paraId="795B00AA">
      <w:pPr>
        <w:spacing w:line="360" w:lineRule="auto"/>
        <w:rPr>
          <w:rFonts w:ascii="宋体" w:hAnsi="宋体"/>
          <w:color w:val="auto"/>
          <w:spacing w:val="20"/>
          <w:sz w:val="24"/>
          <w:highlight w:val="none"/>
        </w:rPr>
      </w:pPr>
      <w:r>
        <w:rPr>
          <w:rFonts w:hint="eastAsia" w:ascii="宋体" w:hAnsi="宋体"/>
          <w:color w:val="auto"/>
          <w:spacing w:val="20"/>
          <w:sz w:val="24"/>
          <w:highlight w:val="none"/>
        </w:rPr>
        <w:t>一、编制依据</w:t>
      </w:r>
    </w:p>
    <w:p w14:paraId="6C209066">
      <w:pPr>
        <w:spacing w:line="360" w:lineRule="auto"/>
        <w:rPr>
          <w:rFonts w:ascii="宋体" w:hAnsi="宋体"/>
          <w:color w:val="auto"/>
          <w:spacing w:val="20"/>
          <w:sz w:val="24"/>
          <w:highlight w:val="none"/>
        </w:rPr>
      </w:pPr>
      <w:r>
        <w:rPr>
          <w:rFonts w:hint="eastAsia" w:ascii="宋体" w:hAnsi="宋体"/>
          <w:color w:val="auto"/>
          <w:spacing w:val="20"/>
          <w:sz w:val="24"/>
          <w:highlight w:val="none"/>
        </w:rPr>
        <w:t>1、本工程招标文件的有关要求。</w:t>
      </w:r>
    </w:p>
    <w:p w14:paraId="1BE3016D">
      <w:pPr>
        <w:spacing w:line="360" w:lineRule="auto"/>
        <w:rPr>
          <w:rFonts w:ascii="宋体" w:hAnsi="宋体"/>
          <w:color w:val="auto"/>
          <w:spacing w:val="20"/>
          <w:sz w:val="24"/>
          <w:highlight w:val="none"/>
        </w:rPr>
      </w:pPr>
      <w:r>
        <w:rPr>
          <w:rFonts w:hint="eastAsia" w:ascii="宋体" w:hAnsi="宋体"/>
          <w:color w:val="auto"/>
          <w:spacing w:val="20"/>
          <w:sz w:val="24"/>
          <w:highlight w:val="none"/>
        </w:rPr>
        <w:t>2、国家、广东省、广州市、番禺区有关施工验收规范、质量标准和操作规程等要求。</w:t>
      </w:r>
    </w:p>
    <w:p w14:paraId="5D787DBB">
      <w:pPr>
        <w:spacing w:line="360" w:lineRule="auto"/>
        <w:rPr>
          <w:rFonts w:ascii="宋体" w:hAnsi="宋体"/>
          <w:color w:val="auto"/>
          <w:spacing w:val="20"/>
          <w:sz w:val="24"/>
          <w:highlight w:val="none"/>
        </w:rPr>
      </w:pPr>
      <w:r>
        <w:rPr>
          <w:rFonts w:hint="eastAsia" w:ascii="宋体" w:hAnsi="宋体"/>
          <w:color w:val="auto"/>
          <w:spacing w:val="20"/>
          <w:sz w:val="24"/>
          <w:highlight w:val="none"/>
        </w:rPr>
        <w:t>3、施工图纸及有关资料。</w:t>
      </w:r>
    </w:p>
    <w:p w14:paraId="726F874E">
      <w:pPr>
        <w:spacing w:line="360" w:lineRule="auto"/>
        <w:rPr>
          <w:rFonts w:ascii="宋体" w:hAnsi="宋体"/>
          <w:color w:val="auto"/>
          <w:spacing w:val="20"/>
          <w:sz w:val="24"/>
          <w:highlight w:val="none"/>
        </w:rPr>
      </w:pPr>
      <w:r>
        <w:rPr>
          <w:rFonts w:hint="eastAsia" w:ascii="宋体" w:hAnsi="宋体"/>
          <w:color w:val="auto"/>
          <w:spacing w:val="20"/>
          <w:sz w:val="24"/>
          <w:highlight w:val="none"/>
        </w:rPr>
        <w:t>二、具体要求</w:t>
      </w:r>
    </w:p>
    <w:p w14:paraId="39A9BA12">
      <w:pPr>
        <w:spacing w:line="360" w:lineRule="auto"/>
        <w:rPr>
          <w:rFonts w:ascii="宋体" w:hAnsi="宋体"/>
          <w:color w:val="auto"/>
          <w:spacing w:val="20"/>
          <w:sz w:val="24"/>
          <w:highlight w:val="none"/>
        </w:rPr>
      </w:pPr>
      <w:r>
        <w:rPr>
          <w:rFonts w:hint="eastAsia" w:ascii="宋体" w:hAnsi="宋体"/>
          <w:color w:val="auto"/>
          <w:spacing w:val="20"/>
          <w:sz w:val="24"/>
          <w:highlight w:val="none"/>
        </w:rPr>
        <w:t>1、“重合同，守信誉”。按本工程规定的总工期，编制出完善的施工进度控制计划，在投标承诺了工期内完成工程任务。</w:t>
      </w:r>
    </w:p>
    <w:p w14:paraId="42296682">
      <w:pPr>
        <w:spacing w:line="360" w:lineRule="auto"/>
        <w:rPr>
          <w:rFonts w:ascii="宋体" w:hAnsi="宋体"/>
          <w:color w:val="auto"/>
          <w:spacing w:val="20"/>
          <w:sz w:val="24"/>
          <w:highlight w:val="none"/>
        </w:rPr>
      </w:pPr>
      <w:r>
        <w:rPr>
          <w:rFonts w:hint="eastAsia" w:ascii="宋体" w:hAnsi="宋体"/>
          <w:color w:val="auto"/>
          <w:spacing w:val="20"/>
          <w:sz w:val="24"/>
          <w:highlight w:val="none"/>
        </w:rPr>
        <w:t>2、发挥技术优势，优化管理水平。安排经验丰富的优秀管理人员和高素质的工人参加本项目施工，采用先进的技术设备，优化施工管理，充分发挥施工单位在管理和技术方面的优势。</w:t>
      </w:r>
    </w:p>
    <w:p w14:paraId="08203E16">
      <w:pPr>
        <w:spacing w:line="360" w:lineRule="auto"/>
        <w:rPr>
          <w:rFonts w:ascii="宋体" w:hAnsi="宋体"/>
          <w:color w:val="auto"/>
          <w:spacing w:val="20"/>
          <w:sz w:val="24"/>
          <w:highlight w:val="none"/>
        </w:rPr>
      </w:pPr>
    </w:p>
    <w:p w14:paraId="57B02CF2">
      <w:pPr>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第二节  施工要求</w:t>
      </w:r>
    </w:p>
    <w:p w14:paraId="224D25D8">
      <w:pPr>
        <w:spacing w:line="360" w:lineRule="auto"/>
        <w:rPr>
          <w:rFonts w:ascii="宋体" w:hAnsi="宋体"/>
          <w:color w:val="auto"/>
          <w:spacing w:val="20"/>
          <w:sz w:val="24"/>
          <w:highlight w:val="none"/>
        </w:rPr>
      </w:pPr>
      <w:r>
        <w:rPr>
          <w:rFonts w:hint="eastAsia" w:ascii="宋体" w:hAnsi="宋体"/>
          <w:color w:val="auto"/>
          <w:spacing w:val="20"/>
          <w:sz w:val="24"/>
          <w:highlight w:val="none"/>
        </w:rPr>
        <w:t>一、施工机构及现场管理要求</w:t>
      </w:r>
    </w:p>
    <w:p w14:paraId="161A2C71">
      <w:pPr>
        <w:spacing w:line="360" w:lineRule="auto"/>
        <w:rPr>
          <w:rFonts w:ascii="宋体" w:hAnsi="宋体"/>
          <w:color w:val="auto"/>
          <w:spacing w:val="20"/>
          <w:sz w:val="24"/>
          <w:highlight w:val="none"/>
        </w:rPr>
      </w:pPr>
      <w:r>
        <w:rPr>
          <w:rFonts w:hint="eastAsia" w:ascii="宋体" w:hAnsi="宋体"/>
          <w:color w:val="auto"/>
          <w:spacing w:val="20"/>
          <w:sz w:val="24"/>
          <w:highlight w:val="none"/>
        </w:rPr>
        <w:t>为把好工程质量、安全、进度关，确保工程质量等级达到合格，要求委派一名项目负责人，一名技术负责人，对工程的质量、安全、进度和成本，实行高效益、有计划的组织、协调和管理。建立健全的施工组织管理机构。</w:t>
      </w:r>
    </w:p>
    <w:p w14:paraId="148C06E2">
      <w:pPr>
        <w:spacing w:line="360" w:lineRule="auto"/>
        <w:rPr>
          <w:rFonts w:ascii="宋体" w:hAnsi="宋体"/>
          <w:color w:val="auto"/>
          <w:spacing w:val="20"/>
          <w:sz w:val="24"/>
          <w:highlight w:val="none"/>
        </w:rPr>
      </w:pPr>
      <w:r>
        <w:rPr>
          <w:rFonts w:hint="eastAsia" w:ascii="宋体" w:hAnsi="宋体"/>
          <w:color w:val="auto"/>
          <w:spacing w:val="20"/>
          <w:sz w:val="24"/>
          <w:highlight w:val="none"/>
        </w:rPr>
        <w:t>二、施工要求</w:t>
      </w:r>
    </w:p>
    <w:p w14:paraId="49320A20">
      <w:pPr>
        <w:widowControl/>
        <w:spacing w:line="360" w:lineRule="auto"/>
        <w:jc w:val="left"/>
        <w:rPr>
          <w:rFonts w:ascii="宋体" w:hAnsi="宋体"/>
          <w:color w:val="auto"/>
          <w:spacing w:val="20"/>
          <w:sz w:val="24"/>
          <w:highlight w:val="none"/>
        </w:rPr>
      </w:pPr>
      <w:r>
        <w:rPr>
          <w:rFonts w:hint="eastAsia" w:ascii="宋体" w:hAnsi="宋体"/>
          <w:color w:val="auto"/>
          <w:spacing w:val="20"/>
          <w:sz w:val="24"/>
          <w:highlight w:val="none"/>
        </w:rPr>
        <w:t>本工程施工要点如下：</w:t>
      </w:r>
    </w:p>
    <w:p w14:paraId="74BA8237">
      <w:pPr>
        <w:spacing w:line="360" w:lineRule="auto"/>
        <w:rPr>
          <w:rFonts w:ascii="宋体" w:hAnsi="宋体"/>
          <w:color w:val="auto"/>
          <w:spacing w:val="20"/>
          <w:sz w:val="24"/>
          <w:highlight w:val="none"/>
        </w:rPr>
      </w:pPr>
      <w:r>
        <w:rPr>
          <w:rFonts w:hint="eastAsia" w:ascii="宋体" w:hAnsi="宋体"/>
          <w:color w:val="auto"/>
          <w:spacing w:val="20"/>
          <w:sz w:val="24"/>
          <w:highlight w:val="none"/>
        </w:rPr>
        <w:t>1、采用先进的施工技术；</w:t>
      </w:r>
    </w:p>
    <w:p w14:paraId="62F2F678">
      <w:pPr>
        <w:spacing w:line="360" w:lineRule="auto"/>
        <w:rPr>
          <w:rFonts w:ascii="宋体" w:hAnsi="宋体"/>
          <w:color w:val="auto"/>
          <w:spacing w:val="20"/>
          <w:sz w:val="24"/>
          <w:highlight w:val="none"/>
        </w:rPr>
      </w:pPr>
      <w:r>
        <w:rPr>
          <w:rFonts w:hint="eastAsia" w:ascii="宋体" w:hAnsi="宋体"/>
          <w:color w:val="auto"/>
          <w:spacing w:val="20"/>
          <w:sz w:val="24"/>
          <w:highlight w:val="none"/>
        </w:rPr>
        <w:t>2、投入现代化的施工机械设备；</w:t>
      </w:r>
    </w:p>
    <w:p w14:paraId="27B7E9DA">
      <w:pPr>
        <w:spacing w:line="360" w:lineRule="auto"/>
        <w:rPr>
          <w:rFonts w:ascii="宋体" w:hAnsi="宋体"/>
          <w:color w:val="auto"/>
          <w:spacing w:val="20"/>
          <w:sz w:val="24"/>
          <w:highlight w:val="none"/>
        </w:rPr>
      </w:pPr>
      <w:r>
        <w:rPr>
          <w:rFonts w:hint="eastAsia" w:ascii="宋体" w:hAnsi="宋体"/>
          <w:color w:val="auto"/>
          <w:spacing w:val="20"/>
          <w:sz w:val="24"/>
          <w:highlight w:val="none"/>
        </w:rPr>
        <w:t>3、合理的施工方案和先进的施工组织。</w:t>
      </w:r>
    </w:p>
    <w:p w14:paraId="673C7447">
      <w:pPr>
        <w:spacing w:line="360" w:lineRule="auto"/>
        <w:rPr>
          <w:rFonts w:ascii="宋体" w:hAnsi="宋体"/>
          <w:color w:val="auto"/>
          <w:spacing w:val="20"/>
          <w:sz w:val="24"/>
          <w:highlight w:val="none"/>
        </w:rPr>
      </w:pPr>
      <w:r>
        <w:rPr>
          <w:rFonts w:hint="eastAsia" w:ascii="宋体" w:hAnsi="宋体"/>
          <w:color w:val="auto"/>
          <w:spacing w:val="20"/>
          <w:sz w:val="24"/>
          <w:highlight w:val="none"/>
        </w:rPr>
        <w:t>4、施工过程要求</w:t>
      </w:r>
    </w:p>
    <w:p w14:paraId="757BC39B">
      <w:pPr>
        <w:spacing w:line="360" w:lineRule="auto"/>
        <w:rPr>
          <w:rFonts w:ascii="宋体" w:hAnsi="宋体"/>
          <w:color w:val="auto"/>
          <w:spacing w:val="20"/>
          <w:sz w:val="24"/>
          <w:highlight w:val="none"/>
        </w:rPr>
      </w:pPr>
      <w:r>
        <w:rPr>
          <w:rFonts w:hint="eastAsia" w:ascii="宋体" w:hAnsi="宋体"/>
          <w:color w:val="auto"/>
          <w:spacing w:val="20"/>
          <w:sz w:val="24"/>
          <w:highlight w:val="none"/>
        </w:rPr>
        <w:t>A、严格按照国家、省市、地方施工规范要求进行施工。</w:t>
      </w:r>
    </w:p>
    <w:p w14:paraId="61386847">
      <w:pPr>
        <w:spacing w:line="360" w:lineRule="auto"/>
        <w:rPr>
          <w:rFonts w:ascii="宋体" w:hAnsi="宋体"/>
          <w:color w:val="auto"/>
          <w:spacing w:val="20"/>
          <w:sz w:val="24"/>
          <w:highlight w:val="none"/>
        </w:rPr>
      </w:pPr>
      <w:r>
        <w:rPr>
          <w:rFonts w:hint="eastAsia" w:ascii="宋体" w:hAnsi="宋体"/>
          <w:color w:val="auto"/>
          <w:spacing w:val="20"/>
          <w:sz w:val="24"/>
          <w:highlight w:val="none"/>
        </w:rPr>
        <w:t>B、根据工程进度计划，编制材料订购、质量检测、配方测试，确保材料质量和供应的计划。</w:t>
      </w:r>
    </w:p>
    <w:p w14:paraId="22C729B1">
      <w:pPr>
        <w:spacing w:line="360" w:lineRule="auto"/>
        <w:rPr>
          <w:rFonts w:ascii="宋体" w:hAnsi="宋体"/>
          <w:color w:val="auto"/>
          <w:spacing w:val="20"/>
          <w:sz w:val="24"/>
          <w:highlight w:val="none"/>
        </w:rPr>
      </w:pPr>
      <w:r>
        <w:rPr>
          <w:rFonts w:hint="eastAsia" w:ascii="宋体" w:hAnsi="宋体"/>
          <w:color w:val="auto"/>
          <w:spacing w:val="20"/>
          <w:sz w:val="24"/>
          <w:highlight w:val="none"/>
        </w:rPr>
        <w:t>三、项目施工目标</w:t>
      </w:r>
    </w:p>
    <w:p w14:paraId="34723400">
      <w:pPr>
        <w:spacing w:line="360" w:lineRule="auto"/>
        <w:rPr>
          <w:rFonts w:ascii="宋体" w:hAnsi="宋体"/>
          <w:color w:val="auto"/>
          <w:spacing w:val="20"/>
          <w:sz w:val="24"/>
          <w:highlight w:val="none"/>
        </w:rPr>
      </w:pPr>
      <w:r>
        <w:rPr>
          <w:rFonts w:hint="eastAsia" w:ascii="宋体" w:hAnsi="宋体"/>
          <w:color w:val="auto"/>
          <w:spacing w:val="20"/>
          <w:sz w:val="24"/>
          <w:highlight w:val="none"/>
        </w:rPr>
        <w:t>1、质量目标。确保工程质量一次验收合格。</w:t>
      </w:r>
    </w:p>
    <w:p w14:paraId="227C2B19">
      <w:pPr>
        <w:spacing w:line="360" w:lineRule="auto"/>
        <w:rPr>
          <w:rFonts w:ascii="宋体" w:hAnsi="宋体"/>
          <w:color w:val="auto"/>
          <w:spacing w:val="20"/>
          <w:sz w:val="24"/>
          <w:highlight w:val="none"/>
        </w:rPr>
      </w:pPr>
      <w:r>
        <w:rPr>
          <w:rFonts w:hint="eastAsia" w:ascii="宋体" w:hAnsi="宋体"/>
          <w:color w:val="auto"/>
          <w:spacing w:val="20"/>
          <w:sz w:val="24"/>
          <w:highlight w:val="none"/>
        </w:rPr>
        <w:t>2、安全目标。杜绝重大安全事故的发生，控制工伤、轻伤事故在千分之一内。</w:t>
      </w:r>
    </w:p>
    <w:p w14:paraId="2E4B5DAB">
      <w:pPr>
        <w:spacing w:line="360" w:lineRule="auto"/>
        <w:rPr>
          <w:rFonts w:ascii="宋体" w:hAnsi="宋体"/>
          <w:color w:val="auto"/>
          <w:spacing w:val="20"/>
          <w:sz w:val="24"/>
          <w:highlight w:val="none"/>
        </w:rPr>
      </w:pPr>
      <w:r>
        <w:rPr>
          <w:rFonts w:hint="eastAsia" w:ascii="宋体" w:hAnsi="宋体"/>
          <w:color w:val="auto"/>
          <w:spacing w:val="20"/>
          <w:sz w:val="24"/>
          <w:highlight w:val="none"/>
        </w:rPr>
        <w:t>3、工期目标。</w:t>
      </w:r>
      <w:r>
        <w:rPr>
          <w:rFonts w:hint="eastAsia" w:ascii="宋体" w:hAnsi="宋体"/>
          <w:color w:val="auto"/>
          <w:spacing w:val="20"/>
          <w:sz w:val="24"/>
          <w:szCs w:val="24"/>
          <w:highlight w:val="none"/>
        </w:rPr>
        <w:t>按招标文件目标工期，</w:t>
      </w:r>
      <w:r>
        <w:rPr>
          <w:rFonts w:hint="eastAsia" w:ascii="宋体" w:hAnsi="宋体"/>
          <w:color w:val="auto"/>
          <w:spacing w:val="20"/>
          <w:sz w:val="24"/>
          <w:szCs w:val="24"/>
          <w:highlight w:val="none"/>
          <w:lang w:eastAsia="zh-CN"/>
        </w:rPr>
        <w:t>完成</w:t>
      </w:r>
      <w:r>
        <w:rPr>
          <w:rFonts w:hint="eastAsia" w:ascii="宋体" w:hAnsi="宋体"/>
          <w:color w:val="auto"/>
          <w:spacing w:val="20"/>
          <w:sz w:val="24"/>
          <w:szCs w:val="24"/>
          <w:highlight w:val="none"/>
        </w:rPr>
        <w:t xml:space="preserve">项目实体及相关资料，并经发包方验收合格。 </w:t>
      </w:r>
    </w:p>
    <w:p w14:paraId="090C0BD6">
      <w:pPr>
        <w:spacing w:line="360" w:lineRule="auto"/>
        <w:rPr>
          <w:rFonts w:ascii="宋体" w:hAnsi="宋体"/>
          <w:color w:val="auto"/>
          <w:spacing w:val="20"/>
          <w:sz w:val="24"/>
          <w:highlight w:val="none"/>
        </w:rPr>
      </w:pPr>
      <w:r>
        <w:rPr>
          <w:rFonts w:hint="eastAsia" w:ascii="宋体" w:hAnsi="宋体"/>
          <w:color w:val="auto"/>
          <w:spacing w:val="20"/>
          <w:highlight w:val="none"/>
        </w:rPr>
        <w:t xml:space="preserve"> </w:t>
      </w:r>
    </w:p>
    <w:p w14:paraId="140BDB23">
      <w:pPr>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第三节  主要施工方案与施工方法的要求</w:t>
      </w:r>
    </w:p>
    <w:p w14:paraId="680F0D8F">
      <w:pPr>
        <w:spacing w:line="360" w:lineRule="auto"/>
        <w:rPr>
          <w:rFonts w:ascii="宋体" w:hAnsi="宋体"/>
          <w:color w:val="auto"/>
          <w:spacing w:val="20"/>
          <w:sz w:val="24"/>
          <w:highlight w:val="none"/>
        </w:rPr>
      </w:pPr>
      <w:r>
        <w:rPr>
          <w:rFonts w:hint="eastAsia" w:ascii="宋体" w:hAnsi="宋体"/>
          <w:color w:val="auto"/>
          <w:spacing w:val="20"/>
          <w:sz w:val="24"/>
          <w:highlight w:val="none"/>
        </w:rPr>
        <w:t>一、结构施工要求</w:t>
      </w:r>
    </w:p>
    <w:p w14:paraId="10E2B265">
      <w:pPr>
        <w:spacing w:line="360" w:lineRule="auto"/>
        <w:rPr>
          <w:rFonts w:ascii="宋体" w:hAnsi="宋体"/>
          <w:color w:val="auto"/>
          <w:spacing w:val="20"/>
          <w:sz w:val="24"/>
          <w:highlight w:val="none"/>
        </w:rPr>
      </w:pPr>
      <w:r>
        <w:rPr>
          <w:rFonts w:hint="eastAsia" w:ascii="宋体" w:hAnsi="宋体"/>
          <w:color w:val="auto"/>
          <w:spacing w:val="20"/>
          <w:sz w:val="24"/>
          <w:highlight w:val="none"/>
        </w:rPr>
        <w:t>1、工程施工要求</w:t>
      </w:r>
    </w:p>
    <w:p w14:paraId="06418E2A">
      <w:pPr>
        <w:spacing w:line="360" w:lineRule="auto"/>
        <w:rPr>
          <w:rFonts w:ascii="宋体" w:hAnsi="宋体"/>
          <w:color w:val="auto"/>
          <w:spacing w:val="20"/>
          <w:sz w:val="24"/>
          <w:highlight w:val="none"/>
        </w:rPr>
      </w:pPr>
      <w:r>
        <w:rPr>
          <w:rFonts w:hint="eastAsia" w:ascii="宋体" w:hAnsi="宋体"/>
          <w:color w:val="auto"/>
          <w:spacing w:val="20"/>
          <w:sz w:val="24"/>
          <w:highlight w:val="none"/>
        </w:rPr>
        <w:t>各分项工程在施工前，均应编制相应的施工技术措施，内容包括施工准备、操作工艺、质量标准、成品保护等。</w:t>
      </w:r>
    </w:p>
    <w:p w14:paraId="6E193B4F">
      <w:pPr>
        <w:spacing w:line="360" w:lineRule="auto"/>
        <w:rPr>
          <w:rFonts w:ascii="宋体" w:hAnsi="宋体"/>
          <w:color w:val="auto"/>
          <w:spacing w:val="20"/>
          <w:sz w:val="24"/>
          <w:highlight w:val="none"/>
        </w:rPr>
      </w:pPr>
      <w:r>
        <w:rPr>
          <w:rFonts w:hint="eastAsia" w:ascii="宋体" w:hAnsi="宋体"/>
          <w:color w:val="auto"/>
          <w:spacing w:val="20"/>
          <w:sz w:val="24"/>
          <w:highlight w:val="none"/>
        </w:rPr>
        <w:t>2、所有施工项目均应按照国家、省市、地方有关法律法规及规范要求制定施工技术方案后方可施工。</w:t>
      </w:r>
    </w:p>
    <w:p w14:paraId="36D13D79">
      <w:pPr>
        <w:spacing w:line="360" w:lineRule="auto"/>
        <w:rPr>
          <w:rFonts w:ascii="宋体" w:hAnsi="宋体"/>
          <w:color w:val="auto"/>
          <w:spacing w:val="20"/>
          <w:sz w:val="24"/>
          <w:highlight w:val="none"/>
        </w:rPr>
      </w:pPr>
    </w:p>
    <w:p w14:paraId="63D4A4F0">
      <w:pPr>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第四节  主要技术组织要求</w:t>
      </w:r>
    </w:p>
    <w:p w14:paraId="03C12185">
      <w:pPr>
        <w:spacing w:line="360" w:lineRule="auto"/>
        <w:rPr>
          <w:rFonts w:ascii="宋体" w:hAnsi="宋体"/>
          <w:color w:val="auto"/>
          <w:spacing w:val="20"/>
          <w:sz w:val="24"/>
          <w:highlight w:val="none"/>
        </w:rPr>
      </w:pPr>
      <w:r>
        <w:rPr>
          <w:rFonts w:hint="eastAsia" w:ascii="宋体" w:hAnsi="宋体"/>
          <w:color w:val="auto"/>
          <w:spacing w:val="20"/>
          <w:sz w:val="24"/>
          <w:highlight w:val="none"/>
        </w:rPr>
        <w:t>一、工程施工中，要严格执行有关技术操作的各项规程，要注意落实下列各点中的技术措施。实行目标管理，明确总目标为合格。</w:t>
      </w:r>
    </w:p>
    <w:p w14:paraId="6B0C7852">
      <w:pPr>
        <w:tabs>
          <w:tab w:val="left" w:pos="540"/>
        </w:tabs>
        <w:spacing w:line="360" w:lineRule="auto"/>
        <w:rPr>
          <w:rFonts w:ascii="宋体" w:hAnsi="宋体"/>
          <w:color w:val="auto"/>
          <w:spacing w:val="20"/>
          <w:sz w:val="24"/>
          <w:highlight w:val="none"/>
        </w:rPr>
      </w:pPr>
      <w:r>
        <w:rPr>
          <w:rFonts w:hint="eastAsia" w:ascii="宋体" w:hAnsi="宋体"/>
          <w:color w:val="auto"/>
          <w:spacing w:val="20"/>
          <w:sz w:val="24"/>
          <w:highlight w:val="none"/>
        </w:rPr>
        <w:t>1、成立以总工程师为首的全面质量和管理小组。</w:t>
      </w:r>
    </w:p>
    <w:p w14:paraId="1860672D">
      <w:pPr>
        <w:tabs>
          <w:tab w:val="left" w:pos="540"/>
        </w:tabs>
        <w:spacing w:line="360" w:lineRule="auto"/>
        <w:rPr>
          <w:rFonts w:ascii="宋体" w:hAnsi="宋体"/>
          <w:color w:val="auto"/>
          <w:spacing w:val="20"/>
          <w:sz w:val="24"/>
          <w:highlight w:val="none"/>
        </w:rPr>
      </w:pPr>
      <w:r>
        <w:rPr>
          <w:rFonts w:hint="eastAsia" w:ascii="宋体" w:hAnsi="宋体"/>
          <w:color w:val="auto"/>
          <w:spacing w:val="20"/>
          <w:sz w:val="24"/>
          <w:highlight w:val="none"/>
        </w:rPr>
        <w:t>2、明确并认真落实技术岗位责任制和技术交底制度。</w:t>
      </w:r>
    </w:p>
    <w:p w14:paraId="3D0F3812">
      <w:pPr>
        <w:tabs>
          <w:tab w:val="left" w:pos="540"/>
        </w:tabs>
        <w:spacing w:line="360" w:lineRule="auto"/>
        <w:rPr>
          <w:rFonts w:ascii="宋体" w:hAnsi="宋体"/>
          <w:color w:val="auto"/>
          <w:spacing w:val="20"/>
          <w:sz w:val="24"/>
          <w:highlight w:val="none"/>
        </w:rPr>
      </w:pPr>
      <w:r>
        <w:rPr>
          <w:rFonts w:hint="eastAsia" w:ascii="宋体" w:hAnsi="宋体"/>
          <w:color w:val="auto"/>
          <w:spacing w:val="20"/>
          <w:sz w:val="24"/>
          <w:highlight w:val="none"/>
        </w:rPr>
        <w:t>3、落实图纸会审、定位放线、预检复核、材质验收、成品保护等有关规定。</w:t>
      </w:r>
    </w:p>
    <w:p w14:paraId="453F84F8">
      <w:pPr>
        <w:tabs>
          <w:tab w:val="left" w:pos="540"/>
        </w:tabs>
        <w:spacing w:line="360" w:lineRule="auto"/>
        <w:rPr>
          <w:rFonts w:ascii="宋体" w:hAnsi="宋体"/>
          <w:color w:val="auto"/>
          <w:spacing w:val="20"/>
          <w:sz w:val="24"/>
          <w:highlight w:val="none"/>
        </w:rPr>
      </w:pPr>
      <w:r>
        <w:rPr>
          <w:rFonts w:hint="eastAsia" w:ascii="宋体" w:hAnsi="宋体"/>
          <w:color w:val="auto"/>
          <w:spacing w:val="20"/>
          <w:sz w:val="24"/>
          <w:highlight w:val="none"/>
        </w:rPr>
        <w:t>4、制定自检，互检（交接检）末检制度。</w:t>
      </w:r>
    </w:p>
    <w:p w14:paraId="1888E517">
      <w:pPr>
        <w:tabs>
          <w:tab w:val="left" w:pos="540"/>
        </w:tabs>
        <w:spacing w:line="360" w:lineRule="auto"/>
        <w:rPr>
          <w:rFonts w:ascii="宋体" w:hAnsi="宋体"/>
          <w:color w:val="auto"/>
          <w:spacing w:val="20"/>
          <w:sz w:val="24"/>
          <w:highlight w:val="none"/>
        </w:rPr>
      </w:pPr>
      <w:r>
        <w:rPr>
          <w:rFonts w:hint="eastAsia" w:ascii="宋体" w:hAnsi="宋体"/>
          <w:color w:val="auto"/>
          <w:spacing w:val="20"/>
          <w:sz w:val="24"/>
          <w:highlight w:val="none"/>
        </w:rPr>
        <w:t>5、对工程实行质量预控，施工程序及工艺标准施工。</w:t>
      </w:r>
    </w:p>
    <w:p w14:paraId="1F6BADD1">
      <w:pPr>
        <w:tabs>
          <w:tab w:val="left" w:pos="540"/>
        </w:tabs>
        <w:spacing w:line="360" w:lineRule="auto"/>
        <w:rPr>
          <w:rFonts w:ascii="宋体" w:hAnsi="宋体"/>
          <w:color w:val="auto"/>
          <w:spacing w:val="20"/>
          <w:sz w:val="24"/>
          <w:highlight w:val="none"/>
        </w:rPr>
      </w:pPr>
      <w:r>
        <w:rPr>
          <w:rFonts w:hint="eastAsia" w:ascii="宋体" w:hAnsi="宋体"/>
          <w:color w:val="auto"/>
          <w:spacing w:val="20"/>
          <w:sz w:val="24"/>
          <w:highlight w:val="none"/>
        </w:rPr>
        <w:t>6、特殊工种必须持证上岗。</w:t>
      </w:r>
    </w:p>
    <w:p w14:paraId="04DB5802">
      <w:pPr>
        <w:pStyle w:val="91"/>
        <w:jc w:val="left"/>
        <w:rPr>
          <w:rFonts w:ascii="宋体" w:hAnsi="宋体" w:eastAsia="宋体"/>
          <w:color w:val="auto"/>
          <w:spacing w:val="20"/>
          <w:kern w:val="2"/>
          <w:highlight w:val="none"/>
        </w:rPr>
      </w:pPr>
    </w:p>
    <w:p w14:paraId="5BC1DD10">
      <w:pPr>
        <w:spacing w:line="360" w:lineRule="auto"/>
        <w:jc w:val="center"/>
        <w:rPr>
          <w:rFonts w:ascii="宋体" w:hAnsi="宋体"/>
          <w:b/>
          <w:bCs/>
          <w:color w:val="auto"/>
          <w:spacing w:val="20"/>
          <w:sz w:val="30"/>
          <w:szCs w:val="30"/>
          <w:highlight w:val="none"/>
        </w:rPr>
      </w:pPr>
    </w:p>
    <w:p w14:paraId="3108973B">
      <w:pPr>
        <w:spacing w:line="360" w:lineRule="auto"/>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第五节  质量、工期保证措施</w:t>
      </w:r>
    </w:p>
    <w:p w14:paraId="3917E879">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一、质量保证措施</w:t>
      </w:r>
    </w:p>
    <w:p w14:paraId="77379F1E">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1、建立健全结构，施工从设备、材料、半成品、成品进场，施工安装直至交付验收的质量保证体系，并落实到人。</w:t>
      </w:r>
    </w:p>
    <w:p w14:paraId="294A130C">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2、严格贯彻“把关”和“积极预防”相结合的质量管理方法。</w:t>
      </w:r>
    </w:p>
    <w:p w14:paraId="2A9759AC">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3、本工程实行全面质量管理、文明施工，整个工程实行专业性管理，提前组织培训，统一思想，熟悉操作。</w:t>
      </w:r>
    </w:p>
    <w:p w14:paraId="139D1C6A">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4、按进度计划施工，严格技术管理，当进度与质量发生矛盾时，要服从质量，承包任务者首先要承包质量。</w:t>
      </w:r>
    </w:p>
    <w:p w14:paraId="57DAB297">
      <w:pPr>
        <w:spacing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5、加强质量监督检查，采取专业检查与自检相结合的检查方法，并以自检为主，坚持贯彻执行自检、互检、交接检的三检制度与挂牌制度，对工程质量要求一丝不苟。</w:t>
      </w:r>
    </w:p>
    <w:p w14:paraId="289E5E11">
      <w:pPr>
        <w:spacing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二、工期保证措施</w:t>
      </w:r>
    </w:p>
    <w:p w14:paraId="09FE4B78">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1、运用现代化管理方法指导生产、加强动态管理。充分利用已有资源组织材料、人力资源的合理配置。保障各阶段施工的连续性，消除窝工、停工现象。</w:t>
      </w:r>
    </w:p>
    <w:p w14:paraId="429C058C">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2、各工序严格按进度计划施工，项目经理有效协调人力资源，确保施工顺利；</w:t>
      </w:r>
    </w:p>
    <w:p w14:paraId="2FC39EF7">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3、保证倒排工期，充分做好施工前的准备工作；</w:t>
      </w:r>
    </w:p>
    <w:p w14:paraId="61CAA5AF">
      <w:pPr>
        <w:pStyle w:val="5"/>
        <w:spacing w:after="0"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4、优化网络计划管理，综合考虑机械、设备、材料的相应关系，使各工种、各工序实施紧密的交叉搭接，对每道工序制定相应的调整措施。</w:t>
      </w:r>
    </w:p>
    <w:p w14:paraId="6F47C540">
      <w:pPr>
        <w:spacing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5、合理配置施工机械设施，提高使用效率，保证各项作业、各工种之间的高度协调，发挥最大的生产潜力，实现工期目标值。</w:t>
      </w:r>
    </w:p>
    <w:p w14:paraId="77F56CBF">
      <w:pPr>
        <w:spacing w:line="360" w:lineRule="auto"/>
        <w:rPr>
          <w:rFonts w:ascii="宋体" w:hAnsi="宋体"/>
          <w:b/>
          <w:bCs/>
          <w:color w:val="auto"/>
          <w:spacing w:val="20"/>
          <w:sz w:val="30"/>
          <w:szCs w:val="30"/>
          <w:highlight w:val="none"/>
        </w:rPr>
      </w:pPr>
    </w:p>
    <w:p w14:paraId="3C0F2B92">
      <w:pPr>
        <w:spacing w:line="360" w:lineRule="auto"/>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第六节  投入的主要机械设备及劳动力计划</w:t>
      </w:r>
    </w:p>
    <w:p w14:paraId="5B6461C0">
      <w:pPr>
        <w:spacing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根据经建设单位及监理批准的施工进度计划及现场施工情况，投入相应数量的机械设备及劳动力，满足工程进度要求，确保按期完工。</w:t>
      </w:r>
    </w:p>
    <w:p w14:paraId="47B85ED0">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1、在确保工程质量、安全生产的前提下，优化施工进度计划，动态管理，合理组织，严格控制关键线路节点，确保工期目标。</w:t>
      </w:r>
    </w:p>
    <w:p w14:paraId="274A8134">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2、采用性能完好的机械设备并配齐数量，设现场专业机修班组，定期检查、调试。</w:t>
      </w:r>
    </w:p>
    <w:p w14:paraId="55890593">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3、现场职工及劳务认真挑选，竞争上岗，确保现场施工人员的岗位技能水平及劳动数量满足工期要求。</w:t>
      </w:r>
    </w:p>
    <w:p w14:paraId="1A3EB4B5">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4、根据施工进度控制统筹计划及时合理编制工程施工进度每周计划，直至落实到小时工作安排。</w:t>
      </w:r>
    </w:p>
    <w:p w14:paraId="0D18A7DF">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5、平面按划定的施工区段组织流水施工，将分为多个工作班组，分段流水协调施工。</w:t>
      </w:r>
    </w:p>
    <w:p w14:paraId="6659ACF2">
      <w:pPr>
        <w:spacing w:line="360" w:lineRule="auto"/>
        <w:rPr>
          <w:rFonts w:ascii="宋体" w:hAnsi="宋体" w:cs="宋体"/>
          <w:color w:val="auto"/>
          <w:spacing w:val="20"/>
          <w:kern w:val="0"/>
          <w:sz w:val="24"/>
          <w:szCs w:val="24"/>
          <w:highlight w:val="none"/>
        </w:rPr>
      </w:pPr>
    </w:p>
    <w:p w14:paraId="6310AFD6">
      <w:pPr>
        <w:spacing w:line="360" w:lineRule="auto"/>
        <w:jc w:val="center"/>
        <w:rPr>
          <w:rFonts w:ascii="宋体" w:hAnsi="宋体"/>
          <w:b/>
          <w:bCs/>
          <w:color w:val="auto"/>
          <w:spacing w:val="20"/>
          <w:sz w:val="30"/>
          <w:szCs w:val="30"/>
          <w:highlight w:val="none"/>
        </w:rPr>
      </w:pPr>
      <w:r>
        <w:rPr>
          <w:rFonts w:hint="eastAsia" w:ascii="宋体" w:hAnsi="宋体"/>
          <w:b/>
          <w:bCs/>
          <w:color w:val="auto"/>
          <w:spacing w:val="20"/>
          <w:sz w:val="30"/>
          <w:szCs w:val="30"/>
          <w:highlight w:val="none"/>
        </w:rPr>
        <w:t>第七节  安全文明施工措施</w:t>
      </w:r>
    </w:p>
    <w:p w14:paraId="51F33FE3">
      <w:pPr>
        <w:spacing w:line="360" w:lineRule="auto"/>
        <w:rPr>
          <w:rFonts w:ascii="宋体" w:hAnsi="宋体"/>
          <w:color w:val="auto"/>
          <w:spacing w:val="20"/>
          <w:sz w:val="24"/>
          <w:szCs w:val="24"/>
          <w:highlight w:val="none"/>
        </w:rPr>
      </w:pPr>
      <w:r>
        <w:rPr>
          <w:rFonts w:hint="eastAsia" w:ascii="宋体" w:hAnsi="宋体"/>
          <w:color w:val="auto"/>
          <w:spacing w:val="20"/>
          <w:sz w:val="24"/>
          <w:szCs w:val="24"/>
          <w:highlight w:val="none"/>
        </w:rPr>
        <w:t>采取严格的施工管理措施，严格按照《广州市安全文明施工管理标准》、《建筑施工安全检查标准》等管理规定的要求，做好本工程安全文明施工工作。</w:t>
      </w:r>
    </w:p>
    <w:p w14:paraId="3A33DBC5">
      <w:pPr>
        <w:numPr>
          <w:ilvl w:val="0"/>
          <w:numId w:val="11"/>
        </w:numPr>
        <w:tabs>
          <w:tab w:val="left" w:pos="640"/>
          <w:tab w:val="clear" w:pos="1260"/>
        </w:tabs>
        <w:spacing w:line="360" w:lineRule="auto"/>
        <w:ind w:left="0" w:firstLine="0"/>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安全生产管理</w:t>
      </w:r>
    </w:p>
    <w:p w14:paraId="5CBD6BEB">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安全生产目标：达到五无目标，即“无死亡事故，无重大伤人事故，无重大机械事故，无火灾，无中毒事故”。并将一般减微事故发生频率控制在3‰以下。</w:t>
      </w:r>
    </w:p>
    <w:p w14:paraId="1F9ACBA9">
      <w:pPr>
        <w:spacing w:line="360" w:lineRule="auto"/>
        <w:rPr>
          <w:rFonts w:ascii="宋体" w:hAnsi="宋体"/>
          <w:color w:val="auto"/>
          <w:spacing w:val="20"/>
          <w:sz w:val="24"/>
          <w:szCs w:val="24"/>
          <w:highlight w:val="none"/>
        </w:rPr>
      </w:pPr>
      <w:r>
        <w:rPr>
          <w:rFonts w:hint="eastAsia" w:ascii="宋体" w:hAnsi="宋体" w:cs="宋体"/>
          <w:color w:val="auto"/>
          <w:spacing w:val="20"/>
          <w:kern w:val="0"/>
          <w:sz w:val="24"/>
          <w:szCs w:val="24"/>
          <w:highlight w:val="none"/>
        </w:rPr>
        <w:t>安全方针：安全第一，预防为主</w:t>
      </w:r>
    </w:p>
    <w:p w14:paraId="19B3CAE2">
      <w:pPr>
        <w:spacing w:line="360" w:lineRule="auto"/>
        <w:rPr>
          <w:rFonts w:ascii="宋体" w:hAnsi="宋体"/>
          <w:color w:val="auto"/>
          <w:spacing w:val="20"/>
          <w:sz w:val="24"/>
          <w:szCs w:val="24"/>
          <w:highlight w:val="none"/>
        </w:rPr>
      </w:pPr>
      <w:r>
        <w:rPr>
          <w:rFonts w:hint="eastAsia" w:ascii="宋体" w:hAnsi="宋体" w:cs="宋体"/>
          <w:color w:val="auto"/>
          <w:spacing w:val="20"/>
          <w:kern w:val="0"/>
          <w:sz w:val="24"/>
          <w:szCs w:val="24"/>
          <w:highlight w:val="none"/>
        </w:rPr>
        <w:t>安全和文明施工目标：</w:t>
      </w:r>
      <w:r>
        <w:rPr>
          <w:rFonts w:hint="eastAsia" w:ascii="宋体" w:hAnsi="宋体"/>
          <w:color w:val="auto"/>
          <w:spacing w:val="20"/>
          <w:sz w:val="24"/>
          <w:szCs w:val="24"/>
          <w:highlight w:val="none"/>
        </w:rPr>
        <w:t xml:space="preserve"> </w:t>
      </w:r>
      <w:r>
        <w:rPr>
          <w:rFonts w:hint="eastAsia" w:ascii="宋体" w:hAnsi="宋体" w:cs="宋体"/>
          <w:color w:val="auto"/>
          <w:spacing w:val="20"/>
          <w:kern w:val="0"/>
          <w:sz w:val="24"/>
          <w:szCs w:val="24"/>
          <w:highlight w:val="none"/>
        </w:rPr>
        <w:t>力争达到安全生产，文明施工优良工地。</w:t>
      </w:r>
    </w:p>
    <w:p w14:paraId="09173D73">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安全管理小组：项目经理必须对拆卸工程的安全生产负全面领导责任。项目经理部应设工程安全负责人，检查落实各项安全技术措施。施工安全分为施工管理、安全教育、机械设备、现场维护及日常生活5大部分，各部分设专人进行监督管理，负责将安全小组的决定落实并向各施工班组安全小组交底并监督。做到安全落实到人，专人专项，职权分明。</w:t>
      </w:r>
    </w:p>
    <w:p w14:paraId="7745627B">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安全教育制度：实行安全教育制度，加强宣传教育，制订科学合理的施工方案，现场组织切合实际的作业程序，正确严格地执行和运用施工及安全规范。对进场的工人进行摸底测试，统一进行安全教育，增强质量、安全意识。各专业班组认真进行技术交底，认真学习和深刻体会施工技术规范和施工安全规范。经过培训交底达到合格的职工才允许上岗操作，为安全工作顺利圆满开展打下坚实的基础。在施工过程中，建立每周一次的安全教育，由项目经理或专职安全员主持。同时在每道施工工序进行前，由专职安全员做书面的安全技术交底，各班组长带领施工人员认真贯彻落实。</w:t>
      </w:r>
    </w:p>
    <w:p w14:paraId="680C6F08">
      <w:pPr>
        <w:spacing w:line="360" w:lineRule="auto"/>
        <w:rPr>
          <w:rFonts w:ascii="宋体" w:hAnsi="宋体" w:cs="宋体"/>
          <w:b/>
          <w:color w:val="auto"/>
          <w:spacing w:val="20"/>
          <w:kern w:val="0"/>
          <w:sz w:val="24"/>
          <w:szCs w:val="24"/>
          <w:highlight w:val="none"/>
        </w:rPr>
      </w:pPr>
      <w:r>
        <w:rPr>
          <w:rFonts w:hint="eastAsia" w:ascii="宋体" w:hAnsi="宋体" w:cs="宋体"/>
          <w:color w:val="auto"/>
          <w:spacing w:val="20"/>
          <w:kern w:val="0"/>
          <w:sz w:val="24"/>
          <w:szCs w:val="24"/>
          <w:highlight w:val="none"/>
        </w:rPr>
        <w:t>二、文明施工管理</w:t>
      </w:r>
    </w:p>
    <w:p w14:paraId="544A346B">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为加强文明施工管理，在认真学习贯彻国家及地方文明施工管理条例基础上，组织成立文明施工管理小组，由项目经理任组长，从现场施工、垃圾运输到日常生活文明均设专人管理，切实加强施工现场文明施工，并制作文明施工标志牌，放在醒目的地方提醒工人注意，共同维护一个文明的施工条件。</w:t>
      </w:r>
    </w:p>
    <w:p w14:paraId="74E85E19">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文明施工注意事项：</w:t>
      </w:r>
    </w:p>
    <w:p w14:paraId="0BBE521B">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1、清运渣土的车辆应在在施工封闭范围内停放；清运渣土的车辆应封闭或采用苫布覆盖，出入现场时应有专人指挥。清运渣土的作业时间应遵守有关规定，做到夜间不施工，减少对周围环境的噪音影响。</w:t>
      </w:r>
    </w:p>
    <w:p w14:paraId="5A82BB8A">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2、对地下的各类管线，施工前在地面上设置明显标志，并标明管线用途，行进方向。对检查井、污水井也采取相应的保护措施。</w:t>
      </w:r>
    </w:p>
    <w:p w14:paraId="526632A1">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3、工程完工后，我方将及时将施工渣土清运出场，做到不积压。</w:t>
      </w:r>
    </w:p>
    <w:p w14:paraId="02D7E7F2">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4、执行广东省、广州市有关加强施工现场文明施工管理的规定。</w:t>
      </w:r>
    </w:p>
    <w:p w14:paraId="2E0A3BA0">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5、落实防火安全责任制，建立义务消防组织，明确责任人，负责施工现场的日常防火安全管理工作。在保证充足的消防水源的基础上，在施工临设工人宿舍、现场办公室均配备足够的灭火器材,做到办公生活区每幢工棚挂设4kg干粉灭火器2—6只,在每幢办公或生活工棚外各设置2~3个消防沙箱；并对工人进行安全消防教育，学习正确使用安全器材的方法，加强安全防火意识。</w:t>
      </w:r>
    </w:p>
    <w:p w14:paraId="2415AEC5">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6、施工现场建立健全用火管理制度，对工人进行用火安全施工教育培训，提高工人用火安全意识。施工作业用火时，须履行用火审批手续，经施工安全负责人审查批准，领取用火证后，方可在指定时间、地点作业。作业时应配备专人监护，作业后必须确认无火源危险后方可离开作业地点。</w:t>
      </w:r>
    </w:p>
    <w:p w14:paraId="6DAF173D">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7、施工现场设置消防车道，并应保持畅通。施工现场道路保持两方向畅通，保证消防车辆能够及时进入事发现场进行救援工作。</w:t>
      </w:r>
    </w:p>
    <w:p w14:paraId="3FF58EF5">
      <w:pPr>
        <w:spacing w:line="360" w:lineRule="auto"/>
        <w:rPr>
          <w:rFonts w:ascii="宋体" w:hAnsi="宋体" w:cs="宋体"/>
          <w:color w:val="auto"/>
          <w:spacing w:val="20"/>
          <w:kern w:val="0"/>
          <w:sz w:val="24"/>
          <w:szCs w:val="24"/>
          <w:highlight w:val="none"/>
        </w:rPr>
      </w:pPr>
      <w:r>
        <w:rPr>
          <w:rFonts w:hint="eastAsia" w:ascii="宋体" w:hAnsi="宋体" w:cs="宋体"/>
          <w:color w:val="auto"/>
          <w:spacing w:val="20"/>
          <w:kern w:val="0"/>
          <w:sz w:val="24"/>
          <w:szCs w:val="24"/>
          <w:highlight w:val="none"/>
        </w:rPr>
        <w:t>8、对工人进行岗前教育，施工作业应当在批准的施工场地内进行，不得在施工场地范围外堆放物料、机具等。</w:t>
      </w:r>
    </w:p>
    <w:p w14:paraId="268CE4DA">
      <w:pPr>
        <w:pStyle w:val="91"/>
        <w:jc w:val="left"/>
        <w:rPr>
          <w:rFonts w:ascii="宋体" w:hAnsi="宋体" w:eastAsia="宋体" w:cs="宋体"/>
          <w:color w:val="auto"/>
          <w:spacing w:val="20"/>
          <w:szCs w:val="24"/>
          <w:highlight w:val="none"/>
        </w:rPr>
      </w:pPr>
      <w:r>
        <w:rPr>
          <w:rFonts w:hint="eastAsia" w:ascii="宋体" w:hAnsi="宋体" w:eastAsia="宋体" w:cs="宋体"/>
          <w:color w:val="auto"/>
          <w:spacing w:val="20"/>
          <w:szCs w:val="24"/>
          <w:highlight w:val="none"/>
        </w:rPr>
        <w:t>9、施工现场的工棚和临时厕所等临时设施远离临街一侧，不得改变使用性质。施工现场设置临时环卫设施，有专人负责保洁和管理，做到场区内无暴露性生活垃圾；临时厕所有专人洗涮保洁，做好清掏、消杀工作，做到无蝇蛆孳生。</w:t>
      </w:r>
      <w:r>
        <w:rPr>
          <w:rFonts w:hint="eastAsia" w:ascii="宋体" w:hAnsi="宋体" w:eastAsia="宋体" w:cs="宋体"/>
          <w:color w:val="auto"/>
          <w:spacing w:val="20"/>
          <w:szCs w:val="24"/>
          <w:highlight w:val="none"/>
        </w:rPr>
        <w:br w:type="textWrapping"/>
      </w:r>
      <w:r>
        <w:rPr>
          <w:rFonts w:hint="eastAsia" w:ascii="宋体" w:hAnsi="宋体" w:eastAsia="宋体" w:cs="宋体"/>
          <w:color w:val="auto"/>
          <w:spacing w:val="20"/>
          <w:szCs w:val="24"/>
          <w:highlight w:val="none"/>
        </w:rPr>
        <w:t>10、不得在施工现场焚烧油毡、橡胶、油漆、垃圾以及其他产生有毒、有害烟尘和恶臭气体的物质。</w:t>
      </w:r>
    </w:p>
    <w:p w14:paraId="6DF90AE1">
      <w:pPr>
        <w:pStyle w:val="91"/>
        <w:jc w:val="left"/>
        <w:rPr>
          <w:rFonts w:ascii="宋体" w:hAnsi="宋体" w:eastAsia="宋体"/>
          <w:color w:val="auto"/>
          <w:spacing w:val="20"/>
          <w:kern w:val="2"/>
          <w:highlight w:val="none"/>
        </w:rPr>
      </w:pPr>
    </w:p>
    <w:p w14:paraId="10DC264B">
      <w:pPr>
        <w:rPr>
          <w:rFonts w:ascii="宋体"/>
          <w:b/>
          <w:color w:val="auto"/>
          <w:sz w:val="24"/>
          <w:szCs w:val="24"/>
          <w:highlight w:val="none"/>
        </w:rPr>
      </w:pPr>
      <w:r>
        <w:rPr>
          <w:rFonts w:hint="eastAsia" w:ascii="宋体" w:hAnsi="宋体" w:cs="宋体"/>
          <w:color w:val="auto"/>
          <w:spacing w:val="20"/>
          <w:szCs w:val="24"/>
          <w:highlight w:val="none"/>
        </w:rPr>
        <w:t>注 : 除应执行本施工组织设计要点外,应参照国家等现行有关规定及工程建设标准作进一步完善。</w:t>
      </w:r>
    </w:p>
    <w:p w14:paraId="02DB931C">
      <w:pPr>
        <w:pStyle w:val="2"/>
        <w:rPr>
          <w:color w:val="auto"/>
          <w:highlight w:val="none"/>
        </w:rPr>
      </w:pPr>
      <w:r>
        <w:rPr>
          <w:color w:val="auto"/>
          <w:sz w:val="24"/>
          <w:szCs w:val="24"/>
          <w:highlight w:val="none"/>
        </w:rPr>
        <w:br w:type="page"/>
      </w:r>
      <w:bookmarkStart w:id="109" w:name="_Toc25823"/>
      <w:bookmarkStart w:id="110" w:name="_Toc12178"/>
      <w:r>
        <w:rPr>
          <w:rFonts w:hint="eastAsia"/>
          <w:color w:val="auto"/>
          <w:highlight w:val="none"/>
        </w:rPr>
        <w:t>第六章</w:t>
      </w:r>
      <w:r>
        <w:rPr>
          <w:color w:val="auto"/>
          <w:highlight w:val="none"/>
        </w:rPr>
        <w:t xml:space="preserve">  </w:t>
      </w:r>
      <w:r>
        <w:rPr>
          <w:rFonts w:hint="eastAsia"/>
          <w:color w:val="auto"/>
          <w:highlight w:val="none"/>
        </w:rPr>
        <w:t>图纸及勘察资料</w:t>
      </w:r>
      <w:bookmarkEnd w:id="109"/>
      <w:bookmarkEnd w:id="110"/>
    </w:p>
    <w:p w14:paraId="6B7AC436">
      <w:pPr>
        <w:jc w:val="center"/>
        <w:rPr>
          <w:rFonts w:ascii="宋体"/>
          <w:b/>
          <w:color w:val="auto"/>
          <w:sz w:val="24"/>
          <w:szCs w:val="24"/>
          <w:highlight w:val="none"/>
        </w:rPr>
      </w:pPr>
      <w:r>
        <w:rPr>
          <w:rFonts w:hint="eastAsia" w:ascii="宋体" w:hAnsi="宋体"/>
          <w:color w:val="auto"/>
          <w:sz w:val="24"/>
          <w:szCs w:val="24"/>
          <w:highlight w:val="none"/>
        </w:rPr>
        <w:t>另册。</w:t>
      </w:r>
    </w:p>
    <w:p w14:paraId="49C4FA35">
      <w:pPr>
        <w:pStyle w:val="2"/>
        <w:rPr>
          <w:rFonts w:ascii="宋体"/>
          <w:color w:val="auto"/>
          <w:sz w:val="24"/>
          <w:highlight w:val="none"/>
        </w:rPr>
      </w:pPr>
      <w:r>
        <w:rPr>
          <w:color w:val="auto"/>
          <w:sz w:val="24"/>
          <w:szCs w:val="24"/>
          <w:highlight w:val="none"/>
        </w:rPr>
        <w:br w:type="page"/>
      </w:r>
      <w:bookmarkStart w:id="111" w:name="_Toc19045"/>
      <w:bookmarkStart w:id="112" w:name="_Toc31491"/>
      <w:r>
        <w:rPr>
          <w:rFonts w:hint="eastAsia"/>
          <w:color w:val="auto"/>
          <w:highlight w:val="none"/>
        </w:rPr>
        <w:t>第七章</w:t>
      </w:r>
      <w:r>
        <w:rPr>
          <w:color w:val="auto"/>
          <w:highlight w:val="none"/>
        </w:rPr>
        <w:t xml:space="preserve">  </w:t>
      </w:r>
      <w:r>
        <w:rPr>
          <w:rFonts w:hint="eastAsia"/>
          <w:color w:val="auto"/>
          <w:highlight w:val="none"/>
        </w:rPr>
        <w:t>工程量清单</w:t>
      </w:r>
      <w:bookmarkEnd w:id="111"/>
      <w:bookmarkEnd w:id="112"/>
    </w:p>
    <w:p w14:paraId="01AED730">
      <w:pPr>
        <w:spacing w:line="408" w:lineRule="auto"/>
        <w:jc w:val="center"/>
        <w:rPr>
          <w:rFonts w:ascii="宋体" w:hAnsi="宋体"/>
          <w:b/>
          <w:color w:val="auto"/>
          <w:sz w:val="28"/>
          <w:highlight w:val="none"/>
        </w:rPr>
      </w:pPr>
      <w:r>
        <w:rPr>
          <w:rFonts w:hint="eastAsia" w:ascii="宋体" w:hAnsi="宋体"/>
          <w:b/>
          <w:color w:val="auto"/>
          <w:sz w:val="28"/>
          <w:highlight w:val="none"/>
        </w:rPr>
        <w:t>工程量清单说明</w:t>
      </w:r>
    </w:p>
    <w:p w14:paraId="317E1B3A">
      <w:pPr>
        <w:numPr>
          <w:ilvl w:val="0"/>
          <w:numId w:val="12"/>
        </w:numPr>
        <w:spacing w:line="360" w:lineRule="auto"/>
        <w:rPr>
          <w:rFonts w:ascii="宋体" w:hAnsi="宋体"/>
          <w:color w:val="auto"/>
          <w:sz w:val="24"/>
          <w:szCs w:val="24"/>
          <w:highlight w:val="none"/>
        </w:rPr>
      </w:pPr>
      <w:r>
        <w:rPr>
          <w:rFonts w:hint="eastAsia" w:ascii="宋体" w:hAnsi="宋体"/>
          <w:color w:val="auto"/>
          <w:sz w:val="24"/>
          <w:szCs w:val="24"/>
          <w:highlight w:val="none"/>
        </w:rPr>
        <w:t>投标人的投标报价，应是按照投标须知前附表第8项的工期要求，在投标须知前附表第3项的建设地点，完成投标须知前附表第7项的招标范围内已由招标人制定的工程量清单列明工作的全部费用，包括但不限于完成工作的成本、利润、税金、技术措施费、大型机械进出场费、风险费以及政策性文件规定费用等，不得以任何理由予以重复计算。</w:t>
      </w:r>
    </w:p>
    <w:p w14:paraId="48B370FC">
      <w:pPr>
        <w:numPr>
          <w:ilvl w:val="0"/>
          <w:numId w:val="12"/>
        </w:numPr>
        <w:spacing w:line="360" w:lineRule="auto"/>
        <w:rPr>
          <w:rFonts w:ascii="宋体" w:hAnsi="宋体"/>
          <w:color w:val="auto"/>
          <w:sz w:val="24"/>
          <w:szCs w:val="24"/>
          <w:highlight w:val="none"/>
        </w:rPr>
      </w:pPr>
      <w:r>
        <w:rPr>
          <w:rFonts w:hint="eastAsia" w:ascii="宋体" w:hAnsi="宋体"/>
          <w:color w:val="auto"/>
          <w:sz w:val="24"/>
          <w:szCs w:val="24"/>
          <w:highlight w:val="none"/>
        </w:rPr>
        <w:t>招标人提供的工程量清单或招标文件其他部分中有关规费、暂定金额、预留金等非竞争性项目明列了单价或合价的金额的，投标人应按照明列的单价或合价的金额报价，未按照规定金额报价的，由评标委员会按照招标文件规定的金额进行修正。</w:t>
      </w:r>
    </w:p>
    <w:p w14:paraId="385394D0">
      <w:pPr>
        <w:numPr>
          <w:ilvl w:val="0"/>
          <w:numId w:val="12"/>
        </w:numPr>
        <w:spacing w:line="360" w:lineRule="auto"/>
        <w:rPr>
          <w:rFonts w:ascii="宋体" w:hAnsi="宋体"/>
          <w:color w:val="auto"/>
          <w:sz w:val="24"/>
          <w:szCs w:val="24"/>
          <w:highlight w:val="none"/>
        </w:rPr>
      </w:pPr>
      <w:r>
        <w:rPr>
          <w:rFonts w:hint="eastAsia" w:ascii="宋体" w:hAnsi="宋体"/>
          <w:color w:val="auto"/>
          <w:sz w:val="24"/>
          <w:szCs w:val="24"/>
          <w:highlight w:val="none"/>
        </w:rPr>
        <w:t>投标人按招标人提供的工程量清单并结合工程实际情况和自身实力进行报价，并填报综合单价和合价。每一子目只允许有一个报价，而且每一个子目必须报价，若投标人认为该项费用已含在其他项目中可以作零报价。任何有选择的报价将不予接受。投标人未填综合单价或合价的工程项目，在实施后，招标人将不予以支付，并视为该项费用已包括在其他有价款的综合单价或合价内。工程量清单所有的项目不得以负值进行报价。</w:t>
      </w:r>
    </w:p>
    <w:p w14:paraId="3ECCD993">
      <w:pPr>
        <w:numPr>
          <w:ilvl w:val="0"/>
          <w:numId w:val="12"/>
        </w:numPr>
        <w:spacing w:line="360" w:lineRule="auto"/>
        <w:rPr>
          <w:rFonts w:ascii="宋体" w:hAnsi="宋体"/>
          <w:color w:val="auto"/>
          <w:sz w:val="24"/>
          <w:szCs w:val="24"/>
          <w:highlight w:val="none"/>
        </w:rPr>
      </w:pPr>
      <w:r>
        <w:rPr>
          <w:rFonts w:hint="eastAsia" w:ascii="宋体" w:hAnsi="宋体"/>
          <w:color w:val="auto"/>
          <w:sz w:val="24"/>
          <w:szCs w:val="24"/>
          <w:highlight w:val="none"/>
        </w:rPr>
        <w:t>工程量清单应结合投标人须知、设计要求、技术规范及招标图纸及构成本招标文件其他组成文件同时阅读。投标人在报价前应仔细阅读招标文件中相关部分的内容以获得对该工程项目的充分和正确的理解。</w:t>
      </w:r>
    </w:p>
    <w:p w14:paraId="089AD5E8">
      <w:pPr>
        <w:numPr>
          <w:ilvl w:val="0"/>
          <w:numId w:val="12"/>
        </w:numPr>
        <w:spacing w:line="360" w:lineRule="auto"/>
        <w:rPr>
          <w:rFonts w:ascii="宋体" w:hAnsi="宋体"/>
          <w:color w:val="auto"/>
          <w:sz w:val="24"/>
          <w:szCs w:val="24"/>
          <w:highlight w:val="none"/>
        </w:rPr>
      </w:pPr>
      <w:r>
        <w:rPr>
          <w:rFonts w:hint="eastAsia" w:ascii="宋体" w:hAnsi="宋体"/>
          <w:color w:val="auto"/>
          <w:sz w:val="24"/>
          <w:szCs w:val="24"/>
          <w:highlight w:val="none"/>
        </w:rPr>
        <w:t>招标人提供的清单中的项目特征和工程内容应包括清单中的说明及招标图纸、主要材料、技术要求，工程量计算规则按本工程量清单说明的规定执行，如本工程量清单说明没明确规定的按现行清单计价办法的规定执行。</w:t>
      </w:r>
    </w:p>
    <w:p w14:paraId="4E949988">
      <w:pPr>
        <w:numPr>
          <w:ilvl w:val="0"/>
          <w:numId w:val="12"/>
        </w:numPr>
        <w:spacing w:line="360" w:lineRule="auto"/>
        <w:rPr>
          <w:rFonts w:ascii="宋体" w:hAnsi="宋体"/>
          <w:color w:val="auto"/>
          <w:sz w:val="24"/>
          <w:szCs w:val="24"/>
          <w:highlight w:val="none"/>
        </w:rPr>
      </w:pPr>
      <w:r>
        <w:rPr>
          <w:rFonts w:hint="eastAsia" w:ascii="宋体" w:hAnsi="宋体"/>
          <w:color w:val="auto"/>
          <w:sz w:val="24"/>
          <w:szCs w:val="24"/>
          <w:highlight w:val="none"/>
        </w:rPr>
        <w:t>措施项目工程项目均为综合合价包干项目。对于措施项目费，投标人应根据本企业拟采用的施工方案，详细分析其所含的工程内容，自行报价，投标人没有计算或少计算的费用，视为此费用已包含在其他相关费用内，额外的费用除招标文件或合同另有约定外，不予支付。</w:t>
      </w:r>
      <w:r>
        <w:rPr>
          <w:rFonts w:hint="eastAsia" w:ascii="宋体" w:hAnsi="宋体"/>
          <w:b/>
          <w:color w:val="auto"/>
          <w:sz w:val="24"/>
          <w:szCs w:val="24"/>
          <w:highlight w:val="none"/>
        </w:rPr>
        <w:t>投标人应充分考虑施工现场实际情况，考虑风险，发包人将不再另行支付由此而引起的费用增加。</w:t>
      </w:r>
    </w:p>
    <w:p w14:paraId="70CE4BF9">
      <w:pPr>
        <w:numPr>
          <w:ilvl w:val="0"/>
          <w:numId w:val="12"/>
        </w:numPr>
        <w:spacing w:line="360" w:lineRule="auto"/>
        <w:rPr>
          <w:rFonts w:ascii="宋体" w:hAnsi="宋体"/>
          <w:color w:val="auto"/>
          <w:sz w:val="24"/>
          <w:szCs w:val="24"/>
          <w:highlight w:val="none"/>
        </w:rPr>
      </w:pPr>
      <w:r>
        <w:rPr>
          <w:rFonts w:hint="eastAsia" w:ascii="宋体" w:hAnsi="宋体"/>
          <w:color w:val="auto"/>
          <w:sz w:val="24"/>
          <w:szCs w:val="24"/>
          <w:highlight w:val="none"/>
        </w:rPr>
        <w:t xml:space="preserve"> “安全防护、文明施工措施费”：指为确保安全施工或按有关行政管理部门与业主布置而采取的保障措施所发生的相关费用。包括：环境保护费、文明施工费、安全施工费、临时设施费、硬地施工、洗车槽、食堂、厕所等文明施工必须设施而需发生的各项费用，如中标人未能按照粤建管[2007]39号文、番建发[2006]41号文、穗建筑[2006]411号文、穗建质[2008]937号文、穗建质[2008]1008号文、《建筑施工安全检查标准》（JGJ59-99）及广州市人民政府令第62号（2012年）的有关规定实施，则由招标人另行委托队伍施工，其费用由中标人自行负责。</w:t>
      </w:r>
    </w:p>
    <w:p w14:paraId="10BE0A53">
      <w:pPr>
        <w:numPr>
          <w:ilvl w:val="0"/>
          <w:numId w:val="12"/>
        </w:numPr>
        <w:spacing w:line="360" w:lineRule="auto"/>
        <w:rPr>
          <w:rFonts w:ascii="宋体" w:hAnsi="宋体"/>
          <w:color w:val="auto"/>
          <w:sz w:val="24"/>
          <w:szCs w:val="24"/>
          <w:highlight w:val="none"/>
        </w:rPr>
      </w:pPr>
      <w:r>
        <w:rPr>
          <w:rFonts w:hint="eastAsia" w:ascii="宋体" w:hAnsi="宋体"/>
          <w:color w:val="auto"/>
          <w:sz w:val="24"/>
          <w:szCs w:val="24"/>
          <w:highlight w:val="none"/>
        </w:rPr>
        <w:t>预算包干费包括:施工雨(污)水的排除、地下水的排除；因地形影响造成的场内料具二次运输；工程用水加压措施；完工清场后的垃圾外运;材料堆放场地的整理；水电安装后的补洞工料费；工程成品、半成品的保护、照顾费；施工中的临时停电停水的应急措施；基础埋深2米以内挖土方的塌方；日间照明施工增加费。</w:t>
      </w:r>
    </w:p>
    <w:p w14:paraId="37F600F5">
      <w:pPr>
        <w:numPr>
          <w:ilvl w:val="0"/>
          <w:numId w:val="12"/>
        </w:numPr>
        <w:spacing w:line="360" w:lineRule="auto"/>
        <w:rPr>
          <w:rFonts w:ascii="宋体" w:hAnsi="宋体"/>
          <w:color w:val="auto"/>
          <w:sz w:val="24"/>
          <w:szCs w:val="24"/>
          <w:highlight w:val="none"/>
        </w:rPr>
      </w:pPr>
      <w:r>
        <w:rPr>
          <w:rFonts w:hint="eastAsia" w:ascii="宋体" w:hAnsi="宋体"/>
          <w:color w:val="auto"/>
          <w:sz w:val="24"/>
          <w:szCs w:val="24"/>
          <w:highlight w:val="none"/>
        </w:rPr>
        <w:t>试车费用、系统调试、联合调试费：单机运转及无负荷试车的费用含在综合单价中，由承包人承担。系统调试、联合调试费，以合价包干的形式含在投标报价中。</w:t>
      </w:r>
    </w:p>
    <w:p w14:paraId="69188C68">
      <w:pPr>
        <w:numPr>
          <w:ilvl w:val="0"/>
          <w:numId w:val="12"/>
        </w:numPr>
        <w:spacing w:line="360" w:lineRule="auto"/>
        <w:rPr>
          <w:rFonts w:ascii="宋体" w:hAnsi="宋体"/>
          <w:color w:val="auto"/>
          <w:sz w:val="24"/>
          <w:szCs w:val="24"/>
          <w:highlight w:val="none"/>
        </w:rPr>
      </w:pPr>
      <w:r>
        <w:rPr>
          <w:rFonts w:hint="eastAsia" w:ascii="宋体" w:hAnsi="宋体"/>
          <w:color w:val="auto"/>
          <w:sz w:val="24"/>
          <w:szCs w:val="24"/>
          <w:highlight w:val="none"/>
        </w:rPr>
        <w:t>“材料设备采购管理服务费”指发包人为方便工程的施工，避免因设备供货和质量影响施工进度和施工质量，对本工程的发包人提供或发包人确定由承包人提供材料设备进行招标，然后交施工单位保管及安装，施工单位必须根据施工进度计划和设计图纸制定详细的阶段性的设备材料供货计划给业主及发包人的设备供应商，并对此计划负责。施工单位可按有关部门规定收取施工合同中规定的（发包人提供或发包人确定由承包人提供）材料设备采购管理服务费。（若有的话）</w:t>
      </w:r>
    </w:p>
    <w:p w14:paraId="6B01D0E8">
      <w:pPr>
        <w:numPr>
          <w:ilvl w:val="0"/>
          <w:numId w:val="12"/>
        </w:numPr>
        <w:spacing w:line="360" w:lineRule="auto"/>
        <w:rPr>
          <w:rFonts w:ascii="宋体" w:hAnsi="宋体"/>
          <w:color w:val="auto"/>
          <w:sz w:val="24"/>
          <w:szCs w:val="24"/>
          <w:highlight w:val="none"/>
        </w:rPr>
      </w:pPr>
      <w:r>
        <w:rPr>
          <w:rFonts w:hint="eastAsia" w:ascii="宋体" w:hAnsi="宋体"/>
          <w:color w:val="auto"/>
          <w:sz w:val="24"/>
          <w:szCs w:val="24"/>
          <w:highlight w:val="none"/>
        </w:rPr>
        <w:t>施工总承包管理配合服务：即对发包人另外发包或发包人与承包人联合招标的其它专业工程以及发包人直接供应的材料设备实施总承包管理、协调、配合服务，总承包管理、协调、配合服务费由承包人在合同总价中综合考虑，发包人不另行支付，承包人也不能以任何理由向各专业工程承包人收取。具体内容详见招标文件、施工合同、工程量清单和招标图纸。</w:t>
      </w:r>
    </w:p>
    <w:p w14:paraId="400F3017">
      <w:pPr>
        <w:numPr>
          <w:ilvl w:val="0"/>
          <w:numId w:val="12"/>
        </w:numPr>
        <w:spacing w:line="360" w:lineRule="auto"/>
        <w:rPr>
          <w:rFonts w:ascii="宋体" w:hAnsi="宋体"/>
          <w:color w:val="auto"/>
          <w:sz w:val="24"/>
          <w:szCs w:val="24"/>
          <w:highlight w:val="none"/>
        </w:rPr>
      </w:pPr>
      <w:r>
        <w:rPr>
          <w:rFonts w:hint="eastAsia" w:ascii="宋体" w:hAnsi="宋体"/>
          <w:color w:val="auto"/>
          <w:sz w:val="24"/>
          <w:szCs w:val="24"/>
          <w:highlight w:val="none"/>
        </w:rPr>
        <w:t>在本合同专用条款中要求承包人负责的工作，但在工程量清单中没有列明的，承包人应在各综合单价中综合考虑并包含在内，发包人不另外支付。</w:t>
      </w:r>
    </w:p>
    <w:p w14:paraId="646EFB68">
      <w:pPr>
        <w:numPr>
          <w:ilvl w:val="0"/>
          <w:numId w:val="12"/>
        </w:numPr>
        <w:spacing w:line="360" w:lineRule="auto"/>
        <w:rPr>
          <w:rFonts w:ascii="宋体" w:hAnsi="宋体"/>
          <w:b/>
          <w:bCs/>
          <w:color w:val="auto"/>
          <w:sz w:val="24"/>
          <w:highlight w:val="none"/>
        </w:rPr>
      </w:pPr>
      <w:r>
        <w:rPr>
          <w:rFonts w:hint="eastAsia" w:ascii="宋体" w:hAnsi="宋体"/>
          <w:color w:val="auto"/>
          <w:sz w:val="24"/>
          <w:szCs w:val="24"/>
          <w:highlight w:val="none"/>
        </w:rPr>
        <w:t>投标人应认真核对图纸并复核清单的工程量及项目，如发现工程量清单与图纸内容不符，应在招标疑问收集期间提出质疑，并向招标人提出修正意见。承包人在招标疑问收集期间未对工程量清单提出质疑，即视为承包人对本项目清单中各单一子项工程量及清单中单一子项工程金额10万元以下（不含10万元）漏项的认可，若发生清单中单一子项工程金额达10万元及以上的漏项时，承包人须委托区财政局委托评审的社会中介机构或该工程原招标代理（或预算编制）单位复核并出具工程漏项清单报告以书面形式单列提出，在工程结算时由财政评审单位审核通过后，发包人与承包人按照评审结果各承担50%的比例予以调整。对于上述漏项，承包人需在第一次图纸会审会议（合同签订后15天内召开）中提出，逾期提出，发包人将不予受理。</w:t>
      </w:r>
    </w:p>
    <w:p w14:paraId="0EBD2E62">
      <w:pPr>
        <w:pStyle w:val="4"/>
        <w:spacing w:after="0" w:line="360" w:lineRule="auto"/>
        <w:ind w:left="-2" w:leftChars="-1" w:firstLine="960" w:firstLineChars="400"/>
        <w:rPr>
          <w:rFonts w:ascii="宋体"/>
          <w:color w:val="auto"/>
          <w:sz w:val="24"/>
          <w:highlight w:val="none"/>
        </w:rPr>
      </w:pPr>
    </w:p>
    <w:p w14:paraId="4B70DDD8">
      <w:pPr>
        <w:rPr>
          <w:color w:val="auto"/>
          <w:highlight w:val="none"/>
        </w:rPr>
      </w:pPr>
    </w:p>
    <w:p w14:paraId="536FD725">
      <w:pPr>
        <w:pStyle w:val="2"/>
        <w:rPr>
          <w:color w:val="auto"/>
          <w:highlight w:val="none"/>
        </w:rPr>
      </w:pPr>
    </w:p>
    <w:p w14:paraId="7433F8A1">
      <w:pPr>
        <w:pStyle w:val="2"/>
        <w:rPr>
          <w:rFonts w:ascii="宋体"/>
          <w:color w:val="auto"/>
          <w:highlight w:val="none"/>
        </w:rPr>
      </w:pPr>
      <w:r>
        <w:rPr>
          <w:color w:val="auto"/>
          <w:sz w:val="24"/>
          <w:szCs w:val="24"/>
          <w:highlight w:val="none"/>
        </w:rPr>
        <w:br w:type="page"/>
      </w:r>
      <w:bookmarkStart w:id="113" w:name="_Toc15621"/>
      <w:bookmarkStart w:id="114" w:name="_Toc27460"/>
      <w:r>
        <w:rPr>
          <w:rFonts w:hint="eastAsia"/>
          <w:color w:val="auto"/>
          <w:highlight w:val="none"/>
        </w:rPr>
        <w:t>第八章</w:t>
      </w:r>
      <w:r>
        <w:rPr>
          <w:color w:val="auto"/>
          <w:highlight w:val="none"/>
        </w:rPr>
        <w:t xml:space="preserve">  </w:t>
      </w:r>
      <w:r>
        <w:rPr>
          <w:rFonts w:hint="eastAsia"/>
          <w:color w:val="auto"/>
          <w:highlight w:val="none"/>
        </w:rPr>
        <w:t>最高投标限价</w:t>
      </w:r>
      <w:bookmarkEnd w:id="113"/>
      <w:bookmarkEnd w:id="114"/>
    </w:p>
    <w:p w14:paraId="39BAB64D">
      <w:pPr>
        <w:spacing w:line="360" w:lineRule="auto"/>
        <w:ind w:firstLine="480"/>
        <w:rPr>
          <w:rFonts w:ascii="宋体" w:hAnsi="宋体"/>
          <w:color w:val="auto"/>
          <w:sz w:val="24"/>
          <w:szCs w:val="24"/>
          <w:highlight w:val="none"/>
        </w:rPr>
      </w:pPr>
      <w:r>
        <w:rPr>
          <w:rFonts w:hint="eastAsia" w:ascii="宋体" w:hAnsi="宋体"/>
          <w:color w:val="auto"/>
          <w:sz w:val="24"/>
          <w:szCs w:val="24"/>
          <w:highlight w:val="none"/>
        </w:rPr>
        <w:t>招标人应当在发布招标文件时，公布最高投标限价的总价，分部分项工程费、措施项目费、其他项目费、规费和税金，以及绿色施工安全防护措施费、暂列金额等投标人不可竞争的固定报价。</w:t>
      </w:r>
    </w:p>
    <w:bookmarkEnd w:id="103"/>
    <w:bookmarkEnd w:id="104"/>
    <w:bookmarkEnd w:id="105"/>
    <w:bookmarkEnd w:id="106"/>
    <w:tbl>
      <w:tblPr>
        <w:tblStyle w:val="37"/>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14:paraId="35ECA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5" w:hRule="atLeast"/>
        </w:trPr>
        <w:tc>
          <w:tcPr>
            <w:tcW w:w="8528" w:type="dxa"/>
          </w:tcPr>
          <w:p w14:paraId="33574314">
            <w:pPr>
              <w:spacing w:line="600" w:lineRule="exact"/>
              <w:jc w:val="center"/>
              <w:rPr>
                <w:rFonts w:ascii="宋体" w:hAnsi="宋体"/>
                <w:b/>
                <w:color w:val="auto"/>
                <w:spacing w:val="60"/>
                <w:sz w:val="44"/>
                <w:szCs w:val="44"/>
                <w:highlight w:val="none"/>
              </w:rPr>
            </w:pPr>
            <w:r>
              <w:rPr>
                <w:rFonts w:hint="eastAsia" w:ascii="宋体" w:hAnsi="宋体"/>
                <w:b/>
                <w:color w:val="auto"/>
                <w:spacing w:val="60"/>
                <w:sz w:val="44"/>
                <w:szCs w:val="44"/>
                <w:highlight w:val="none"/>
              </w:rPr>
              <w:t>最高投标限价公布函</w:t>
            </w:r>
          </w:p>
          <w:p w14:paraId="3A81A30C">
            <w:pPr>
              <w:spacing w:line="600" w:lineRule="exact"/>
              <w:jc w:val="center"/>
              <w:rPr>
                <w:rFonts w:ascii="宋体" w:hAnsi="宋体"/>
                <w:b/>
                <w:color w:val="auto"/>
                <w:spacing w:val="60"/>
                <w:sz w:val="44"/>
                <w:szCs w:val="44"/>
                <w:highlight w:val="none"/>
              </w:rPr>
            </w:pPr>
            <w:r>
              <w:rPr>
                <w:rFonts w:hint="eastAsia" w:ascii="宋体" w:hAnsi="宋体"/>
                <w:b/>
                <w:color w:val="auto"/>
                <w:spacing w:val="60"/>
                <w:sz w:val="44"/>
                <w:szCs w:val="44"/>
                <w:highlight w:val="none"/>
              </w:rPr>
              <w:t>（参考格式）</w:t>
            </w:r>
          </w:p>
          <w:p w14:paraId="0475D5BF">
            <w:pPr>
              <w:spacing w:line="360" w:lineRule="auto"/>
              <w:rPr>
                <w:rFonts w:ascii="宋体" w:hAnsi="宋体"/>
                <w:color w:val="auto"/>
                <w:szCs w:val="21"/>
                <w:highlight w:val="none"/>
              </w:rPr>
            </w:pPr>
          </w:p>
          <w:p w14:paraId="6312D049">
            <w:pPr>
              <w:spacing w:line="360" w:lineRule="auto"/>
              <w:rPr>
                <w:rFonts w:ascii="宋体" w:hAnsi="宋体"/>
                <w:color w:val="auto"/>
                <w:sz w:val="24"/>
                <w:szCs w:val="24"/>
                <w:highlight w:val="none"/>
              </w:rPr>
            </w:pPr>
            <w:r>
              <w:rPr>
                <w:rFonts w:hint="eastAsia" w:ascii="宋体" w:hAnsi="宋体"/>
                <w:color w:val="auto"/>
                <w:sz w:val="24"/>
                <w:szCs w:val="24"/>
                <w:highlight w:val="none"/>
              </w:rPr>
              <w:t>工程名称：</w:t>
            </w:r>
            <w:r>
              <w:rPr>
                <w:rFonts w:hint="eastAsia" w:ascii="宋体" w:hAnsi="宋体"/>
                <w:color w:val="auto"/>
                <w:sz w:val="24"/>
                <w:szCs w:val="24"/>
                <w:highlight w:val="none"/>
                <w:u w:val="single"/>
              </w:rPr>
              <w:t xml:space="preserve">                                                            </w:t>
            </w:r>
          </w:p>
          <w:p w14:paraId="068B8DAD">
            <w:pPr>
              <w:spacing w:line="360" w:lineRule="auto"/>
              <w:rPr>
                <w:rFonts w:ascii="宋体" w:hAnsi="宋体"/>
                <w:color w:val="auto"/>
                <w:sz w:val="24"/>
                <w:szCs w:val="24"/>
                <w:highlight w:val="none"/>
              </w:rPr>
            </w:pPr>
            <w:r>
              <w:rPr>
                <w:rFonts w:hint="eastAsia" w:ascii="宋体" w:hAnsi="宋体"/>
                <w:color w:val="auto"/>
                <w:sz w:val="24"/>
                <w:szCs w:val="24"/>
                <w:highlight w:val="none"/>
              </w:rPr>
              <w:t>最高投标限价（元）：</w:t>
            </w:r>
            <w:r>
              <w:rPr>
                <w:rFonts w:hint="eastAsia" w:ascii="宋体" w:hAnsi="宋体"/>
                <w:color w:val="auto"/>
                <w:sz w:val="24"/>
                <w:szCs w:val="24"/>
                <w:highlight w:val="none"/>
                <w:u w:val="single"/>
              </w:rPr>
              <w:t xml:space="preserve">                                                   </w:t>
            </w:r>
          </w:p>
          <w:p w14:paraId="3FD0DB76">
            <w:pPr>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分部分项工程费（元）：</w:t>
            </w:r>
            <w:r>
              <w:rPr>
                <w:rFonts w:hint="eastAsia" w:ascii="宋体" w:hAnsi="宋体"/>
                <w:color w:val="auto"/>
                <w:sz w:val="24"/>
                <w:szCs w:val="24"/>
                <w:highlight w:val="none"/>
                <w:u w:val="single"/>
              </w:rPr>
              <w:t xml:space="preserve">                                             </w:t>
            </w:r>
          </w:p>
          <w:p w14:paraId="6CA64BCD">
            <w:pPr>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措施项目费（元）：</w:t>
            </w:r>
            <w:r>
              <w:rPr>
                <w:rFonts w:hint="eastAsia" w:ascii="宋体" w:hAnsi="宋体"/>
                <w:color w:val="auto"/>
                <w:sz w:val="24"/>
                <w:szCs w:val="24"/>
                <w:highlight w:val="none"/>
                <w:u w:val="single"/>
              </w:rPr>
              <w:t xml:space="preserve">                                                 </w:t>
            </w:r>
          </w:p>
          <w:p w14:paraId="65EAA920">
            <w:pPr>
              <w:spacing w:line="360" w:lineRule="auto"/>
              <w:ind w:firstLine="960" w:firstLineChars="400"/>
              <w:rPr>
                <w:rFonts w:ascii="宋体" w:hAnsi="宋体"/>
                <w:color w:val="auto"/>
                <w:sz w:val="24"/>
                <w:szCs w:val="24"/>
                <w:highlight w:val="none"/>
                <w:u w:val="single"/>
              </w:rPr>
            </w:pPr>
            <w:r>
              <w:rPr>
                <w:rFonts w:hint="eastAsia" w:ascii="宋体" w:hAnsi="宋体"/>
                <w:color w:val="auto"/>
                <w:sz w:val="24"/>
                <w:szCs w:val="24"/>
                <w:highlight w:val="none"/>
              </w:rPr>
              <w:t>其中绿色施工安全防护措施费（元）：</w:t>
            </w:r>
            <w:r>
              <w:rPr>
                <w:rFonts w:hint="eastAsia" w:ascii="宋体" w:hAnsi="宋体"/>
                <w:color w:val="auto"/>
                <w:sz w:val="24"/>
                <w:szCs w:val="24"/>
                <w:highlight w:val="none"/>
                <w:u w:val="single"/>
              </w:rPr>
              <w:t xml:space="preserve">                             </w:t>
            </w:r>
          </w:p>
          <w:p w14:paraId="1C18F516">
            <w:pPr>
              <w:spacing w:line="360" w:lineRule="auto"/>
              <w:ind w:firstLine="723" w:firstLineChars="300"/>
              <w:rPr>
                <w:rFonts w:ascii="宋体" w:hAnsi="宋体"/>
                <w:color w:val="auto"/>
                <w:sz w:val="24"/>
                <w:szCs w:val="24"/>
                <w:highlight w:val="none"/>
              </w:rPr>
            </w:pPr>
            <w:r>
              <w:rPr>
                <w:rFonts w:hint="eastAsia" w:ascii="宋体" w:hAnsi="宋体"/>
                <w:b/>
                <w:color w:val="auto"/>
                <w:sz w:val="24"/>
                <w:szCs w:val="24"/>
                <w:highlight w:val="none"/>
              </w:rPr>
              <w:t>（详细列明各专业工程绿色施工安全防护措施费）</w:t>
            </w:r>
          </w:p>
          <w:p w14:paraId="2588F427">
            <w:pPr>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其他项目费（元）：</w:t>
            </w:r>
            <w:r>
              <w:rPr>
                <w:rFonts w:hint="eastAsia" w:ascii="宋体" w:hAnsi="宋体"/>
                <w:color w:val="auto"/>
                <w:sz w:val="24"/>
                <w:szCs w:val="24"/>
                <w:highlight w:val="none"/>
                <w:u w:val="single"/>
              </w:rPr>
              <w:t xml:space="preserve">                                                 </w:t>
            </w:r>
          </w:p>
          <w:p w14:paraId="3B56B022">
            <w:pPr>
              <w:spacing w:line="360" w:lineRule="auto"/>
              <w:ind w:firstLine="960" w:firstLineChars="400"/>
              <w:rPr>
                <w:rFonts w:ascii="宋体" w:hAnsi="宋体"/>
                <w:color w:val="auto"/>
                <w:sz w:val="24"/>
                <w:szCs w:val="24"/>
                <w:highlight w:val="none"/>
                <w:u w:val="single"/>
              </w:rPr>
            </w:pPr>
            <w:r>
              <w:rPr>
                <w:rFonts w:hint="eastAsia" w:ascii="宋体" w:hAnsi="宋体"/>
                <w:color w:val="auto"/>
                <w:sz w:val="24"/>
                <w:szCs w:val="24"/>
                <w:highlight w:val="none"/>
              </w:rPr>
              <w:t>其中暂列金额（元）：</w:t>
            </w:r>
            <w:r>
              <w:rPr>
                <w:rFonts w:hint="eastAsia" w:ascii="宋体" w:hAnsi="宋体"/>
                <w:color w:val="auto"/>
                <w:sz w:val="24"/>
                <w:szCs w:val="24"/>
                <w:highlight w:val="none"/>
                <w:u w:val="single"/>
              </w:rPr>
              <w:t xml:space="preserve">                                           </w:t>
            </w:r>
          </w:p>
          <w:p w14:paraId="34C3EC15">
            <w:pPr>
              <w:spacing w:line="360" w:lineRule="auto"/>
              <w:ind w:firstLine="723" w:firstLineChars="300"/>
              <w:rPr>
                <w:rFonts w:ascii="宋体" w:hAnsi="宋体"/>
                <w:color w:val="auto"/>
                <w:sz w:val="24"/>
                <w:szCs w:val="24"/>
                <w:highlight w:val="none"/>
              </w:rPr>
            </w:pPr>
            <w:r>
              <w:rPr>
                <w:rFonts w:hint="eastAsia" w:ascii="宋体" w:hAnsi="宋体"/>
                <w:b/>
                <w:color w:val="auto"/>
                <w:sz w:val="24"/>
                <w:szCs w:val="24"/>
                <w:highlight w:val="none"/>
              </w:rPr>
              <w:t>（详细列明各专业工程暂列金额）</w:t>
            </w:r>
          </w:p>
          <w:p w14:paraId="654F9B62">
            <w:pPr>
              <w:spacing w:line="360" w:lineRule="auto"/>
              <w:ind w:firstLine="480" w:firstLineChars="200"/>
              <w:rPr>
                <w:rFonts w:ascii="宋体" w:hAnsi="宋体"/>
                <w:color w:val="auto"/>
                <w:sz w:val="24"/>
                <w:szCs w:val="24"/>
                <w:highlight w:val="none"/>
                <w:u w:val="single"/>
              </w:rPr>
            </w:pPr>
            <w:r>
              <w:rPr>
                <w:rFonts w:hint="eastAsia" w:ascii="宋体" w:hAnsi="宋体"/>
                <w:color w:val="auto"/>
                <w:sz w:val="24"/>
                <w:szCs w:val="24"/>
                <w:highlight w:val="none"/>
              </w:rPr>
              <w:t>规费（元）：</w:t>
            </w:r>
            <w:r>
              <w:rPr>
                <w:rFonts w:hint="eastAsia" w:ascii="宋体" w:hAnsi="宋体"/>
                <w:color w:val="auto"/>
                <w:sz w:val="24"/>
                <w:szCs w:val="24"/>
                <w:highlight w:val="none"/>
                <w:u w:val="single"/>
              </w:rPr>
              <w:t xml:space="preserve">                                                       </w:t>
            </w:r>
          </w:p>
          <w:p w14:paraId="21E036C1">
            <w:pPr>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税金（元）：</w:t>
            </w:r>
            <w:r>
              <w:rPr>
                <w:rFonts w:hint="eastAsia" w:ascii="宋体" w:hAnsi="宋体"/>
                <w:color w:val="auto"/>
                <w:sz w:val="24"/>
                <w:szCs w:val="24"/>
                <w:highlight w:val="none"/>
                <w:u w:val="single"/>
              </w:rPr>
              <w:t xml:space="preserve">                                                       </w:t>
            </w:r>
          </w:p>
          <w:p w14:paraId="4F81F9E4">
            <w:pPr>
              <w:widowControl/>
              <w:spacing w:before="75" w:after="75" w:line="360" w:lineRule="auto"/>
              <w:ind w:firstLine="480" w:firstLineChars="200"/>
              <w:jc w:val="left"/>
              <w:rPr>
                <w:rFonts w:ascii="宋体" w:hAnsi="宋体" w:cs="宋体"/>
                <w:color w:val="auto"/>
                <w:kern w:val="0"/>
                <w:sz w:val="24"/>
                <w:szCs w:val="24"/>
                <w:highlight w:val="none"/>
              </w:rPr>
            </w:pPr>
          </w:p>
          <w:p w14:paraId="2E142A3A">
            <w:pPr>
              <w:widowControl/>
              <w:spacing w:before="75" w:after="75" w:line="360" w:lineRule="auto"/>
              <w:ind w:firstLine="960" w:firstLineChars="4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对公开招标工程，</w:t>
            </w:r>
            <w:r>
              <w:rPr>
                <w:rFonts w:hint="eastAsia" w:ascii="宋体" w:hAnsi="宋体"/>
                <w:color w:val="auto"/>
                <w:sz w:val="24"/>
                <w:szCs w:val="24"/>
                <w:highlight w:val="none"/>
              </w:rPr>
              <w:t>投标人须按照公布的绿色施工安全防护措施费、</w:t>
            </w:r>
            <w:r>
              <w:rPr>
                <w:rFonts w:hint="eastAsia" w:ascii="宋体" w:hAnsi="宋体" w:cs="宋体"/>
                <w:color w:val="auto"/>
                <w:kern w:val="0"/>
                <w:sz w:val="24"/>
                <w:szCs w:val="24"/>
                <w:highlight w:val="none"/>
              </w:rPr>
              <w:t>暂</w:t>
            </w:r>
          </w:p>
          <w:p w14:paraId="736A3ED1">
            <w:pPr>
              <w:widowControl/>
              <w:spacing w:before="75" w:after="75" w:line="360" w:lineRule="auto"/>
              <w:ind w:firstLine="480" w:firstLineChars="200"/>
              <w:jc w:val="left"/>
              <w:rPr>
                <w:rFonts w:ascii="宋体" w:hAnsi="宋体" w:cs="宋体"/>
                <w:color w:val="auto"/>
                <w:kern w:val="0"/>
                <w:sz w:val="24"/>
                <w:szCs w:val="24"/>
                <w:highlight w:val="none"/>
              </w:rPr>
            </w:pPr>
            <w:r>
              <w:rPr>
                <w:rFonts w:hint="eastAsia" w:ascii="宋体" w:hAnsi="宋体" w:cs="宋体"/>
                <w:color w:val="auto"/>
                <w:kern w:val="0"/>
                <w:sz w:val="24"/>
                <w:szCs w:val="24"/>
                <w:highlight w:val="none"/>
              </w:rPr>
              <w:t>列金额报价。</w:t>
            </w:r>
          </w:p>
          <w:p w14:paraId="165224BB">
            <w:pPr>
              <w:widowControl/>
              <w:spacing w:before="75" w:after="75" w:line="360" w:lineRule="auto"/>
              <w:ind w:firstLine="5640" w:firstLineChars="2350"/>
              <w:jc w:val="left"/>
              <w:rPr>
                <w:rFonts w:ascii="宋体" w:hAnsi="宋体"/>
                <w:b/>
                <w:color w:val="auto"/>
                <w:spacing w:val="60"/>
                <w:sz w:val="24"/>
                <w:szCs w:val="24"/>
                <w:highlight w:val="none"/>
              </w:rPr>
            </w:pPr>
            <w:r>
              <w:rPr>
                <w:rFonts w:hint="eastAsia" w:ascii="宋体" w:hAnsi="宋体"/>
                <w:color w:val="auto"/>
                <w:sz w:val="24"/>
                <w:szCs w:val="24"/>
                <w:highlight w:val="none"/>
              </w:rPr>
              <w:t>招标单位（盖章）</w:t>
            </w:r>
            <w:r>
              <w:rPr>
                <w:rFonts w:hint="eastAsia" w:ascii="宋体" w:hAnsi="宋体"/>
                <w:b/>
                <w:color w:val="auto"/>
                <w:spacing w:val="60"/>
                <w:sz w:val="24"/>
                <w:szCs w:val="24"/>
                <w:highlight w:val="none"/>
              </w:rPr>
              <w:t xml:space="preserve">              </w:t>
            </w:r>
          </w:p>
          <w:p w14:paraId="34F96B95">
            <w:pPr>
              <w:widowControl/>
              <w:spacing w:before="75" w:after="75" w:line="360" w:lineRule="auto"/>
              <w:ind w:firstLine="5880" w:firstLineChars="2450"/>
              <w:jc w:val="left"/>
              <w:rPr>
                <w:rFonts w:ascii="宋体" w:hAnsi="宋体"/>
                <w:b/>
                <w:color w:val="auto"/>
                <w:spacing w:val="60"/>
                <w:sz w:val="44"/>
                <w:szCs w:val="44"/>
                <w:highlight w:val="none"/>
              </w:rPr>
            </w:pPr>
            <w:r>
              <w:rPr>
                <w:rFonts w:hint="eastAsia" w:ascii="宋体" w:hAnsi="宋体" w:cs="宋体"/>
                <w:color w:val="auto"/>
                <w:kern w:val="0"/>
                <w:sz w:val="24"/>
                <w:szCs w:val="24"/>
                <w:highlight w:val="none"/>
              </w:rPr>
              <w:t>年</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月</w:t>
            </w:r>
            <w:r>
              <w:rPr>
                <w:rFonts w:ascii="宋体" w:hAnsi="宋体" w:cs="宋体"/>
                <w:color w:val="auto"/>
                <w:kern w:val="0"/>
                <w:sz w:val="24"/>
                <w:szCs w:val="24"/>
                <w:highlight w:val="none"/>
              </w:rPr>
              <w:t xml:space="preserve">  </w:t>
            </w:r>
            <w:r>
              <w:rPr>
                <w:rFonts w:hint="eastAsia" w:ascii="宋体" w:hAnsi="宋体" w:cs="宋体"/>
                <w:color w:val="auto"/>
                <w:kern w:val="0"/>
                <w:sz w:val="24"/>
                <w:szCs w:val="24"/>
                <w:highlight w:val="none"/>
              </w:rPr>
              <w:t>日</w:t>
            </w:r>
          </w:p>
        </w:tc>
      </w:tr>
    </w:tbl>
    <w:p w14:paraId="2A401DC5">
      <w:pPr>
        <w:spacing w:line="360" w:lineRule="auto"/>
        <w:ind w:firstLine="480"/>
        <w:rPr>
          <w:rFonts w:ascii="宋体" w:hAnsi="宋体"/>
          <w:color w:val="auto"/>
          <w:sz w:val="24"/>
          <w:szCs w:val="24"/>
          <w:highlight w:val="none"/>
          <w:u w:val="single"/>
        </w:rPr>
      </w:pPr>
    </w:p>
    <w:p w14:paraId="47AAD4B7">
      <w:pPr>
        <w:rPr>
          <w:color w:val="auto"/>
          <w:highlight w:val="none"/>
        </w:rPr>
      </w:pPr>
    </w:p>
    <w:p w14:paraId="3343B06D">
      <w:pPr>
        <w:pStyle w:val="21"/>
        <w:rPr>
          <w:color w:val="auto"/>
          <w:sz w:val="36"/>
          <w:highlight w:val="none"/>
          <w:u w:val="single"/>
        </w:rPr>
      </w:pPr>
    </w:p>
    <w:sectPr>
      <w:headerReference r:id="rId18" w:type="default"/>
      <w:footerReference r:id="rId19"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楷体_GB2312">
    <w:altName w:val="宋体"/>
    <w:panose1 w:val="02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5FA8F">
    <w:pPr>
      <w:pStyle w:val="26"/>
      <w:ind w:firstLine="392"/>
      <w:jc w:val="center"/>
      <w:rPr>
        <w:rStyle w:val="4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C75131">
                          <w:pPr>
                            <w:pStyle w:val="26"/>
                            <w:ind w:firstLine="392"/>
                            <w:jc w:val="center"/>
                          </w:pPr>
                        </w:p>
                        <w:p w14:paraId="55B755BB"/>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8C75131">
                    <w:pPr>
                      <w:pStyle w:val="26"/>
                      <w:ind w:firstLine="392"/>
                      <w:jc w:val="center"/>
                    </w:pPr>
                  </w:p>
                  <w:p w14:paraId="55B755BB"/>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E8022">
    <w:pPr>
      <w:pStyle w:val="26"/>
      <w:ind w:right="360" w:firstLine="360"/>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9F5E13">
                          <w:pPr>
                            <w:pStyle w:val="26"/>
                            <w:jc w:val="center"/>
                            <w:rPr>
                              <w:rStyle w:val="42"/>
                            </w:rPr>
                          </w:pPr>
                          <w:r>
                            <w:rPr>
                              <w:rStyle w:val="42"/>
                            </w:rPr>
                            <w:fldChar w:fldCharType="begin"/>
                          </w:r>
                          <w:r>
                            <w:rPr>
                              <w:rStyle w:val="42"/>
                            </w:rPr>
                            <w:instrText xml:space="preserve">PAGE  </w:instrText>
                          </w:r>
                          <w:r>
                            <w:rPr>
                              <w:rStyle w:val="42"/>
                            </w:rPr>
                            <w:fldChar w:fldCharType="separate"/>
                          </w:r>
                          <w:r>
                            <w:rPr>
                              <w:rStyle w:val="42"/>
                            </w:rPr>
                            <w:t>74</w:t>
                          </w:r>
                          <w:r>
                            <w:rPr>
                              <w:rStyle w:val="42"/>
                            </w:rPr>
                            <w:fldChar w:fldCharType="end"/>
                          </w:r>
                        </w:p>
                        <w:p w14:paraId="4C2FE61C">
                          <w:pPr>
                            <w:pStyle w:val="26"/>
                            <w:ind w:left="-4410" w:leftChars="-2100" w:right="-4439" w:rightChars="-2114"/>
                            <w:rPr>
                              <w:rStyle w:val="42"/>
                            </w:rPr>
                          </w:pPr>
                        </w:p>
                        <w:p w14:paraId="4661E4F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19F5E13">
                    <w:pPr>
                      <w:pStyle w:val="26"/>
                      <w:jc w:val="center"/>
                      <w:rPr>
                        <w:rStyle w:val="42"/>
                      </w:rPr>
                    </w:pPr>
                    <w:r>
                      <w:rPr>
                        <w:rStyle w:val="42"/>
                      </w:rPr>
                      <w:fldChar w:fldCharType="begin"/>
                    </w:r>
                    <w:r>
                      <w:rPr>
                        <w:rStyle w:val="42"/>
                      </w:rPr>
                      <w:instrText xml:space="preserve">PAGE  </w:instrText>
                    </w:r>
                    <w:r>
                      <w:rPr>
                        <w:rStyle w:val="42"/>
                      </w:rPr>
                      <w:fldChar w:fldCharType="separate"/>
                    </w:r>
                    <w:r>
                      <w:rPr>
                        <w:rStyle w:val="42"/>
                      </w:rPr>
                      <w:t>74</w:t>
                    </w:r>
                    <w:r>
                      <w:rPr>
                        <w:rStyle w:val="42"/>
                      </w:rPr>
                      <w:fldChar w:fldCharType="end"/>
                    </w:r>
                  </w:p>
                  <w:p w14:paraId="4C2FE61C">
                    <w:pPr>
                      <w:pStyle w:val="26"/>
                      <w:ind w:left="-4410" w:leftChars="-2100" w:right="-4439" w:rightChars="-2114"/>
                      <w:rPr>
                        <w:rStyle w:val="42"/>
                      </w:rPr>
                    </w:pPr>
                  </w:p>
                  <w:p w14:paraId="4661E4F0"/>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DBCCA3">
    <w:pPr>
      <w:pStyle w:val="26"/>
      <w:ind w:firstLine="392"/>
      <w:rPr>
        <w:rStyle w:val="42"/>
      </w:rPr>
    </w:pPr>
    <w:r>
      <w:rPr>
        <w:rStyle w:val="42"/>
      </w:rPr>
      <w:fldChar w:fldCharType="begin"/>
    </w:r>
    <w:r>
      <w:rPr>
        <w:rStyle w:val="42"/>
      </w:rPr>
      <w:instrText xml:space="preserve">PAGE  </w:instrText>
    </w:r>
    <w:r>
      <w:rPr>
        <w:rStyle w:val="42"/>
      </w:rPr>
      <w:fldChar w:fldCharType="separate"/>
    </w:r>
    <w:r>
      <w:rPr>
        <w:rStyle w:val="42"/>
        <w:rFonts w:hint="eastAsia"/>
      </w:rPr>
      <w:t>一</w:t>
    </w:r>
    <w:r>
      <w:rPr>
        <w:rStyle w:val="42"/>
      </w:rPr>
      <w:t>–2</w:t>
    </w:r>
    <w:r>
      <w:rPr>
        <w:rStyle w:val="42"/>
      </w:rPr>
      <w:fldChar w:fldCharType="end"/>
    </w:r>
  </w:p>
  <w:p w14:paraId="1C7DC50C">
    <w:pPr>
      <w:pStyle w:val="26"/>
      <w:ind w:firstLine="392"/>
    </w:pPr>
    <w:r>
      <w:rPr>
        <w:kern w:val="0"/>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5F20F">
    <w:pPr>
      <w:pStyle w:val="26"/>
      <w:ind w:firstLine="392"/>
      <w:jc w:val="both"/>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D863ED">
                          <w:pPr>
                            <w:pStyle w:val="26"/>
                            <w:ind w:firstLine="392"/>
                            <w:jc w:val="both"/>
                          </w:pPr>
                          <w:r>
                            <w:rPr>
                              <w:rStyle w:val="42"/>
                            </w:rPr>
                            <w:fldChar w:fldCharType="begin"/>
                          </w:r>
                          <w:r>
                            <w:rPr>
                              <w:rStyle w:val="42"/>
                            </w:rPr>
                            <w:instrText xml:space="preserve"> PAGE </w:instrText>
                          </w:r>
                          <w:r>
                            <w:rPr>
                              <w:rStyle w:val="42"/>
                            </w:rPr>
                            <w:fldChar w:fldCharType="separate"/>
                          </w:r>
                          <w:r>
                            <w:rPr>
                              <w:rStyle w:val="42"/>
                            </w:rPr>
                            <w:t>52</w:t>
                          </w:r>
                          <w:r>
                            <w:rPr>
                              <w:rStyle w:val="4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3CD863ED">
                    <w:pPr>
                      <w:pStyle w:val="26"/>
                      <w:ind w:firstLine="392"/>
                      <w:jc w:val="both"/>
                    </w:pPr>
                    <w:r>
                      <w:rPr>
                        <w:rStyle w:val="42"/>
                      </w:rPr>
                      <w:fldChar w:fldCharType="begin"/>
                    </w:r>
                    <w:r>
                      <w:rPr>
                        <w:rStyle w:val="42"/>
                      </w:rPr>
                      <w:instrText xml:space="preserve"> PAGE </w:instrText>
                    </w:r>
                    <w:r>
                      <w:rPr>
                        <w:rStyle w:val="42"/>
                      </w:rPr>
                      <w:fldChar w:fldCharType="separate"/>
                    </w:r>
                    <w:r>
                      <w:rPr>
                        <w:rStyle w:val="42"/>
                      </w:rPr>
                      <w:t>52</w:t>
                    </w:r>
                    <w:r>
                      <w:rPr>
                        <w:rStyle w:val="42"/>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01B178">
    <w:pPr>
      <w:pStyle w:val="26"/>
      <w:ind w:firstLine="392"/>
      <w:jc w:val="center"/>
      <w:rPr>
        <w:rStyle w:val="4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103DE9">
                          <w:pPr>
                            <w:pStyle w:val="2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44103DE9">
                    <w:pPr>
                      <w:pStyle w:val="2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5BB65">
    <w:pPr>
      <w:pStyle w:val="26"/>
      <w:ind w:firstLine="392"/>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BDD86C">
                          <w:pPr>
                            <w:pStyle w:val="26"/>
                            <w:ind w:firstLine="392"/>
                            <w:jc w:val="center"/>
                          </w:pPr>
                          <w:r>
                            <w:rPr>
                              <w:rStyle w:val="42"/>
                            </w:rPr>
                            <w:fldChar w:fldCharType="begin"/>
                          </w:r>
                          <w:r>
                            <w:rPr>
                              <w:rStyle w:val="42"/>
                            </w:rPr>
                            <w:instrText xml:space="preserve"> PAGE </w:instrText>
                          </w:r>
                          <w:r>
                            <w:rPr>
                              <w:rStyle w:val="42"/>
                            </w:rPr>
                            <w:fldChar w:fldCharType="separate"/>
                          </w:r>
                          <w:r>
                            <w:rPr>
                              <w:rStyle w:val="42"/>
                            </w:rPr>
                            <w:t>52</w:t>
                          </w:r>
                          <w:r>
                            <w:rPr>
                              <w:rStyle w:val="4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7BDD86C">
                    <w:pPr>
                      <w:pStyle w:val="26"/>
                      <w:ind w:firstLine="392"/>
                      <w:jc w:val="center"/>
                    </w:pPr>
                    <w:r>
                      <w:rPr>
                        <w:rStyle w:val="42"/>
                      </w:rPr>
                      <w:fldChar w:fldCharType="begin"/>
                    </w:r>
                    <w:r>
                      <w:rPr>
                        <w:rStyle w:val="42"/>
                      </w:rPr>
                      <w:instrText xml:space="preserve"> PAGE </w:instrText>
                    </w:r>
                    <w:r>
                      <w:rPr>
                        <w:rStyle w:val="42"/>
                      </w:rPr>
                      <w:fldChar w:fldCharType="separate"/>
                    </w:r>
                    <w:r>
                      <w:rPr>
                        <w:rStyle w:val="42"/>
                      </w:rPr>
                      <w:t>52</w:t>
                    </w:r>
                    <w:r>
                      <w:rPr>
                        <w:rStyle w:val="42"/>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27D427">
    <w:pPr>
      <w:pStyle w:val="26"/>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0886C9">
                          <w:pPr>
                            <w:pStyle w:val="26"/>
                            <w:jc w:val="center"/>
                            <w:rPr>
                              <w:rStyle w:val="42"/>
                            </w:rPr>
                          </w:pPr>
                          <w:r>
                            <w:rPr>
                              <w:rStyle w:val="42"/>
                            </w:rPr>
                            <w:fldChar w:fldCharType="begin"/>
                          </w:r>
                          <w:r>
                            <w:rPr>
                              <w:rStyle w:val="42"/>
                            </w:rPr>
                            <w:instrText xml:space="preserve">PAGE  </w:instrText>
                          </w:r>
                          <w:r>
                            <w:rPr>
                              <w:rStyle w:val="42"/>
                            </w:rPr>
                            <w:fldChar w:fldCharType="separate"/>
                          </w:r>
                          <w:r>
                            <w:rPr>
                              <w:rStyle w:val="42"/>
                            </w:rPr>
                            <w:t>74</w:t>
                          </w:r>
                          <w:r>
                            <w:rPr>
                              <w:rStyle w:val="42"/>
                            </w:rPr>
                            <w:fldChar w:fldCharType="end"/>
                          </w:r>
                        </w:p>
                        <w:p w14:paraId="3B6812E5">
                          <w:pPr>
                            <w:pStyle w:val="26"/>
                            <w:ind w:left="-4410" w:leftChars="-2100" w:right="-4439" w:rightChars="-2114"/>
                            <w:rPr>
                              <w:rStyle w:val="42"/>
                            </w:rPr>
                          </w:pPr>
                        </w:p>
                        <w:p w14:paraId="2217E87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40886C9">
                    <w:pPr>
                      <w:pStyle w:val="26"/>
                      <w:jc w:val="center"/>
                      <w:rPr>
                        <w:rStyle w:val="42"/>
                      </w:rPr>
                    </w:pPr>
                    <w:r>
                      <w:rPr>
                        <w:rStyle w:val="42"/>
                      </w:rPr>
                      <w:fldChar w:fldCharType="begin"/>
                    </w:r>
                    <w:r>
                      <w:rPr>
                        <w:rStyle w:val="42"/>
                      </w:rPr>
                      <w:instrText xml:space="preserve">PAGE  </w:instrText>
                    </w:r>
                    <w:r>
                      <w:rPr>
                        <w:rStyle w:val="42"/>
                      </w:rPr>
                      <w:fldChar w:fldCharType="separate"/>
                    </w:r>
                    <w:r>
                      <w:rPr>
                        <w:rStyle w:val="42"/>
                      </w:rPr>
                      <w:t>74</w:t>
                    </w:r>
                    <w:r>
                      <w:rPr>
                        <w:rStyle w:val="42"/>
                      </w:rPr>
                      <w:fldChar w:fldCharType="end"/>
                    </w:r>
                  </w:p>
                  <w:p w14:paraId="3B6812E5">
                    <w:pPr>
                      <w:pStyle w:val="26"/>
                      <w:ind w:left="-4410" w:leftChars="-2100" w:right="-4439" w:rightChars="-2114"/>
                      <w:rPr>
                        <w:rStyle w:val="42"/>
                      </w:rPr>
                    </w:pPr>
                  </w:p>
                  <w:p w14:paraId="2217E874"/>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AEF7EF">
    <w:pPr>
      <w:pStyle w:val="26"/>
      <w:framePr w:wrap="around" w:vAnchor="text" w:hAnchor="margin" w:xAlign="outside" w:y="1"/>
      <w:rPr>
        <w:rStyle w:val="42"/>
      </w:rPr>
    </w:pPr>
    <w:r>
      <w:rPr>
        <w:rStyle w:val="42"/>
      </w:rPr>
      <w:fldChar w:fldCharType="begin"/>
    </w:r>
    <w:r>
      <w:rPr>
        <w:rStyle w:val="42"/>
      </w:rPr>
      <w:instrText xml:space="preserve">PAGE  </w:instrText>
    </w:r>
    <w:r>
      <w:rPr>
        <w:rStyle w:val="42"/>
      </w:rPr>
      <w:fldChar w:fldCharType="separate"/>
    </w:r>
    <w:r>
      <w:rPr>
        <w:rStyle w:val="42"/>
        <w:rFonts w:hint="eastAsia"/>
      </w:rPr>
      <w:t>一</w:t>
    </w:r>
    <w:r>
      <w:rPr>
        <w:rStyle w:val="42"/>
      </w:rPr>
      <w:t>–2</w:t>
    </w:r>
    <w:r>
      <w:rPr>
        <w:rStyle w:val="42"/>
      </w:rPr>
      <w:fldChar w:fldCharType="end"/>
    </w:r>
  </w:p>
  <w:p w14:paraId="13F9841D">
    <w:pPr>
      <w:pStyle w:val="26"/>
      <w:ind w:right="360" w:firstLine="360"/>
      <w:jc w:val="center"/>
    </w:pPr>
    <w:r>
      <w:rPr>
        <w:kern w:val="0"/>
        <w:sz w:val="20"/>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69DF64">
    <w:pPr>
      <w:pStyle w:val="26"/>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C3B981">
                          <w:pPr>
                            <w:pStyle w:val="26"/>
                            <w:jc w:val="center"/>
                          </w:pPr>
                          <w:r>
                            <w:rPr>
                              <w:rStyle w:val="42"/>
                            </w:rPr>
                            <w:fldChar w:fldCharType="begin"/>
                          </w:r>
                          <w:r>
                            <w:rPr>
                              <w:rStyle w:val="42"/>
                            </w:rPr>
                            <w:instrText xml:space="preserve"> PAGE </w:instrText>
                          </w:r>
                          <w:r>
                            <w:rPr>
                              <w:rStyle w:val="42"/>
                            </w:rPr>
                            <w:fldChar w:fldCharType="separate"/>
                          </w:r>
                          <w:r>
                            <w:rPr>
                              <w:rStyle w:val="42"/>
                            </w:rPr>
                            <w:t>55</w:t>
                          </w:r>
                          <w:r>
                            <w:rPr>
                              <w:rStyle w:val="42"/>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4C3B981">
                    <w:pPr>
                      <w:pStyle w:val="26"/>
                      <w:jc w:val="center"/>
                    </w:pPr>
                    <w:r>
                      <w:rPr>
                        <w:rStyle w:val="42"/>
                      </w:rPr>
                      <w:fldChar w:fldCharType="begin"/>
                    </w:r>
                    <w:r>
                      <w:rPr>
                        <w:rStyle w:val="42"/>
                      </w:rPr>
                      <w:instrText xml:space="preserve"> PAGE </w:instrText>
                    </w:r>
                    <w:r>
                      <w:rPr>
                        <w:rStyle w:val="42"/>
                      </w:rPr>
                      <w:fldChar w:fldCharType="separate"/>
                    </w:r>
                    <w:r>
                      <w:rPr>
                        <w:rStyle w:val="42"/>
                      </w:rPr>
                      <w:t>55</w:t>
                    </w:r>
                    <w:r>
                      <w:rPr>
                        <w:rStyle w:val="42"/>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0F011">
    <w:pPr>
      <w:pStyle w:val="2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CC7C337">
                          <w:pPr>
                            <w:pStyle w:val="26"/>
                            <w:rPr>
                              <w:rStyle w:val="42"/>
                            </w:rPr>
                          </w:pPr>
                          <w:r>
                            <w:fldChar w:fldCharType="begin"/>
                          </w:r>
                          <w:r>
                            <w:rPr>
                              <w:rStyle w:val="42"/>
                            </w:rPr>
                            <w:instrText xml:space="preserve">PAGE  </w:instrText>
                          </w:r>
                          <w:r>
                            <w:fldChar w:fldCharType="separate"/>
                          </w:r>
                          <w:r>
                            <w:rPr>
                              <w:rStyle w:val="42"/>
                            </w:rPr>
                            <w:t>91</w:t>
                          </w:r>
                          <w:r>
                            <w:fldChar w:fldCharType="end"/>
                          </w:r>
                        </w:p>
                        <w:p w14:paraId="3C1E2A3B"/>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2CC7C337">
                    <w:pPr>
                      <w:pStyle w:val="26"/>
                      <w:rPr>
                        <w:rStyle w:val="42"/>
                      </w:rPr>
                    </w:pPr>
                    <w:r>
                      <w:fldChar w:fldCharType="begin"/>
                    </w:r>
                    <w:r>
                      <w:rPr>
                        <w:rStyle w:val="42"/>
                      </w:rPr>
                      <w:instrText xml:space="preserve">PAGE  </w:instrText>
                    </w:r>
                    <w:r>
                      <w:fldChar w:fldCharType="separate"/>
                    </w:r>
                    <w:r>
                      <w:rPr>
                        <w:rStyle w:val="42"/>
                      </w:rPr>
                      <w:t>91</w:t>
                    </w:r>
                    <w:r>
                      <w:fldChar w:fldCharType="end"/>
                    </w:r>
                  </w:p>
                  <w:p w14:paraId="3C1E2A3B"/>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DFAA34">
    <w:pPr>
      <w:pStyle w:val="27"/>
      <w:ind w:firstLine="39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9013A">
    <w:pPr>
      <w:pStyle w:val="27"/>
      <w:ind w:firstLine="392"/>
    </w:pPr>
    <w:r>
      <w:rPr>
        <w:rFonts w:hint="eastAsia"/>
      </w:rPr>
      <w:t>横枝岗路道路排水改造工程招标文件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255C3">
    <w:pPr>
      <w:pStyle w:val="27"/>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DBBE4">
    <w:pPr>
      <w:pStyle w:val="27"/>
      <w:pBdr>
        <w:bottom w:val="none" w:color="auto" w:sz="0" w:space="0"/>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1BC43C">
    <w:pPr>
      <w:pStyle w:val="27"/>
      <w:jc w:val="right"/>
      <w:rPr>
        <w:i/>
        <w:iCs/>
      </w:rPr>
    </w:pPr>
    <w:r>
      <w:rPr>
        <w:rFonts w:hint="eastAsia"/>
        <w:i/>
        <w:iCs/>
      </w:rPr>
      <w:t>横枝岗路道路排水改造工程招标文件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133D5">
    <w:pPr>
      <w:pStyle w:val="27"/>
      <w:pBdr>
        <w:bottom w:val="none" w:color="auto" w:sz="0" w:space="0"/>
      </w:pBdr>
      <w:jc w:val="right"/>
      <w:rPr>
        <w:i/>
        <w:iC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F2DC84">
    <w:pPr>
      <w:pStyle w:val="27"/>
      <w:pBdr>
        <w:bottom w:val="none" w:color="auto" w:sz="0" w:space="0"/>
      </w:pBd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98F24C"/>
    <w:multiLevelType w:val="singleLevel"/>
    <w:tmpl w:val="8798F24C"/>
    <w:lvl w:ilvl="0" w:tentative="0">
      <w:start w:val="1"/>
      <w:numFmt w:val="decimal"/>
      <w:suff w:val="nothing"/>
      <w:lvlText w:val="%1、"/>
      <w:lvlJc w:val="left"/>
    </w:lvl>
  </w:abstractNum>
  <w:abstractNum w:abstractNumId="1">
    <w:nsid w:val="E70D7EBD"/>
    <w:multiLevelType w:val="singleLevel"/>
    <w:tmpl w:val="E70D7EBD"/>
    <w:lvl w:ilvl="0" w:tentative="0">
      <w:start w:val="27"/>
      <w:numFmt w:val="decimal"/>
      <w:suff w:val="nothing"/>
      <w:lvlText w:val="%1．"/>
      <w:lvlJc w:val="left"/>
    </w:lvl>
  </w:abstractNum>
  <w:abstractNum w:abstractNumId="2">
    <w:nsid w:val="E978D6AA"/>
    <w:multiLevelType w:val="singleLevel"/>
    <w:tmpl w:val="E978D6AA"/>
    <w:lvl w:ilvl="0" w:tentative="0">
      <w:start w:val="1"/>
      <w:numFmt w:val="decimal"/>
      <w:suff w:val="nothing"/>
      <w:lvlText w:val="（%1）"/>
      <w:lvlJc w:val="left"/>
    </w:lvl>
  </w:abstractNum>
  <w:abstractNum w:abstractNumId="3">
    <w:nsid w:val="E998A4BE"/>
    <w:multiLevelType w:val="singleLevel"/>
    <w:tmpl w:val="E998A4BE"/>
    <w:lvl w:ilvl="0" w:tentative="0">
      <w:start w:val="32"/>
      <w:numFmt w:val="decimal"/>
      <w:suff w:val="space"/>
      <w:lvlText w:val="%1."/>
      <w:lvlJc w:val="left"/>
    </w:lvl>
  </w:abstractNum>
  <w:abstractNum w:abstractNumId="4">
    <w:nsid w:val="0000000D"/>
    <w:multiLevelType w:val="multilevel"/>
    <w:tmpl w:val="0000000D"/>
    <w:lvl w:ilvl="0" w:tentative="0">
      <w:start w:val="1"/>
      <w:numFmt w:val="japaneseCounting"/>
      <w:lvlText w:val="%1、"/>
      <w:lvlJc w:val="left"/>
      <w:pPr>
        <w:tabs>
          <w:tab w:val="left" w:pos="1260"/>
        </w:tabs>
        <w:ind w:left="1260" w:hanging="720"/>
      </w:pPr>
      <w:rPr>
        <w:rFonts w:hint="default"/>
      </w:rPr>
    </w:lvl>
    <w:lvl w:ilvl="1" w:tentative="0">
      <w:start w:val="1"/>
      <w:numFmt w:val="lowerLetter"/>
      <w:lvlText w:val="%2)"/>
      <w:lvlJc w:val="left"/>
      <w:pPr>
        <w:tabs>
          <w:tab w:val="left" w:pos="1380"/>
        </w:tabs>
        <w:ind w:left="1380" w:hanging="420"/>
      </w:pPr>
    </w:lvl>
    <w:lvl w:ilvl="2" w:tentative="0">
      <w:start w:val="1"/>
      <w:numFmt w:val="lowerRoman"/>
      <w:lvlText w:val="%3."/>
      <w:lvlJc w:val="right"/>
      <w:pPr>
        <w:tabs>
          <w:tab w:val="left" w:pos="1800"/>
        </w:tabs>
        <w:ind w:left="1800" w:hanging="420"/>
      </w:p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abstractNum w:abstractNumId="5">
    <w:nsid w:val="0000000E"/>
    <w:multiLevelType w:val="multilevel"/>
    <w:tmpl w:val="0000000E"/>
    <w:lvl w:ilvl="0" w:tentative="0">
      <w:start w:val="1"/>
      <w:numFmt w:val="japaneseCounting"/>
      <w:lvlText w:val="%1、"/>
      <w:lvlJc w:val="left"/>
      <w:pPr>
        <w:tabs>
          <w:tab w:val="left" w:pos="570"/>
        </w:tabs>
        <w:ind w:left="570" w:hanging="570"/>
      </w:pPr>
      <w:rPr>
        <w:rFonts w:hint="eastAsia" w:ascii="仿宋_GB2312" w:hAnsi="宋体" w:eastAsia="仿宋_GB2312"/>
        <w:b w:val="0"/>
        <w:color w:val="auto"/>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22607BF1"/>
    <w:multiLevelType w:val="multilevel"/>
    <w:tmpl w:val="22607BF1"/>
    <w:lvl w:ilvl="0" w:tentative="0">
      <w:start w:val="1"/>
      <w:numFmt w:val="decimal"/>
      <w:lvlText w:val="（%1）"/>
      <w:lvlJc w:val="left"/>
      <w:pPr>
        <w:ind w:left="1080" w:hanging="720"/>
      </w:pPr>
      <w:rPr>
        <w:rFonts w:hint="default"/>
        <w:color w:val="000000"/>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7">
    <w:nsid w:val="259905B5"/>
    <w:multiLevelType w:val="multilevel"/>
    <w:tmpl w:val="259905B5"/>
    <w:lvl w:ilvl="0" w:tentative="0">
      <w:start w:val="1"/>
      <w:numFmt w:val="chineseCountingThousand"/>
      <w:pStyle w:val="95"/>
      <w:suff w:val="space"/>
      <w:lvlText w:val="第%1章"/>
      <w:lvlJc w:val="left"/>
      <w:pPr>
        <w:ind w:left="567" w:hanging="279"/>
      </w:pPr>
      <w:rPr>
        <w:rFonts w:hint="eastAsia" w:ascii="宋体" w:eastAsia="宋体" w:cs="Times New Roman"/>
        <w:b/>
        <w:i w:val="0"/>
        <w:spacing w:val="0"/>
        <w:position w:val="0"/>
        <w:sz w:val="44"/>
      </w:rPr>
    </w:lvl>
    <w:lvl w:ilvl="1" w:tentative="0">
      <w:start w:val="1"/>
      <w:numFmt w:val="decimal"/>
      <w:suff w:val="space"/>
      <w:lvlText w:val="%2."/>
      <w:lvlJc w:val="left"/>
      <w:pPr>
        <w:ind w:left="454" w:hanging="454"/>
      </w:pPr>
      <w:rPr>
        <w:rFonts w:hint="eastAsia" w:ascii="宋体" w:eastAsia="宋体" w:cs="Times New Roman"/>
        <w:b/>
        <w:i w:val="0"/>
        <w:sz w:val="32"/>
      </w:rPr>
    </w:lvl>
    <w:lvl w:ilvl="2" w:tentative="0">
      <w:start w:val="1"/>
      <w:numFmt w:val="decimal"/>
      <w:suff w:val="space"/>
      <w:lvlText w:val="%2.%3"/>
      <w:lvlJc w:val="left"/>
      <w:pPr>
        <w:ind w:left="454" w:hanging="454"/>
      </w:pPr>
      <w:rPr>
        <w:rFonts w:hint="eastAsia" w:ascii="宋体" w:eastAsia="宋体" w:cs="Times New Roman"/>
        <w:b/>
        <w:i w:val="0"/>
        <w:sz w:val="28"/>
      </w:rPr>
    </w:lvl>
    <w:lvl w:ilvl="3" w:tentative="0">
      <w:start w:val="1"/>
      <w:numFmt w:val="decimal"/>
      <w:pStyle w:val="8"/>
      <w:suff w:val="space"/>
      <w:lvlText w:val="%2.%3.%4"/>
      <w:lvlJc w:val="left"/>
      <w:pPr>
        <w:ind w:left="284" w:hanging="284"/>
      </w:pPr>
      <w:rPr>
        <w:rFonts w:hint="eastAsia" w:ascii="宋体" w:eastAsia="宋体" w:cs="Times New Roman"/>
        <w:b/>
        <w:i w:val="0"/>
        <w:sz w:val="28"/>
      </w:rPr>
    </w:lvl>
    <w:lvl w:ilvl="4" w:tentative="0">
      <w:start w:val="1"/>
      <w:numFmt w:val="decimal"/>
      <w:pStyle w:val="10"/>
      <w:isLgl/>
      <w:suff w:val="space"/>
      <w:lvlText w:val="%2.%3.%4.%5"/>
      <w:lvlJc w:val="left"/>
      <w:pPr>
        <w:ind w:left="284" w:hanging="284"/>
      </w:pPr>
      <w:rPr>
        <w:rFonts w:hint="eastAsia" w:ascii="宋体" w:eastAsia="宋体" w:cs="Times New Roman"/>
        <w:b/>
        <w:i w:val="0"/>
        <w:strike w:val="0"/>
        <w:dstrike w:val="0"/>
        <w:sz w:val="28"/>
      </w:rPr>
    </w:lvl>
    <w:lvl w:ilvl="5" w:tentative="0">
      <w:start w:val="1"/>
      <w:numFmt w:val="decimal"/>
      <w:lvlRestart w:val="0"/>
      <w:suff w:val="space"/>
      <w:lvlText w:val="1.1.1.1.1.%6%5"/>
      <w:lvlJc w:val="left"/>
      <w:rPr>
        <w:rFonts w:hint="eastAsia" w:ascii="宋体" w:eastAsia="宋体" w:cs="Times New Roman"/>
        <w:b/>
        <w:i w:val="0"/>
        <w:sz w:val="28"/>
      </w:rPr>
    </w:lvl>
    <w:lvl w:ilvl="6" w:tentative="0">
      <w:start w:val="1"/>
      <w:numFmt w:val="none"/>
      <w:pStyle w:val="12"/>
      <w:suff w:val="nothing"/>
      <w:lvlText w:val=""/>
      <w:lvlJc w:val="left"/>
      <w:rPr>
        <w:rFonts w:hint="eastAsia" w:cs="Times New Roman"/>
      </w:rPr>
    </w:lvl>
    <w:lvl w:ilvl="7" w:tentative="0">
      <w:start w:val="1"/>
      <w:numFmt w:val="none"/>
      <w:pStyle w:val="13"/>
      <w:suff w:val="nothing"/>
      <w:lvlText w:val=""/>
      <w:lvlJc w:val="left"/>
      <w:rPr>
        <w:rFonts w:hint="eastAsia" w:cs="Times New Roman"/>
      </w:rPr>
    </w:lvl>
    <w:lvl w:ilvl="8" w:tentative="0">
      <w:start w:val="1"/>
      <w:numFmt w:val="none"/>
      <w:pStyle w:val="14"/>
      <w:suff w:val="nothing"/>
      <w:lvlText w:val=""/>
      <w:lvlJc w:val="left"/>
      <w:rPr>
        <w:rFonts w:hint="eastAsia" w:cs="Times New Roman"/>
      </w:rPr>
    </w:lvl>
  </w:abstractNum>
  <w:abstractNum w:abstractNumId="8">
    <w:nsid w:val="4A4A6516"/>
    <w:multiLevelType w:val="singleLevel"/>
    <w:tmpl w:val="4A4A6516"/>
    <w:lvl w:ilvl="0" w:tentative="0">
      <w:start w:val="1"/>
      <w:numFmt w:val="decimal"/>
      <w:suff w:val="nothing"/>
      <w:lvlText w:val="（%1）"/>
      <w:lvlJc w:val="left"/>
    </w:lvl>
  </w:abstractNum>
  <w:abstractNum w:abstractNumId="9">
    <w:nsid w:val="553AFA00"/>
    <w:multiLevelType w:val="singleLevel"/>
    <w:tmpl w:val="553AFA00"/>
    <w:lvl w:ilvl="0" w:tentative="0">
      <w:start w:val="1"/>
      <w:numFmt w:val="decimal"/>
      <w:suff w:val="nothing"/>
      <w:lvlText w:val="（%1）"/>
      <w:lvlJc w:val="left"/>
    </w:lvl>
  </w:abstractNum>
  <w:abstractNum w:abstractNumId="10">
    <w:nsid w:val="66830454"/>
    <w:multiLevelType w:val="multilevel"/>
    <w:tmpl w:val="66830454"/>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4FB0463"/>
    <w:multiLevelType w:val="multilevel"/>
    <w:tmpl w:val="74FB0463"/>
    <w:lvl w:ilvl="0" w:tentative="0">
      <w:start w:val="1"/>
      <w:numFmt w:val="decimal"/>
      <w:suff w:val="nothing"/>
      <w:lvlText w:val="第%1篇"/>
      <w:lvlJc w:val="left"/>
      <w:rPr>
        <w:rFonts w:hint="eastAsia" w:cs="Times New Roman"/>
        <w:spacing w:val="60"/>
      </w:rPr>
    </w:lvl>
    <w:lvl w:ilvl="1" w:tentative="0">
      <w:start w:val="1"/>
      <w:numFmt w:val="none"/>
      <w:suff w:val="nothing"/>
      <w:lvlText w:val=""/>
      <w:lvlJc w:val="left"/>
      <w:rPr>
        <w:rFonts w:hint="eastAsia" w:cs="Times New Roman"/>
      </w:rPr>
    </w:lvl>
    <w:lvl w:ilvl="2" w:tentative="0">
      <w:start w:val="1"/>
      <w:numFmt w:val="none"/>
      <w:suff w:val="nothing"/>
      <w:lvlText w:val=""/>
      <w:lvlJc w:val="left"/>
      <w:rPr>
        <w:rFonts w:hint="eastAsia" w:cs="Times New Roman"/>
      </w:rPr>
    </w:lvl>
    <w:lvl w:ilvl="3" w:tentative="0">
      <w:start w:val="1"/>
      <w:numFmt w:val="none"/>
      <w:suff w:val="nothing"/>
      <w:lvlText w:val=""/>
      <w:lvlJc w:val="left"/>
      <w:rPr>
        <w:rFonts w:hint="eastAsia" w:cs="Times New Roman"/>
      </w:rPr>
    </w:lvl>
    <w:lvl w:ilvl="4" w:tentative="0">
      <w:start w:val="1"/>
      <w:numFmt w:val="none"/>
      <w:suff w:val="nothing"/>
      <w:lvlText w:val=""/>
      <w:lvlJc w:val="center"/>
      <w:pPr>
        <w:ind w:firstLine="288"/>
      </w:pPr>
      <w:rPr>
        <w:rFonts w:hint="eastAsia" w:cs="Times New Roman"/>
      </w:rPr>
    </w:lvl>
    <w:lvl w:ilvl="5" w:tentative="0">
      <w:start w:val="1"/>
      <w:numFmt w:val="none"/>
      <w:pStyle w:val="11"/>
      <w:suff w:val="nothing"/>
      <w:lvlText w:val=""/>
      <w:lvlJc w:val="left"/>
      <w:rPr>
        <w:rFonts w:hint="eastAsia" w:cs="Times New Roman"/>
      </w:rPr>
    </w:lvl>
    <w:lvl w:ilvl="6" w:tentative="0">
      <w:start w:val="1"/>
      <w:numFmt w:val="none"/>
      <w:suff w:val="nothing"/>
      <w:lvlText w:val=""/>
      <w:lvlJc w:val="left"/>
      <w:rPr>
        <w:rFonts w:hint="eastAsia" w:cs="Times New Roman"/>
      </w:rPr>
    </w:lvl>
    <w:lvl w:ilvl="7" w:tentative="0">
      <w:start w:val="1"/>
      <w:numFmt w:val="none"/>
      <w:suff w:val="nothing"/>
      <w:lvlText w:val=""/>
      <w:lvlJc w:val="left"/>
      <w:rPr>
        <w:rFonts w:hint="eastAsia" w:cs="Times New Roman"/>
      </w:rPr>
    </w:lvl>
    <w:lvl w:ilvl="8" w:tentative="0">
      <w:start w:val="1"/>
      <w:numFmt w:val="none"/>
      <w:suff w:val="nothing"/>
      <w:lvlText w:val=""/>
      <w:lvlJc w:val="left"/>
      <w:rPr>
        <w:rFonts w:hint="eastAsia" w:cs="Times New Roman"/>
      </w:rPr>
    </w:lvl>
  </w:abstractNum>
  <w:num w:numId="1">
    <w:abstractNumId w:val="7"/>
  </w:num>
  <w:num w:numId="2">
    <w:abstractNumId w:val="11"/>
  </w:num>
  <w:num w:numId="3">
    <w:abstractNumId w:val="0"/>
  </w:num>
  <w:num w:numId="4">
    <w:abstractNumId w:val="2"/>
  </w:num>
  <w:num w:numId="5">
    <w:abstractNumId w:val="9"/>
  </w:num>
  <w:num w:numId="6">
    <w:abstractNumId w:val="8"/>
  </w:num>
  <w:num w:numId="7">
    <w:abstractNumId w:val="1"/>
  </w:num>
  <w:num w:numId="8">
    <w:abstractNumId w:val="3"/>
  </w:num>
  <w:num w:numId="9">
    <w:abstractNumId w:val="10"/>
  </w:num>
  <w:num w:numId="10">
    <w:abstractNumId w:val="6"/>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1BE"/>
    <w:rsid w:val="000200EE"/>
    <w:rsid w:val="00055C10"/>
    <w:rsid w:val="000575F8"/>
    <w:rsid w:val="00074FD1"/>
    <w:rsid w:val="0007706A"/>
    <w:rsid w:val="00091BFE"/>
    <w:rsid w:val="000B5826"/>
    <w:rsid w:val="000C1007"/>
    <w:rsid w:val="000C11E0"/>
    <w:rsid w:val="000C2710"/>
    <w:rsid w:val="000D396E"/>
    <w:rsid w:val="001667FD"/>
    <w:rsid w:val="00181CAA"/>
    <w:rsid w:val="00193EB2"/>
    <w:rsid w:val="001C5D94"/>
    <w:rsid w:val="001C7106"/>
    <w:rsid w:val="001F3D02"/>
    <w:rsid w:val="002025C6"/>
    <w:rsid w:val="0022299B"/>
    <w:rsid w:val="00250092"/>
    <w:rsid w:val="00266748"/>
    <w:rsid w:val="00280CC3"/>
    <w:rsid w:val="002C4F11"/>
    <w:rsid w:val="002C5303"/>
    <w:rsid w:val="003204F0"/>
    <w:rsid w:val="00336AA3"/>
    <w:rsid w:val="003550AC"/>
    <w:rsid w:val="0037590B"/>
    <w:rsid w:val="003A5C56"/>
    <w:rsid w:val="003F5F2A"/>
    <w:rsid w:val="00405D31"/>
    <w:rsid w:val="004370EC"/>
    <w:rsid w:val="004424B8"/>
    <w:rsid w:val="00472A98"/>
    <w:rsid w:val="004B295D"/>
    <w:rsid w:val="004D63FD"/>
    <w:rsid w:val="00510754"/>
    <w:rsid w:val="005118C8"/>
    <w:rsid w:val="00576448"/>
    <w:rsid w:val="005866FB"/>
    <w:rsid w:val="005B5915"/>
    <w:rsid w:val="005C212B"/>
    <w:rsid w:val="006036EF"/>
    <w:rsid w:val="006371F0"/>
    <w:rsid w:val="00673B83"/>
    <w:rsid w:val="00680BFD"/>
    <w:rsid w:val="006B5ED1"/>
    <w:rsid w:val="006B6B0D"/>
    <w:rsid w:val="006D0CE9"/>
    <w:rsid w:val="006E6810"/>
    <w:rsid w:val="006F3576"/>
    <w:rsid w:val="0071795B"/>
    <w:rsid w:val="0073229B"/>
    <w:rsid w:val="00780EC8"/>
    <w:rsid w:val="007A3304"/>
    <w:rsid w:val="007B41BE"/>
    <w:rsid w:val="007B6534"/>
    <w:rsid w:val="007D6A53"/>
    <w:rsid w:val="007D6D06"/>
    <w:rsid w:val="007E2745"/>
    <w:rsid w:val="00835C9E"/>
    <w:rsid w:val="008C4DAF"/>
    <w:rsid w:val="008D2515"/>
    <w:rsid w:val="008E20BD"/>
    <w:rsid w:val="008E4AD1"/>
    <w:rsid w:val="00920E49"/>
    <w:rsid w:val="00934DF4"/>
    <w:rsid w:val="00991949"/>
    <w:rsid w:val="009A704D"/>
    <w:rsid w:val="009E5A35"/>
    <w:rsid w:val="009E7A37"/>
    <w:rsid w:val="009F18D3"/>
    <w:rsid w:val="00A0387A"/>
    <w:rsid w:val="00A05F7D"/>
    <w:rsid w:val="00A0619D"/>
    <w:rsid w:val="00A15723"/>
    <w:rsid w:val="00A20AF3"/>
    <w:rsid w:val="00A2579D"/>
    <w:rsid w:val="00A460C3"/>
    <w:rsid w:val="00A50D34"/>
    <w:rsid w:val="00A55F9B"/>
    <w:rsid w:val="00A64E29"/>
    <w:rsid w:val="00AD3DEE"/>
    <w:rsid w:val="00AD6716"/>
    <w:rsid w:val="00AF1BCD"/>
    <w:rsid w:val="00AF2A6F"/>
    <w:rsid w:val="00B53804"/>
    <w:rsid w:val="00B72862"/>
    <w:rsid w:val="00BC2597"/>
    <w:rsid w:val="00BC7B91"/>
    <w:rsid w:val="00BE1732"/>
    <w:rsid w:val="00BE216D"/>
    <w:rsid w:val="00BE7667"/>
    <w:rsid w:val="00BF1FEA"/>
    <w:rsid w:val="00C267C0"/>
    <w:rsid w:val="00C32C1E"/>
    <w:rsid w:val="00C408D3"/>
    <w:rsid w:val="00C81F53"/>
    <w:rsid w:val="00C82C8A"/>
    <w:rsid w:val="00CB3932"/>
    <w:rsid w:val="00CD156B"/>
    <w:rsid w:val="00CF68BB"/>
    <w:rsid w:val="00D60E1D"/>
    <w:rsid w:val="00D75B45"/>
    <w:rsid w:val="00D84E64"/>
    <w:rsid w:val="00DF1C79"/>
    <w:rsid w:val="00E0130D"/>
    <w:rsid w:val="00E02E50"/>
    <w:rsid w:val="00E22EAB"/>
    <w:rsid w:val="00E36378"/>
    <w:rsid w:val="00E457F6"/>
    <w:rsid w:val="00E54A7D"/>
    <w:rsid w:val="00E638F3"/>
    <w:rsid w:val="00EA368C"/>
    <w:rsid w:val="00EB4FAD"/>
    <w:rsid w:val="00EB6530"/>
    <w:rsid w:val="00EC014E"/>
    <w:rsid w:val="00F214CA"/>
    <w:rsid w:val="00F26640"/>
    <w:rsid w:val="00F40301"/>
    <w:rsid w:val="00F50A88"/>
    <w:rsid w:val="00FA5926"/>
    <w:rsid w:val="00FC5596"/>
    <w:rsid w:val="010351AA"/>
    <w:rsid w:val="013C690E"/>
    <w:rsid w:val="01474A52"/>
    <w:rsid w:val="01521C8D"/>
    <w:rsid w:val="01620E63"/>
    <w:rsid w:val="01641DCA"/>
    <w:rsid w:val="017775E5"/>
    <w:rsid w:val="0178678E"/>
    <w:rsid w:val="01804A4C"/>
    <w:rsid w:val="01A47B71"/>
    <w:rsid w:val="01DB4F34"/>
    <w:rsid w:val="02427F54"/>
    <w:rsid w:val="0250441F"/>
    <w:rsid w:val="02690261"/>
    <w:rsid w:val="0276345F"/>
    <w:rsid w:val="02C05BB1"/>
    <w:rsid w:val="02C86311"/>
    <w:rsid w:val="02F23728"/>
    <w:rsid w:val="02FD74EC"/>
    <w:rsid w:val="030977B8"/>
    <w:rsid w:val="035D3297"/>
    <w:rsid w:val="039019C5"/>
    <w:rsid w:val="03914CEF"/>
    <w:rsid w:val="03974829"/>
    <w:rsid w:val="03990047"/>
    <w:rsid w:val="03A32C74"/>
    <w:rsid w:val="03B73450"/>
    <w:rsid w:val="03C72C12"/>
    <w:rsid w:val="03DD2491"/>
    <w:rsid w:val="03E272F9"/>
    <w:rsid w:val="03E55CFB"/>
    <w:rsid w:val="03E61222"/>
    <w:rsid w:val="03E63820"/>
    <w:rsid w:val="03F53B6F"/>
    <w:rsid w:val="03F67248"/>
    <w:rsid w:val="03FF60FC"/>
    <w:rsid w:val="04016C0A"/>
    <w:rsid w:val="04177A6E"/>
    <w:rsid w:val="041E75D2"/>
    <w:rsid w:val="04267B2D"/>
    <w:rsid w:val="04281CBF"/>
    <w:rsid w:val="042965C4"/>
    <w:rsid w:val="044F5753"/>
    <w:rsid w:val="04A75B49"/>
    <w:rsid w:val="04E23328"/>
    <w:rsid w:val="04E86B91"/>
    <w:rsid w:val="050C097F"/>
    <w:rsid w:val="051248E4"/>
    <w:rsid w:val="05377B18"/>
    <w:rsid w:val="054162A1"/>
    <w:rsid w:val="054B3811"/>
    <w:rsid w:val="055C132D"/>
    <w:rsid w:val="05935ABA"/>
    <w:rsid w:val="05EA06E6"/>
    <w:rsid w:val="05EA2C50"/>
    <w:rsid w:val="05F11A75"/>
    <w:rsid w:val="061A393B"/>
    <w:rsid w:val="061C7FBD"/>
    <w:rsid w:val="0648365F"/>
    <w:rsid w:val="06774A18"/>
    <w:rsid w:val="06896151"/>
    <w:rsid w:val="06982838"/>
    <w:rsid w:val="069F5975"/>
    <w:rsid w:val="06C1551D"/>
    <w:rsid w:val="06C62F02"/>
    <w:rsid w:val="06CF5060"/>
    <w:rsid w:val="06D038B7"/>
    <w:rsid w:val="06FC6923"/>
    <w:rsid w:val="071250C8"/>
    <w:rsid w:val="072F44E3"/>
    <w:rsid w:val="07312890"/>
    <w:rsid w:val="073C3C45"/>
    <w:rsid w:val="07687BBF"/>
    <w:rsid w:val="0769043A"/>
    <w:rsid w:val="077706A0"/>
    <w:rsid w:val="07854B6B"/>
    <w:rsid w:val="078608E3"/>
    <w:rsid w:val="078801B7"/>
    <w:rsid w:val="07A13F45"/>
    <w:rsid w:val="07C5140B"/>
    <w:rsid w:val="07DE24CD"/>
    <w:rsid w:val="07EF4429"/>
    <w:rsid w:val="08061A64"/>
    <w:rsid w:val="08511FA6"/>
    <w:rsid w:val="08517165"/>
    <w:rsid w:val="08544064"/>
    <w:rsid w:val="087C1D0D"/>
    <w:rsid w:val="08A51580"/>
    <w:rsid w:val="08B72AC0"/>
    <w:rsid w:val="08BA4CE8"/>
    <w:rsid w:val="08C11542"/>
    <w:rsid w:val="08DD4532"/>
    <w:rsid w:val="090C13B6"/>
    <w:rsid w:val="090D306A"/>
    <w:rsid w:val="090F4EF1"/>
    <w:rsid w:val="091B505B"/>
    <w:rsid w:val="09444562"/>
    <w:rsid w:val="094E1D6F"/>
    <w:rsid w:val="095E38C5"/>
    <w:rsid w:val="09746201"/>
    <w:rsid w:val="097E5578"/>
    <w:rsid w:val="09A0179B"/>
    <w:rsid w:val="09AD65FB"/>
    <w:rsid w:val="09BC683E"/>
    <w:rsid w:val="09EB6AE1"/>
    <w:rsid w:val="09F33618"/>
    <w:rsid w:val="09F935EE"/>
    <w:rsid w:val="09FE4F75"/>
    <w:rsid w:val="0A0D52EB"/>
    <w:rsid w:val="0A0F62EE"/>
    <w:rsid w:val="0A1B7A08"/>
    <w:rsid w:val="0A386E8E"/>
    <w:rsid w:val="0A3A0089"/>
    <w:rsid w:val="0A546A76"/>
    <w:rsid w:val="0A6E5D8A"/>
    <w:rsid w:val="0A740EC6"/>
    <w:rsid w:val="0A7F5EF6"/>
    <w:rsid w:val="0AA02EFD"/>
    <w:rsid w:val="0AC27E84"/>
    <w:rsid w:val="0AD21CC2"/>
    <w:rsid w:val="0AEE6486"/>
    <w:rsid w:val="0AF005BE"/>
    <w:rsid w:val="0AF62F6A"/>
    <w:rsid w:val="0B0A565B"/>
    <w:rsid w:val="0B393332"/>
    <w:rsid w:val="0B41349E"/>
    <w:rsid w:val="0B4354CB"/>
    <w:rsid w:val="0B521145"/>
    <w:rsid w:val="0B6E4437"/>
    <w:rsid w:val="0B9109AA"/>
    <w:rsid w:val="0B9335CE"/>
    <w:rsid w:val="0BC3240C"/>
    <w:rsid w:val="0BC83F60"/>
    <w:rsid w:val="0BD51E39"/>
    <w:rsid w:val="0BDC6D23"/>
    <w:rsid w:val="0BE45BD8"/>
    <w:rsid w:val="0BF97B5E"/>
    <w:rsid w:val="0C3628D7"/>
    <w:rsid w:val="0C3F50D8"/>
    <w:rsid w:val="0C521233"/>
    <w:rsid w:val="0C730B66"/>
    <w:rsid w:val="0C7B478E"/>
    <w:rsid w:val="0CA57A5D"/>
    <w:rsid w:val="0CCC2325"/>
    <w:rsid w:val="0CF6084F"/>
    <w:rsid w:val="0D020937"/>
    <w:rsid w:val="0D0B3D64"/>
    <w:rsid w:val="0D1C7D1F"/>
    <w:rsid w:val="0D384173"/>
    <w:rsid w:val="0D4A0241"/>
    <w:rsid w:val="0D931D58"/>
    <w:rsid w:val="0D9755F8"/>
    <w:rsid w:val="0DA717DD"/>
    <w:rsid w:val="0DC34DF0"/>
    <w:rsid w:val="0DE642C3"/>
    <w:rsid w:val="0E0E6E6C"/>
    <w:rsid w:val="0E1D06E9"/>
    <w:rsid w:val="0E21788C"/>
    <w:rsid w:val="0E4C4CAD"/>
    <w:rsid w:val="0E6574A4"/>
    <w:rsid w:val="0E6C4374"/>
    <w:rsid w:val="0E8042DE"/>
    <w:rsid w:val="0EFD1AC0"/>
    <w:rsid w:val="0F0B577D"/>
    <w:rsid w:val="0F2823AD"/>
    <w:rsid w:val="0F4E618A"/>
    <w:rsid w:val="0F5D3686"/>
    <w:rsid w:val="0F5E7510"/>
    <w:rsid w:val="0F6A1B72"/>
    <w:rsid w:val="0F6C43FD"/>
    <w:rsid w:val="0F7E4AB5"/>
    <w:rsid w:val="0F890F70"/>
    <w:rsid w:val="0FCE72CB"/>
    <w:rsid w:val="0FDF5C57"/>
    <w:rsid w:val="0FE5426F"/>
    <w:rsid w:val="0FEF45D8"/>
    <w:rsid w:val="0FEF4E01"/>
    <w:rsid w:val="10131F62"/>
    <w:rsid w:val="101A42BE"/>
    <w:rsid w:val="106B07D0"/>
    <w:rsid w:val="107B2FAF"/>
    <w:rsid w:val="10802373"/>
    <w:rsid w:val="10B57C21"/>
    <w:rsid w:val="10DE7F21"/>
    <w:rsid w:val="10E53C52"/>
    <w:rsid w:val="11052D75"/>
    <w:rsid w:val="11121F8F"/>
    <w:rsid w:val="11220351"/>
    <w:rsid w:val="112C24FB"/>
    <w:rsid w:val="112E6273"/>
    <w:rsid w:val="113427BD"/>
    <w:rsid w:val="117D579D"/>
    <w:rsid w:val="118063A3"/>
    <w:rsid w:val="1197755B"/>
    <w:rsid w:val="11CA3566"/>
    <w:rsid w:val="11DC5CCF"/>
    <w:rsid w:val="11E62C7A"/>
    <w:rsid w:val="11E8746F"/>
    <w:rsid w:val="12340831"/>
    <w:rsid w:val="12530C8A"/>
    <w:rsid w:val="129B2E90"/>
    <w:rsid w:val="12A43D23"/>
    <w:rsid w:val="12C51E21"/>
    <w:rsid w:val="12C5526A"/>
    <w:rsid w:val="12CD629D"/>
    <w:rsid w:val="12F708E7"/>
    <w:rsid w:val="136A2E67"/>
    <w:rsid w:val="137A5404"/>
    <w:rsid w:val="13900165"/>
    <w:rsid w:val="13E33885"/>
    <w:rsid w:val="13EE69A9"/>
    <w:rsid w:val="13EF0EA4"/>
    <w:rsid w:val="13F15336"/>
    <w:rsid w:val="13FC75E1"/>
    <w:rsid w:val="14305735"/>
    <w:rsid w:val="14A14C5E"/>
    <w:rsid w:val="14AF76CB"/>
    <w:rsid w:val="14B27E58"/>
    <w:rsid w:val="14D34591"/>
    <w:rsid w:val="14D74F4B"/>
    <w:rsid w:val="14D9719C"/>
    <w:rsid w:val="14EF1875"/>
    <w:rsid w:val="14F11A91"/>
    <w:rsid w:val="14F35BB7"/>
    <w:rsid w:val="15355F42"/>
    <w:rsid w:val="15603A94"/>
    <w:rsid w:val="15747FCD"/>
    <w:rsid w:val="15751941"/>
    <w:rsid w:val="15DD252D"/>
    <w:rsid w:val="15EE5FD1"/>
    <w:rsid w:val="15FF3D3A"/>
    <w:rsid w:val="161377E5"/>
    <w:rsid w:val="16211885"/>
    <w:rsid w:val="16275C17"/>
    <w:rsid w:val="162C4539"/>
    <w:rsid w:val="162E2BD4"/>
    <w:rsid w:val="163D2AB4"/>
    <w:rsid w:val="165247B2"/>
    <w:rsid w:val="16557DFE"/>
    <w:rsid w:val="167B010D"/>
    <w:rsid w:val="16872D6C"/>
    <w:rsid w:val="168B1A72"/>
    <w:rsid w:val="16B56AEF"/>
    <w:rsid w:val="16BC1C2B"/>
    <w:rsid w:val="16E42571"/>
    <w:rsid w:val="17035AAC"/>
    <w:rsid w:val="17077E1E"/>
    <w:rsid w:val="17163A31"/>
    <w:rsid w:val="17194186"/>
    <w:rsid w:val="17317B00"/>
    <w:rsid w:val="173741A6"/>
    <w:rsid w:val="1743234C"/>
    <w:rsid w:val="17497256"/>
    <w:rsid w:val="174B1C4B"/>
    <w:rsid w:val="17665D4C"/>
    <w:rsid w:val="17684412"/>
    <w:rsid w:val="17822770"/>
    <w:rsid w:val="178564C1"/>
    <w:rsid w:val="17AE485B"/>
    <w:rsid w:val="17AF353E"/>
    <w:rsid w:val="17B0263E"/>
    <w:rsid w:val="17B8199D"/>
    <w:rsid w:val="17B91CC2"/>
    <w:rsid w:val="17E32C74"/>
    <w:rsid w:val="17EC2627"/>
    <w:rsid w:val="17EF7DDE"/>
    <w:rsid w:val="17FF4BD1"/>
    <w:rsid w:val="18151F96"/>
    <w:rsid w:val="181C07FE"/>
    <w:rsid w:val="1839332D"/>
    <w:rsid w:val="183E32DD"/>
    <w:rsid w:val="18414ADE"/>
    <w:rsid w:val="18474916"/>
    <w:rsid w:val="184762F8"/>
    <w:rsid w:val="18480CFC"/>
    <w:rsid w:val="18484541"/>
    <w:rsid w:val="184B770B"/>
    <w:rsid w:val="18547FCE"/>
    <w:rsid w:val="185F6D12"/>
    <w:rsid w:val="18622621"/>
    <w:rsid w:val="18891660"/>
    <w:rsid w:val="189E017D"/>
    <w:rsid w:val="18AC5CCF"/>
    <w:rsid w:val="18B17154"/>
    <w:rsid w:val="18C474BD"/>
    <w:rsid w:val="18C9062F"/>
    <w:rsid w:val="18DA6CE0"/>
    <w:rsid w:val="18E36CB5"/>
    <w:rsid w:val="18EF453A"/>
    <w:rsid w:val="190D2C12"/>
    <w:rsid w:val="191C2E55"/>
    <w:rsid w:val="19287A4C"/>
    <w:rsid w:val="192972B1"/>
    <w:rsid w:val="194001B7"/>
    <w:rsid w:val="19600F94"/>
    <w:rsid w:val="1973739A"/>
    <w:rsid w:val="19AE6A7C"/>
    <w:rsid w:val="19D2412A"/>
    <w:rsid w:val="1A075B3A"/>
    <w:rsid w:val="1A205D77"/>
    <w:rsid w:val="1A2F4635"/>
    <w:rsid w:val="1A46462D"/>
    <w:rsid w:val="1A4E1E5D"/>
    <w:rsid w:val="1A514D80"/>
    <w:rsid w:val="1A6500CD"/>
    <w:rsid w:val="1A6C1BBA"/>
    <w:rsid w:val="1A6E3101"/>
    <w:rsid w:val="1A911621"/>
    <w:rsid w:val="1AA40A79"/>
    <w:rsid w:val="1AAA7997"/>
    <w:rsid w:val="1AB67180"/>
    <w:rsid w:val="1AD03189"/>
    <w:rsid w:val="1AD432CC"/>
    <w:rsid w:val="1AEA5623"/>
    <w:rsid w:val="1AF776D6"/>
    <w:rsid w:val="1AF90566"/>
    <w:rsid w:val="1B0F0EC3"/>
    <w:rsid w:val="1B316447"/>
    <w:rsid w:val="1B3E3702"/>
    <w:rsid w:val="1B41483E"/>
    <w:rsid w:val="1B5B65FA"/>
    <w:rsid w:val="1B681518"/>
    <w:rsid w:val="1B6B1E72"/>
    <w:rsid w:val="1B927ADD"/>
    <w:rsid w:val="1B9E2075"/>
    <w:rsid w:val="1BAE4885"/>
    <w:rsid w:val="1BDF0B10"/>
    <w:rsid w:val="1BED33B9"/>
    <w:rsid w:val="1C0523FA"/>
    <w:rsid w:val="1C375767"/>
    <w:rsid w:val="1C471BAE"/>
    <w:rsid w:val="1C5C0C26"/>
    <w:rsid w:val="1C8E0291"/>
    <w:rsid w:val="1C8E406A"/>
    <w:rsid w:val="1C8F393E"/>
    <w:rsid w:val="1C931ACD"/>
    <w:rsid w:val="1CA95615"/>
    <w:rsid w:val="1CB871D2"/>
    <w:rsid w:val="1CBB2B1F"/>
    <w:rsid w:val="1CC86476"/>
    <w:rsid w:val="1CD4051D"/>
    <w:rsid w:val="1CD6156D"/>
    <w:rsid w:val="1CDD2E94"/>
    <w:rsid w:val="1D027F1C"/>
    <w:rsid w:val="1D0A3E09"/>
    <w:rsid w:val="1D181B85"/>
    <w:rsid w:val="1D1A53AB"/>
    <w:rsid w:val="1D2917D5"/>
    <w:rsid w:val="1D320E99"/>
    <w:rsid w:val="1D4961E3"/>
    <w:rsid w:val="1D4B3D09"/>
    <w:rsid w:val="1D646B79"/>
    <w:rsid w:val="1D884F5D"/>
    <w:rsid w:val="1DDB32DF"/>
    <w:rsid w:val="1DFE0C37"/>
    <w:rsid w:val="1E193E07"/>
    <w:rsid w:val="1E1D26F4"/>
    <w:rsid w:val="1E366767"/>
    <w:rsid w:val="1E486D96"/>
    <w:rsid w:val="1E513B7B"/>
    <w:rsid w:val="1E66059A"/>
    <w:rsid w:val="1E967206"/>
    <w:rsid w:val="1EA6337E"/>
    <w:rsid w:val="1EBA5A37"/>
    <w:rsid w:val="1ECD1D9F"/>
    <w:rsid w:val="1ECE2E43"/>
    <w:rsid w:val="1F0A5F40"/>
    <w:rsid w:val="1F47327D"/>
    <w:rsid w:val="1F816AF6"/>
    <w:rsid w:val="1F8E47EB"/>
    <w:rsid w:val="1F9C4CF0"/>
    <w:rsid w:val="1FA20933"/>
    <w:rsid w:val="1FB21E1D"/>
    <w:rsid w:val="1FB373CA"/>
    <w:rsid w:val="1FC97167"/>
    <w:rsid w:val="1FCD6E14"/>
    <w:rsid w:val="1FD71884"/>
    <w:rsid w:val="20482782"/>
    <w:rsid w:val="20564E9E"/>
    <w:rsid w:val="20586E69"/>
    <w:rsid w:val="206C6A07"/>
    <w:rsid w:val="208A2D9A"/>
    <w:rsid w:val="208C27CD"/>
    <w:rsid w:val="20A97A7D"/>
    <w:rsid w:val="20E36C50"/>
    <w:rsid w:val="20EB1A8B"/>
    <w:rsid w:val="20F627FD"/>
    <w:rsid w:val="210F504D"/>
    <w:rsid w:val="21250A1F"/>
    <w:rsid w:val="214010DC"/>
    <w:rsid w:val="2154081B"/>
    <w:rsid w:val="215A1E3B"/>
    <w:rsid w:val="219F1FA0"/>
    <w:rsid w:val="21E76FBA"/>
    <w:rsid w:val="22016D7A"/>
    <w:rsid w:val="220E3182"/>
    <w:rsid w:val="2228286B"/>
    <w:rsid w:val="22625D7D"/>
    <w:rsid w:val="226B42AC"/>
    <w:rsid w:val="226F3203"/>
    <w:rsid w:val="227D33AF"/>
    <w:rsid w:val="22A72556"/>
    <w:rsid w:val="22AD29BB"/>
    <w:rsid w:val="22C94DED"/>
    <w:rsid w:val="22DC5669"/>
    <w:rsid w:val="22F92434"/>
    <w:rsid w:val="22FD4F03"/>
    <w:rsid w:val="23264FFC"/>
    <w:rsid w:val="232F5F2B"/>
    <w:rsid w:val="232F6B26"/>
    <w:rsid w:val="23355E47"/>
    <w:rsid w:val="233A2E13"/>
    <w:rsid w:val="23502079"/>
    <w:rsid w:val="2350327C"/>
    <w:rsid w:val="2358785F"/>
    <w:rsid w:val="23AD17DA"/>
    <w:rsid w:val="23AD74CB"/>
    <w:rsid w:val="23D56344"/>
    <w:rsid w:val="23DA55DD"/>
    <w:rsid w:val="24116252"/>
    <w:rsid w:val="244D1F35"/>
    <w:rsid w:val="24615AF1"/>
    <w:rsid w:val="24773635"/>
    <w:rsid w:val="24784CE8"/>
    <w:rsid w:val="24A47FAB"/>
    <w:rsid w:val="24A972CC"/>
    <w:rsid w:val="24B2644C"/>
    <w:rsid w:val="24BD7292"/>
    <w:rsid w:val="251D0338"/>
    <w:rsid w:val="252A06A8"/>
    <w:rsid w:val="25331C52"/>
    <w:rsid w:val="25684C11"/>
    <w:rsid w:val="259D757A"/>
    <w:rsid w:val="25B6018D"/>
    <w:rsid w:val="25B67503"/>
    <w:rsid w:val="25C90160"/>
    <w:rsid w:val="25CF7050"/>
    <w:rsid w:val="25E77A00"/>
    <w:rsid w:val="25EB1CBA"/>
    <w:rsid w:val="26261C88"/>
    <w:rsid w:val="26307F40"/>
    <w:rsid w:val="26393298"/>
    <w:rsid w:val="26697ECD"/>
    <w:rsid w:val="268C54AA"/>
    <w:rsid w:val="268D6907"/>
    <w:rsid w:val="26962499"/>
    <w:rsid w:val="26CA70AB"/>
    <w:rsid w:val="26DF3BE2"/>
    <w:rsid w:val="27206676"/>
    <w:rsid w:val="272E0923"/>
    <w:rsid w:val="27323AFD"/>
    <w:rsid w:val="273625F3"/>
    <w:rsid w:val="276205CD"/>
    <w:rsid w:val="27640D6C"/>
    <w:rsid w:val="27695813"/>
    <w:rsid w:val="276C31F9"/>
    <w:rsid w:val="27750300"/>
    <w:rsid w:val="278F0C96"/>
    <w:rsid w:val="27B13FA8"/>
    <w:rsid w:val="27CB43C4"/>
    <w:rsid w:val="27DA0163"/>
    <w:rsid w:val="28164F13"/>
    <w:rsid w:val="281929B4"/>
    <w:rsid w:val="2834397B"/>
    <w:rsid w:val="283B2FED"/>
    <w:rsid w:val="284631BC"/>
    <w:rsid w:val="2864476D"/>
    <w:rsid w:val="28757E8C"/>
    <w:rsid w:val="28790229"/>
    <w:rsid w:val="28955221"/>
    <w:rsid w:val="28B61CBD"/>
    <w:rsid w:val="28B74948"/>
    <w:rsid w:val="28B906C0"/>
    <w:rsid w:val="28D948BF"/>
    <w:rsid w:val="29051210"/>
    <w:rsid w:val="294020C4"/>
    <w:rsid w:val="29463324"/>
    <w:rsid w:val="29483044"/>
    <w:rsid w:val="29763DCD"/>
    <w:rsid w:val="29930DB5"/>
    <w:rsid w:val="29A0718A"/>
    <w:rsid w:val="29C15A7E"/>
    <w:rsid w:val="29D11A3A"/>
    <w:rsid w:val="29DB5E89"/>
    <w:rsid w:val="2A1A6724"/>
    <w:rsid w:val="2A3224D8"/>
    <w:rsid w:val="2A547780"/>
    <w:rsid w:val="2A5C7ADA"/>
    <w:rsid w:val="2A5D3187"/>
    <w:rsid w:val="2A816161"/>
    <w:rsid w:val="2A871FC7"/>
    <w:rsid w:val="2A880A7B"/>
    <w:rsid w:val="2A97058D"/>
    <w:rsid w:val="2A994FFC"/>
    <w:rsid w:val="2AB073CE"/>
    <w:rsid w:val="2AB97C15"/>
    <w:rsid w:val="2AC670C5"/>
    <w:rsid w:val="2AE47E9C"/>
    <w:rsid w:val="2AE5327C"/>
    <w:rsid w:val="2AEC5CA9"/>
    <w:rsid w:val="2AED4651"/>
    <w:rsid w:val="2AEE5276"/>
    <w:rsid w:val="2B044026"/>
    <w:rsid w:val="2B0A6FB1"/>
    <w:rsid w:val="2B165956"/>
    <w:rsid w:val="2B1B5C1A"/>
    <w:rsid w:val="2B4C1378"/>
    <w:rsid w:val="2B535728"/>
    <w:rsid w:val="2B585185"/>
    <w:rsid w:val="2B603075"/>
    <w:rsid w:val="2B6111FF"/>
    <w:rsid w:val="2B987E93"/>
    <w:rsid w:val="2BA900DA"/>
    <w:rsid w:val="2BF8505C"/>
    <w:rsid w:val="2BFF6D43"/>
    <w:rsid w:val="2C071743"/>
    <w:rsid w:val="2C210A56"/>
    <w:rsid w:val="2C444745"/>
    <w:rsid w:val="2C5E4903"/>
    <w:rsid w:val="2C626979"/>
    <w:rsid w:val="2C6D5A4A"/>
    <w:rsid w:val="2C7566AC"/>
    <w:rsid w:val="2C990F88"/>
    <w:rsid w:val="2CA12159"/>
    <w:rsid w:val="2CC338BC"/>
    <w:rsid w:val="2CD258AD"/>
    <w:rsid w:val="2CDC672B"/>
    <w:rsid w:val="2CDE257A"/>
    <w:rsid w:val="2CE61358"/>
    <w:rsid w:val="2CEE627B"/>
    <w:rsid w:val="2D1B2F71"/>
    <w:rsid w:val="2D1D0F10"/>
    <w:rsid w:val="2D254805"/>
    <w:rsid w:val="2D330BE5"/>
    <w:rsid w:val="2D346567"/>
    <w:rsid w:val="2D3E6293"/>
    <w:rsid w:val="2D4C03C5"/>
    <w:rsid w:val="2D574004"/>
    <w:rsid w:val="2D652BC5"/>
    <w:rsid w:val="2D684463"/>
    <w:rsid w:val="2D716FB7"/>
    <w:rsid w:val="2D7D1990"/>
    <w:rsid w:val="2D9B7BFF"/>
    <w:rsid w:val="2D9E3D44"/>
    <w:rsid w:val="2DA56B2B"/>
    <w:rsid w:val="2DB66D80"/>
    <w:rsid w:val="2DC144F7"/>
    <w:rsid w:val="2DC4660F"/>
    <w:rsid w:val="2DE86536"/>
    <w:rsid w:val="2E4E17FC"/>
    <w:rsid w:val="2E50117F"/>
    <w:rsid w:val="2E5549E7"/>
    <w:rsid w:val="2E5F3D3E"/>
    <w:rsid w:val="2E7F357E"/>
    <w:rsid w:val="2E8C4181"/>
    <w:rsid w:val="2E950933"/>
    <w:rsid w:val="2ED85E73"/>
    <w:rsid w:val="2EDA6F06"/>
    <w:rsid w:val="2F245151"/>
    <w:rsid w:val="2F384988"/>
    <w:rsid w:val="2F3E13BB"/>
    <w:rsid w:val="2F60641D"/>
    <w:rsid w:val="2F6239B5"/>
    <w:rsid w:val="2FAD0853"/>
    <w:rsid w:val="2FC04BEF"/>
    <w:rsid w:val="2FD758A9"/>
    <w:rsid w:val="2FFA3A98"/>
    <w:rsid w:val="2FFE4C0B"/>
    <w:rsid w:val="30057BEC"/>
    <w:rsid w:val="300E12F2"/>
    <w:rsid w:val="301A4A2F"/>
    <w:rsid w:val="30287B62"/>
    <w:rsid w:val="30442541"/>
    <w:rsid w:val="30446AC1"/>
    <w:rsid w:val="305C69DC"/>
    <w:rsid w:val="30605D32"/>
    <w:rsid w:val="307A15AD"/>
    <w:rsid w:val="30874081"/>
    <w:rsid w:val="30997F39"/>
    <w:rsid w:val="309A4933"/>
    <w:rsid w:val="30AE03DF"/>
    <w:rsid w:val="30B03D7B"/>
    <w:rsid w:val="31047F0E"/>
    <w:rsid w:val="312106D4"/>
    <w:rsid w:val="315C46BD"/>
    <w:rsid w:val="31763C10"/>
    <w:rsid w:val="318C3F61"/>
    <w:rsid w:val="319F585E"/>
    <w:rsid w:val="31AE2168"/>
    <w:rsid w:val="31B462F2"/>
    <w:rsid w:val="31C4288F"/>
    <w:rsid w:val="31E348F8"/>
    <w:rsid w:val="31F97F95"/>
    <w:rsid w:val="32137691"/>
    <w:rsid w:val="329135B7"/>
    <w:rsid w:val="32BF3509"/>
    <w:rsid w:val="32CB34CA"/>
    <w:rsid w:val="32D71972"/>
    <w:rsid w:val="32E35695"/>
    <w:rsid w:val="33110959"/>
    <w:rsid w:val="332F6239"/>
    <w:rsid w:val="33431B34"/>
    <w:rsid w:val="33462B51"/>
    <w:rsid w:val="33633703"/>
    <w:rsid w:val="336456CD"/>
    <w:rsid w:val="33692756"/>
    <w:rsid w:val="336F4BF9"/>
    <w:rsid w:val="338C4516"/>
    <w:rsid w:val="33947D60"/>
    <w:rsid w:val="339E298D"/>
    <w:rsid w:val="33B916E0"/>
    <w:rsid w:val="33C75B0D"/>
    <w:rsid w:val="33D321A9"/>
    <w:rsid w:val="33E31656"/>
    <w:rsid w:val="33FC15EB"/>
    <w:rsid w:val="341D71C9"/>
    <w:rsid w:val="342A4220"/>
    <w:rsid w:val="343B467F"/>
    <w:rsid w:val="34515C51"/>
    <w:rsid w:val="346D0A7D"/>
    <w:rsid w:val="34724E42"/>
    <w:rsid w:val="349E2586"/>
    <w:rsid w:val="34AC0990"/>
    <w:rsid w:val="34BA37F6"/>
    <w:rsid w:val="34BB2C86"/>
    <w:rsid w:val="34CE2DFE"/>
    <w:rsid w:val="34DE0E79"/>
    <w:rsid w:val="34E16FD5"/>
    <w:rsid w:val="34EC7655"/>
    <w:rsid w:val="35132F06"/>
    <w:rsid w:val="35150EE6"/>
    <w:rsid w:val="353A66E5"/>
    <w:rsid w:val="354457B6"/>
    <w:rsid w:val="354B19C6"/>
    <w:rsid w:val="35604694"/>
    <w:rsid w:val="358460E8"/>
    <w:rsid w:val="359758E5"/>
    <w:rsid w:val="35C116A6"/>
    <w:rsid w:val="35D97CAC"/>
    <w:rsid w:val="35DC74AC"/>
    <w:rsid w:val="36107F4A"/>
    <w:rsid w:val="36174299"/>
    <w:rsid w:val="361E1B63"/>
    <w:rsid w:val="36295488"/>
    <w:rsid w:val="36504865"/>
    <w:rsid w:val="366D22E9"/>
    <w:rsid w:val="366D489F"/>
    <w:rsid w:val="367C1664"/>
    <w:rsid w:val="36807F5F"/>
    <w:rsid w:val="368F09FA"/>
    <w:rsid w:val="36987B67"/>
    <w:rsid w:val="36BF2C85"/>
    <w:rsid w:val="36E76FE1"/>
    <w:rsid w:val="3720190B"/>
    <w:rsid w:val="3730532E"/>
    <w:rsid w:val="374135AB"/>
    <w:rsid w:val="375717D0"/>
    <w:rsid w:val="375D203C"/>
    <w:rsid w:val="37737C8C"/>
    <w:rsid w:val="37EF5697"/>
    <w:rsid w:val="37FA215C"/>
    <w:rsid w:val="38026A6F"/>
    <w:rsid w:val="38244844"/>
    <w:rsid w:val="383C5696"/>
    <w:rsid w:val="385B709E"/>
    <w:rsid w:val="386A108F"/>
    <w:rsid w:val="38763ED8"/>
    <w:rsid w:val="387B18EF"/>
    <w:rsid w:val="387E303B"/>
    <w:rsid w:val="38806B05"/>
    <w:rsid w:val="38883C0B"/>
    <w:rsid w:val="38FD1C54"/>
    <w:rsid w:val="3914724D"/>
    <w:rsid w:val="392D582E"/>
    <w:rsid w:val="3949339B"/>
    <w:rsid w:val="394A35C1"/>
    <w:rsid w:val="395126DC"/>
    <w:rsid w:val="39736669"/>
    <w:rsid w:val="39AA5E13"/>
    <w:rsid w:val="39C15447"/>
    <w:rsid w:val="39D07618"/>
    <w:rsid w:val="39E60BE9"/>
    <w:rsid w:val="39F07CBA"/>
    <w:rsid w:val="3A2A52C7"/>
    <w:rsid w:val="3A3C34B9"/>
    <w:rsid w:val="3A4F6438"/>
    <w:rsid w:val="3A7153CC"/>
    <w:rsid w:val="3A8F52E9"/>
    <w:rsid w:val="3A9827B6"/>
    <w:rsid w:val="3AA23A94"/>
    <w:rsid w:val="3AA36ADA"/>
    <w:rsid w:val="3AB52E64"/>
    <w:rsid w:val="3AB578C7"/>
    <w:rsid w:val="3AD14697"/>
    <w:rsid w:val="3AF13CEA"/>
    <w:rsid w:val="3B1D7CA4"/>
    <w:rsid w:val="3B1E43B3"/>
    <w:rsid w:val="3B4B164C"/>
    <w:rsid w:val="3B8418E0"/>
    <w:rsid w:val="3BC63B24"/>
    <w:rsid w:val="3BCD3EBF"/>
    <w:rsid w:val="3BF2528E"/>
    <w:rsid w:val="3C1F3143"/>
    <w:rsid w:val="3C3C0F95"/>
    <w:rsid w:val="3C4936B2"/>
    <w:rsid w:val="3C7921E9"/>
    <w:rsid w:val="3C850B8E"/>
    <w:rsid w:val="3C881478"/>
    <w:rsid w:val="3C926E07"/>
    <w:rsid w:val="3CA37CB9"/>
    <w:rsid w:val="3CA76B91"/>
    <w:rsid w:val="3CAB19CD"/>
    <w:rsid w:val="3CAC7EDE"/>
    <w:rsid w:val="3CC75F35"/>
    <w:rsid w:val="3CDB3BDA"/>
    <w:rsid w:val="3CF655E7"/>
    <w:rsid w:val="3CFB3391"/>
    <w:rsid w:val="3D04436D"/>
    <w:rsid w:val="3D36343C"/>
    <w:rsid w:val="3D404AB5"/>
    <w:rsid w:val="3D562934"/>
    <w:rsid w:val="3D5A0AC2"/>
    <w:rsid w:val="3D5B18EE"/>
    <w:rsid w:val="3D60411F"/>
    <w:rsid w:val="3D7824A0"/>
    <w:rsid w:val="3D8A02CD"/>
    <w:rsid w:val="3DA93298"/>
    <w:rsid w:val="3DDE6845"/>
    <w:rsid w:val="3DDF4B2C"/>
    <w:rsid w:val="3DE42446"/>
    <w:rsid w:val="3DE84951"/>
    <w:rsid w:val="3DF94976"/>
    <w:rsid w:val="3E004CF1"/>
    <w:rsid w:val="3E014244"/>
    <w:rsid w:val="3E083824"/>
    <w:rsid w:val="3E1D4DF6"/>
    <w:rsid w:val="3E210442"/>
    <w:rsid w:val="3E4A585E"/>
    <w:rsid w:val="3E547E99"/>
    <w:rsid w:val="3E5A1BA6"/>
    <w:rsid w:val="3E920AF6"/>
    <w:rsid w:val="3EC82150"/>
    <w:rsid w:val="3ECF4342"/>
    <w:rsid w:val="3ECF60F0"/>
    <w:rsid w:val="3ED95272"/>
    <w:rsid w:val="3EE17BD1"/>
    <w:rsid w:val="3EF21DDE"/>
    <w:rsid w:val="3EFA5782"/>
    <w:rsid w:val="3EFC52FB"/>
    <w:rsid w:val="3F0D44AE"/>
    <w:rsid w:val="3F0F5C99"/>
    <w:rsid w:val="3F1D6618"/>
    <w:rsid w:val="3F207612"/>
    <w:rsid w:val="3F36468C"/>
    <w:rsid w:val="3F365185"/>
    <w:rsid w:val="3F491C00"/>
    <w:rsid w:val="3F5605BF"/>
    <w:rsid w:val="3F6F2B7D"/>
    <w:rsid w:val="3F751AD0"/>
    <w:rsid w:val="3F7C7803"/>
    <w:rsid w:val="3F7D4D06"/>
    <w:rsid w:val="3FAC3458"/>
    <w:rsid w:val="3FAC6431"/>
    <w:rsid w:val="3FB75AA7"/>
    <w:rsid w:val="3FBA1F41"/>
    <w:rsid w:val="3FC31397"/>
    <w:rsid w:val="3FDB581C"/>
    <w:rsid w:val="3FE536F1"/>
    <w:rsid w:val="3FF51B86"/>
    <w:rsid w:val="3FFA0F4B"/>
    <w:rsid w:val="3FFC782B"/>
    <w:rsid w:val="4005016F"/>
    <w:rsid w:val="401B3CF2"/>
    <w:rsid w:val="40327DB0"/>
    <w:rsid w:val="4090473C"/>
    <w:rsid w:val="40AB1D23"/>
    <w:rsid w:val="40BB2DD0"/>
    <w:rsid w:val="40BF2194"/>
    <w:rsid w:val="40E816EB"/>
    <w:rsid w:val="40F53849"/>
    <w:rsid w:val="40FE0F0E"/>
    <w:rsid w:val="41091CFF"/>
    <w:rsid w:val="41202C33"/>
    <w:rsid w:val="41631F6F"/>
    <w:rsid w:val="418A6C9F"/>
    <w:rsid w:val="418F1B67"/>
    <w:rsid w:val="418F600A"/>
    <w:rsid w:val="41A41AB6"/>
    <w:rsid w:val="41C047FD"/>
    <w:rsid w:val="41D57EC1"/>
    <w:rsid w:val="41D75F92"/>
    <w:rsid w:val="41E657FF"/>
    <w:rsid w:val="41E70D48"/>
    <w:rsid w:val="41EB4D6E"/>
    <w:rsid w:val="42665532"/>
    <w:rsid w:val="427C658F"/>
    <w:rsid w:val="428B4A24"/>
    <w:rsid w:val="42917FBA"/>
    <w:rsid w:val="42D02437"/>
    <w:rsid w:val="42E63A08"/>
    <w:rsid w:val="432E7412"/>
    <w:rsid w:val="43301127"/>
    <w:rsid w:val="43497B64"/>
    <w:rsid w:val="4368266F"/>
    <w:rsid w:val="436C0A8D"/>
    <w:rsid w:val="438C2802"/>
    <w:rsid w:val="43923B90"/>
    <w:rsid w:val="43AA0EDA"/>
    <w:rsid w:val="43B42DEF"/>
    <w:rsid w:val="43B6787E"/>
    <w:rsid w:val="43CA50D8"/>
    <w:rsid w:val="43DC2B82"/>
    <w:rsid w:val="43E22ABA"/>
    <w:rsid w:val="43F80DCD"/>
    <w:rsid w:val="43FB75A4"/>
    <w:rsid w:val="440A3726"/>
    <w:rsid w:val="441647C1"/>
    <w:rsid w:val="443B5FD6"/>
    <w:rsid w:val="445D41D8"/>
    <w:rsid w:val="446E2AD0"/>
    <w:rsid w:val="4473520F"/>
    <w:rsid w:val="44751F2B"/>
    <w:rsid w:val="44800E7E"/>
    <w:rsid w:val="44884C83"/>
    <w:rsid w:val="4492209A"/>
    <w:rsid w:val="449622B7"/>
    <w:rsid w:val="44D073E4"/>
    <w:rsid w:val="44DC50C3"/>
    <w:rsid w:val="44FF427E"/>
    <w:rsid w:val="450B2169"/>
    <w:rsid w:val="453074E6"/>
    <w:rsid w:val="45335BF7"/>
    <w:rsid w:val="4551234D"/>
    <w:rsid w:val="45561319"/>
    <w:rsid w:val="459123A9"/>
    <w:rsid w:val="459B6D2C"/>
    <w:rsid w:val="45A71B75"/>
    <w:rsid w:val="45AC0F39"/>
    <w:rsid w:val="45AF4585"/>
    <w:rsid w:val="45C0182B"/>
    <w:rsid w:val="45EC7588"/>
    <w:rsid w:val="45FE3129"/>
    <w:rsid w:val="461702F6"/>
    <w:rsid w:val="461D3BE5"/>
    <w:rsid w:val="462404E5"/>
    <w:rsid w:val="4629412B"/>
    <w:rsid w:val="462E5DF2"/>
    <w:rsid w:val="46500EC4"/>
    <w:rsid w:val="465B295F"/>
    <w:rsid w:val="466C70B0"/>
    <w:rsid w:val="4678447B"/>
    <w:rsid w:val="467E1C70"/>
    <w:rsid w:val="468A4245"/>
    <w:rsid w:val="46B362F7"/>
    <w:rsid w:val="46CA59AE"/>
    <w:rsid w:val="46CE4EDF"/>
    <w:rsid w:val="46D00C57"/>
    <w:rsid w:val="46D83FB0"/>
    <w:rsid w:val="46EC19D4"/>
    <w:rsid w:val="471F398D"/>
    <w:rsid w:val="47282841"/>
    <w:rsid w:val="4740402F"/>
    <w:rsid w:val="4748596C"/>
    <w:rsid w:val="47500045"/>
    <w:rsid w:val="475C698F"/>
    <w:rsid w:val="476612F2"/>
    <w:rsid w:val="476B40D2"/>
    <w:rsid w:val="478B7839"/>
    <w:rsid w:val="47A65E5C"/>
    <w:rsid w:val="47FB462E"/>
    <w:rsid w:val="47FE7A46"/>
    <w:rsid w:val="48040645"/>
    <w:rsid w:val="4820176A"/>
    <w:rsid w:val="48224C4F"/>
    <w:rsid w:val="48340189"/>
    <w:rsid w:val="4838054A"/>
    <w:rsid w:val="48523C0A"/>
    <w:rsid w:val="48710218"/>
    <w:rsid w:val="48763CF2"/>
    <w:rsid w:val="487C78C9"/>
    <w:rsid w:val="489473CC"/>
    <w:rsid w:val="48992953"/>
    <w:rsid w:val="489E3890"/>
    <w:rsid w:val="48A51C70"/>
    <w:rsid w:val="48EB1C8B"/>
    <w:rsid w:val="48F10DA9"/>
    <w:rsid w:val="49496A9F"/>
    <w:rsid w:val="494975E8"/>
    <w:rsid w:val="49746212"/>
    <w:rsid w:val="497A2C70"/>
    <w:rsid w:val="49997A26"/>
    <w:rsid w:val="499F0DB5"/>
    <w:rsid w:val="49B5720F"/>
    <w:rsid w:val="49B760FE"/>
    <w:rsid w:val="49D62A28"/>
    <w:rsid w:val="49DE7B2F"/>
    <w:rsid w:val="49E113CD"/>
    <w:rsid w:val="49E47F6E"/>
    <w:rsid w:val="49EE703D"/>
    <w:rsid w:val="49EF7646"/>
    <w:rsid w:val="4A0A3ED3"/>
    <w:rsid w:val="4A3E05CE"/>
    <w:rsid w:val="4A4C4420"/>
    <w:rsid w:val="4A4F766A"/>
    <w:rsid w:val="4A51245D"/>
    <w:rsid w:val="4A596BCB"/>
    <w:rsid w:val="4AC122EE"/>
    <w:rsid w:val="4B0233A9"/>
    <w:rsid w:val="4B3A06D7"/>
    <w:rsid w:val="4B3F6B82"/>
    <w:rsid w:val="4B447127"/>
    <w:rsid w:val="4B6B7860"/>
    <w:rsid w:val="4B6D5C35"/>
    <w:rsid w:val="4B822253"/>
    <w:rsid w:val="4B8D7117"/>
    <w:rsid w:val="4B9444ED"/>
    <w:rsid w:val="4BAD1567"/>
    <w:rsid w:val="4BC56187"/>
    <w:rsid w:val="4BD34E49"/>
    <w:rsid w:val="4BE00B93"/>
    <w:rsid w:val="4C0C01C1"/>
    <w:rsid w:val="4C121D12"/>
    <w:rsid w:val="4C123AC0"/>
    <w:rsid w:val="4C164434"/>
    <w:rsid w:val="4C453E95"/>
    <w:rsid w:val="4C545E87"/>
    <w:rsid w:val="4C5E4F57"/>
    <w:rsid w:val="4C717EE8"/>
    <w:rsid w:val="4CA61986"/>
    <w:rsid w:val="4CAE37E9"/>
    <w:rsid w:val="4CBC28D9"/>
    <w:rsid w:val="4CE865CF"/>
    <w:rsid w:val="4CEC38DE"/>
    <w:rsid w:val="4D07114B"/>
    <w:rsid w:val="4D153868"/>
    <w:rsid w:val="4D2B308B"/>
    <w:rsid w:val="4D3021F3"/>
    <w:rsid w:val="4D3F455B"/>
    <w:rsid w:val="4D5728D4"/>
    <w:rsid w:val="4D6E3BBD"/>
    <w:rsid w:val="4D7F0CE1"/>
    <w:rsid w:val="4D826A23"/>
    <w:rsid w:val="4D8B1D7C"/>
    <w:rsid w:val="4D976936"/>
    <w:rsid w:val="4DB841F3"/>
    <w:rsid w:val="4DBA61BD"/>
    <w:rsid w:val="4DBC088F"/>
    <w:rsid w:val="4DCF2F60"/>
    <w:rsid w:val="4DE60D60"/>
    <w:rsid w:val="4E08517B"/>
    <w:rsid w:val="4E2174AB"/>
    <w:rsid w:val="4E2C1433"/>
    <w:rsid w:val="4E300D69"/>
    <w:rsid w:val="4E434405"/>
    <w:rsid w:val="4E4A12EF"/>
    <w:rsid w:val="4E4E5A90"/>
    <w:rsid w:val="4E557C94"/>
    <w:rsid w:val="4E6C325B"/>
    <w:rsid w:val="4E7234DC"/>
    <w:rsid w:val="4E854A1D"/>
    <w:rsid w:val="4EC54C1D"/>
    <w:rsid w:val="4EC76DE4"/>
    <w:rsid w:val="4ECF3EEA"/>
    <w:rsid w:val="4ED35B75"/>
    <w:rsid w:val="4EE00DE1"/>
    <w:rsid w:val="4EE23465"/>
    <w:rsid w:val="4F2A553B"/>
    <w:rsid w:val="4F7072B9"/>
    <w:rsid w:val="4F7278B5"/>
    <w:rsid w:val="4F7E2EF6"/>
    <w:rsid w:val="4F8464B4"/>
    <w:rsid w:val="4F9A1B35"/>
    <w:rsid w:val="4FA9473B"/>
    <w:rsid w:val="4FC531F7"/>
    <w:rsid w:val="4FC94BB3"/>
    <w:rsid w:val="4FD70343"/>
    <w:rsid w:val="50391FDB"/>
    <w:rsid w:val="50463D38"/>
    <w:rsid w:val="504E4830"/>
    <w:rsid w:val="50530F7D"/>
    <w:rsid w:val="507B60D8"/>
    <w:rsid w:val="508005A7"/>
    <w:rsid w:val="50806617"/>
    <w:rsid w:val="509B1347"/>
    <w:rsid w:val="50A849F3"/>
    <w:rsid w:val="50D37CC2"/>
    <w:rsid w:val="50D76907"/>
    <w:rsid w:val="50E71153"/>
    <w:rsid w:val="50E95C79"/>
    <w:rsid w:val="51330760"/>
    <w:rsid w:val="513F1823"/>
    <w:rsid w:val="514C1822"/>
    <w:rsid w:val="51522B2C"/>
    <w:rsid w:val="51532BB1"/>
    <w:rsid w:val="516F27CB"/>
    <w:rsid w:val="51730B5D"/>
    <w:rsid w:val="5196143C"/>
    <w:rsid w:val="5196484B"/>
    <w:rsid w:val="51AE428B"/>
    <w:rsid w:val="51CA2298"/>
    <w:rsid w:val="51E63FE0"/>
    <w:rsid w:val="52043826"/>
    <w:rsid w:val="520D0FB1"/>
    <w:rsid w:val="52125025"/>
    <w:rsid w:val="52262073"/>
    <w:rsid w:val="524266BE"/>
    <w:rsid w:val="526A7276"/>
    <w:rsid w:val="526D7F57"/>
    <w:rsid w:val="526E7576"/>
    <w:rsid w:val="52992845"/>
    <w:rsid w:val="52A80156"/>
    <w:rsid w:val="52BA497E"/>
    <w:rsid w:val="52F13971"/>
    <w:rsid w:val="52F552A5"/>
    <w:rsid w:val="531151F6"/>
    <w:rsid w:val="53193AC3"/>
    <w:rsid w:val="53356AB0"/>
    <w:rsid w:val="53395DD6"/>
    <w:rsid w:val="53486019"/>
    <w:rsid w:val="534926A9"/>
    <w:rsid w:val="53597175"/>
    <w:rsid w:val="53687418"/>
    <w:rsid w:val="53720DE2"/>
    <w:rsid w:val="538452A3"/>
    <w:rsid w:val="53991569"/>
    <w:rsid w:val="53BA0CC5"/>
    <w:rsid w:val="53BB67EB"/>
    <w:rsid w:val="53CD4272"/>
    <w:rsid w:val="53DA1367"/>
    <w:rsid w:val="53F92A47"/>
    <w:rsid w:val="53F92C98"/>
    <w:rsid w:val="54067AFD"/>
    <w:rsid w:val="54521413"/>
    <w:rsid w:val="5454111A"/>
    <w:rsid w:val="546054A8"/>
    <w:rsid w:val="54823094"/>
    <w:rsid w:val="548D462B"/>
    <w:rsid w:val="54A51975"/>
    <w:rsid w:val="54D4149E"/>
    <w:rsid w:val="54E16725"/>
    <w:rsid w:val="54E5072B"/>
    <w:rsid w:val="54E67898"/>
    <w:rsid w:val="54E86EC1"/>
    <w:rsid w:val="55093883"/>
    <w:rsid w:val="55175CA3"/>
    <w:rsid w:val="551D59AF"/>
    <w:rsid w:val="552C5BF2"/>
    <w:rsid w:val="55385483"/>
    <w:rsid w:val="555D67A4"/>
    <w:rsid w:val="558D714D"/>
    <w:rsid w:val="559A11EB"/>
    <w:rsid w:val="559B4DEF"/>
    <w:rsid w:val="559D264C"/>
    <w:rsid w:val="55B60238"/>
    <w:rsid w:val="55EA5219"/>
    <w:rsid w:val="55F404FA"/>
    <w:rsid w:val="55F54236"/>
    <w:rsid w:val="56086042"/>
    <w:rsid w:val="561505D4"/>
    <w:rsid w:val="563102A4"/>
    <w:rsid w:val="567D5FDA"/>
    <w:rsid w:val="56973E1F"/>
    <w:rsid w:val="569A6B8C"/>
    <w:rsid w:val="56DB3B9F"/>
    <w:rsid w:val="571E2DC6"/>
    <w:rsid w:val="572F5526"/>
    <w:rsid w:val="57433750"/>
    <w:rsid w:val="57476D14"/>
    <w:rsid w:val="575566F4"/>
    <w:rsid w:val="575C55FF"/>
    <w:rsid w:val="576772B5"/>
    <w:rsid w:val="57740710"/>
    <w:rsid w:val="577955D8"/>
    <w:rsid w:val="57885344"/>
    <w:rsid w:val="57A53F78"/>
    <w:rsid w:val="57CD71C9"/>
    <w:rsid w:val="57D30256"/>
    <w:rsid w:val="57E34306"/>
    <w:rsid w:val="57E57589"/>
    <w:rsid w:val="57ED2754"/>
    <w:rsid w:val="57EF0F49"/>
    <w:rsid w:val="58346B6C"/>
    <w:rsid w:val="583E63ED"/>
    <w:rsid w:val="584515FA"/>
    <w:rsid w:val="5846521D"/>
    <w:rsid w:val="589715D5"/>
    <w:rsid w:val="589A7301"/>
    <w:rsid w:val="589A7317"/>
    <w:rsid w:val="58AC71CF"/>
    <w:rsid w:val="58B55EFF"/>
    <w:rsid w:val="58E97957"/>
    <w:rsid w:val="58EE1D5B"/>
    <w:rsid w:val="591254B9"/>
    <w:rsid w:val="591F4C9E"/>
    <w:rsid w:val="595E1385"/>
    <w:rsid w:val="59745DBA"/>
    <w:rsid w:val="598633F7"/>
    <w:rsid w:val="59883613"/>
    <w:rsid w:val="59A92A61"/>
    <w:rsid w:val="59B241EC"/>
    <w:rsid w:val="59C02DAD"/>
    <w:rsid w:val="59C53F20"/>
    <w:rsid w:val="59C9560C"/>
    <w:rsid w:val="59DA7910"/>
    <w:rsid w:val="59E20F76"/>
    <w:rsid w:val="59F842F5"/>
    <w:rsid w:val="5A1B6236"/>
    <w:rsid w:val="5A454C42"/>
    <w:rsid w:val="5A53777D"/>
    <w:rsid w:val="5A570D57"/>
    <w:rsid w:val="5A66767E"/>
    <w:rsid w:val="5A7A7400"/>
    <w:rsid w:val="5A871B1D"/>
    <w:rsid w:val="5AD848C8"/>
    <w:rsid w:val="5AD92379"/>
    <w:rsid w:val="5ADE1F73"/>
    <w:rsid w:val="5B0C3AA9"/>
    <w:rsid w:val="5B323837"/>
    <w:rsid w:val="5B57504B"/>
    <w:rsid w:val="5B7C2D04"/>
    <w:rsid w:val="5BCF1086"/>
    <w:rsid w:val="5BDC37A3"/>
    <w:rsid w:val="5BF8382F"/>
    <w:rsid w:val="5BFA246C"/>
    <w:rsid w:val="5C22684F"/>
    <w:rsid w:val="5C2D4454"/>
    <w:rsid w:val="5C390BF5"/>
    <w:rsid w:val="5C4F0418"/>
    <w:rsid w:val="5C593045"/>
    <w:rsid w:val="5C8005D2"/>
    <w:rsid w:val="5C861BFC"/>
    <w:rsid w:val="5CAD579C"/>
    <w:rsid w:val="5CB52BD2"/>
    <w:rsid w:val="5CDF456F"/>
    <w:rsid w:val="5CE3322E"/>
    <w:rsid w:val="5CF514E1"/>
    <w:rsid w:val="5D1E2822"/>
    <w:rsid w:val="5D354E11"/>
    <w:rsid w:val="5D572C78"/>
    <w:rsid w:val="5D6D4FFA"/>
    <w:rsid w:val="5D9C58DF"/>
    <w:rsid w:val="5DA659B8"/>
    <w:rsid w:val="5DA84284"/>
    <w:rsid w:val="5DCB33F6"/>
    <w:rsid w:val="5DD153DA"/>
    <w:rsid w:val="5DFF429F"/>
    <w:rsid w:val="5E2A5086"/>
    <w:rsid w:val="5E330C9F"/>
    <w:rsid w:val="5E3556CC"/>
    <w:rsid w:val="5E4F2952"/>
    <w:rsid w:val="5E5C6A7C"/>
    <w:rsid w:val="5E6A2CC5"/>
    <w:rsid w:val="5E906D9E"/>
    <w:rsid w:val="5E916AC6"/>
    <w:rsid w:val="5E990EF9"/>
    <w:rsid w:val="5E99583F"/>
    <w:rsid w:val="5EBF74D1"/>
    <w:rsid w:val="5ECB647C"/>
    <w:rsid w:val="5EFF645A"/>
    <w:rsid w:val="5F0D085A"/>
    <w:rsid w:val="5F2465E8"/>
    <w:rsid w:val="5F306102"/>
    <w:rsid w:val="5F37026B"/>
    <w:rsid w:val="5F3A53B0"/>
    <w:rsid w:val="5F3D5636"/>
    <w:rsid w:val="5F4B72E8"/>
    <w:rsid w:val="5F613CB5"/>
    <w:rsid w:val="5F655EC4"/>
    <w:rsid w:val="5F775CBC"/>
    <w:rsid w:val="5F783DAA"/>
    <w:rsid w:val="5F8D09E0"/>
    <w:rsid w:val="5FA30E2A"/>
    <w:rsid w:val="5FA8056B"/>
    <w:rsid w:val="600339F4"/>
    <w:rsid w:val="600C0AFA"/>
    <w:rsid w:val="601A24B3"/>
    <w:rsid w:val="603B11D0"/>
    <w:rsid w:val="605C4BB7"/>
    <w:rsid w:val="60A024E6"/>
    <w:rsid w:val="60C43183"/>
    <w:rsid w:val="60E15CF6"/>
    <w:rsid w:val="60F03F78"/>
    <w:rsid w:val="60F31CBA"/>
    <w:rsid w:val="60F35816"/>
    <w:rsid w:val="60FE4D9D"/>
    <w:rsid w:val="61067EA9"/>
    <w:rsid w:val="612C47B1"/>
    <w:rsid w:val="612E684E"/>
    <w:rsid w:val="613F280A"/>
    <w:rsid w:val="613F3EE5"/>
    <w:rsid w:val="61446072"/>
    <w:rsid w:val="619C5EAE"/>
    <w:rsid w:val="61A651D4"/>
    <w:rsid w:val="61AA49D7"/>
    <w:rsid w:val="61B14EA7"/>
    <w:rsid w:val="61B96C36"/>
    <w:rsid w:val="61C40F61"/>
    <w:rsid w:val="61DB480A"/>
    <w:rsid w:val="62405233"/>
    <w:rsid w:val="624254C3"/>
    <w:rsid w:val="62571DD5"/>
    <w:rsid w:val="626214F9"/>
    <w:rsid w:val="626A12F1"/>
    <w:rsid w:val="626B0982"/>
    <w:rsid w:val="628C5F22"/>
    <w:rsid w:val="62A34AD4"/>
    <w:rsid w:val="62EC4C13"/>
    <w:rsid w:val="62F241E8"/>
    <w:rsid w:val="62FD472A"/>
    <w:rsid w:val="632B71C6"/>
    <w:rsid w:val="634C153F"/>
    <w:rsid w:val="636F7002"/>
    <w:rsid w:val="63B626F0"/>
    <w:rsid w:val="63C33BC6"/>
    <w:rsid w:val="63C811DC"/>
    <w:rsid w:val="63CD21F2"/>
    <w:rsid w:val="63D86F45"/>
    <w:rsid w:val="64191A38"/>
    <w:rsid w:val="6438051B"/>
    <w:rsid w:val="645940DA"/>
    <w:rsid w:val="646802C9"/>
    <w:rsid w:val="647E203D"/>
    <w:rsid w:val="64834DD8"/>
    <w:rsid w:val="648C318D"/>
    <w:rsid w:val="64925346"/>
    <w:rsid w:val="64B53C5B"/>
    <w:rsid w:val="64D30970"/>
    <w:rsid w:val="64EA7A0E"/>
    <w:rsid w:val="653505E7"/>
    <w:rsid w:val="654E5711"/>
    <w:rsid w:val="65817A60"/>
    <w:rsid w:val="658F218E"/>
    <w:rsid w:val="65B37C6A"/>
    <w:rsid w:val="65BC3E59"/>
    <w:rsid w:val="65CD0D2C"/>
    <w:rsid w:val="65D8147F"/>
    <w:rsid w:val="65E14E43"/>
    <w:rsid w:val="65E816C2"/>
    <w:rsid w:val="661B154B"/>
    <w:rsid w:val="662114A5"/>
    <w:rsid w:val="662E766F"/>
    <w:rsid w:val="66552ACF"/>
    <w:rsid w:val="66A7157D"/>
    <w:rsid w:val="66AC2722"/>
    <w:rsid w:val="66BA4695"/>
    <w:rsid w:val="66BE0674"/>
    <w:rsid w:val="66FF726F"/>
    <w:rsid w:val="671F0B8B"/>
    <w:rsid w:val="672636AE"/>
    <w:rsid w:val="67305B69"/>
    <w:rsid w:val="673271EF"/>
    <w:rsid w:val="675A65EF"/>
    <w:rsid w:val="67670D0C"/>
    <w:rsid w:val="676A38DC"/>
    <w:rsid w:val="678F1196"/>
    <w:rsid w:val="67A05B7E"/>
    <w:rsid w:val="67B0620F"/>
    <w:rsid w:val="67B4104A"/>
    <w:rsid w:val="67C021CA"/>
    <w:rsid w:val="67ED5EED"/>
    <w:rsid w:val="67EE4CD8"/>
    <w:rsid w:val="67EE4F89"/>
    <w:rsid w:val="67F56C11"/>
    <w:rsid w:val="67FD030C"/>
    <w:rsid w:val="6804655B"/>
    <w:rsid w:val="68101CC4"/>
    <w:rsid w:val="681542C4"/>
    <w:rsid w:val="68330BEE"/>
    <w:rsid w:val="684E77D6"/>
    <w:rsid w:val="68504525"/>
    <w:rsid w:val="686E2A42"/>
    <w:rsid w:val="687424E1"/>
    <w:rsid w:val="687C4343"/>
    <w:rsid w:val="68925AA2"/>
    <w:rsid w:val="68B63CF9"/>
    <w:rsid w:val="68BE0C46"/>
    <w:rsid w:val="68D23A2D"/>
    <w:rsid w:val="68D433DA"/>
    <w:rsid w:val="68D81006"/>
    <w:rsid w:val="69146FEF"/>
    <w:rsid w:val="691900BF"/>
    <w:rsid w:val="69270753"/>
    <w:rsid w:val="695232F6"/>
    <w:rsid w:val="69730B37"/>
    <w:rsid w:val="697A2220"/>
    <w:rsid w:val="698D6C4B"/>
    <w:rsid w:val="69923A21"/>
    <w:rsid w:val="69A973BA"/>
    <w:rsid w:val="69D34CDF"/>
    <w:rsid w:val="6A0118ED"/>
    <w:rsid w:val="6A190FC4"/>
    <w:rsid w:val="6A470A1F"/>
    <w:rsid w:val="6A5F4FA1"/>
    <w:rsid w:val="6A73436B"/>
    <w:rsid w:val="6A7A4E34"/>
    <w:rsid w:val="6A9C7D94"/>
    <w:rsid w:val="6AB15A99"/>
    <w:rsid w:val="6AB204F0"/>
    <w:rsid w:val="6AD42215"/>
    <w:rsid w:val="6ADA6866"/>
    <w:rsid w:val="6B043244"/>
    <w:rsid w:val="6B2A452A"/>
    <w:rsid w:val="6B61332D"/>
    <w:rsid w:val="6BC4672D"/>
    <w:rsid w:val="6BC657D8"/>
    <w:rsid w:val="6BD821D8"/>
    <w:rsid w:val="6C0D13AE"/>
    <w:rsid w:val="6C2471CC"/>
    <w:rsid w:val="6C335661"/>
    <w:rsid w:val="6C4516BE"/>
    <w:rsid w:val="6C4B2EE8"/>
    <w:rsid w:val="6C4F5101"/>
    <w:rsid w:val="6C6D0B73"/>
    <w:rsid w:val="6C7621DF"/>
    <w:rsid w:val="6C787452"/>
    <w:rsid w:val="6C7A6DEC"/>
    <w:rsid w:val="6C853C97"/>
    <w:rsid w:val="6CA200F0"/>
    <w:rsid w:val="6CC93A9A"/>
    <w:rsid w:val="6CD40BF2"/>
    <w:rsid w:val="6CD41BED"/>
    <w:rsid w:val="6CDC7AA6"/>
    <w:rsid w:val="6CE1254E"/>
    <w:rsid w:val="6CEB74F1"/>
    <w:rsid w:val="6CEF4F0F"/>
    <w:rsid w:val="6CF7043C"/>
    <w:rsid w:val="6D0D4104"/>
    <w:rsid w:val="6D1D4A96"/>
    <w:rsid w:val="6D341690"/>
    <w:rsid w:val="6D397846"/>
    <w:rsid w:val="6D4D113F"/>
    <w:rsid w:val="6D540A9F"/>
    <w:rsid w:val="6D777284"/>
    <w:rsid w:val="6D7B69CD"/>
    <w:rsid w:val="6D875C64"/>
    <w:rsid w:val="6D9220F4"/>
    <w:rsid w:val="6D940381"/>
    <w:rsid w:val="6DAA12B9"/>
    <w:rsid w:val="6DAB59DE"/>
    <w:rsid w:val="6DAC0CA7"/>
    <w:rsid w:val="6DAF51BB"/>
    <w:rsid w:val="6DBB3B60"/>
    <w:rsid w:val="6DC42A14"/>
    <w:rsid w:val="6DCE3893"/>
    <w:rsid w:val="6DE22E9A"/>
    <w:rsid w:val="6DF25A33"/>
    <w:rsid w:val="6DF37226"/>
    <w:rsid w:val="6E1D3ED3"/>
    <w:rsid w:val="6E434EF0"/>
    <w:rsid w:val="6E633E2F"/>
    <w:rsid w:val="6E6E4E06"/>
    <w:rsid w:val="6E7A016D"/>
    <w:rsid w:val="6EBD1212"/>
    <w:rsid w:val="6EC47A23"/>
    <w:rsid w:val="6EE56B8C"/>
    <w:rsid w:val="6EE60768"/>
    <w:rsid w:val="6EF20CBA"/>
    <w:rsid w:val="6EF415C9"/>
    <w:rsid w:val="6EF47564"/>
    <w:rsid w:val="6F022D8B"/>
    <w:rsid w:val="6F305E87"/>
    <w:rsid w:val="6F3239AE"/>
    <w:rsid w:val="6F411E43"/>
    <w:rsid w:val="6F4B0F13"/>
    <w:rsid w:val="6F963B26"/>
    <w:rsid w:val="7012085D"/>
    <w:rsid w:val="70165D1A"/>
    <w:rsid w:val="701B0E3A"/>
    <w:rsid w:val="70235C5C"/>
    <w:rsid w:val="702C1048"/>
    <w:rsid w:val="703E67C2"/>
    <w:rsid w:val="70455FF7"/>
    <w:rsid w:val="705B4869"/>
    <w:rsid w:val="707215D5"/>
    <w:rsid w:val="708B7B34"/>
    <w:rsid w:val="709E51C6"/>
    <w:rsid w:val="70A26911"/>
    <w:rsid w:val="70A64653"/>
    <w:rsid w:val="70D81AC5"/>
    <w:rsid w:val="70E160FF"/>
    <w:rsid w:val="70EE1FAE"/>
    <w:rsid w:val="713C6D66"/>
    <w:rsid w:val="71493855"/>
    <w:rsid w:val="714979B6"/>
    <w:rsid w:val="714B0D57"/>
    <w:rsid w:val="714D2D21"/>
    <w:rsid w:val="71525973"/>
    <w:rsid w:val="71784310"/>
    <w:rsid w:val="719459D5"/>
    <w:rsid w:val="71AA12C8"/>
    <w:rsid w:val="71B53A87"/>
    <w:rsid w:val="71D55BDA"/>
    <w:rsid w:val="71DA2ABA"/>
    <w:rsid w:val="71F24A38"/>
    <w:rsid w:val="71F76241"/>
    <w:rsid w:val="720D69B2"/>
    <w:rsid w:val="723767E7"/>
    <w:rsid w:val="723D0FE7"/>
    <w:rsid w:val="72536115"/>
    <w:rsid w:val="726971FF"/>
    <w:rsid w:val="728A58AF"/>
    <w:rsid w:val="7298476D"/>
    <w:rsid w:val="72AA5080"/>
    <w:rsid w:val="72BF2BB7"/>
    <w:rsid w:val="72CD4739"/>
    <w:rsid w:val="72CF7317"/>
    <w:rsid w:val="72F42593"/>
    <w:rsid w:val="730043D2"/>
    <w:rsid w:val="730D09BA"/>
    <w:rsid w:val="73223DF8"/>
    <w:rsid w:val="73371EBF"/>
    <w:rsid w:val="73445DCB"/>
    <w:rsid w:val="73532145"/>
    <w:rsid w:val="736266C0"/>
    <w:rsid w:val="73696D05"/>
    <w:rsid w:val="73715BC6"/>
    <w:rsid w:val="73724465"/>
    <w:rsid w:val="73731BD4"/>
    <w:rsid w:val="738450B0"/>
    <w:rsid w:val="739C3AEB"/>
    <w:rsid w:val="73C80D84"/>
    <w:rsid w:val="73CC483B"/>
    <w:rsid w:val="73DA62E9"/>
    <w:rsid w:val="73E831D5"/>
    <w:rsid w:val="73EF6311"/>
    <w:rsid w:val="74033B6B"/>
    <w:rsid w:val="74125A53"/>
    <w:rsid w:val="741D2362"/>
    <w:rsid w:val="743E2DF5"/>
    <w:rsid w:val="744742A2"/>
    <w:rsid w:val="74575C64"/>
    <w:rsid w:val="746B0DE6"/>
    <w:rsid w:val="74933D70"/>
    <w:rsid w:val="749C2B7B"/>
    <w:rsid w:val="749D1342"/>
    <w:rsid w:val="74CA60F4"/>
    <w:rsid w:val="750000AA"/>
    <w:rsid w:val="751C1388"/>
    <w:rsid w:val="75357D54"/>
    <w:rsid w:val="75566EE4"/>
    <w:rsid w:val="75614FED"/>
    <w:rsid w:val="75752846"/>
    <w:rsid w:val="7583200C"/>
    <w:rsid w:val="75D27282"/>
    <w:rsid w:val="75D92DD5"/>
    <w:rsid w:val="75DA08FB"/>
    <w:rsid w:val="75F7396C"/>
    <w:rsid w:val="76067942"/>
    <w:rsid w:val="760A7432"/>
    <w:rsid w:val="761D40DA"/>
    <w:rsid w:val="761D53B8"/>
    <w:rsid w:val="76206E75"/>
    <w:rsid w:val="762229CE"/>
    <w:rsid w:val="76260D65"/>
    <w:rsid w:val="764E40FB"/>
    <w:rsid w:val="7660428B"/>
    <w:rsid w:val="76AC3DBB"/>
    <w:rsid w:val="76B61368"/>
    <w:rsid w:val="76C56DC4"/>
    <w:rsid w:val="76D417EE"/>
    <w:rsid w:val="76D8308D"/>
    <w:rsid w:val="76E61C4D"/>
    <w:rsid w:val="76F2653C"/>
    <w:rsid w:val="76FB4FCD"/>
    <w:rsid w:val="770F2826"/>
    <w:rsid w:val="771F09BF"/>
    <w:rsid w:val="77701517"/>
    <w:rsid w:val="77766998"/>
    <w:rsid w:val="777A05EB"/>
    <w:rsid w:val="777C7EBC"/>
    <w:rsid w:val="778E7BEF"/>
    <w:rsid w:val="779909E1"/>
    <w:rsid w:val="77A80D4C"/>
    <w:rsid w:val="77B4314C"/>
    <w:rsid w:val="77CD13AB"/>
    <w:rsid w:val="77D84AFD"/>
    <w:rsid w:val="77DE46D3"/>
    <w:rsid w:val="77F42148"/>
    <w:rsid w:val="78280044"/>
    <w:rsid w:val="785610A2"/>
    <w:rsid w:val="78716046"/>
    <w:rsid w:val="787E5EB6"/>
    <w:rsid w:val="78914A51"/>
    <w:rsid w:val="789E6215"/>
    <w:rsid w:val="78B90C9C"/>
    <w:rsid w:val="78C647AD"/>
    <w:rsid w:val="78D35817"/>
    <w:rsid w:val="79030169"/>
    <w:rsid w:val="792C1A1E"/>
    <w:rsid w:val="795403E6"/>
    <w:rsid w:val="79745C01"/>
    <w:rsid w:val="798D4602"/>
    <w:rsid w:val="79900684"/>
    <w:rsid w:val="79963F39"/>
    <w:rsid w:val="79A65463"/>
    <w:rsid w:val="79B31B8F"/>
    <w:rsid w:val="79BD3B21"/>
    <w:rsid w:val="79F31D17"/>
    <w:rsid w:val="7A286456"/>
    <w:rsid w:val="7A3F6DF7"/>
    <w:rsid w:val="7A6A66F1"/>
    <w:rsid w:val="7A7F7DAD"/>
    <w:rsid w:val="7AA339B1"/>
    <w:rsid w:val="7AB91427"/>
    <w:rsid w:val="7ABB0CFB"/>
    <w:rsid w:val="7ACF0E2A"/>
    <w:rsid w:val="7ACF47A6"/>
    <w:rsid w:val="7ADC31A8"/>
    <w:rsid w:val="7AE11CFE"/>
    <w:rsid w:val="7AF4088B"/>
    <w:rsid w:val="7B275319"/>
    <w:rsid w:val="7B3D7962"/>
    <w:rsid w:val="7B4324F0"/>
    <w:rsid w:val="7B453B00"/>
    <w:rsid w:val="7B5F7507"/>
    <w:rsid w:val="7B6770D5"/>
    <w:rsid w:val="7B6C393B"/>
    <w:rsid w:val="7B786BEC"/>
    <w:rsid w:val="7B7B048A"/>
    <w:rsid w:val="7B852795"/>
    <w:rsid w:val="7B8F0214"/>
    <w:rsid w:val="7BAC560C"/>
    <w:rsid w:val="7BC0134C"/>
    <w:rsid w:val="7BC9569A"/>
    <w:rsid w:val="7BED75DA"/>
    <w:rsid w:val="7BF111A2"/>
    <w:rsid w:val="7C1558BE"/>
    <w:rsid w:val="7C280C89"/>
    <w:rsid w:val="7C6333F8"/>
    <w:rsid w:val="7C6D071B"/>
    <w:rsid w:val="7C7B2E8A"/>
    <w:rsid w:val="7CAE4569"/>
    <w:rsid w:val="7CB121DB"/>
    <w:rsid w:val="7CBE43EB"/>
    <w:rsid w:val="7CBE6DC8"/>
    <w:rsid w:val="7CC16371"/>
    <w:rsid w:val="7CCB71F0"/>
    <w:rsid w:val="7CD6006E"/>
    <w:rsid w:val="7CFB5D27"/>
    <w:rsid w:val="7D040A54"/>
    <w:rsid w:val="7D0E5285"/>
    <w:rsid w:val="7D0F2B85"/>
    <w:rsid w:val="7D1512CD"/>
    <w:rsid w:val="7D2B5029"/>
    <w:rsid w:val="7D62158A"/>
    <w:rsid w:val="7D6368FE"/>
    <w:rsid w:val="7D744421"/>
    <w:rsid w:val="7D810E88"/>
    <w:rsid w:val="7DA97531"/>
    <w:rsid w:val="7DBB4185"/>
    <w:rsid w:val="7DC24AC3"/>
    <w:rsid w:val="7DC934DB"/>
    <w:rsid w:val="7DDD71DA"/>
    <w:rsid w:val="7DF22550"/>
    <w:rsid w:val="7DFE5DF1"/>
    <w:rsid w:val="7E4D25B2"/>
    <w:rsid w:val="7E5739DC"/>
    <w:rsid w:val="7E8D5082"/>
    <w:rsid w:val="7E9E3841"/>
    <w:rsid w:val="7E9F6586"/>
    <w:rsid w:val="7EAA09EA"/>
    <w:rsid w:val="7EAA3560"/>
    <w:rsid w:val="7EC9775F"/>
    <w:rsid w:val="7ECB1A77"/>
    <w:rsid w:val="7ECC1B65"/>
    <w:rsid w:val="7ED60533"/>
    <w:rsid w:val="7EE23AE4"/>
    <w:rsid w:val="7EE52B34"/>
    <w:rsid w:val="7EF33317"/>
    <w:rsid w:val="7F1430D0"/>
    <w:rsid w:val="7F3351B5"/>
    <w:rsid w:val="7F3B065C"/>
    <w:rsid w:val="7F5203C2"/>
    <w:rsid w:val="7F5A126B"/>
    <w:rsid w:val="7F871AF4"/>
    <w:rsid w:val="7FAC3721"/>
    <w:rsid w:val="7FB24E3B"/>
    <w:rsid w:val="7FB77874"/>
    <w:rsid w:val="7FCD7330"/>
    <w:rsid w:val="7FE32D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iPriority="99"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3"/>
    <w:next w:val="4"/>
    <w:link w:val="61"/>
    <w:qFormat/>
    <w:uiPriority w:val="0"/>
    <w:pPr>
      <w:keepNext/>
      <w:keepLines/>
      <w:spacing w:after="120" w:line="360" w:lineRule="auto"/>
      <w:outlineLvl w:val="0"/>
    </w:pPr>
    <w:rPr>
      <w:kern w:val="44"/>
      <w:sz w:val="28"/>
      <w:szCs w:val="28"/>
    </w:rPr>
  </w:style>
  <w:style w:type="paragraph" w:styleId="6">
    <w:name w:val="heading 2"/>
    <w:basedOn w:val="1"/>
    <w:next w:val="1"/>
    <w:link w:val="62"/>
    <w:qFormat/>
    <w:uiPriority w:val="0"/>
    <w:pPr>
      <w:keepNext/>
      <w:keepLines/>
      <w:spacing w:before="120" w:after="120" w:line="415" w:lineRule="auto"/>
      <w:ind w:left="454"/>
      <w:jc w:val="center"/>
      <w:outlineLvl w:val="1"/>
    </w:pPr>
    <w:rPr>
      <w:rFonts w:ascii="Arial" w:hAnsi="Arial"/>
      <w:b/>
      <w:color w:val="000000"/>
      <w:sz w:val="24"/>
      <w:szCs w:val="24"/>
    </w:rPr>
  </w:style>
  <w:style w:type="paragraph" w:styleId="7">
    <w:name w:val="heading 3"/>
    <w:basedOn w:val="1"/>
    <w:next w:val="1"/>
    <w:link w:val="47"/>
    <w:qFormat/>
    <w:uiPriority w:val="0"/>
    <w:pPr>
      <w:widowControl/>
      <w:spacing w:before="100" w:beforeAutospacing="1" w:after="100" w:afterAutospacing="1"/>
      <w:jc w:val="left"/>
      <w:outlineLvl w:val="2"/>
    </w:pPr>
    <w:rPr>
      <w:rFonts w:ascii="宋体" w:hAnsi="宋体" w:eastAsia="宋体" w:cs="宋体"/>
      <w:kern w:val="0"/>
      <w:sz w:val="24"/>
      <w:szCs w:val="27"/>
    </w:rPr>
  </w:style>
  <w:style w:type="paragraph" w:styleId="8">
    <w:name w:val="heading 4"/>
    <w:basedOn w:val="7"/>
    <w:next w:val="9"/>
    <w:link w:val="63"/>
    <w:qFormat/>
    <w:uiPriority w:val="0"/>
    <w:pPr>
      <w:keepNext/>
      <w:keepLines/>
      <w:widowControl w:val="0"/>
      <w:numPr>
        <w:ilvl w:val="3"/>
        <w:numId w:val="1"/>
      </w:numPr>
      <w:spacing w:before="0" w:beforeLines="50" w:beforeAutospacing="0" w:after="0" w:afterLines="50" w:afterAutospacing="0" w:line="360" w:lineRule="auto"/>
      <w:outlineLvl w:val="3"/>
    </w:pPr>
    <w:rPr>
      <w:rFonts w:ascii="Arial" w:hAnsi="Arial" w:cs="Times New Roman"/>
      <w:color w:val="000000"/>
      <w:kern w:val="2"/>
      <w:sz w:val="21"/>
      <w:szCs w:val="21"/>
    </w:rPr>
  </w:style>
  <w:style w:type="paragraph" w:styleId="10">
    <w:name w:val="heading 5"/>
    <w:basedOn w:val="8"/>
    <w:next w:val="9"/>
    <w:link w:val="64"/>
    <w:qFormat/>
    <w:uiPriority w:val="0"/>
    <w:pPr>
      <w:numPr>
        <w:ilvl w:val="4"/>
      </w:numPr>
      <w:spacing w:line="240" w:lineRule="exact"/>
      <w:outlineLvl w:val="4"/>
    </w:pPr>
  </w:style>
  <w:style w:type="paragraph" w:styleId="11">
    <w:name w:val="heading 6"/>
    <w:basedOn w:val="1"/>
    <w:next w:val="1"/>
    <w:link w:val="65"/>
    <w:qFormat/>
    <w:uiPriority w:val="0"/>
    <w:pPr>
      <w:keepNext/>
      <w:keepLines/>
      <w:numPr>
        <w:ilvl w:val="5"/>
        <w:numId w:val="2"/>
      </w:numPr>
      <w:spacing w:before="240" w:after="64" w:line="320" w:lineRule="auto"/>
      <w:outlineLvl w:val="5"/>
    </w:pPr>
    <w:rPr>
      <w:rFonts w:ascii="Arial" w:hAnsi="Arial" w:eastAsia="黑体"/>
      <w:b/>
      <w:bCs/>
      <w:sz w:val="24"/>
      <w:szCs w:val="24"/>
    </w:rPr>
  </w:style>
  <w:style w:type="paragraph" w:styleId="12">
    <w:name w:val="heading 7"/>
    <w:basedOn w:val="1"/>
    <w:next w:val="9"/>
    <w:link w:val="66"/>
    <w:qFormat/>
    <w:uiPriority w:val="0"/>
    <w:pPr>
      <w:keepNext/>
      <w:keepLines/>
      <w:numPr>
        <w:ilvl w:val="6"/>
        <w:numId w:val="1"/>
      </w:numPr>
      <w:spacing w:before="240" w:after="64" w:line="320" w:lineRule="auto"/>
      <w:outlineLvl w:val="6"/>
    </w:pPr>
    <w:rPr>
      <w:rFonts w:ascii="Times New Roman" w:hAnsi="Times New Roman"/>
      <w:b/>
      <w:sz w:val="24"/>
      <w:szCs w:val="20"/>
    </w:rPr>
  </w:style>
  <w:style w:type="paragraph" w:styleId="13">
    <w:name w:val="heading 8"/>
    <w:basedOn w:val="1"/>
    <w:next w:val="9"/>
    <w:link w:val="67"/>
    <w:qFormat/>
    <w:uiPriority w:val="0"/>
    <w:pPr>
      <w:keepNext/>
      <w:keepLines/>
      <w:numPr>
        <w:ilvl w:val="7"/>
        <w:numId w:val="1"/>
      </w:numPr>
      <w:spacing w:before="240" w:after="64" w:line="320" w:lineRule="auto"/>
      <w:outlineLvl w:val="7"/>
    </w:pPr>
    <w:rPr>
      <w:rFonts w:ascii="Arial" w:hAnsi="Arial" w:eastAsia="黑体"/>
      <w:sz w:val="24"/>
      <w:szCs w:val="20"/>
    </w:rPr>
  </w:style>
  <w:style w:type="paragraph" w:styleId="14">
    <w:name w:val="heading 9"/>
    <w:basedOn w:val="1"/>
    <w:next w:val="9"/>
    <w:link w:val="68"/>
    <w:qFormat/>
    <w:uiPriority w:val="0"/>
    <w:pPr>
      <w:keepNext/>
      <w:keepLines/>
      <w:numPr>
        <w:ilvl w:val="8"/>
        <w:numId w:val="1"/>
      </w:numPr>
      <w:spacing w:before="240" w:after="64" w:line="320" w:lineRule="auto"/>
      <w:outlineLvl w:val="8"/>
    </w:pPr>
    <w:rPr>
      <w:rFonts w:ascii="Arial" w:hAnsi="Arial" w:eastAsia="黑体"/>
      <w:szCs w:val="20"/>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3">
    <w:name w:val="Title"/>
    <w:basedOn w:val="1"/>
    <w:link w:val="70"/>
    <w:qFormat/>
    <w:uiPriority w:val="0"/>
    <w:pPr>
      <w:spacing w:before="120" w:after="60"/>
      <w:jc w:val="center"/>
    </w:pPr>
    <w:rPr>
      <w:rFonts w:ascii="Arial" w:hAnsi="Arial"/>
      <w:b/>
      <w:sz w:val="44"/>
      <w:szCs w:val="20"/>
    </w:rPr>
  </w:style>
  <w:style w:type="paragraph" w:styleId="4">
    <w:name w:val="Body Text First Indent"/>
    <w:basedOn w:val="5"/>
    <w:link w:val="74"/>
    <w:qFormat/>
    <w:uiPriority w:val="0"/>
    <w:pPr>
      <w:ind w:firstLine="420"/>
    </w:pPr>
  </w:style>
  <w:style w:type="paragraph" w:styleId="5">
    <w:name w:val="Body Text"/>
    <w:basedOn w:val="1"/>
    <w:link w:val="72"/>
    <w:qFormat/>
    <w:uiPriority w:val="0"/>
    <w:pPr>
      <w:spacing w:after="120"/>
    </w:pPr>
    <w:rPr>
      <w:rFonts w:ascii="Times New Roman" w:hAnsi="Times New Roman"/>
      <w:szCs w:val="20"/>
    </w:rPr>
  </w:style>
  <w:style w:type="paragraph" w:styleId="9">
    <w:name w:val="Normal Indent"/>
    <w:basedOn w:val="1"/>
    <w:next w:val="1"/>
    <w:qFormat/>
    <w:uiPriority w:val="0"/>
    <w:pPr>
      <w:ind w:firstLine="420"/>
    </w:pPr>
    <w:rPr>
      <w:rFonts w:ascii="Times New Roman" w:hAnsi="Times New Roman"/>
      <w:szCs w:val="20"/>
    </w:rPr>
  </w:style>
  <w:style w:type="paragraph" w:styleId="15">
    <w:name w:val="Note Heading"/>
    <w:basedOn w:val="1"/>
    <w:next w:val="1"/>
    <w:qFormat/>
    <w:uiPriority w:val="0"/>
    <w:pPr>
      <w:snapToGrid w:val="0"/>
      <w:spacing w:line="320" w:lineRule="exact"/>
      <w:ind w:firstLine="413" w:firstLineChars="200"/>
    </w:pPr>
    <w:rPr>
      <w:rFonts w:ascii="宋体" w:hAnsi="宋体"/>
      <w:b/>
      <w:color w:val="000000"/>
    </w:rPr>
  </w:style>
  <w:style w:type="paragraph" w:styleId="16">
    <w:name w:val="Document Map"/>
    <w:basedOn w:val="1"/>
    <w:link w:val="80"/>
    <w:qFormat/>
    <w:uiPriority w:val="0"/>
    <w:pPr>
      <w:shd w:val="clear" w:color="auto" w:fill="000080"/>
    </w:pPr>
    <w:rPr>
      <w:rFonts w:ascii="Times New Roman" w:hAnsi="Times New Roman"/>
      <w:szCs w:val="20"/>
    </w:rPr>
  </w:style>
  <w:style w:type="paragraph" w:styleId="17">
    <w:name w:val="annotation text"/>
    <w:basedOn w:val="1"/>
    <w:link w:val="106"/>
    <w:qFormat/>
    <w:uiPriority w:val="0"/>
    <w:pPr>
      <w:spacing w:line="360" w:lineRule="auto"/>
      <w:ind w:firstLine="523" w:firstLineChars="218"/>
      <w:jc w:val="left"/>
    </w:pPr>
    <w:rPr>
      <w:rFonts w:ascii="宋体" w:hAnsi="宋体"/>
      <w:sz w:val="24"/>
      <w:szCs w:val="24"/>
    </w:rPr>
  </w:style>
  <w:style w:type="paragraph" w:styleId="18">
    <w:name w:val="Body Text Indent"/>
    <w:basedOn w:val="1"/>
    <w:link w:val="78"/>
    <w:qFormat/>
    <w:uiPriority w:val="0"/>
    <w:pPr>
      <w:ind w:firstLine="570"/>
    </w:pPr>
    <w:rPr>
      <w:rFonts w:ascii="Times New Roman" w:hAnsi="Times New Roman"/>
      <w:sz w:val="28"/>
      <w:szCs w:val="20"/>
    </w:rPr>
  </w:style>
  <w:style w:type="paragraph" w:styleId="19">
    <w:name w:val="index 4"/>
    <w:basedOn w:val="1"/>
    <w:next w:val="1"/>
    <w:unhideWhenUsed/>
    <w:qFormat/>
    <w:uiPriority w:val="99"/>
    <w:pPr>
      <w:ind w:left="600" w:leftChars="600"/>
    </w:pPr>
  </w:style>
  <w:style w:type="paragraph" w:styleId="20">
    <w:name w:val="toc 3"/>
    <w:basedOn w:val="1"/>
    <w:next w:val="1"/>
    <w:qFormat/>
    <w:uiPriority w:val="39"/>
    <w:pPr>
      <w:snapToGrid w:val="0"/>
      <w:spacing w:line="360" w:lineRule="auto"/>
      <w:ind w:left="400" w:leftChars="400"/>
      <w:jc w:val="left"/>
    </w:pPr>
    <w:rPr>
      <w:rFonts w:ascii="Times New Roman" w:hAnsi="Times New Roman"/>
      <w:sz w:val="24"/>
      <w:szCs w:val="20"/>
    </w:rPr>
  </w:style>
  <w:style w:type="paragraph" w:styleId="21">
    <w:name w:val="Plain Text"/>
    <w:basedOn w:val="1"/>
    <w:next w:val="1"/>
    <w:link w:val="82"/>
    <w:qFormat/>
    <w:uiPriority w:val="0"/>
    <w:rPr>
      <w:rFonts w:ascii="宋体" w:hAnsi="Courier New"/>
      <w:szCs w:val="20"/>
    </w:rPr>
  </w:style>
  <w:style w:type="paragraph" w:styleId="22">
    <w:name w:val="Date"/>
    <w:basedOn w:val="1"/>
    <w:next w:val="1"/>
    <w:link w:val="76"/>
    <w:qFormat/>
    <w:uiPriority w:val="0"/>
    <w:rPr>
      <w:rFonts w:ascii="Times New Roman" w:hAnsi="Times New Roman"/>
      <w:szCs w:val="20"/>
    </w:rPr>
  </w:style>
  <w:style w:type="paragraph" w:styleId="23">
    <w:name w:val="Body Text Indent 2"/>
    <w:basedOn w:val="1"/>
    <w:link w:val="84"/>
    <w:qFormat/>
    <w:uiPriority w:val="0"/>
    <w:pPr>
      <w:spacing w:line="400" w:lineRule="exact"/>
      <w:ind w:left="425"/>
    </w:pPr>
    <w:rPr>
      <w:rFonts w:ascii="Times New Roman" w:hAnsi="Times New Roman"/>
      <w:color w:val="000000"/>
      <w:sz w:val="24"/>
      <w:szCs w:val="20"/>
    </w:rPr>
  </w:style>
  <w:style w:type="paragraph" w:styleId="24">
    <w:name w:val="endnote text"/>
    <w:basedOn w:val="1"/>
    <w:link w:val="93"/>
    <w:qFormat/>
    <w:uiPriority w:val="0"/>
    <w:pPr>
      <w:snapToGrid w:val="0"/>
      <w:jc w:val="left"/>
    </w:pPr>
    <w:rPr>
      <w:rFonts w:ascii="Times New Roman" w:hAnsi="Times New Roman"/>
      <w:szCs w:val="20"/>
    </w:rPr>
  </w:style>
  <w:style w:type="paragraph" w:styleId="25">
    <w:name w:val="Balloon Text"/>
    <w:basedOn w:val="1"/>
    <w:link w:val="103"/>
    <w:qFormat/>
    <w:uiPriority w:val="0"/>
    <w:rPr>
      <w:rFonts w:ascii="Times New Roman" w:hAnsi="Times New Roman"/>
      <w:sz w:val="18"/>
      <w:szCs w:val="18"/>
    </w:rPr>
  </w:style>
  <w:style w:type="paragraph" w:styleId="26">
    <w:name w:val="footer"/>
    <w:basedOn w:val="1"/>
    <w:link w:val="60"/>
    <w:unhideWhenUsed/>
    <w:qFormat/>
    <w:uiPriority w:val="0"/>
    <w:pPr>
      <w:tabs>
        <w:tab w:val="center" w:pos="4153"/>
        <w:tab w:val="right" w:pos="8306"/>
      </w:tabs>
      <w:snapToGrid w:val="0"/>
      <w:jc w:val="left"/>
    </w:pPr>
    <w:rPr>
      <w:sz w:val="18"/>
      <w:szCs w:val="18"/>
    </w:rPr>
  </w:style>
  <w:style w:type="paragraph" w:styleId="27">
    <w:name w:val="header"/>
    <w:basedOn w:val="1"/>
    <w:link w:val="58"/>
    <w:unhideWhenUsed/>
    <w:qFormat/>
    <w:uiPriority w:val="0"/>
    <w:pPr>
      <w:pBdr>
        <w:bottom w:val="single" w:color="auto" w:sz="6" w:space="1"/>
      </w:pBdr>
      <w:tabs>
        <w:tab w:val="center" w:pos="4153"/>
        <w:tab w:val="right" w:pos="8306"/>
      </w:tabs>
      <w:snapToGrid w:val="0"/>
      <w:jc w:val="center"/>
    </w:pPr>
    <w:rPr>
      <w:sz w:val="18"/>
      <w:szCs w:val="18"/>
    </w:rPr>
  </w:style>
  <w:style w:type="paragraph" w:styleId="28">
    <w:name w:val="toc 1"/>
    <w:basedOn w:val="1"/>
    <w:next w:val="1"/>
    <w:qFormat/>
    <w:uiPriority w:val="39"/>
    <w:pPr>
      <w:tabs>
        <w:tab w:val="right" w:leader="dot" w:pos="9060"/>
      </w:tabs>
      <w:adjustRightInd w:val="0"/>
      <w:snapToGrid w:val="0"/>
      <w:spacing w:line="360" w:lineRule="auto"/>
      <w:jc w:val="left"/>
      <w:textAlignment w:val="baseline"/>
    </w:pPr>
    <w:rPr>
      <w:rFonts w:ascii="宋体" w:hAnsi="宋体"/>
      <w:caps/>
      <w:kern w:val="0"/>
      <w:sz w:val="24"/>
      <w:szCs w:val="32"/>
    </w:rPr>
  </w:style>
  <w:style w:type="paragraph" w:styleId="29">
    <w:name w:val="footnote text"/>
    <w:basedOn w:val="1"/>
    <w:link w:val="108"/>
    <w:qFormat/>
    <w:uiPriority w:val="0"/>
    <w:pPr>
      <w:snapToGrid w:val="0"/>
      <w:spacing w:line="360" w:lineRule="auto"/>
      <w:ind w:firstLine="523" w:firstLineChars="218"/>
      <w:jc w:val="left"/>
    </w:pPr>
    <w:rPr>
      <w:rFonts w:ascii="宋体" w:hAnsi="宋体"/>
      <w:sz w:val="18"/>
      <w:szCs w:val="18"/>
    </w:rPr>
  </w:style>
  <w:style w:type="paragraph" w:styleId="30">
    <w:name w:val="Body Text Indent 3"/>
    <w:basedOn w:val="1"/>
    <w:link w:val="86"/>
    <w:qFormat/>
    <w:uiPriority w:val="0"/>
    <w:pPr>
      <w:tabs>
        <w:tab w:val="left" w:pos="0"/>
      </w:tabs>
      <w:spacing w:line="400" w:lineRule="exact"/>
      <w:ind w:left="563" w:leftChars="228" w:hanging="84" w:hangingChars="35"/>
    </w:pPr>
    <w:rPr>
      <w:rFonts w:ascii="Times New Roman" w:hAnsi="Times New Roman"/>
      <w:color w:val="000000"/>
      <w:sz w:val="24"/>
      <w:szCs w:val="20"/>
    </w:rPr>
  </w:style>
  <w:style w:type="paragraph" w:styleId="31">
    <w:name w:val="toc 2"/>
    <w:basedOn w:val="1"/>
    <w:next w:val="1"/>
    <w:qFormat/>
    <w:uiPriority w:val="39"/>
    <w:pPr>
      <w:tabs>
        <w:tab w:val="right" w:leader="dot" w:pos="9060"/>
      </w:tabs>
      <w:snapToGrid w:val="0"/>
      <w:spacing w:line="360" w:lineRule="auto"/>
      <w:ind w:left="420" w:leftChars="200"/>
      <w:jc w:val="left"/>
    </w:pPr>
    <w:rPr>
      <w:rFonts w:ascii="Times New Roman" w:hAnsi="Times New Roman"/>
      <w:sz w:val="24"/>
      <w:szCs w:val="24"/>
    </w:rPr>
  </w:style>
  <w:style w:type="paragraph" w:styleId="32">
    <w:name w:val="Body Text 2"/>
    <w:basedOn w:val="1"/>
    <w:link w:val="90"/>
    <w:qFormat/>
    <w:uiPriority w:val="0"/>
    <w:rPr>
      <w:rFonts w:ascii="宋体" w:hAnsi="宋体"/>
      <w:szCs w:val="24"/>
      <w:u w:val="single"/>
    </w:rPr>
  </w:style>
  <w:style w:type="paragraph" w:styleId="33">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34">
    <w:name w:val="Normal (Web)"/>
    <w:basedOn w:val="1"/>
    <w:qFormat/>
    <w:uiPriority w:val="0"/>
    <w:pPr>
      <w:widowControl/>
      <w:autoSpaceDE/>
      <w:autoSpaceDN/>
      <w:spacing w:before="100" w:beforeAutospacing="1" w:after="100" w:afterAutospacing="1"/>
    </w:pPr>
    <w:rPr>
      <w:rFonts w:ascii="宋体" w:hAnsi="宋体" w:eastAsia="方正楷体_GB2312" w:cs="宋体"/>
      <w:sz w:val="24"/>
      <w:szCs w:val="24"/>
    </w:rPr>
  </w:style>
  <w:style w:type="paragraph" w:styleId="35">
    <w:name w:val="index 1"/>
    <w:basedOn w:val="1"/>
    <w:next w:val="1"/>
    <w:qFormat/>
    <w:uiPriority w:val="0"/>
    <w:rPr>
      <w:rFonts w:ascii="Times New Roman" w:hAnsi="Times New Roman" w:eastAsia="仿宋_GB2312"/>
      <w:sz w:val="28"/>
      <w:szCs w:val="20"/>
    </w:rPr>
  </w:style>
  <w:style w:type="paragraph" w:styleId="36">
    <w:name w:val="annotation subject"/>
    <w:basedOn w:val="17"/>
    <w:next w:val="17"/>
    <w:link w:val="110"/>
    <w:qFormat/>
    <w:uiPriority w:val="0"/>
    <w:rPr>
      <w:b/>
      <w:bCs/>
    </w:rPr>
  </w:style>
  <w:style w:type="table" w:styleId="38">
    <w:name w:val="Table Grid"/>
    <w:basedOn w:val="37"/>
    <w:qFormat/>
    <w:uiPriority w:val="0"/>
    <w:pPr>
      <w:widowControl w:val="0"/>
      <w:jc w:val="both"/>
    </w:pPr>
    <w:rPr>
      <w:rFonts w:ascii="Times New Roman" w:hAnsi="Times New Roman"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rPr>
  </w:style>
  <w:style w:type="character" w:styleId="41">
    <w:name w:val="endnote reference"/>
    <w:qFormat/>
    <w:uiPriority w:val="0"/>
    <w:rPr>
      <w:vertAlign w:val="superscript"/>
    </w:rPr>
  </w:style>
  <w:style w:type="character" w:styleId="42">
    <w:name w:val="page number"/>
    <w:qFormat/>
    <w:uiPriority w:val="0"/>
    <w:rPr>
      <w:rFonts w:cs="Times New Roman"/>
    </w:rPr>
  </w:style>
  <w:style w:type="character" w:styleId="43">
    <w:name w:val="FollowedHyperlink"/>
    <w:semiHidden/>
    <w:unhideWhenUsed/>
    <w:qFormat/>
    <w:uiPriority w:val="99"/>
    <w:rPr>
      <w:color w:val="954F72"/>
      <w:u w:val="single"/>
    </w:rPr>
  </w:style>
  <w:style w:type="character" w:styleId="44">
    <w:name w:val="Hyperlink"/>
    <w:qFormat/>
    <w:uiPriority w:val="99"/>
    <w:rPr>
      <w:color w:val="0000FF"/>
      <w:u w:val="single"/>
    </w:rPr>
  </w:style>
  <w:style w:type="character" w:styleId="45">
    <w:name w:val="annotation reference"/>
    <w:qFormat/>
    <w:uiPriority w:val="0"/>
    <w:rPr>
      <w:sz w:val="21"/>
      <w:szCs w:val="21"/>
    </w:rPr>
  </w:style>
  <w:style w:type="character" w:styleId="46">
    <w:name w:val="footnote reference"/>
    <w:qFormat/>
    <w:uiPriority w:val="0"/>
    <w:rPr>
      <w:vertAlign w:val="superscript"/>
    </w:rPr>
  </w:style>
  <w:style w:type="character" w:customStyle="1" w:styleId="47">
    <w:name w:val="标题 3 Char"/>
    <w:link w:val="7"/>
    <w:qFormat/>
    <w:uiPriority w:val="0"/>
    <w:rPr>
      <w:rFonts w:ascii="宋体" w:hAnsi="宋体" w:eastAsia="宋体" w:cs="宋体"/>
      <w:kern w:val="0"/>
      <w:sz w:val="24"/>
      <w:szCs w:val="27"/>
    </w:rPr>
  </w:style>
  <w:style w:type="character" w:customStyle="1" w:styleId="48">
    <w:name w:val="标题 1 字符"/>
    <w:qFormat/>
    <w:uiPriority w:val="9"/>
    <w:rPr>
      <w:rFonts w:ascii="Calibri" w:hAnsi="Calibri" w:eastAsia="宋体" w:cs="Times New Roman"/>
      <w:b/>
      <w:bCs/>
      <w:kern w:val="44"/>
      <w:sz w:val="44"/>
      <w:szCs w:val="44"/>
    </w:rPr>
  </w:style>
  <w:style w:type="character" w:customStyle="1" w:styleId="49">
    <w:name w:val="标题 2 字符"/>
    <w:semiHidden/>
    <w:qFormat/>
    <w:uiPriority w:val="9"/>
    <w:rPr>
      <w:rFonts w:ascii="等线 Light" w:hAnsi="等线 Light" w:eastAsia="等线 Light" w:cs="Times New Roman"/>
      <w:b/>
      <w:bCs/>
      <w:sz w:val="32"/>
      <w:szCs w:val="32"/>
    </w:rPr>
  </w:style>
  <w:style w:type="character" w:customStyle="1" w:styleId="50">
    <w:name w:val="标题 3 字符"/>
    <w:semiHidden/>
    <w:qFormat/>
    <w:uiPriority w:val="9"/>
    <w:rPr>
      <w:rFonts w:ascii="Calibri" w:hAnsi="Calibri" w:eastAsia="宋体" w:cs="Times New Roman"/>
      <w:b/>
      <w:bCs/>
      <w:sz w:val="32"/>
      <w:szCs w:val="32"/>
    </w:rPr>
  </w:style>
  <w:style w:type="character" w:customStyle="1" w:styleId="51">
    <w:name w:val="标题 4 字符"/>
    <w:semiHidden/>
    <w:qFormat/>
    <w:uiPriority w:val="9"/>
    <w:rPr>
      <w:rFonts w:ascii="等线 Light" w:hAnsi="等线 Light" w:eastAsia="等线 Light" w:cs="Times New Roman"/>
      <w:b/>
      <w:bCs/>
      <w:sz w:val="28"/>
      <w:szCs w:val="28"/>
    </w:rPr>
  </w:style>
  <w:style w:type="character" w:customStyle="1" w:styleId="52">
    <w:name w:val="标题 5 字符"/>
    <w:semiHidden/>
    <w:qFormat/>
    <w:uiPriority w:val="9"/>
    <w:rPr>
      <w:rFonts w:ascii="Calibri" w:hAnsi="Calibri" w:eastAsia="宋体" w:cs="Times New Roman"/>
      <w:b/>
      <w:bCs/>
      <w:sz w:val="28"/>
      <w:szCs w:val="28"/>
    </w:rPr>
  </w:style>
  <w:style w:type="character" w:customStyle="1" w:styleId="53">
    <w:name w:val="标题 6 字符"/>
    <w:semiHidden/>
    <w:qFormat/>
    <w:uiPriority w:val="9"/>
    <w:rPr>
      <w:rFonts w:ascii="等线 Light" w:hAnsi="等线 Light" w:eastAsia="等线 Light" w:cs="Times New Roman"/>
      <w:b/>
      <w:bCs/>
      <w:sz w:val="24"/>
      <w:szCs w:val="24"/>
    </w:rPr>
  </w:style>
  <w:style w:type="character" w:customStyle="1" w:styleId="54">
    <w:name w:val="标题 7 字符"/>
    <w:semiHidden/>
    <w:qFormat/>
    <w:uiPriority w:val="9"/>
    <w:rPr>
      <w:rFonts w:ascii="Calibri" w:hAnsi="Calibri" w:eastAsia="宋体" w:cs="Times New Roman"/>
      <w:b/>
      <w:bCs/>
      <w:sz w:val="24"/>
      <w:szCs w:val="24"/>
    </w:rPr>
  </w:style>
  <w:style w:type="character" w:customStyle="1" w:styleId="55">
    <w:name w:val="标题 8 字符"/>
    <w:semiHidden/>
    <w:qFormat/>
    <w:uiPriority w:val="9"/>
    <w:rPr>
      <w:rFonts w:ascii="等线 Light" w:hAnsi="等线 Light" w:eastAsia="等线 Light" w:cs="Times New Roman"/>
      <w:sz w:val="24"/>
      <w:szCs w:val="24"/>
    </w:rPr>
  </w:style>
  <w:style w:type="character" w:customStyle="1" w:styleId="56">
    <w:name w:val="标题 9 字符"/>
    <w:semiHidden/>
    <w:qFormat/>
    <w:uiPriority w:val="9"/>
    <w:rPr>
      <w:rFonts w:ascii="等线 Light" w:hAnsi="等线 Light" w:eastAsia="等线 Light" w:cs="Times New Roman"/>
      <w:szCs w:val="21"/>
    </w:rPr>
  </w:style>
  <w:style w:type="character" w:customStyle="1" w:styleId="57">
    <w:name w:val="页眉 字符"/>
    <w:semiHidden/>
    <w:qFormat/>
    <w:uiPriority w:val="99"/>
    <w:rPr>
      <w:rFonts w:ascii="Calibri" w:hAnsi="Calibri" w:eastAsia="宋体" w:cs="Times New Roman"/>
      <w:sz w:val="18"/>
      <w:szCs w:val="18"/>
    </w:rPr>
  </w:style>
  <w:style w:type="character" w:customStyle="1" w:styleId="58">
    <w:name w:val="页眉 Char3"/>
    <w:link w:val="27"/>
    <w:qFormat/>
    <w:uiPriority w:val="0"/>
    <w:rPr>
      <w:rFonts w:ascii="Calibri" w:hAnsi="Calibri" w:eastAsia="宋体" w:cs="Times New Roman"/>
      <w:sz w:val="18"/>
      <w:szCs w:val="18"/>
    </w:rPr>
  </w:style>
  <w:style w:type="character" w:customStyle="1" w:styleId="59">
    <w:name w:val="页脚 字符"/>
    <w:semiHidden/>
    <w:qFormat/>
    <w:uiPriority w:val="99"/>
    <w:rPr>
      <w:rFonts w:ascii="Calibri" w:hAnsi="Calibri" w:eastAsia="宋体" w:cs="Times New Roman"/>
      <w:sz w:val="18"/>
      <w:szCs w:val="18"/>
    </w:rPr>
  </w:style>
  <w:style w:type="character" w:customStyle="1" w:styleId="60">
    <w:name w:val="页脚 Char"/>
    <w:link w:val="26"/>
    <w:qFormat/>
    <w:uiPriority w:val="0"/>
    <w:rPr>
      <w:rFonts w:ascii="Calibri" w:hAnsi="Calibri" w:eastAsia="宋体" w:cs="Times New Roman"/>
      <w:sz w:val="18"/>
      <w:szCs w:val="18"/>
    </w:rPr>
  </w:style>
  <w:style w:type="character" w:customStyle="1" w:styleId="61">
    <w:name w:val="标题 1 Char"/>
    <w:link w:val="2"/>
    <w:qFormat/>
    <w:uiPriority w:val="0"/>
    <w:rPr>
      <w:rFonts w:ascii="Arial" w:hAnsi="Arial" w:eastAsia="宋体"/>
      <w:b/>
      <w:kern w:val="44"/>
      <w:sz w:val="28"/>
      <w:szCs w:val="28"/>
    </w:rPr>
  </w:style>
  <w:style w:type="character" w:customStyle="1" w:styleId="62">
    <w:name w:val="标题 2 Char"/>
    <w:link w:val="6"/>
    <w:qFormat/>
    <w:uiPriority w:val="0"/>
    <w:rPr>
      <w:rFonts w:ascii="Arial" w:hAnsi="Arial" w:eastAsia="宋体" w:cs="Times New Roman"/>
      <w:b/>
      <w:color w:val="000000"/>
      <w:sz w:val="24"/>
      <w:szCs w:val="24"/>
    </w:rPr>
  </w:style>
  <w:style w:type="character" w:customStyle="1" w:styleId="63">
    <w:name w:val="标题 4 Char"/>
    <w:link w:val="8"/>
    <w:qFormat/>
    <w:uiPriority w:val="0"/>
    <w:rPr>
      <w:rFonts w:ascii="Arial" w:hAnsi="Arial" w:eastAsia="宋体" w:cs="Times New Roman"/>
      <w:color w:val="000000"/>
      <w:szCs w:val="21"/>
    </w:rPr>
  </w:style>
  <w:style w:type="character" w:customStyle="1" w:styleId="64">
    <w:name w:val="标题 5 Char"/>
    <w:link w:val="10"/>
    <w:qFormat/>
    <w:uiPriority w:val="0"/>
    <w:rPr>
      <w:rFonts w:ascii="Arial" w:hAnsi="Arial" w:eastAsia="宋体" w:cs="Times New Roman"/>
      <w:color w:val="000000"/>
      <w:szCs w:val="21"/>
    </w:rPr>
  </w:style>
  <w:style w:type="character" w:customStyle="1" w:styleId="65">
    <w:name w:val="标题 6 Char"/>
    <w:link w:val="11"/>
    <w:qFormat/>
    <w:uiPriority w:val="0"/>
    <w:rPr>
      <w:rFonts w:ascii="Arial" w:hAnsi="Arial" w:eastAsia="黑体" w:cs="Times New Roman"/>
      <w:b/>
      <w:bCs/>
      <w:sz w:val="24"/>
      <w:szCs w:val="24"/>
    </w:rPr>
  </w:style>
  <w:style w:type="character" w:customStyle="1" w:styleId="66">
    <w:name w:val="标题 7 Char"/>
    <w:link w:val="12"/>
    <w:qFormat/>
    <w:uiPriority w:val="0"/>
    <w:rPr>
      <w:rFonts w:ascii="Times New Roman" w:hAnsi="Times New Roman" w:eastAsia="宋体" w:cs="Times New Roman"/>
      <w:b/>
      <w:sz w:val="24"/>
      <w:szCs w:val="20"/>
    </w:rPr>
  </w:style>
  <w:style w:type="character" w:customStyle="1" w:styleId="67">
    <w:name w:val="标题 8 Char"/>
    <w:link w:val="13"/>
    <w:qFormat/>
    <w:uiPriority w:val="0"/>
    <w:rPr>
      <w:rFonts w:ascii="Arial" w:hAnsi="Arial" w:eastAsia="黑体" w:cs="Times New Roman"/>
      <w:sz w:val="24"/>
      <w:szCs w:val="20"/>
    </w:rPr>
  </w:style>
  <w:style w:type="character" w:customStyle="1" w:styleId="68">
    <w:name w:val="标题 9 Char"/>
    <w:link w:val="14"/>
    <w:qFormat/>
    <w:uiPriority w:val="0"/>
    <w:rPr>
      <w:rFonts w:ascii="Arial" w:hAnsi="Arial" w:eastAsia="黑体" w:cs="Times New Roman"/>
      <w:szCs w:val="20"/>
    </w:rPr>
  </w:style>
  <w:style w:type="character" w:customStyle="1" w:styleId="69">
    <w:name w:val="标题 字符"/>
    <w:qFormat/>
    <w:uiPriority w:val="10"/>
    <w:rPr>
      <w:rFonts w:ascii="等线 Light" w:hAnsi="等线 Light" w:eastAsia="等线 Light" w:cs="Times New Roman"/>
      <w:b/>
      <w:bCs/>
      <w:sz w:val="32"/>
      <w:szCs w:val="32"/>
    </w:rPr>
  </w:style>
  <w:style w:type="character" w:customStyle="1" w:styleId="70">
    <w:name w:val="标题 Char"/>
    <w:link w:val="3"/>
    <w:qFormat/>
    <w:uiPriority w:val="0"/>
    <w:rPr>
      <w:rFonts w:ascii="Arial" w:hAnsi="Arial" w:eastAsia="宋体" w:cs="Times New Roman"/>
      <w:b/>
      <w:sz w:val="44"/>
      <w:szCs w:val="20"/>
    </w:rPr>
  </w:style>
  <w:style w:type="character" w:customStyle="1" w:styleId="71">
    <w:name w:val="正文文本 字符"/>
    <w:semiHidden/>
    <w:qFormat/>
    <w:uiPriority w:val="99"/>
    <w:rPr>
      <w:rFonts w:ascii="Calibri" w:hAnsi="Calibri" w:eastAsia="宋体" w:cs="Times New Roman"/>
    </w:rPr>
  </w:style>
  <w:style w:type="character" w:customStyle="1" w:styleId="72">
    <w:name w:val="正文文本 Char"/>
    <w:link w:val="5"/>
    <w:qFormat/>
    <w:uiPriority w:val="0"/>
    <w:rPr>
      <w:rFonts w:ascii="Times New Roman" w:hAnsi="Times New Roman" w:eastAsia="宋体" w:cs="Times New Roman"/>
      <w:szCs w:val="20"/>
    </w:rPr>
  </w:style>
  <w:style w:type="character" w:customStyle="1" w:styleId="73">
    <w:name w:val="正文首行缩进 字符"/>
    <w:basedOn w:val="71"/>
    <w:semiHidden/>
    <w:qFormat/>
    <w:uiPriority w:val="99"/>
    <w:rPr>
      <w:rFonts w:ascii="Calibri" w:hAnsi="Calibri" w:eastAsia="宋体" w:cs="Times New Roman"/>
    </w:rPr>
  </w:style>
  <w:style w:type="character" w:customStyle="1" w:styleId="74">
    <w:name w:val="正文首行缩进 Char"/>
    <w:link w:val="4"/>
    <w:qFormat/>
    <w:uiPriority w:val="0"/>
  </w:style>
  <w:style w:type="character" w:customStyle="1" w:styleId="75">
    <w:name w:val="日期 字符"/>
    <w:semiHidden/>
    <w:qFormat/>
    <w:uiPriority w:val="99"/>
    <w:rPr>
      <w:rFonts w:ascii="Calibri" w:hAnsi="Calibri" w:eastAsia="宋体" w:cs="Times New Roman"/>
    </w:rPr>
  </w:style>
  <w:style w:type="character" w:customStyle="1" w:styleId="76">
    <w:name w:val="日期 Char"/>
    <w:link w:val="22"/>
    <w:qFormat/>
    <w:uiPriority w:val="0"/>
    <w:rPr>
      <w:rFonts w:ascii="Times New Roman" w:hAnsi="Times New Roman" w:eastAsia="宋体" w:cs="Times New Roman"/>
      <w:szCs w:val="20"/>
    </w:rPr>
  </w:style>
  <w:style w:type="character" w:customStyle="1" w:styleId="77">
    <w:name w:val="正文文本缩进 字符"/>
    <w:semiHidden/>
    <w:qFormat/>
    <w:uiPriority w:val="99"/>
    <w:rPr>
      <w:rFonts w:ascii="Calibri" w:hAnsi="Calibri" w:eastAsia="宋体" w:cs="Times New Roman"/>
    </w:rPr>
  </w:style>
  <w:style w:type="character" w:customStyle="1" w:styleId="78">
    <w:name w:val="正文文本缩进 Char"/>
    <w:link w:val="18"/>
    <w:qFormat/>
    <w:uiPriority w:val="0"/>
    <w:rPr>
      <w:rFonts w:ascii="Times New Roman" w:hAnsi="Times New Roman" w:eastAsia="宋体" w:cs="Times New Roman"/>
      <w:sz w:val="28"/>
      <w:szCs w:val="20"/>
    </w:rPr>
  </w:style>
  <w:style w:type="character" w:customStyle="1" w:styleId="79">
    <w:name w:val="文档结构图 字符"/>
    <w:semiHidden/>
    <w:qFormat/>
    <w:uiPriority w:val="99"/>
    <w:rPr>
      <w:rFonts w:ascii="Microsoft YaHei UI" w:hAnsi="Calibri" w:eastAsia="Microsoft YaHei UI" w:cs="Times New Roman"/>
      <w:sz w:val="18"/>
      <w:szCs w:val="18"/>
    </w:rPr>
  </w:style>
  <w:style w:type="character" w:customStyle="1" w:styleId="80">
    <w:name w:val="文档结构图 Char"/>
    <w:link w:val="16"/>
    <w:qFormat/>
    <w:uiPriority w:val="0"/>
    <w:rPr>
      <w:rFonts w:ascii="Times New Roman" w:hAnsi="Times New Roman" w:eastAsia="宋体" w:cs="Times New Roman"/>
      <w:szCs w:val="20"/>
      <w:shd w:val="clear" w:color="auto" w:fill="000080"/>
    </w:rPr>
  </w:style>
  <w:style w:type="character" w:customStyle="1" w:styleId="81">
    <w:name w:val="纯文本 字符"/>
    <w:semiHidden/>
    <w:qFormat/>
    <w:uiPriority w:val="99"/>
    <w:rPr>
      <w:rFonts w:ascii="等线" w:hAnsi="Courier New" w:cs="Courier New"/>
    </w:rPr>
  </w:style>
  <w:style w:type="character" w:customStyle="1" w:styleId="82">
    <w:name w:val="纯文本 Char"/>
    <w:link w:val="21"/>
    <w:qFormat/>
    <w:uiPriority w:val="0"/>
    <w:rPr>
      <w:rFonts w:ascii="宋体" w:hAnsi="Courier New" w:eastAsia="宋体" w:cs="Times New Roman"/>
      <w:szCs w:val="20"/>
    </w:rPr>
  </w:style>
  <w:style w:type="character" w:customStyle="1" w:styleId="83">
    <w:name w:val="正文文本缩进 2 字符"/>
    <w:semiHidden/>
    <w:qFormat/>
    <w:uiPriority w:val="99"/>
    <w:rPr>
      <w:rFonts w:ascii="Calibri" w:hAnsi="Calibri" w:eastAsia="宋体" w:cs="Times New Roman"/>
    </w:rPr>
  </w:style>
  <w:style w:type="character" w:customStyle="1" w:styleId="84">
    <w:name w:val="正文文本缩进 2 Char"/>
    <w:link w:val="23"/>
    <w:qFormat/>
    <w:uiPriority w:val="0"/>
    <w:rPr>
      <w:rFonts w:ascii="Times New Roman" w:hAnsi="Times New Roman" w:eastAsia="宋体" w:cs="Times New Roman"/>
      <w:color w:val="000000"/>
      <w:sz w:val="24"/>
      <w:szCs w:val="20"/>
    </w:rPr>
  </w:style>
  <w:style w:type="character" w:customStyle="1" w:styleId="85">
    <w:name w:val="正文文本缩进 3 字符"/>
    <w:semiHidden/>
    <w:qFormat/>
    <w:uiPriority w:val="99"/>
    <w:rPr>
      <w:rFonts w:ascii="Calibri" w:hAnsi="Calibri" w:eastAsia="宋体" w:cs="Times New Roman"/>
      <w:sz w:val="16"/>
      <w:szCs w:val="16"/>
    </w:rPr>
  </w:style>
  <w:style w:type="character" w:customStyle="1" w:styleId="86">
    <w:name w:val="正文文本缩进 3 Char"/>
    <w:link w:val="30"/>
    <w:qFormat/>
    <w:uiPriority w:val="0"/>
    <w:rPr>
      <w:rFonts w:ascii="Times New Roman" w:hAnsi="Times New Roman" w:eastAsia="宋体" w:cs="Times New Roman"/>
      <w:color w:val="000000"/>
      <w:sz w:val="24"/>
      <w:szCs w:val="20"/>
    </w:rPr>
  </w:style>
  <w:style w:type="paragraph" w:customStyle="1" w:styleId="87">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szCs w:val="20"/>
    </w:rPr>
  </w:style>
  <w:style w:type="paragraph" w:customStyle="1" w:styleId="88">
    <w:name w:val="_Style 69"/>
    <w:qFormat/>
    <w:uiPriority w:val="0"/>
    <w:rPr>
      <w:rFonts w:ascii="等线" w:hAnsi="等线" w:eastAsia="等线" w:cs="Times New Roman"/>
      <w:lang w:val="en-US" w:eastAsia="zh-CN" w:bidi="ar-SA"/>
    </w:rPr>
  </w:style>
  <w:style w:type="character" w:customStyle="1" w:styleId="89">
    <w:name w:val="正文文本 2 字符"/>
    <w:semiHidden/>
    <w:qFormat/>
    <w:uiPriority w:val="99"/>
    <w:rPr>
      <w:rFonts w:ascii="Calibri" w:hAnsi="Calibri" w:eastAsia="宋体" w:cs="Times New Roman"/>
    </w:rPr>
  </w:style>
  <w:style w:type="character" w:customStyle="1" w:styleId="90">
    <w:name w:val="正文文本 2 Char"/>
    <w:link w:val="32"/>
    <w:qFormat/>
    <w:uiPriority w:val="0"/>
    <w:rPr>
      <w:rFonts w:ascii="宋体" w:hAnsi="宋体" w:eastAsia="宋体" w:cs="Times New Roman"/>
      <w:szCs w:val="24"/>
      <w:u w:val="single"/>
    </w:rPr>
  </w:style>
  <w:style w:type="paragraph" w:customStyle="1" w:styleId="91">
    <w:name w:val="表头"/>
    <w:basedOn w:val="1"/>
    <w:qFormat/>
    <w:uiPriority w:val="0"/>
    <w:pPr>
      <w:spacing w:line="360" w:lineRule="auto"/>
      <w:jc w:val="center"/>
    </w:pPr>
    <w:rPr>
      <w:rFonts w:ascii="黑体" w:hAnsi="Times New Roman" w:eastAsia="黑体"/>
      <w:kern w:val="0"/>
      <w:sz w:val="24"/>
      <w:szCs w:val="20"/>
    </w:rPr>
  </w:style>
  <w:style w:type="character" w:customStyle="1" w:styleId="92">
    <w:name w:val="尾注文本 字符"/>
    <w:semiHidden/>
    <w:qFormat/>
    <w:uiPriority w:val="99"/>
    <w:rPr>
      <w:rFonts w:ascii="Calibri" w:hAnsi="Calibri" w:eastAsia="宋体" w:cs="Times New Roman"/>
    </w:rPr>
  </w:style>
  <w:style w:type="character" w:customStyle="1" w:styleId="93">
    <w:name w:val="尾注文本 Char"/>
    <w:link w:val="24"/>
    <w:qFormat/>
    <w:uiPriority w:val="0"/>
    <w:rPr>
      <w:rFonts w:ascii="Times New Roman" w:hAnsi="Times New Roman" w:eastAsia="宋体" w:cs="Times New Roman"/>
      <w:szCs w:val="20"/>
    </w:rPr>
  </w:style>
  <w:style w:type="paragraph" w:customStyle="1" w:styleId="94">
    <w:name w:val="Char"/>
    <w:basedOn w:val="1"/>
    <w:qFormat/>
    <w:uiPriority w:val="0"/>
    <w:rPr>
      <w:rFonts w:ascii="Tahoma" w:hAnsi="Tahoma"/>
      <w:sz w:val="24"/>
      <w:szCs w:val="20"/>
    </w:rPr>
  </w:style>
  <w:style w:type="paragraph" w:customStyle="1" w:styleId="95">
    <w:name w:val="Char1"/>
    <w:basedOn w:val="1"/>
    <w:qFormat/>
    <w:uiPriority w:val="0"/>
    <w:pPr>
      <w:numPr>
        <w:ilvl w:val="0"/>
        <w:numId w:val="1"/>
      </w:numPr>
    </w:pPr>
    <w:rPr>
      <w:rFonts w:ascii="Times New Roman" w:hAnsi="Times New Roman"/>
      <w:sz w:val="24"/>
      <w:szCs w:val="24"/>
    </w:rPr>
  </w:style>
  <w:style w:type="paragraph" w:customStyle="1" w:styleId="96">
    <w:name w:val="公文抬头"/>
    <w:basedOn w:val="9"/>
    <w:qFormat/>
    <w:uiPriority w:val="0"/>
    <w:pPr>
      <w:ind w:firstLine="0"/>
    </w:pPr>
    <w:rPr>
      <w:rFonts w:ascii="仿宋_GB2312" w:eastAsia="仿宋_GB2312"/>
      <w:sz w:val="30"/>
      <w:szCs w:val="24"/>
    </w:rPr>
  </w:style>
  <w:style w:type="paragraph" w:customStyle="1" w:styleId="97">
    <w:name w:val="Char Char Char1 Char"/>
    <w:basedOn w:val="16"/>
    <w:qFormat/>
    <w:uiPriority w:val="0"/>
    <w:rPr>
      <w:rFonts w:ascii="Tahoma" w:hAnsi="Tahoma"/>
      <w:sz w:val="24"/>
      <w:szCs w:val="24"/>
    </w:rPr>
  </w:style>
  <w:style w:type="paragraph" w:customStyle="1" w:styleId="98">
    <w:name w:val="公文正文"/>
    <w:qFormat/>
    <w:uiPriority w:val="0"/>
    <w:pPr>
      <w:widowControl w:val="0"/>
      <w:spacing w:line="360" w:lineRule="auto"/>
      <w:ind w:firstLine="629"/>
      <w:jc w:val="both"/>
    </w:pPr>
    <w:rPr>
      <w:rFonts w:ascii="仿宋_GB2312" w:hAnsi="Calisto MT" w:eastAsia="仿宋_GB2312" w:cs="Times New Roman"/>
      <w:color w:val="000000"/>
      <w:sz w:val="32"/>
      <w:lang w:val="en-US" w:eastAsia="zh-CN" w:bidi="ar-SA"/>
    </w:rPr>
  </w:style>
  <w:style w:type="paragraph" w:customStyle="1" w:styleId="99">
    <w:name w:val="公文标题"/>
    <w:basedOn w:val="7"/>
    <w:qFormat/>
    <w:uiPriority w:val="0"/>
    <w:pPr>
      <w:keepNext/>
      <w:keepLines/>
      <w:widowControl w:val="0"/>
      <w:spacing w:before="0" w:beforeAutospacing="0" w:after="0" w:afterAutospacing="0"/>
      <w:ind w:left="1469" w:right="1542"/>
    </w:pPr>
    <w:rPr>
      <w:rFonts w:hAnsi="Times New Roman" w:cs="Times New Roman"/>
      <w:b/>
      <w:kern w:val="2"/>
      <w:sz w:val="44"/>
      <w:szCs w:val="21"/>
    </w:rPr>
  </w:style>
  <w:style w:type="paragraph" w:customStyle="1" w:styleId="100">
    <w:name w:val="发文落款"/>
    <w:basedOn w:val="98"/>
    <w:qFormat/>
    <w:uiPriority w:val="0"/>
    <w:pPr>
      <w:ind w:left="4094" w:right="607" w:firstLine="0"/>
      <w:jc w:val="center"/>
    </w:pPr>
  </w:style>
  <w:style w:type="paragraph" w:customStyle="1" w:styleId="101">
    <w:name w:val="Char Char Char Char"/>
    <w:basedOn w:val="1"/>
    <w:qFormat/>
    <w:uiPriority w:val="0"/>
    <w:rPr>
      <w:rFonts w:ascii="Times New Roman" w:hAnsi="Times New Roman"/>
      <w:sz w:val="30"/>
      <w:szCs w:val="24"/>
    </w:rPr>
  </w:style>
  <w:style w:type="character" w:customStyle="1" w:styleId="102">
    <w:name w:val="批注框文本 字符"/>
    <w:semiHidden/>
    <w:qFormat/>
    <w:uiPriority w:val="99"/>
    <w:rPr>
      <w:rFonts w:ascii="Calibri" w:hAnsi="Calibri" w:eastAsia="宋体" w:cs="Times New Roman"/>
      <w:sz w:val="18"/>
      <w:szCs w:val="18"/>
    </w:rPr>
  </w:style>
  <w:style w:type="character" w:customStyle="1" w:styleId="103">
    <w:name w:val="批注框文本 Char"/>
    <w:link w:val="25"/>
    <w:qFormat/>
    <w:uiPriority w:val="0"/>
    <w:rPr>
      <w:rFonts w:ascii="Times New Roman" w:hAnsi="Times New Roman" w:eastAsia="宋体" w:cs="Times New Roman"/>
      <w:sz w:val="18"/>
      <w:szCs w:val="18"/>
    </w:rPr>
  </w:style>
  <w:style w:type="paragraph" w:customStyle="1" w:styleId="104">
    <w:name w:val="TOC 标题1"/>
    <w:basedOn w:val="2"/>
    <w:next w:val="1"/>
    <w:semiHidden/>
    <w:unhideWhenUsed/>
    <w:qFormat/>
    <w:uiPriority w:val="39"/>
    <w:pPr>
      <w:widowControl/>
      <w:spacing w:before="480" w:after="0" w:line="276" w:lineRule="auto"/>
      <w:outlineLvl w:val="9"/>
    </w:pPr>
    <w:rPr>
      <w:rFonts w:ascii="Cambria" w:hAnsi="Cambria"/>
      <w:color w:val="365F91"/>
      <w:kern w:val="0"/>
    </w:rPr>
  </w:style>
  <w:style w:type="character" w:customStyle="1" w:styleId="105">
    <w:name w:val="批注文字 字符"/>
    <w:semiHidden/>
    <w:qFormat/>
    <w:uiPriority w:val="99"/>
    <w:rPr>
      <w:rFonts w:ascii="Calibri" w:hAnsi="Calibri" w:eastAsia="宋体" w:cs="Times New Roman"/>
    </w:rPr>
  </w:style>
  <w:style w:type="character" w:customStyle="1" w:styleId="106">
    <w:name w:val="批注文字 Char"/>
    <w:link w:val="17"/>
    <w:qFormat/>
    <w:uiPriority w:val="0"/>
    <w:rPr>
      <w:rFonts w:ascii="宋体" w:hAnsi="宋体" w:eastAsia="宋体" w:cs="Times New Roman"/>
      <w:sz w:val="24"/>
      <w:szCs w:val="24"/>
    </w:rPr>
  </w:style>
  <w:style w:type="character" w:customStyle="1" w:styleId="107">
    <w:name w:val="脚注文本 字符"/>
    <w:semiHidden/>
    <w:qFormat/>
    <w:uiPriority w:val="99"/>
    <w:rPr>
      <w:rFonts w:ascii="Calibri" w:hAnsi="Calibri" w:eastAsia="宋体" w:cs="Times New Roman"/>
      <w:sz w:val="18"/>
      <w:szCs w:val="18"/>
    </w:rPr>
  </w:style>
  <w:style w:type="character" w:customStyle="1" w:styleId="108">
    <w:name w:val="脚注文本 Char"/>
    <w:link w:val="29"/>
    <w:qFormat/>
    <w:uiPriority w:val="0"/>
    <w:rPr>
      <w:rFonts w:ascii="宋体" w:hAnsi="宋体" w:eastAsia="宋体" w:cs="Times New Roman"/>
      <w:sz w:val="18"/>
      <w:szCs w:val="18"/>
    </w:rPr>
  </w:style>
  <w:style w:type="character" w:customStyle="1" w:styleId="109">
    <w:name w:val="批注主题 字符"/>
    <w:semiHidden/>
    <w:qFormat/>
    <w:uiPriority w:val="99"/>
    <w:rPr>
      <w:rFonts w:ascii="Calibri" w:hAnsi="Calibri" w:eastAsia="宋体" w:cs="Times New Roman"/>
      <w:b/>
      <w:bCs/>
    </w:rPr>
  </w:style>
  <w:style w:type="character" w:customStyle="1" w:styleId="110">
    <w:name w:val="批注主题 Char"/>
    <w:link w:val="36"/>
    <w:qFormat/>
    <w:uiPriority w:val="0"/>
    <w:rPr>
      <w:rFonts w:ascii="宋体" w:hAnsi="宋体" w:eastAsia="宋体" w:cs="Times New Roman"/>
      <w:b/>
      <w:bCs/>
      <w:sz w:val="24"/>
      <w:szCs w:val="24"/>
    </w:rPr>
  </w:style>
  <w:style w:type="paragraph" w:styleId="111">
    <w:name w:val="List Paragraph"/>
    <w:basedOn w:val="1"/>
    <w:qFormat/>
    <w:uiPriority w:val="34"/>
    <w:pPr>
      <w:ind w:firstLine="420" w:firstLineChars="200"/>
    </w:pPr>
    <w:rPr>
      <w:rFonts w:ascii="Times New Roman" w:hAnsi="Times New Roman"/>
      <w:szCs w:val="20"/>
    </w:rPr>
  </w:style>
  <w:style w:type="paragraph" w:customStyle="1" w:styleId="112">
    <w:name w:val="修订1"/>
    <w:hidden/>
    <w:semiHidden/>
    <w:qFormat/>
    <w:uiPriority w:val="99"/>
    <w:rPr>
      <w:rFonts w:ascii="Times New Roman" w:hAnsi="Times New Roman" w:eastAsia="宋体" w:cs="Times New Roman"/>
      <w:kern w:val="2"/>
      <w:sz w:val="21"/>
      <w:lang w:val="en-US" w:eastAsia="zh-CN" w:bidi="ar-SA"/>
    </w:rPr>
  </w:style>
  <w:style w:type="paragraph" w:customStyle="1" w:styleId="113">
    <w:name w:val="修订2"/>
    <w:hidden/>
    <w:unhideWhenUsed/>
    <w:qFormat/>
    <w:uiPriority w:val="99"/>
    <w:rPr>
      <w:rFonts w:ascii="Calibri" w:hAnsi="Calibri" w:eastAsia="宋体" w:cs="Times New Roman"/>
      <w:kern w:val="2"/>
      <w:sz w:val="21"/>
      <w:szCs w:val="22"/>
      <w:lang w:val="en-US" w:eastAsia="zh-CN" w:bidi="ar-SA"/>
    </w:rPr>
  </w:style>
  <w:style w:type="paragraph" w:customStyle="1" w:styleId="114">
    <w:name w:val="Revision"/>
    <w:hidden/>
    <w:unhideWhenUsed/>
    <w:qFormat/>
    <w:uiPriority w:val="99"/>
    <w:rPr>
      <w:rFonts w:ascii="Calibri" w:hAnsi="Calibri" w:eastAsia="宋体" w:cs="Times New Roman"/>
      <w:kern w:val="2"/>
      <w:sz w:val="21"/>
      <w:szCs w:val="22"/>
      <w:lang w:val="en-US" w:eastAsia="zh-CN" w:bidi="ar-SA"/>
    </w:rPr>
  </w:style>
  <w:style w:type="character" w:customStyle="1" w:styleId="115">
    <w:name w:val="页眉 Char"/>
    <w:qFormat/>
    <w:uiPriority w:val="99"/>
    <w:rPr>
      <w:kern w:val="2"/>
      <w:sz w:val="18"/>
      <w:szCs w:val="18"/>
      <w:lang w:val="zh-CN" w:eastAsia="zh-CN"/>
    </w:rPr>
  </w:style>
  <w:style w:type="character" w:customStyle="1" w:styleId="116">
    <w:name w:val="标准正文 Char"/>
    <w:link w:val="117"/>
    <w:qFormat/>
    <w:uiPriority w:val="0"/>
    <w:rPr>
      <w:szCs w:val="24"/>
    </w:rPr>
  </w:style>
  <w:style w:type="paragraph" w:customStyle="1" w:styleId="117">
    <w:name w:val="标准正文"/>
    <w:basedOn w:val="1"/>
    <w:link w:val="116"/>
    <w:qFormat/>
    <w:uiPriority w:val="0"/>
    <w:pPr>
      <w:tabs>
        <w:tab w:val="left" w:pos="720"/>
      </w:tabs>
      <w:spacing w:line="360" w:lineRule="auto"/>
      <w:ind w:firstLine="200" w:firstLineChars="200"/>
    </w:pPr>
    <w:rPr>
      <w:rFonts w:ascii="等线" w:hAnsi="等线" w:eastAsia="等线"/>
      <w:kern w:val="0"/>
      <w:sz w:val="20"/>
      <w:szCs w:val="24"/>
    </w:rPr>
  </w:style>
  <w:style w:type="paragraph" w:customStyle="1" w:styleId="118">
    <w:name w:val="PlainText"/>
    <w:basedOn w:val="1"/>
    <w:qFormat/>
    <w:uiPriority w:val="0"/>
    <w:pPr>
      <w:textAlignment w:val="baseline"/>
    </w:pPr>
    <w:rPr>
      <w:rFonts w:ascii="宋体" w:hAnsi="Courier New" w:cs="Calibri"/>
      <w:color w:val="000000"/>
      <w:kern w:val="0"/>
      <w:sz w:val="20"/>
      <w:szCs w:val="20"/>
    </w:rPr>
  </w:style>
  <w:style w:type="paragraph" w:customStyle="1" w:styleId="119">
    <w:name w:val="自标题3"/>
    <w:basedOn w:val="1"/>
    <w:qFormat/>
    <w:uiPriority w:val="0"/>
    <w:rPr>
      <w:szCs w:val="20"/>
    </w:rPr>
  </w:style>
  <w:style w:type="paragraph" w:customStyle="1" w:styleId="120">
    <w:name w:val="List Paragraph1"/>
    <w:basedOn w:val="1"/>
    <w:qFormat/>
    <w:uiPriority w:val="0"/>
    <w:pPr>
      <w:ind w:firstLine="420" w:firstLineChars="200"/>
    </w:pPr>
  </w:style>
  <w:style w:type="paragraph" w:customStyle="1" w:styleId="121">
    <w:name w:val="null3"/>
    <w:hidden/>
    <w:qFormat/>
    <w:uiPriority w:val="0"/>
    <w:rPr>
      <w:rFonts w:hint="eastAsia" w:asciiTheme="minorHAnsi" w:hAnsiTheme="minorHAnsi" w:eastAsiaTheme="minorEastAsia" w:cstheme="minorBidi"/>
      <w:lang w:val="en-US" w:eastAsia="zh-Hans"/>
    </w:rPr>
  </w:style>
  <w:style w:type="paragraph" w:styleId="122">
    <w:name w:val="No Spacing"/>
    <w:qFormat/>
    <w:uiPriority w:val="0"/>
    <w:pPr>
      <w:widowControl w:val="0"/>
      <w:jc w:val="both"/>
    </w:pPr>
    <w:rPr>
      <w:rFonts w:ascii="Times New Roman" w:hAnsi="Times New Roman" w:eastAsia="等线" w:cs="Times New Roman"/>
      <w:kern w:val="2"/>
      <w:sz w:val="21"/>
      <w:szCs w:val="22"/>
      <w:lang w:val="en-US" w:eastAsia="zh-CN" w:bidi="ar-SA"/>
    </w:rPr>
  </w:style>
  <w:style w:type="paragraph" w:customStyle="1" w:styleId="123">
    <w:name w:val="样式 宋体 行距: 1.5 倍行距"/>
    <w:basedOn w:val="1"/>
    <w:qFormat/>
    <w:uiPriority w:val="0"/>
    <w:pPr>
      <w:jc w:val="center"/>
    </w:pPr>
    <w:rPr>
      <w: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120</Pages>
  <Words>38567</Words>
  <Characters>40390</Characters>
  <Lines>582</Lines>
  <Paragraphs>164</Paragraphs>
  <TotalTime>36</TotalTime>
  <ScaleCrop>false</ScaleCrop>
  <LinksUpToDate>false</LinksUpToDate>
  <CharactersWithSpaces>41661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2019-10-12T15:40:00Z</dcterms:created>
  <dc:creator>管理员</dc:creator>
  <cp:lastModifiedBy>X1</cp:lastModifiedBy>
  <cp:lastPrinted>2025-07-30T03:15:00Z</cp:lastPrinted>
  <dcterms:modified xsi:type="dcterms:W3CDTF">2025-07-30T06:31:17Z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160E061C59D944CFA9E23CE7B7238058_13</vt:lpwstr>
  </property>
  <property fmtid="{D5CDD505-2E9C-101B-9397-08002B2CF9AE}" pid="4" name="KSOTemplateDocerSaveRecord">
    <vt:lpwstr>eyJoZGlkIjoiM2VkOTA0NGM0N2M2YjE2NWY3ZjYyODhjZWNlOWNkMzEiLCJ1c2VySWQiOiIzNzk4NDg2NTcifQ==</vt:lpwstr>
  </property>
</Properties>
</file>