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18C5">
      <w:pPr>
        <w:pStyle w:val="7"/>
        <w:adjustRightInd w:val="0"/>
        <w:snapToGrid w:val="0"/>
        <w:spacing w:before="312" w:beforeLines="100" w:after="312" w:afterLines="100" w:line="360" w:lineRule="auto"/>
        <w:ind w:right="640" w:firstLine="3200" w:firstLineChars="1000"/>
        <w:jc w:val="right"/>
        <w:rPr>
          <w:rFonts w:hint="eastAsia" w:ascii="方正小标宋简体" w:hAnsi="宋体" w:eastAsia="方正小标宋简体"/>
          <w:sz w:val="52"/>
          <w:szCs w:val="52"/>
        </w:rPr>
      </w:pPr>
      <w:bookmarkStart w:id="6" w:name="_GoBack"/>
      <w:r>
        <w:rPr>
          <w:rFonts w:hint="eastAsia" w:ascii="宋体" w:hAnsi="宋体" w:cs="华文中宋"/>
          <w:sz w:val="32"/>
          <w:szCs w:val="32"/>
        </w:rPr>
        <w:t>合同编号：      号</w:t>
      </w:r>
    </w:p>
    <w:p w14:paraId="655B8A6D">
      <w:pPr>
        <w:pStyle w:val="7"/>
        <w:adjustRightInd w:val="0"/>
        <w:snapToGrid w:val="0"/>
        <w:spacing w:before="312" w:beforeLines="100" w:after="312" w:afterLines="100" w:line="360" w:lineRule="auto"/>
        <w:ind w:right="0" w:firstLine="0" w:firstLineChars="0"/>
        <w:jc w:val="center"/>
        <w:rPr>
          <w:rFonts w:hint="eastAsia" w:ascii="方正小标宋简体" w:hAnsi="宋体" w:eastAsia="方正小标宋简体"/>
          <w:sz w:val="72"/>
          <w:szCs w:val="72"/>
        </w:rPr>
      </w:pPr>
    </w:p>
    <w:p w14:paraId="2FF0FE0F">
      <w:pPr>
        <w:pStyle w:val="7"/>
        <w:adjustRightInd w:val="0"/>
        <w:snapToGrid w:val="0"/>
        <w:spacing w:before="312" w:beforeLines="100" w:after="312" w:afterLines="100" w:line="360" w:lineRule="auto"/>
        <w:ind w:right="0" w:firstLine="0" w:firstLineChars="0"/>
        <w:jc w:val="center"/>
        <w:rPr>
          <w:rFonts w:hint="eastAsia" w:ascii="宋体" w:hAnsi="宋体" w:eastAsia="宋体"/>
          <w:sz w:val="72"/>
          <w:szCs w:val="72"/>
        </w:rPr>
      </w:pPr>
      <w:r>
        <w:rPr>
          <w:rFonts w:hint="eastAsia" w:ascii="宋体" w:hAnsi="宋体" w:eastAsia="宋体"/>
          <w:sz w:val="72"/>
          <w:szCs w:val="72"/>
        </w:rPr>
        <w:t>建设工程造价咨询合同</w:t>
      </w:r>
    </w:p>
    <w:p w14:paraId="2423C2A5">
      <w:pPr>
        <w:pStyle w:val="7"/>
        <w:adjustRightInd w:val="0"/>
        <w:snapToGrid w:val="0"/>
        <w:spacing w:before="312" w:beforeLines="100" w:after="312" w:afterLines="100" w:line="360" w:lineRule="auto"/>
        <w:ind w:right="0" w:firstLine="0" w:firstLineChars="0"/>
        <w:jc w:val="center"/>
        <w:rPr>
          <w:rFonts w:hint="eastAsia" w:ascii="方正小标宋简体" w:hAnsi="宋体" w:eastAsia="方正小标宋简体"/>
          <w:sz w:val="72"/>
          <w:szCs w:val="72"/>
        </w:rPr>
      </w:pPr>
    </w:p>
    <w:p w14:paraId="7B0A80B1">
      <w:pPr>
        <w:spacing w:line="640" w:lineRule="exact"/>
        <w:ind w:left="638" w:leftChars="304"/>
        <w:rPr>
          <w:rFonts w:hint="eastAsia" w:ascii="宋体" w:hAnsi="宋体" w:cs="仿宋"/>
          <w:sz w:val="32"/>
          <w:szCs w:val="32"/>
          <w:u w:val="single"/>
        </w:rPr>
      </w:pPr>
      <w:r>
        <w:rPr>
          <w:rFonts w:hint="eastAsia" w:ascii="宋体" w:hAnsi="宋体" w:cs="仿宋"/>
          <w:sz w:val="32"/>
          <w:szCs w:val="32"/>
        </w:rPr>
        <w:t>工程名称：</w:t>
      </w:r>
      <w:r>
        <w:rPr>
          <w:rFonts w:hint="eastAsia" w:ascii="宋体" w:hAnsi="宋体" w:cs="仿宋"/>
          <w:sz w:val="32"/>
          <w:szCs w:val="32"/>
          <w:u w:val="single"/>
        </w:rPr>
        <w:t>南方医科大学南方医院医疗综合楼建设工程项目结算造价咨询服务采购项目</w:t>
      </w:r>
    </w:p>
    <w:p w14:paraId="0104EC7F">
      <w:pPr>
        <w:spacing w:line="640" w:lineRule="exact"/>
        <w:ind w:firstLine="640" w:firstLineChars="200"/>
        <w:rPr>
          <w:rFonts w:hint="eastAsia" w:ascii="宋体" w:hAnsi="宋体" w:cs="仿宋"/>
          <w:sz w:val="32"/>
          <w:szCs w:val="32"/>
        </w:rPr>
      </w:pPr>
      <w:r>
        <w:rPr>
          <w:rFonts w:hint="eastAsia" w:ascii="宋体" w:hAnsi="宋体" w:cs="仿宋"/>
          <w:sz w:val="32"/>
          <w:szCs w:val="32"/>
        </w:rPr>
        <w:t>甲    方：</w:t>
      </w:r>
      <w:r>
        <w:rPr>
          <w:rFonts w:hint="eastAsia" w:ascii="宋体" w:hAnsi="宋体" w:cs="仿宋"/>
          <w:sz w:val="32"/>
          <w:szCs w:val="32"/>
          <w:u w:val="single"/>
        </w:rPr>
        <w:t>南方医科大学南方医院</w:t>
      </w:r>
      <w:r>
        <w:rPr>
          <w:rFonts w:hint="eastAsia" w:ascii="宋体" w:hAnsi="宋体" w:cs="仿宋"/>
          <w:sz w:val="32"/>
          <w:szCs w:val="32"/>
        </w:rPr>
        <w:t xml:space="preserve"> </w:t>
      </w:r>
      <w:r>
        <w:rPr>
          <w:rFonts w:ascii="宋体" w:hAnsi="宋体" w:cs="仿宋"/>
          <w:sz w:val="32"/>
          <w:szCs w:val="32"/>
        </w:rPr>
        <w:t xml:space="preserve">          </w:t>
      </w:r>
    </w:p>
    <w:p w14:paraId="166FE5D7">
      <w:pPr>
        <w:spacing w:line="640" w:lineRule="exact"/>
        <w:ind w:firstLine="640" w:firstLineChars="200"/>
        <w:rPr>
          <w:rFonts w:hint="eastAsia" w:ascii="宋体" w:hAnsi="宋体" w:cs="仿宋"/>
          <w:sz w:val="32"/>
          <w:szCs w:val="32"/>
        </w:rPr>
      </w:pPr>
      <w:r>
        <w:rPr>
          <w:rFonts w:hint="eastAsia" w:ascii="宋体" w:hAnsi="宋体" w:cs="仿宋"/>
          <w:sz w:val="32"/>
          <w:szCs w:val="32"/>
        </w:rPr>
        <w:t>乙    方：</w:t>
      </w:r>
      <w:r>
        <w:rPr>
          <w:rFonts w:ascii="宋体" w:hAnsi="宋体" w:cs="仿宋"/>
          <w:sz w:val="32"/>
          <w:szCs w:val="32"/>
          <w:u w:val="single"/>
        </w:rPr>
        <w:t xml:space="preserve">                            </w:t>
      </w:r>
      <w:r>
        <w:rPr>
          <w:rFonts w:ascii="宋体" w:hAnsi="宋体" w:cs="仿宋"/>
          <w:sz w:val="32"/>
          <w:szCs w:val="32"/>
        </w:rPr>
        <w:t xml:space="preserve">            </w:t>
      </w:r>
    </w:p>
    <w:p w14:paraId="420A7E18">
      <w:pPr>
        <w:spacing w:line="640" w:lineRule="exact"/>
        <w:rPr>
          <w:rFonts w:hint="eastAsia" w:ascii="宋体" w:hAnsi="宋体"/>
          <w:sz w:val="32"/>
          <w:szCs w:val="32"/>
        </w:rPr>
      </w:pPr>
    </w:p>
    <w:p w14:paraId="169B3F06">
      <w:pPr>
        <w:spacing w:line="640" w:lineRule="exact"/>
        <w:rPr>
          <w:rFonts w:hint="eastAsia" w:ascii="宋体" w:hAnsi="宋体" w:cs="仿宋"/>
          <w:sz w:val="32"/>
          <w:szCs w:val="32"/>
        </w:rPr>
      </w:pPr>
    </w:p>
    <w:p w14:paraId="58692AB9">
      <w:pPr>
        <w:spacing w:line="640" w:lineRule="exact"/>
        <w:rPr>
          <w:rFonts w:hint="eastAsia" w:ascii="宋体" w:hAnsi="宋体" w:cs="仿宋"/>
          <w:sz w:val="32"/>
          <w:szCs w:val="32"/>
        </w:rPr>
      </w:pPr>
    </w:p>
    <w:p w14:paraId="34FD1A06">
      <w:pPr>
        <w:pStyle w:val="32"/>
        <w:widowControl/>
        <w:tabs>
          <w:tab w:val="left" w:pos="1274"/>
        </w:tabs>
        <w:adjustRightInd w:val="0"/>
        <w:snapToGrid w:val="0"/>
        <w:spacing w:before="312" w:beforeLines="100" w:after="312" w:afterLines="100" w:line="360" w:lineRule="auto"/>
        <w:ind w:firstLine="0" w:firstLineChars="0"/>
        <w:jc w:val="center"/>
        <w:rPr>
          <w:rFonts w:hint="eastAsia" w:ascii="宋体" w:hAnsi="宋体" w:cs="仿宋"/>
          <w:sz w:val="32"/>
          <w:szCs w:val="32"/>
        </w:rPr>
      </w:pPr>
      <w:r>
        <w:rPr>
          <w:rFonts w:hint="eastAsia" w:ascii="宋体" w:hAnsi="宋体" w:cs="仿宋"/>
          <w:sz w:val="32"/>
          <w:szCs w:val="32"/>
        </w:rPr>
        <w:t xml:space="preserve">签订日期：      年 </w:t>
      </w:r>
      <w:r>
        <w:rPr>
          <w:rFonts w:ascii="宋体" w:hAnsi="宋体" w:cs="仿宋"/>
          <w:sz w:val="32"/>
          <w:szCs w:val="32"/>
        </w:rPr>
        <w:t xml:space="preserve"> </w:t>
      </w:r>
      <w:r>
        <w:rPr>
          <w:rFonts w:hint="eastAsia" w:ascii="宋体" w:hAnsi="宋体" w:cs="仿宋"/>
          <w:sz w:val="32"/>
          <w:szCs w:val="32"/>
        </w:rPr>
        <w:t xml:space="preserve"> 月  日</w:t>
      </w:r>
    </w:p>
    <w:p w14:paraId="618AE29D">
      <w:pPr>
        <w:pStyle w:val="32"/>
        <w:widowControl/>
        <w:tabs>
          <w:tab w:val="left" w:pos="1274"/>
        </w:tabs>
        <w:adjustRightInd w:val="0"/>
        <w:snapToGrid w:val="0"/>
        <w:spacing w:before="312" w:beforeLines="100" w:after="312" w:afterLines="100" w:line="360" w:lineRule="auto"/>
        <w:ind w:firstLine="0" w:firstLineChars="0"/>
        <w:jc w:val="center"/>
        <w:rPr>
          <w:rFonts w:hint="eastAsia" w:ascii="方正小标宋简体" w:hAnsi="宋体" w:eastAsia="方正小标宋简体"/>
          <w:b/>
          <w:bCs/>
          <w:smallCaps/>
          <w:kern w:val="0"/>
          <w:sz w:val="36"/>
          <w:szCs w:val="36"/>
        </w:rPr>
      </w:pPr>
    </w:p>
    <w:p w14:paraId="6E0C7D90">
      <w:pPr>
        <w:pStyle w:val="32"/>
        <w:widowControl/>
        <w:tabs>
          <w:tab w:val="left" w:pos="1274"/>
        </w:tabs>
        <w:adjustRightInd w:val="0"/>
        <w:snapToGrid w:val="0"/>
        <w:spacing w:before="312" w:beforeLines="100" w:after="312" w:afterLines="100" w:line="360" w:lineRule="auto"/>
        <w:ind w:firstLine="0" w:firstLineChars="0"/>
        <w:jc w:val="center"/>
        <w:rPr>
          <w:rFonts w:hint="eastAsia" w:ascii="宋体" w:hAnsi="宋体"/>
          <w:b/>
          <w:bCs/>
          <w:smallCaps/>
          <w:kern w:val="0"/>
          <w:sz w:val="36"/>
          <w:szCs w:val="36"/>
        </w:rPr>
      </w:pPr>
      <w:r>
        <w:rPr>
          <w:rFonts w:hint="eastAsia" w:ascii="宋体" w:hAnsi="宋体"/>
          <w:b/>
          <w:bCs/>
          <w:smallCaps/>
          <w:kern w:val="0"/>
          <w:sz w:val="36"/>
          <w:szCs w:val="36"/>
        </w:rPr>
        <w:t>说   明</w:t>
      </w:r>
    </w:p>
    <w:p w14:paraId="52852431">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为了规范建设工程造价咨询活动，维护合同双方当事人的合法权益，依据《中华人民共和国民法典》等相关法律法规，制定本《建设工程造价咨询合同》。为了便于合同当事人使用本《建设工程造价咨询合同》，现就有关问题说明如下：</w:t>
      </w:r>
    </w:p>
    <w:p w14:paraId="7AC59847">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一、《建设工程造价咨询合同》的组成</w:t>
      </w:r>
    </w:p>
    <w:p w14:paraId="6CF29DCA">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《建设工程造价咨询合同》由合同协议书、通用合同条款和专用合同条款三部分组成。</w:t>
      </w:r>
    </w:p>
    <w:p w14:paraId="1B325201">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（一）合同协议书。《建设工程造价咨询合同》合同双方对权利义务的总体约定。</w:t>
      </w:r>
    </w:p>
    <w:p w14:paraId="2C815F38">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（二）通用合同条款。通用合同条款是合同当事人根据《中华人民共和国民法典》等法律法规的规定，就建设工程造价咨询工作的实施及相关事项，对合同当事人的权利义务作出的约定。</w:t>
      </w:r>
    </w:p>
    <w:p w14:paraId="26D9AAEB">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三）专用合同条款。专用合同条款是对合同条款约定的细化、完善、补充、修改或另行约定的条款。合同当事人可以根据不同建设工程的特点及具体情况，通过双方的谈判、协商对相应的专用合同条款进行修改补充。在使用专用合同条款时，应注意以下事项：</w:t>
      </w:r>
    </w:p>
    <w:p w14:paraId="7BA840E4">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1、合同当事人可以通过对专用合同条款的修改，满足具体建设工程的特殊要求；</w:t>
      </w:r>
    </w:p>
    <w:p w14:paraId="70B6CB6C">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2、在专用合同条款中有横道线的地方，合同当事人可针对相应的合同条款进行细化、完善、补充、修改或另行约定；如无细化、完善、补充、修改或另行约定，则填写“无”或划“/”。</w:t>
      </w:r>
    </w:p>
    <w:p w14:paraId="3E45D37F">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二、《建设工程造价咨询合同》的适用范围</w:t>
      </w:r>
    </w:p>
    <w:p w14:paraId="6BBFE893">
      <w:pPr>
        <w:pStyle w:val="7"/>
        <w:adjustRightInd w:val="0"/>
        <w:snapToGrid w:val="0"/>
        <w:spacing w:line="360" w:lineRule="auto"/>
        <w:ind w:right="0" w:firstLine="480"/>
        <w:jc w:val="left"/>
        <w:rPr>
          <w:rFonts w:hint="eastAsia" w:ascii="宋体" w:hAnsi="宋体" w:eastAsia="宋体" w:cs="宋体"/>
          <w:sz w:val="24"/>
          <w:szCs w:val="24"/>
        </w:rPr>
      </w:pPr>
      <w:r>
        <w:rPr>
          <w:rFonts w:hint="eastAsia" w:ascii="宋体" w:hAnsi="宋体" w:eastAsia="宋体" w:cs="宋体"/>
          <w:sz w:val="24"/>
          <w:szCs w:val="24"/>
        </w:rPr>
        <w:t>《建设工程造价咨询合同》可适用于房屋建筑工程、土木工程、线路管道和设备安装工程、装修工程等建设工程的造价咨询活动。</w:t>
      </w:r>
    </w:p>
    <w:p w14:paraId="01E4C588">
      <w:pPr>
        <w:pStyle w:val="32"/>
        <w:widowControl/>
        <w:tabs>
          <w:tab w:val="left" w:pos="1274"/>
        </w:tabs>
        <w:adjustRightInd w:val="0"/>
        <w:snapToGrid w:val="0"/>
        <w:spacing w:before="312" w:beforeLines="100" w:after="312" w:afterLines="100" w:line="540" w:lineRule="exact"/>
        <w:ind w:firstLine="0" w:firstLineChars="0"/>
        <w:jc w:val="center"/>
        <w:rPr>
          <w:rFonts w:hint="eastAsia" w:ascii="方正小标宋简体" w:hAnsi="宋体" w:eastAsia="方正小标宋简体"/>
          <w:b/>
          <w:bCs/>
          <w:smallCaps/>
          <w:kern w:val="0"/>
          <w:sz w:val="36"/>
          <w:szCs w:val="36"/>
        </w:rPr>
      </w:pPr>
    </w:p>
    <w:p w14:paraId="11E4B5BC">
      <w:pPr>
        <w:rPr>
          <w:rFonts w:hint="eastAsia" w:ascii="宋体" w:hAnsi="宋体"/>
          <w:b/>
          <w:bCs/>
          <w:smallCaps/>
          <w:kern w:val="0"/>
          <w:sz w:val="36"/>
          <w:szCs w:val="36"/>
        </w:rPr>
      </w:pPr>
      <w:r>
        <w:rPr>
          <w:rFonts w:hint="eastAsia" w:ascii="宋体" w:hAnsi="宋体"/>
          <w:b/>
          <w:bCs/>
          <w:smallCaps/>
          <w:kern w:val="0"/>
          <w:sz w:val="36"/>
          <w:szCs w:val="36"/>
        </w:rPr>
        <w:br w:type="page"/>
      </w:r>
    </w:p>
    <w:p w14:paraId="06EFEA65">
      <w:pPr>
        <w:pStyle w:val="32"/>
        <w:widowControl/>
        <w:tabs>
          <w:tab w:val="left" w:pos="1274"/>
        </w:tabs>
        <w:adjustRightInd w:val="0"/>
        <w:snapToGrid w:val="0"/>
        <w:spacing w:before="312" w:beforeLines="100" w:after="312" w:afterLines="100" w:line="540" w:lineRule="exact"/>
        <w:ind w:firstLine="0" w:firstLineChars="0"/>
        <w:jc w:val="center"/>
        <w:rPr>
          <w:rFonts w:hint="eastAsia" w:ascii="宋体" w:hAnsi="宋体"/>
          <w:b/>
          <w:bCs/>
          <w:smallCaps/>
          <w:kern w:val="0"/>
          <w:sz w:val="36"/>
          <w:szCs w:val="36"/>
        </w:rPr>
      </w:pPr>
      <w:r>
        <w:rPr>
          <w:rFonts w:hint="eastAsia" w:ascii="宋体" w:hAnsi="宋体"/>
          <w:b/>
          <w:bCs/>
          <w:smallCaps/>
          <w:kern w:val="0"/>
          <w:sz w:val="36"/>
          <w:szCs w:val="36"/>
        </w:rPr>
        <w:t xml:space="preserve">第一部分   </w:t>
      </w:r>
      <w:r>
        <w:rPr>
          <w:rFonts w:ascii="宋体" w:hAnsi="宋体"/>
          <w:b/>
          <w:bCs/>
          <w:smallCaps/>
          <w:kern w:val="0"/>
          <w:sz w:val="36"/>
          <w:szCs w:val="36"/>
        </w:rPr>
        <w:t>建设工程造价咨询协议书</w:t>
      </w:r>
    </w:p>
    <w:p w14:paraId="71178A17">
      <w:pPr>
        <w:adjustRightInd w:val="0"/>
        <w:snapToGrid w:val="0"/>
        <w:spacing w:line="360" w:lineRule="auto"/>
        <w:ind w:firstLine="480" w:firstLineChars="200"/>
        <w:rPr>
          <w:rFonts w:hint="eastAsia" w:ascii="宋体" w:hAnsi="宋体"/>
          <w:b/>
          <w:bCs/>
          <w:sz w:val="24"/>
          <w:szCs w:val="24"/>
        </w:rPr>
      </w:pPr>
      <w:r>
        <w:rPr>
          <w:rFonts w:hint="eastAsia" w:ascii="宋体" w:hAnsi="宋体"/>
          <w:sz w:val="24"/>
          <w:szCs w:val="24"/>
        </w:rPr>
        <w:t>甲  方：</w:t>
      </w:r>
      <w:r>
        <w:rPr>
          <w:rFonts w:hint="eastAsia" w:ascii="宋体" w:hAnsi="宋体"/>
          <w:sz w:val="24"/>
          <w:szCs w:val="24"/>
          <w:u w:val="single"/>
        </w:rPr>
        <w:t xml:space="preserve">南方医科大学南方医院      </w:t>
      </w:r>
    </w:p>
    <w:p w14:paraId="17D5105B">
      <w:pPr>
        <w:adjustRightInd w:val="0"/>
        <w:snapToGrid w:val="0"/>
        <w:spacing w:line="360" w:lineRule="auto"/>
        <w:ind w:firstLine="480" w:firstLineChars="200"/>
        <w:rPr>
          <w:rFonts w:hint="eastAsia" w:ascii="宋体" w:hAnsi="宋体" w:cs="仿宋"/>
          <w:sz w:val="24"/>
          <w:szCs w:val="24"/>
          <w:u w:val="single"/>
        </w:rPr>
      </w:pPr>
      <w:r>
        <w:rPr>
          <w:rFonts w:hint="eastAsia" w:ascii="宋体" w:hAnsi="宋体"/>
          <w:sz w:val="24"/>
          <w:szCs w:val="24"/>
        </w:rPr>
        <w:t>乙  方：</w:t>
      </w:r>
      <w:r>
        <w:rPr>
          <w:rFonts w:ascii="宋体" w:hAnsi="宋体" w:cs="仿宋"/>
          <w:sz w:val="24"/>
          <w:szCs w:val="24"/>
          <w:u w:val="single"/>
        </w:rPr>
        <w:t xml:space="preserve">                                  </w:t>
      </w:r>
    </w:p>
    <w:p w14:paraId="617A02B1">
      <w:pPr>
        <w:spacing w:line="360" w:lineRule="auto"/>
        <w:ind w:firstLine="480" w:firstLineChars="200"/>
        <w:rPr>
          <w:rFonts w:hint="eastAsia" w:ascii="宋体" w:hAnsi="宋体"/>
          <w:kern w:val="0"/>
          <w:sz w:val="24"/>
          <w:szCs w:val="24"/>
        </w:rPr>
      </w:pPr>
      <w:r>
        <w:rPr>
          <w:rFonts w:hint="eastAsia" w:ascii="宋体" w:hAnsi="宋体" w:cs="仿宋"/>
          <w:sz w:val="24"/>
          <w:szCs w:val="24"/>
        </w:rPr>
        <w:t>根据《</w:t>
      </w:r>
      <w:r>
        <w:fldChar w:fldCharType="begin"/>
      </w:r>
      <w:r>
        <w:instrText xml:space="preserve"> HYPERLINK "javascript:SLC(21651,0)" </w:instrText>
      </w:r>
      <w:r>
        <w:fldChar w:fldCharType="separate"/>
      </w:r>
      <w:r>
        <w:rPr>
          <w:rStyle w:val="51"/>
          <w:rFonts w:hint="eastAsia" w:ascii="宋体" w:hAnsi="宋体" w:cs="仿宋"/>
          <w:sz w:val="24"/>
          <w:szCs w:val="24"/>
        </w:rPr>
        <w:t>中华人民共和国民法典</w:t>
      </w:r>
      <w:r>
        <w:rPr>
          <w:rStyle w:val="51"/>
          <w:rFonts w:hint="eastAsia" w:ascii="宋体" w:hAnsi="宋体" w:cs="仿宋"/>
          <w:sz w:val="24"/>
          <w:szCs w:val="24"/>
        </w:rPr>
        <w:fldChar w:fldCharType="end"/>
      </w:r>
      <w:r>
        <w:rPr>
          <w:rFonts w:hint="eastAsia" w:ascii="宋体" w:hAnsi="宋体" w:cs="仿宋"/>
          <w:sz w:val="24"/>
          <w:szCs w:val="24"/>
        </w:rPr>
        <w:t>》及其他有关法律、法规，遵循平等、自愿、公平和诚实信用的原则，双方就下述建设工程委托造价咨询与其他服务事项协商一致，订立本合同。</w:t>
      </w:r>
    </w:p>
    <w:p w14:paraId="3975827F">
      <w:pPr>
        <w:pStyle w:val="32"/>
        <w:widowControl/>
        <w:numPr>
          <w:ilvl w:val="0"/>
          <w:numId w:val="1"/>
        </w:numPr>
        <w:tabs>
          <w:tab w:val="left" w:pos="709"/>
        </w:tabs>
        <w:adjustRightInd w:val="0"/>
        <w:snapToGrid w:val="0"/>
        <w:spacing w:line="360" w:lineRule="auto"/>
        <w:ind w:left="0" w:firstLine="482"/>
        <w:jc w:val="left"/>
        <w:rPr>
          <w:rFonts w:hint="eastAsia" w:ascii="宋体" w:hAnsi="宋体"/>
          <w:b/>
          <w:kern w:val="0"/>
          <w:sz w:val="24"/>
          <w:szCs w:val="24"/>
        </w:rPr>
      </w:pPr>
      <w:r>
        <w:rPr>
          <w:rFonts w:hint="eastAsia" w:ascii="宋体" w:hAnsi="宋体"/>
          <w:b/>
          <w:kern w:val="0"/>
          <w:sz w:val="24"/>
          <w:szCs w:val="24"/>
        </w:rPr>
        <w:t>甲方委托乙方为以下项目提供建设工程造价咨询服务：</w:t>
      </w:r>
    </w:p>
    <w:p w14:paraId="1A0F49B6">
      <w:pPr>
        <w:pStyle w:val="32"/>
        <w:widowControl/>
        <w:numPr>
          <w:ilvl w:val="1"/>
          <w:numId w:val="0"/>
        </w:numPr>
        <w:tabs>
          <w:tab w:val="left" w:pos="709"/>
        </w:tabs>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1.</w:t>
      </w:r>
      <w:r>
        <w:rPr>
          <w:rFonts w:ascii="宋体" w:hAnsi="宋体"/>
          <w:kern w:val="0"/>
          <w:sz w:val="24"/>
          <w:szCs w:val="24"/>
        </w:rPr>
        <w:t>项目名称：</w:t>
      </w:r>
      <w:r>
        <w:rPr>
          <w:rFonts w:hint="eastAsia" w:ascii="宋体" w:hAnsi="宋体"/>
          <w:kern w:val="0"/>
          <w:sz w:val="24"/>
          <w:szCs w:val="24"/>
        </w:rPr>
        <w:t>南方医科大学南方医院医疗综合楼建设工程项目结算造价咨询服务采购项目</w:t>
      </w:r>
      <w:r>
        <w:rPr>
          <w:rFonts w:hint="eastAsia" w:ascii="宋体" w:hAnsi="宋体"/>
          <w:kern w:val="0"/>
          <w:sz w:val="24"/>
          <w:szCs w:val="24"/>
          <w:u w:val="single"/>
        </w:rPr>
        <w:t>（下称“本项目”）</w:t>
      </w:r>
      <w:r>
        <w:rPr>
          <w:rFonts w:hint="eastAsia" w:ascii="宋体" w:hAnsi="宋体"/>
          <w:kern w:val="0"/>
          <w:sz w:val="24"/>
          <w:szCs w:val="24"/>
        </w:rPr>
        <w:t>。</w:t>
      </w:r>
    </w:p>
    <w:p w14:paraId="6CB86C2B">
      <w:pPr>
        <w:pStyle w:val="32"/>
        <w:widowControl/>
        <w:numPr>
          <w:ilvl w:val="1"/>
          <w:numId w:val="0"/>
        </w:numPr>
        <w:tabs>
          <w:tab w:val="left" w:pos="709"/>
        </w:tabs>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2.</w:t>
      </w:r>
      <w:r>
        <w:rPr>
          <w:rFonts w:ascii="宋体" w:hAnsi="宋体"/>
          <w:kern w:val="0"/>
          <w:sz w:val="24"/>
          <w:szCs w:val="24"/>
        </w:rPr>
        <w:t>项目地点：</w:t>
      </w:r>
      <w:r>
        <w:rPr>
          <w:rFonts w:hint="eastAsia" w:ascii="宋体" w:hAnsi="宋体"/>
          <w:kern w:val="0"/>
          <w:sz w:val="24"/>
          <w:szCs w:val="24"/>
        </w:rPr>
        <w:t>广州市广州大道北1838号南方医院内。</w:t>
      </w:r>
    </w:p>
    <w:p w14:paraId="064720C8">
      <w:pPr>
        <w:pStyle w:val="32"/>
        <w:widowControl/>
        <w:numPr>
          <w:ilvl w:val="1"/>
          <w:numId w:val="0"/>
        </w:numPr>
        <w:tabs>
          <w:tab w:val="left" w:pos="709"/>
        </w:tabs>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3.</w:t>
      </w:r>
      <w:r>
        <w:rPr>
          <w:rFonts w:ascii="宋体" w:hAnsi="宋体"/>
          <w:kern w:val="0"/>
          <w:sz w:val="24"/>
          <w:szCs w:val="24"/>
        </w:rPr>
        <w:t>项目规模：</w:t>
      </w:r>
      <w:r>
        <w:rPr>
          <w:rFonts w:hint="eastAsia" w:ascii="宋体" w:hAnsi="宋体" w:cs="宋体"/>
          <w:sz w:val="24"/>
        </w:rPr>
        <w:t>南方医院医疗综合楼建设工程总建筑面积约144000平方米，建筑性质为民用建筑（医疗服务综合楼），地上22层建筑，地下3层，地上建筑面积为93000平方米，地下建筑面积为51000平方米，各专业合同金额总共约12.35亿元。</w:t>
      </w:r>
    </w:p>
    <w:p w14:paraId="194B9BB3">
      <w:pPr>
        <w:pStyle w:val="32"/>
        <w:widowControl/>
        <w:numPr>
          <w:ilvl w:val="1"/>
          <w:numId w:val="0"/>
        </w:numPr>
        <w:tabs>
          <w:tab w:val="left" w:pos="709"/>
        </w:tabs>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4.</w:t>
      </w:r>
      <w:r>
        <w:rPr>
          <w:rFonts w:ascii="宋体" w:hAnsi="宋体"/>
          <w:kern w:val="0"/>
          <w:sz w:val="24"/>
          <w:szCs w:val="24"/>
        </w:rPr>
        <w:t>服务范围：</w:t>
      </w:r>
    </w:p>
    <w:p w14:paraId="77C362C7">
      <w:pPr>
        <w:pStyle w:val="32"/>
        <w:widowControl/>
        <w:numPr>
          <w:ilvl w:val="255"/>
          <w:numId w:val="0"/>
        </w:numPr>
        <w:tabs>
          <w:tab w:val="left" w:pos="709"/>
        </w:tabs>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招标范围及工作内容包括（但不限于）项目结算审核工作，协助招标人处理法律及财务相关事宜。详见招标公告、招标文件。</w:t>
      </w:r>
    </w:p>
    <w:p w14:paraId="75404A7D">
      <w:pPr>
        <w:pStyle w:val="32"/>
        <w:widowControl/>
        <w:numPr>
          <w:ilvl w:val="0"/>
          <w:numId w:val="1"/>
        </w:numPr>
        <w:tabs>
          <w:tab w:val="left" w:pos="709"/>
        </w:tabs>
        <w:adjustRightInd w:val="0"/>
        <w:snapToGrid w:val="0"/>
        <w:spacing w:line="360" w:lineRule="auto"/>
        <w:ind w:left="0" w:firstLine="482"/>
        <w:jc w:val="left"/>
        <w:rPr>
          <w:rFonts w:hint="eastAsia" w:ascii="宋体" w:hAnsi="宋体" w:cs="宋体"/>
          <w:kern w:val="0"/>
          <w:sz w:val="24"/>
          <w:szCs w:val="24"/>
        </w:rPr>
      </w:pPr>
      <w:r>
        <w:rPr>
          <w:rFonts w:hint="eastAsia" w:ascii="宋体" w:hAnsi="宋体" w:cs="宋体"/>
          <w:b/>
          <w:kern w:val="0"/>
          <w:sz w:val="24"/>
          <w:szCs w:val="24"/>
        </w:rPr>
        <w:t>服务期限</w:t>
      </w:r>
    </w:p>
    <w:p w14:paraId="6AB75411">
      <w:pPr>
        <w:pStyle w:val="32"/>
        <w:widowControl/>
        <w:adjustRightInd w:val="0"/>
        <w:snapToGrid w:val="0"/>
        <w:spacing w:line="360" w:lineRule="auto"/>
        <w:ind w:firstLine="480"/>
        <w:jc w:val="left"/>
        <w:rPr>
          <w:rFonts w:hint="eastAsia" w:ascii="宋体" w:hAnsi="宋体" w:cs="宋体"/>
          <w:bCs/>
          <w:sz w:val="24"/>
          <w:szCs w:val="24"/>
        </w:rPr>
      </w:pPr>
      <w:r>
        <w:rPr>
          <w:rFonts w:hint="eastAsia" w:ascii="宋体" w:hAnsi="宋体" w:cs="宋体"/>
          <w:bCs/>
          <w:sz w:val="24"/>
          <w:szCs w:val="24"/>
        </w:rPr>
        <w:t>本合同服务期限自本合同经双方签订生效之日起至本合同约定工程造价咨询服务内容全部完成之日止。</w:t>
      </w:r>
    </w:p>
    <w:p w14:paraId="7DB20AA2">
      <w:pPr>
        <w:pStyle w:val="32"/>
        <w:widowControl/>
        <w:numPr>
          <w:ilvl w:val="0"/>
          <w:numId w:val="1"/>
        </w:numPr>
        <w:tabs>
          <w:tab w:val="left" w:pos="709"/>
        </w:tabs>
        <w:adjustRightInd w:val="0"/>
        <w:snapToGrid w:val="0"/>
        <w:spacing w:line="360" w:lineRule="auto"/>
        <w:ind w:left="0" w:firstLine="482"/>
        <w:jc w:val="left"/>
        <w:rPr>
          <w:rFonts w:hint="eastAsia" w:ascii="宋体" w:hAnsi="宋体" w:cs="宋体"/>
          <w:b/>
          <w:kern w:val="0"/>
          <w:sz w:val="24"/>
          <w:szCs w:val="24"/>
        </w:rPr>
      </w:pPr>
      <w:r>
        <w:rPr>
          <w:rFonts w:hint="eastAsia" w:ascii="宋体" w:hAnsi="宋体" w:cs="宋体"/>
          <w:b/>
          <w:kern w:val="0"/>
          <w:sz w:val="24"/>
          <w:szCs w:val="24"/>
        </w:rPr>
        <w:t xml:space="preserve">质量标准 </w:t>
      </w:r>
    </w:p>
    <w:p w14:paraId="326E46DE">
      <w:pPr>
        <w:pStyle w:val="32"/>
        <w:widowControl/>
        <w:adjustRightInd w:val="0"/>
        <w:snapToGrid w:val="0"/>
        <w:spacing w:line="360" w:lineRule="auto"/>
        <w:ind w:firstLine="480"/>
        <w:jc w:val="left"/>
        <w:rPr>
          <w:rFonts w:hint="eastAsia" w:ascii="宋体" w:hAnsi="宋体" w:cs="宋体"/>
          <w:bCs/>
          <w:sz w:val="24"/>
          <w:szCs w:val="24"/>
        </w:rPr>
      </w:pPr>
      <w:r>
        <w:rPr>
          <w:rFonts w:hint="eastAsia" w:ascii="宋体" w:hAnsi="宋体" w:cs="宋体"/>
          <w:bCs/>
          <w:sz w:val="24"/>
          <w:szCs w:val="24"/>
        </w:rPr>
        <w:t>工程造价咨询成果文件应符合：国家、广东省、广州市建设主管部门颁布的工程造价相关规范和规定执行，并结合本项目的相关造价管理文件及甲方的相关要求。</w:t>
      </w:r>
    </w:p>
    <w:p w14:paraId="4DDE5A78">
      <w:pPr>
        <w:pStyle w:val="32"/>
        <w:widowControl/>
        <w:numPr>
          <w:ilvl w:val="0"/>
          <w:numId w:val="1"/>
        </w:numPr>
        <w:tabs>
          <w:tab w:val="left" w:pos="709"/>
        </w:tabs>
        <w:adjustRightInd w:val="0"/>
        <w:snapToGrid w:val="0"/>
        <w:spacing w:line="360" w:lineRule="auto"/>
        <w:ind w:left="0" w:firstLine="482"/>
        <w:jc w:val="left"/>
        <w:rPr>
          <w:rFonts w:hint="eastAsia" w:ascii="宋体" w:hAnsi="宋体" w:cs="宋体"/>
          <w:b/>
          <w:kern w:val="0"/>
          <w:sz w:val="24"/>
          <w:szCs w:val="24"/>
        </w:rPr>
      </w:pPr>
      <w:r>
        <w:rPr>
          <w:rFonts w:hint="eastAsia" w:ascii="宋体" w:hAnsi="宋体" w:cs="宋体"/>
          <w:b/>
          <w:kern w:val="0"/>
          <w:sz w:val="24"/>
          <w:szCs w:val="24"/>
        </w:rPr>
        <w:t>下列文件均为本合同的组成部分：</w:t>
      </w:r>
    </w:p>
    <w:p w14:paraId="74A91567">
      <w:pPr>
        <w:pStyle w:val="32"/>
        <w:widowControl/>
        <w:numPr>
          <w:ilvl w:val="1"/>
          <w:numId w:val="2"/>
        </w:numPr>
        <w:tabs>
          <w:tab w:val="left" w:pos="709"/>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在实施过程中双方共同签署的补充与修正文件；</w:t>
      </w:r>
    </w:p>
    <w:p w14:paraId="35870C34">
      <w:pPr>
        <w:pStyle w:val="32"/>
        <w:widowControl/>
        <w:numPr>
          <w:ilvl w:val="1"/>
          <w:numId w:val="2"/>
        </w:numPr>
        <w:tabs>
          <w:tab w:val="left" w:pos="709"/>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建设工程造价咨询协议书；</w:t>
      </w:r>
    </w:p>
    <w:p w14:paraId="24C5D353">
      <w:pPr>
        <w:pStyle w:val="32"/>
        <w:widowControl/>
        <w:numPr>
          <w:ilvl w:val="1"/>
          <w:numId w:val="2"/>
        </w:numPr>
        <w:tabs>
          <w:tab w:val="left" w:pos="709"/>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建设工程造价咨询合同专用条款；</w:t>
      </w:r>
    </w:p>
    <w:p w14:paraId="217E157E">
      <w:pPr>
        <w:pStyle w:val="32"/>
        <w:widowControl/>
        <w:numPr>
          <w:ilvl w:val="1"/>
          <w:numId w:val="2"/>
        </w:numPr>
        <w:tabs>
          <w:tab w:val="left" w:pos="709"/>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建设工程造价咨询合同通用条款；</w:t>
      </w:r>
    </w:p>
    <w:p w14:paraId="270310B6">
      <w:pPr>
        <w:pStyle w:val="32"/>
        <w:widowControl/>
        <w:numPr>
          <w:ilvl w:val="1"/>
          <w:numId w:val="2"/>
        </w:numPr>
        <w:tabs>
          <w:tab w:val="left" w:pos="709"/>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建设工程造价咨询工作的招标文件；</w:t>
      </w:r>
    </w:p>
    <w:p w14:paraId="5504282E">
      <w:pPr>
        <w:pStyle w:val="32"/>
        <w:widowControl/>
        <w:numPr>
          <w:ilvl w:val="1"/>
          <w:numId w:val="2"/>
        </w:numPr>
        <w:tabs>
          <w:tab w:val="left" w:pos="709"/>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相关法律法规、定额标准等。</w:t>
      </w:r>
    </w:p>
    <w:p w14:paraId="5E60C926">
      <w:pPr>
        <w:pStyle w:val="32"/>
        <w:widowControl/>
        <w:tabs>
          <w:tab w:val="left" w:pos="567"/>
        </w:tabs>
        <w:adjustRightInd w:val="0"/>
        <w:snapToGrid w:val="0"/>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以上文件内容发生冲突时，按照以上顺序优先解释适用。</w:t>
      </w:r>
    </w:p>
    <w:p w14:paraId="2A5FC24D">
      <w:pPr>
        <w:pStyle w:val="32"/>
        <w:widowControl/>
        <w:numPr>
          <w:ilvl w:val="0"/>
          <w:numId w:val="1"/>
        </w:numPr>
        <w:tabs>
          <w:tab w:val="left" w:pos="709"/>
        </w:tabs>
        <w:adjustRightInd w:val="0"/>
        <w:snapToGrid w:val="0"/>
        <w:spacing w:line="360" w:lineRule="auto"/>
        <w:ind w:left="0" w:firstLine="482"/>
        <w:jc w:val="left"/>
        <w:rPr>
          <w:rFonts w:hint="eastAsia" w:ascii="宋体" w:hAnsi="宋体" w:cs="宋体"/>
          <w:b/>
          <w:kern w:val="0"/>
          <w:sz w:val="24"/>
          <w:szCs w:val="24"/>
        </w:rPr>
      </w:pPr>
      <w:r>
        <w:rPr>
          <w:rFonts w:hint="eastAsia" w:ascii="宋体" w:hAnsi="宋体" w:cs="宋体"/>
          <w:b/>
          <w:kern w:val="0"/>
          <w:sz w:val="24"/>
          <w:szCs w:val="24"/>
        </w:rPr>
        <w:t>乙方同意按照本合同的规定，承担本合同建设工程造价咨询业务。</w:t>
      </w:r>
    </w:p>
    <w:p w14:paraId="5F45A8EF">
      <w:pPr>
        <w:pStyle w:val="32"/>
        <w:widowControl/>
        <w:numPr>
          <w:ilvl w:val="0"/>
          <w:numId w:val="1"/>
        </w:numPr>
        <w:tabs>
          <w:tab w:val="left" w:pos="709"/>
        </w:tabs>
        <w:adjustRightInd w:val="0"/>
        <w:snapToGrid w:val="0"/>
        <w:spacing w:line="360" w:lineRule="auto"/>
        <w:ind w:left="0" w:firstLine="482"/>
        <w:jc w:val="left"/>
        <w:rPr>
          <w:rFonts w:hint="eastAsia" w:ascii="宋体" w:hAnsi="宋体" w:cs="宋体"/>
          <w:b/>
          <w:kern w:val="0"/>
          <w:sz w:val="24"/>
          <w:szCs w:val="24"/>
        </w:rPr>
      </w:pPr>
      <w:r>
        <w:rPr>
          <w:rFonts w:hint="eastAsia" w:ascii="宋体" w:hAnsi="宋体" w:cs="宋体"/>
          <w:b/>
          <w:kern w:val="0"/>
          <w:sz w:val="24"/>
          <w:szCs w:val="24"/>
        </w:rPr>
        <w:t>甲方同意按照本合同规定的期限、方式、币种、额度向乙方支付酬金。</w:t>
      </w:r>
    </w:p>
    <w:p w14:paraId="4518B9FE">
      <w:pPr>
        <w:pStyle w:val="32"/>
        <w:widowControl/>
        <w:numPr>
          <w:ilvl w:val="0"/>
          <w:numId w:val="1"/>
        </w:numPr>
        <w:tabs>
          <w:tab w:val="left" w:pos="709"/>
        </w:tabs>
        <w:adjustRightInd w:val="0"/>
        <w:snapToGrid w:val="0"/>
        <w:spacing w:line="360" w:lineRule="auto"/>
        <w:ind w:left="0" w:firstLine="482"/>
        <w:jc w:val="left"/>
        <w:rPr>
          <w:rFonts w:hint="eastAsia" w:ascii="宋体" w:hAnsi="宋体" w:cs="宋体"/>
          <w:b/>
          <w:kern w:val="0"/>
          <w:sz w:val="24"/>
          <w:szCs w:val="24"/>
        </w:rPr>
      </w:pPr>
      <w:r>
        <w:rPr>
          <w:rFonts w:hint="eastAsia" w:ascii="宋体" w:hAnsi="宋体" w:cs="宋体"/>
          <w:b/>
          <w:kern w:val="0"/>
          <w:sz w:val="24"/>
          <w:szCs w:val="24"/>
        </w:rPr>
        <w:t>本合同自甲、乙双方法定代表人或委托代理人签字并加盖公章之日起生效，</w:t>
      </w:r>
      <w:r>
        <w:rPr>
          <w:rFonts w:hint="eastAsia" w:ascii="宋体" w:hAnsi="宋体" w:cs="宋体"/>
          <w:b/>
          <w:kern w:val="0"/>
          <w:sz w:val="24"/>
          <w:szCs w:val="24"/>
          <w:lang w:bidi="ar"/>
        </w:rPr>
        <w:t>至本合同约定造价咨询服务工作全部完成时</w:t>
      </w:r>
      <w:r>
        <w:rPr>
          <w:rFonts w:hint="eastAsia" w:ascii="宋体" w:hAnsi="宋体" w:cs="宋体"/>
          <w:b/>
          <w:kern w:val="0"/>
          <w:sz w:val="24"/>
          <w:szCs w:val="24"/>
        </w:rPr>
        <w:t>且双方合同义务履行完毕之日</w:t>
      </w:r>
      <w:r>
        <w:rPr>
          <w:rFonts w:hint="eastAsia" w:ascii="宋体" w:hAnsi="宋体" w:cs="宋体"/>
          <w:b/>
          <w:kern w:val="0"/>
          <w:sz w:val="24"/>
          <w:szCs w:val="24"/>
          <w:lang w:bidi="ar"/>
        </w:rPr>
        <w:t>止。</w:t>
      </w:r>
    </w:p>
    <w:p w14:paraId="64BBA8DF">
      <w:pPr>
        <w:pStyle w:val="32"/>
        <w:widowControl/>
        <w:numPr>
          <w:ilvl w:val="0"/>
          <w:numId w:val="1"/>
        </w:numPr>
        <w:tabs>
          <w:tab w:val="left" w:pos="709"/>
        </w:tabs>
        <w:adjustRightInd w:val="0"/>
        <w:snapToGrid w:val="0"/>
        <w:spacing w:line="360" w:lineRule="auto"/>
        <w:ind w:left="0" w:firstLine="482"/>
        <w:jc w:val="left"/>
        <w:rPr>
          <w:rFonts w:hint="eastAsia" w:ascii="宋体" w:hAnsi="宋体" w:cs="宋体"/>
          <w:b/>
          <w:kern w:val="0"/>
          <w:sz w:val="24"/>
          <w:szCs w:val="24"/>
        </w:rPr>
      </w:pPr>
      <w:r>
        <w:rPr>
          <w:rFonts w:hint="eastAsia" w:ascii="宋体" w:hAnsi="宋体" w:cs="宋体"/>
          <w:b/>
          <w:kern w:val="0"/>
          <w:sz w:val="24"/>
          <w:szCs w:val="24"/>
        </w:rPr>
        <w:t>本合同一式壹拾份，甲方执伍份，乙方执伍份，均具有同等法律效力。</w:t>
      </w:r>
    </w:p>
    <w:p w14:paraId="572A9173">
      <w:pPr>
        <w:widowControl/>
        <w:tabs>
          <w:tab w:val="left" w:pos="2088"/>
          <w:tab w:val="left" w:pos="3413"/>
          <w:tab w:val="left" w:pos="4343"/>
          <w:tab w:val="left" w:pos="5868"/>
          <w:tab w:val="left" w:pos="7490"/>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sz w:val="24"/>
          <w:szCs w:val="24"/>
        </w:rPr>
        <w:t>（本页以下无正文）</w:t>
      </w:r>
    </w:p>
    <w:p w14:paraId="6FB1DB19">
      <w:pPr>
        <w:spacing w:line="400" w:lineRule="exact"/>
        <w:ind w:firstLine="440" w:firstLineChars="200"/>
        <w:jc w:val="left"/>
        <w:rPr>
          <w:rFonts w:hint="eastAsia" w:ascii="宋体" w:hAnsi="宋体" w:cs="宋体"/>
          <w:kern w:val="0"/>
          <w:sz w:val="22"/>
        </w:rPr>
      </w:pPr>
      <w:r>
        <w:rPr>
          <w:rFonts w:hint="eastAsia" w:ascii="宋体" w:hAnsi="宋体" w:cs="宋体"/>
          <w:kern w:val="0"/>
          <w:sz w:val="22"/>
        </w:rPr>
        <w:t>签约页：</w:t>
      </w:r>
    </w:p>
    <w:p w14:paraId="4D8C89D0">
      <w:pPr>
        <w:spacing w:line="400" w:lineRule="exact"/>
        <w:ind w:firstLine="440" w:firstLineChars="200"/>
        <w:jc w:val="left"/>
        <w:rPr>
          <w:rFonts w:hint="eastAsia" w:ascii="宋体" w:hAnsi="宋体" w:cs="宋体"/>
          <w:sz w:val="22"/>
        </w:rPr>
      </w:pPr>
      <w:bookmarkStart w:id="0" w:name="OLE_LINK4"/>
      <w:r>
        <w:rPr>
          <w:rFonts w:hint="eastAsia" w:ascii="宋体" w:hAnsi="宋体" w:cs="宋体"/>
          <w:sz w:val="22"/>
        </w:rPr>
        <w:t>甲方：南方医科大学南方医院</w:t>
      </w:r>
    </w:p>
    <w:p w14:paraId="495E99AD">
      <w:pPr>
        <w:spacing w:line="400" w:lineRule="exact"/>
        <w:ind w:firstLine="440" w:firstLineChars="200"/>
        <w:jc w:val="left"/>
        <w:rPr>
          <w:rFonts w:hint="eastAsia" w:ascii="宋体" w:hAnsi="宋体" w:cs="宋体"/>
          <w:sz w:val="22"/>
        </w:rPr>
      </w:pPr>
      <w:r>
        <w:rPr>
          <w:rFonts w:hint="eastAsia" w:ascii="宋体" w:hAnsi="宋体" w:cs="宋体"/>
          <w:sz w:val="22"/>
        </w:rPr>
        <w:t>法定代表人：</w:t>
      </w:r>
    </w:p>
    <w:p w14:paraId="01BCD5B8">
      <w:pPr>
        <w:spacing w:line="400" w:lineRule="exact"/>
        <w:ind w:firstLine="440" w:firstLineChars="200"/>
        <w:jc w:val="left"/>
        <w:rPr>
          <w:rFonts w:hint="eastAsia" w:ascii="宋体" w:hAnsi="宋体" w:cs="宋体"/>
          <w:sz w:val="22"/>
        </w:rPr>
      </w:pPr>
      <w:r>
        <w:rPr>
          <w:rFonts w:hint="eastAsia" w:ascii="宋体" w:hAnsi="宋体" w:cs="宋体"/>
          <w:sz w:val="22"/>
        </w:rPr>
        <w:t>或</w:t>
      </w:r>
    </w:p>
    <w:p w14:paraId="2D300DDD">
      <w:pPr>
        <w:spacing w:line="400" w:lineRule="exact"/>
        <w:ind w:firstLine="440" w:firstLineChars="200"/>
        <w:jc w:val="left"/>
        <w:rPr>
          <w:rFonts w:hint="eastAsia" w:ascii="宋体" w:hAnsi="宋体" w:cs="宋体"/>
          <w:sz w:val="22"/>
        </w:rPr>
      </w:pPr>
      <w:r>
        <w:rPr>
          <w:rFonts w:hint="eastAsia" w:ascii="宋体" w:hAnsi="宋体" w:cs="宋体"/>
          <w:sz w:val="22"/>
        </w:rPr>
        <w:t>委托代理人：</w:t>
      </w:r>
    </w:p>
    <w:p w14:paraId="60A3958D">
      <w:pPr>
        <w:spacing w:line="400" w:lineRule="exact"/>
        <w:ind w:firstLine="440" w:firstLineChars="200"/>
        <w:jc w:val="left"/>
        <w:rPr>
          <w:rFonts w:hint="eastAsia" w:ascii="宋体" w:hAnsi="宋体" w:cs="宋体"/>
          <w:b/>
          <w:sz w:val="22"/>
        </w:rPr>
      </w:pPr>
      <w:r>
        <w:rPr>
          <w:rFonts w:hint="eastAsia" w:ascii="宋体" w:hAnsi="宋体" w:cs="宋体"/>
          <w:sz w:val="22"/>
        </w:rPr>
        <w:t>联系地址：广州大道北1838号</w:t>
      </w:r>
    </w:p>
    <w:p w14:paraId="25DEFE52">
      <w:pPr>
        <w:spacing w:line="400" w:lineRule="exact"/>
        <w:ind w:firstLine="440" w:firstLineChars="200"/>
        <w:jc w:val="left"/>
        <w:rPr>
          <w:rFonts w:hint="eastAsia" w:ascii="宋体" w:hAnsi="宋体" w:cs="宋体"/>
          <w:sz w:val="22"/>
        </w:rPr>
      </w:pPr>
    </w:p>
    <w:p w14:paraId="04460A79">
      <w:pPr>
        <w:spacing w:line="400" w:lineRule="exact"/>
        <w:ind w:firstLine="440" w:firstLineChars="200"/>
        <w:jc w:val="left"/>
        <w:rPr>
          <w:rFonts w:hint="eastAsia" w:ascii="宋体" w:hAnsi="宋体" w:cs="宋体"/>
          <w:sz w:val="22"/>
        </w:rPr>
      </w:pPr>
      <w:r>
        <w:rPr>
          <w:rFonts w:hint="eastAsia" w:ascii="宋体" w:hAnsi="宋体" w:cs="宋体"/>
          <w:sz w:val="22"/>
        </w:rPr>
        <w:t xml:space="preserve">乙方：                   </w:t>
      </w:r>
    </w:p>
    <w:p w14:paraId="226B7E74">
      <w:pPr>
        <w:spacing w:line="400" w:lineRule="exact"/>
        <w:ind w:firstLine="440" w:firstLineChars="200"/>
        <w:jc w:val="left"/>
        <w:rPr>
          <w:rFonts w:hint="eastAsia" w:ascii="宋体" w:hAnsi="宋体" w:cs="宋体"/>
          <w:sz w:val="22"/>
        </w:rPr>
      </w:pPr>
      <w:r>
        <w:rPr>
          <w:rFonts w:hint="eastAsia" w:ascii="宋体" w:hAnsi="宋体" w:cs="宋体"/>
          <w:sz w:val="22"/>
        </w:rPr>
        <w:t xml:space="preserve">法定代表人：                </w:t>
      </w:r>
    </w:p>
    <w:p w14:paraId="08E19508">
      <w:pPr>
        <w:spacing w:line="400" w:lineRule="exact"/>
        <w:ind w:firstLine="440" w:firstLineChars="200"/>
        <w:jc w:val="left"/>
        <w:rPr>
          <w:rFonts w:hint="eastAsia" w:ascii="宋体" w:hAnsi="宋体" w:cs="宋体"/>
          <w:sz w:val="22"/>
        </w:rPr>
      </w:pPr>
      <w:r>
        <w:rPr>
          <w:rFonts w:hint="eastAsia" w:ascii="宋体" w:hAnsi="宋体" w:cs="宋体"/>
          <w:sz w:val="22"/>
        </w:rPr>
        <w:t>或</w:t>
      </w:r>
    </w:p>
    <w:p w14:paraId="7F43470D">
      <w:pPr>
        <w:spacing w:line="400" w:lineRule="exact"/>
        <w:ind w:firstLine="440" w:firstLineChars="200"/>
        <w:jc w:val="left"/>
        <w:rPr>
          <w:rFonts w:hint="eastAsia" w:ascii="宋体" w:hAnsi="宋体" w:cs="宋体"/>
          <w:sz w:val="22"/>
        </w:rPr>
      </w:pPr>
      <w:r>
        <w:rPr>
          <w:rFonts w:hint="eastAsia" w:ascii="宋体" w:hAnsi="宋体" w:cs="宋体"/>
          <w:sz w:val="22"/>
        </w:rPr>
        <w:t xml:space="preserve">委托代理人：            </w:t>
      </w:r>
    </w:p>
    <w:p w14:paraId="176ABEBC">
      <w:pPr>
        <w:spacing w:line="400" w:lineRule="exact"/>
        <w:ind w:firstLine="440" w:firstLineChars="200"/>
        <w:jc w:val="left"/>
        <w:rPr>
          <w:rFonts w:hint="eastAsia" w:ascii="宋体" w:hAnsi="宋体" w:cs="宋体"/>
          <w:sz w:val="24"/>
          <w:szCs w:val="24"/>
        </w:rPr>
      </w:pPr>
      <w:r>
        <w:rPr>
          <w:rFonts w:hint="eastAsia" w:ascii="宋体" w:hAnsi="宋体" w:cs="宋体"/>
          <w:sz w:val="22"/>
        </w:rPr>
        <w:t xml:space="preserve">联系地址： </w:t>
      </w:r>
      <w:r>
        <w:rPr>
          <w:rFonts w:hint="eastAsia" w:ascii="宋体" w:hAnsi="宋体" w:cs="宋体"/>
          <w:sz w:val="24"/>
          <w:szCs w:val="24"/>
        </w:rPr>
        <w:t xml:space="preserve">                      </w:t>
      </w:r>
    </w:p>
    <w:bookmarkEnd w:id="0"/>
    <w:p w14:paraId="57421792">
      <w:pPr>
        <w:pStyle w:val="32"/>
        <w:widowControl/>
        <w:tabs>
          <w:tab w:val="left" w:pos="1274"/>
        </w:tabs>
        <w:adjustRightInd w:val="0"/>
        <w:snapToGrid w:val="0"/>
        <w:spacing w:line="360" w:lineRule="auto"/>
        <w:ind w:firstLine="482"/>
        <w:jc w:val="center"/>
        <w:rPr>
          <w:rFonts w:hint="eastAsia" w:ascii="宋体" w:hAnsi="宋体"/>
          <w:b/>
          <w:bCs/>
          <w:smallCaps/>
          <w:kern w:val="0"/>
          <w:sz w:val="32"/>
          <w:szCs w:val="32"/>
        </w:rPr>
      </w:pPr>
      <w:r>
        <w:rPr>
          <w:rFonts w:hint="eastAsia" w:ascii="宋体" w:hAnsi="宋体" w:cs="宋体"/>
          <w:b/>
          <w:bCs/>
          <w:smallCaps/>
          <w:kern w:val="0"/>
          <w:sz w:val="24"/>
          <w:szCs w:val="24"/>
        </w:rPr>
        <w:br w:type="page"/>
      </w:r>
      <w:r>
        <w:rPr>
          <w:rFonts w:hint="eastAsia" w:ascii="宋体" w:hAnsi="宋体"/>
          <w:b/>
          <w:bCs/>
          <w:smallCaps/>
          <w:kern w:val="0"/>
          <w:sz w:val="36"/>
          <w:szCs w:val="36"/>
        </w:rPr>
        <w:t xml:space="preserve">第二部分   </w:t>
      </w:r>
      <w:r>
        <w:rPr>
          <w:rFonts w:ascii="宋体" w:hAnsi="宋体"/>
          <w:b/>
          <w:bCs/>
          <w:smallCaps/>
          <w:kern w:val="0"/>
          <w:sz w:val="36"/>
          <w:szCs w:val="36"/>
        </w:rPr>
        <w:t>建设工程造价咨询合同通用条款</w:t>
      </w:r>
    </w:p>
    <w:p w14:paraId="3E2AEC93">
      <w:pPr>
        <w:widowControl/>
        <w:numPr>
          <w:ilvl w:val="0"/>
          <w:numId w:val="3"/>
        </w:numPr>
        <w:tabs>
          <w:tab w:val="left" w:pos="1276"/>
        </w:tabs>
        <w:adjustRightInd w:val="0"/>
        <w:snapToGrid w:val="0"/>
        <w:spacing w:line="360" w:lineRule="auto"/>
        <w:ind w:left="0" w:firstLine="480" w:firstLineChars="200"/>
        <w:jc w:val="center"/>
        <w:rPr>
          <w:rFonts w:hint="eastAsia" w:ascii="宋体" w:hAnsi="宋体" w:cs="宋体"/>
          <w:kern w:val="0"/>
          <w:sz w:val="24"/>
          <w:szCs w:val="24"/>
        </w:rPr>
      </w:pPr>
      <w:r>
        <w:rPr>
          <w:rFonts w:hint="eastAsia" w:ascii="宋体" w:hAnsi="宋体" w:cs="宋体"/>
          <w:kern w:val="0"/>
          <w:sz w:val="24"/>
          <w:szCs w:val="24"/>
        </w:rPr>
        <w:t>词语定义、适用语言和法律、法规</w:t>
      </w:r>
    </w:p>
    <w:p w14:paraId="1C5D167B">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下列名词和用语，除上下文另有规定外具有如下含义。</w:t>
      </w:r>
    </w:p>
    <w:p w14:paraId="35FEC228">
      <w:pPr>
        <w:pStyle w:val="32"/>
        <w:widowControl/>
        <w:numPr>
          <w:ilvl w:val="1"/>
          <w:numId w:val="5"/>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“甲方”是</w:t>
      </w:r>
      <w:r>
        <w:rPr>
          <w:rFonts w:hint="eastAsia" w:ascii="宋体" w:hAnsi="宋体" w:cs="宋体"/>
          <w:sz w:val="24"/>
          <w:szCs w:val="24"/>
        </w:rPr>
        <w:t>指本合同中委托造价咨询与其他服务的一方，受项目业主委托进行该工程建设管理的具有工程发包主体资格的当事人，以及取得该当事人资格的合法继承人。</w:t>
      </w:r>
    </w:p>
    <w:p w14:paraId="7F116014">
      <w:pPr>
        <w:pStyle w:val="32"/>
        <w:widowControl/>
        <w:numPr>
          <w:ilvl w:val="1"/>
          <w:numId w:val="5"/>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“乙方”是指依法具有工程造价咨询企业资质，承担建设工程造价咨询业务和工程造价咨询责任的一方，以及其合法继承人。</w:t>
      </w:r>
    </w:p>
    <w:p w14:paraId="720A126A">
      <w:pPr>
        <w:pStyle w:val="32"/>
        <w:widowControl/>
        <w:numPr>
          <w:ilvl w:val="1"/>
          <w:numId w:val="5"/>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“第三人”是指除甲方、乙方以外与本咨询业务有关的当事人。</w:t>
      </w:r>
    </w:p>
    <w:p w14:paraId="100733A0">
      <w:pPr>
        <w:pStyle w:val="32"/>
        <w:widowControl/>
        <w:numPr>
          <w:ilvl w:val="1"/>
          <w:numId w:val="5"/>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“日”是指任何一天零时至第二天零时的时间段。</w:t>
      </w:r>
    </w:p>
    <w:p w14:paraId="664AA256">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建设工程造价咨询合同适用的是中国的法律、法规，以及专用条款中议定的部门规章、工程造价有关计价办法和规定或项目所在地的地方法规、地方规章。</w:t>
      </w:r>
    </w:p>
    <w:p w14:paraId="4784A6F5">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建设工程造价咨询合同的书写、解释和说明，以中文为主导语言。当不同语言文本发生不同解释时，以中文合同文本为准。</w:t>
      </w:r>
    </w:p>
    <w:p w14:paraId="71288615">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bCs/>
          <w:smallCaps/>
          <w:kern w:val="0"/>
          <w:sz w:val="24"/>
          <w:szCs w:val="24"/>
        </w:rPr>
      </w:pPr>
      <w:r>
        <w:rPr>
          <w:rFonts w:hint="eastAsia" w:ascii="宋体" w:hAnsi="宋体" w:cs="宋体"/>
          <w:b/>
          <w:bCs/>
          <w:smallCaps/>
          <w:kern w:val="0"/>
          <w:sz w:val="24"/>
          <w:szCs w:val="24"/>
        </w:rPr>
        <w:t>乙方的义务</w:t>
      </w:r>
    </w:p>
    <w:p w14:paraId="3D44CDBF">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向甲方提供与工程造价咨询业务有关的资料，包括工程造价咨询的资质证书及承担本合同业务的专业人员名单、咨询工作计划等，并按合同专用条款中约定的范围实施咨询业务。乙方不得从事所承担过的项目造价文件编制和审核的咨询服务。</w:t>
      </w:r>
    </w:p>
    <w:p w14:paraId="4F652AE1">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乙方在履行本合同义务期间，应运用合理科学技能，为甲方提供与其工程造价咨询资质水平相适应的咨询意见，客观公正的维护各方的合法权益。</w:t>
      </w:r>
    </w:p>
    <w:p w14:paraId="3AC1A652">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对于甲方提出的口头问题乙方应随时提供咨询服务，对于依照法律法规规定或本合同约定或应甲方要求需向甲方提交书面文件，乙方应按照甲方要求的时间提供。</w:t>
      </w:r>
    </w:p>
    <w:p w14:paraId="3ADA8B53">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乙方在履行本合同期间，向甲方提供的服务包括正常服务、附加服务和额外服务。</w:t>
      </w:r>
    </w:p>
    <w:p w14:paraId="66E0835E">
      <w:pPr>
        <w:pStyle w:val="32"/>
        <w:widowControl/>
        <w:numPr>
          <w:ilvl w:val="0"/>
          <w:numId w:val="6"/>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“正常服务”是指双方在专用条款中约定的工程造价咨询工作；</w:t>
      </w:r>
    </w:p>
    <w:p w14:paraId="3E14CE15">
      <w:pPr>
        <w:pStyle w:val="32"/>
        <w:widowControl/>
        <w:numPr>
          <w:ilvl w:val="0"/>
          <w:numId w:val="6"/>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“附加服务”是指在“正常服务”以外，经双方书面协议确定的附加服务；</w:t>
      </w:r>
    </w:p>
    <w:p w14:paraId="4B8C5300">
      <w:pPr>
        <w:pStyle w:val="32"/>
        <w:widowControl/>
        <w:numPr>
          <w:ilvl w:val="0"/>
          <w:numId w:val="6"/>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“额外服务”是指不属于“正常服务”和“附加服务”，但根据合同通用条款的规定，乙方应增加的额外工作量。</w:t>
      </w:r>
    </w:p>
    <w:p w14:paraId="79317F50">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在合同履行期间和合同终止后，未征得有关方同意，不得泄露与本合同规定业务活动有关的保密资料。乙方应保护交付成果的知识产权，未经甲方同意不得将交付成果的全部或部分信息进行修改或向第三人提供。</w:t>
      </w:r>
    </w:p>
    <w:p w14:paraId="7756E832">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bCs/>
          <w:smallCaps/>
          <w:kern w:val="0"/>
          <w:sz w:val="24"/>
          <w:szCs w:val="24"/>
        </w:rPr>
      </w:pPr>
      <w:r>
        <w:rPr>
          <w:rFonts w:hint="eastAsia" w:ascii="宋体" w:hAnsi="宋体" w:cs="宋体"/>
          <w:b/>
          <w:bCs/>
          <w:smallCaps/>
          <w:kern w:val="0"/>
          <w:sz w:val="24"/>
          <w:szCs w:val="24"/>
        </w:rPr>
        <w:t>甲方的义务</w:t>
      </w:r>
    </w:p>
    <w:p w14:paraId="7E25FE5C">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甲方应负责与本咨询业务有关的第三人的协调，为乙方工作提供外部条件。</w:t>
      </w:r>
    </w:p>
    <w:p w14:paraId="1BD48EE5">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甲方应当在约定的时间内，免费向乙方提供与本咨询业务有关的资料。</w:t>
      </w:r>
    </w:p>
    <w:p w14:paraId="0EBA921E">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甲方应当在约定的时间内就乙方书面提交并要求做出答复的事宜做出书面答复。乙方要求第三人提供有关资料时，甲方应尽快转达，并负责资料转送。</w:t>
      </w:r>
    </w:p>
    <w:p w14:paraId="3B245865">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甲方应当授权熟悉本咨询业务情况并能迅速作出决定的代表，负责与乙方联系。</w:t>
      </w:r>
    </w:p>
    <w:p w14:paraId="798B4520">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kern w:val="0"/>
          <w:sz w:val="24"/>
          <w:szCs w:val="24"/>
        </w:rPr>
      </w:pPr>
      <w:r>
        <w:rPr>
          <w:rFonts w:hint="eastAsia" w:ascii="宋体" w:hAnsi="宋体" w:cs="宋体"/>
          <w:b/>
          <w:kern w:val="0"/>
          <w:sz w:val="24"/>
          <w:szCs w:val="24"/>
        </w:rPr>
        <w:t>乙方的权利</w:t>
      </w:r>
    </w:p>
    <w:p w14:paraId="43BC3A63">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甲方在委托的本咨询业务范围内，授予乙方以下权利：</w:t>
      </w:r>
    </w:p>
    <w:p w14:paraId="727A1C33">
      <w:pPr>
        <w:pStyle w:val="32"/>
        <w:widowControl/>
        <w:numPr>
          <w:ilvl w:val="255"/>
          <w:numId w:val="0"/>
        </w:numPr>
        <w:tabs>
          <w:tab w:val="left" w:pos="1276"/>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1.乙方在咨询过程中，可就甲方提供的资料不明确的问题提出书面报告。</w:t>
      </w:r>
    </w:p>
    <w:p w14:paraId="0A2E70C0">
      <w:pPr>
        <w:pStyle w:val="32"/>
        <w:widowControl/>
        <w:numPr>
          <w:ilvl w:val="255"/>
          <w:numId w:val="0"/>
        </w:numPr>
        <w:tabs>
          <w:tab w:val="left" w:pos="1276"/>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2.乙方在咨询过程中，有权对第三人提出与本咨询业务有关的问题进行核对或查问。</w:t>
      </w:r>
    </w:p>
    <w:p w14:paraId="3CA6955A">
      <w:pPr>
        <w:pStyle w:val="32"/>
        <w:widowControl/>
        <w:numPr>
          <w:ilvl w:val="255"/>
          <w:numId w:val="0"/>
        </w:numPr>
        <w:tabs>
          <w:tab w:val="left" w:pos="1276"/>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3.乙方在咨询过程中，有到工程现场勘察的权利。</w:t>
      </w:r>
    </w:p>
    <w:p w14:paraId="308EC016">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bCs/>
          <w:smallCaps/>
          <w:kern w:val="0"/>
          <w:sz w:val="24"/>
          <w:szCs w:val="24"/>
        </w:rPr>
      </w:pPr>
      <w:r>
        <w:rPr>
          <w:rFonts w:hint="eastAsia" w:ascii="宋体" w:hAnsi="宋体" w:cs="宋体"/>
          <w:b/>
          <w:bCs/>
          <w:smallCaps/>
          <w:kern w:val="0"/>
          <w:sz w:val="24"/>
          <w:szCs w:val="24"/>
        </w:rPr>
        <w:t>甲方的权利</w:t>
      </w:r>
    </w:p>
    <w:p w14:paraId="13C80660">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甲方有下列权利：</w:t>
      </w:r>
    </w:p>
    <w:p w14:paraId="342BE65A">
      <w:pPr>
        <w:pStyle w:val="32"/>
        <w:widowControl/>
        <w:numPr>
          <w:ilvl w:val="255"/>
          <w:numId w:val="0"/>
        </w:numPr>
        <w:tabs>
          <w:tab w:val="left" w:pos="1276"/>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1.甲方有权向乙方询问工作进展情况及相关的内容。</w:t>
      </w:r>
    </w:p>
    <w:p w14:paraId="1DB86208">
      <w:pPr>
        <w:pStyle w:val="32"/>
        <w:widowControl/>
        <w:numPr>
          <w:ilvl w:val="255"/>
          <w:numId w:val="0"/>
        </w:numPr>
        <w:tabs>
          <w:tab w:val="left" w:pos="1276"/>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2.甲方有权阐述对具体问题的意见和建议。</w:t>
      </w:r>
    </w:p>
    <w:p w14:paraId="3D5574E5">
      <w:pPr>
        <w:pStyle w:val="32"/>
        <w:widowControl/>
        <w:numPr>
          <w:ilvl w:val="255"/>
          <w:numId w:val="0"/>
        </w:numPr>
        <w:tabs>
          <w:tab w:val="left" w:pos="1276"/>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3.当甲方认定咨询专业人员不按咨询合同履行其职责，或与第三人串通给甲方造成经济损失的，甲方有权要求乙方更换咨询专业人员，并有权要求乙方承担相应的赔偿责任。</w:t>
      </w:r>
    </w:p>
    <w:p w14:paraId="4BA594EE">
      <w:pPr>
        <w:pStyle w:val="32"/>
        <w:widowControl/>
        <w:numPr>
          <w:ilvl w:val="255"/>
          <w:numId w:val="0"/>
        </w:numPr>
        <w:tabs>
          <w:tab w:val="left" w:pos="1276"/>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4.甲方拥有乙方交付</w:t>
      </w:r>
      <w:r>
        <w:rPr>
          <w:rFonts w:hint="eastAsia" w:ascii="宋体" w:hAnsi="宋体" w:cs="宋体"/>
          <w:snapToGrid w:val="0"/>
          <w:kern w:val="0"/>
          <w:sz w:val="24"/>
          <w:szCs w:val="24"/>
        </w:rPr>
        <w:t>工程造价咨询</w:t>
      </w:r>
      <w:r>
        <w:rPr>
          <w:rFonts w:hint="eastAsia" w:ascii="宋体" w:hAnsi="宋体" w:cs="宋体"/>
          <w:kern w:val="0"/>
          <w:sz w:val="24"/>
          <w:szCs w:val="24"/>
        </w:rPr>
        <w:t>成果文件及因履行本合同所产生的相关资料的所有权和知识产权。</w:t>
      </w:r>
    </w:p>
    <w:p w14:paraId="53247C97">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bCs/>
          <w:smallCaps/>
          <w:kern w:val="0"/>
          <w:sz w:val="24"/>
          <w:szCs w:val="24"/>
        </w:rPr>
      </w:pPr>
      <w:r>
        <w:rPr>
          <w:rFonts w:hint="eastAsia" w:ascii="宋体" w:hAnsi="宋体" w:cs="宋体"/>
          <w:b/>
          <w:bCs/>
          <w:smallCaps/>
          <w:kern w:val="0"/>
          <w:sz w:val="24"/>
          <w:szCs w:val="24"/>
        </w:rPr>
        <w:t>乙方的责任</w:t>
      </w:r>
    </w:p>
    <w:p w14:paraId="5F48E790">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乙方的责任期即建设工程造价咨询</w:t>
      </w:r>
      <w:r>
        <w:rPr>
          <w:rFonts w:hint="eastAsia" w:ascii="宋体" w:hAnsi="宋体" w:cs="宋体"/>
          <w:snapToGrid w:val="0"/>
          <w:kern w:val="0"/>
          <w:sz w:val="24"/>
          <w:szCs w:val="24"/>
        </w:rPr>
        <w:t>服务期限</w:t>
      </w:r>
      <w:r>
        <w:rPr>
          <w:rFonts w:hint="eastAsia" w:ascii="宋体" w:hAnsi="宋体" w:cs="宋体"/>
          <w:kern w:val="0"/>
          <w:sz w:val="24"/>
          <w:szCs w:val="24"/>
        </w:rPr>
        <w:t>。如因非乙方的责任造成进度的推迟或延误而超过约定的日期，双方应进一步约定相应延长</w:t>
      </w:r>
      <w:r>
        <w:rPr>
          <w:rFonts w:hint="eastAsia" w:ascii="宋体" w:hAnsi="宋体" w:cs="宋体"/>
          <w:snapToGrid w:val="0"/>
          <w:kern w:val="0"/>
          <w:sz w:val="24"/>
          <w:szCs w:val="24"/>
        </w:rPr>
        <w:t>咨询服务期限</w:t>
      </w:r>
      <w:r>
        <w:rPr>
          <w:rFonts w:hint="eastAsia" w:ascii="宋体" w:hAnsi="宋体" w:cs="宋体"/>
          <w:kern w:val="0"/>
          <w:sz w:val="24"/>
          <w:szCs w:val="24"/>
        </w:rPr>
        <w:t>。</w:t>
      </w:r>
      <w:r>
        <w:rPr>
          <w:rFonts w:hint="eastAsia" w:ascii="宋体" w:hAnsi="宋体" w:cs="宋体"/>
          <w:sz w:val="24"/>
          <w:szCs w:val="24"/>
        </w:rPr>
        <w:t>乙方</w:t>
      </w:r>
      <w:r>
        <w:rPr>
          <w:rFonts w:hint="eastAsia" w:ascii="宋体" w:hAnsi="宋体" w:cs="宋体"/>
          <w:snapToGrid w:val="0"/>
          <w:kern w:val="0"/>
          <w:sz w:val="24"/>
          <w:szCs w:val="24"/>
        </w:rPr>
        <w:t>应在责任期内完成咨询工作，并应向甲方提交一式【】份的工程造价咨询</w:t>
      </w:r>
      <w:r>
        <w:rPr>
          <w:rFonts w:hint="eastAsia" w:ascii="宋体" w:hAnsi="宋体" w:cs="宋体"/>
          <w:kern w:val="0"/>
          <w:sz w:val="24"/>
          <w:szCs w:val="24"/>
        </w:rPr>
        <w:t>成果文件</w:t>
      </w:r>
      <w:r>
        <w:rPr>
          <w:rFonts w:hint="eastAsia" w:ascii="宋体" w:hAnsi="宋体" w:cs="宋体"/>
          <w:snapToGrid w:val="0"/>
          <w:kern w:val="0"/>
          <w:sz w:val="24"/>
          <w:szCs w:val="24"/>
        </w:rPr>
        <w:t>。乙方完成委托书约定的咨询服务工作内容后，须无条件地归还甲方提供的一切资料。</w:t>
      </w:r>
    </w:p>
    <w:p w14:paraId="280C48F9">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责任期内，应当履行建设工程造价咨询合同中约定的义务，乙方及其工作人员在工程咨询过程中，不得与工程承包人进行不正当接触，不得收取不当利益。如因乙方的单方过失造成甲方的经济损失，应当向甲方进行赔偿。累计赔偿总额不应超过建设工程造价咨询酬金总额。</w:t>
      </w:r>
    </w:p>
    <w:p w14:paraId="6EDCB374">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乙方对甲方或第三人所提出的问题不能及时核对或答复错误的，导致合同不能全部或部分履行，乙方应承担责任。</w:t>
      </w:r>
    </w:p>
    <w:p w14:paraId="3926B463">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乙方向甲方提出赔偿要求或其他要求不能成立时，则乙方应补偿甲方由于该赔偿或其他要求所支出的合理必要费用。</w:t>
      </w:r>
    </w:p>
    <w:p w14:paraId="7291BAB8">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bCs/>
          <w:smallCaps/>
          <w:kern w:val="0"/>
          <w:sz w:val="24"/>
          <w:szCs w:val="24"/>
        </w:rPr>
      </w:pPr>
      <w:r>
        <w:rPr>
          <w:rFonts w:hint="eastAsia" w:ascii="宋体" w:hAnsi="宋体" w:cs="宋体"/>
          <w:b/>
          <w:bCs/>
          <w:smallCaps/>
          <w:kern w:val="0"/>
          <w:sz w:val="24"/>
          <w:szCs w:val="24"/>
        </w:rPr>
        <w:t>甲方的责任</w:t>
      </w:r>
    </w:p>
    <w:p w14:paraId="2E751C3F">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甲方应当履行建设工程造价咨询合同约定的义务，如有违反则应当承担违约责任，赔偿给乙方造成的损失。</w:t>
      </w:r>
    </w:p>
    <w:p w14:paraId="40DE61A1">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甲方如果向乙方提出赔偿或其他要求不能成立时，则甲方应补偿乙方由于该赔偿或其他要求所支出的合理必要费用。</w:t>
      </w:r>
    </w:p>
    <w:p w14:paraId="7467AE99">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bCs/>
          <w:smallCaps/>
          <w:kern w:val="0"/>
          <w:sz w:val="24"/>
          <w:szCs w:val="24"/>
        </w:rPr>
      </w:pPr>
      <w:r>
        <w:rPr>
          <w:rFonts w:hint="eastAsia" w:ascii="宋体" w:hAnsi="宋体" w:cs="宋体"/>
          <w:b/>
          <w:bCs/>
          <w:smallCaps/>
          <w:kern w:val="0"/>
          <w:sz w:val="24"/>
          <w:szCs w:val="24"/>
        </w:rPr>
        <w:t>合同生效，变更与终止</w:t>
      </w:r>
    </w:p>
    <w:p w14:paraId="632E093D">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本合同自双方法定代表人或委托代理人签字并加盖公章之日起生效。</w:t>
      </w:r>
    </w:p>
    <w:p w14:paraId="0C5714C6">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由于非乙方原因使乙方工作受到阻碍或延误以致增加了工作量或持续时间，则乙方应当将此情况与可能产生的影响在发生后</w:t>
      </w:r>
      <w:r>
        <w:rPr>
          <w:rFonts w:hint="eastAsia" w:ascii="宋体" w:hAnsi="宋体" w:cs="宋体"/>
          <w:kern w:val="0"/>
          <w:sz w:val="24"/>
          <w:szCs w:val="24"/>
          <w:u w:val="single"/>
        </w:rPr>
        <w:t>7</w:t>
      </w:r>
      <w:r>
        <w:rPr>
          <w:rFonts w:hint="eastAsia" w:ascii="宋体" w:hAnsi="宋体" w:cs="宋体"/>
          <w:kern w:val="0"/>
          <w:sz w:val="24"/>
          <w:szCs w:val="24"/>
        </w:rPr>
        <w:t>天内及时书面通知甲方。由此增加的工作量视为额外服务，完成建设工程造价咨询工作的时间应当相应延长，并得到额外的酬金。否则，视为乙方放弃增加的额外服务酬金。</w:t>
      </w:r>
    </w:p>
    <w:p w14:paraId="2D0F3015">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当事人一方要求变更或解除合同时，则应当在14日前书面通知对方；因变更或解除合同使一方遭受损失的，应由责任方负责赔偿。</w:t>
      </w:r>
    </w:p>
    <w:p w14:paraId="7DE33E5A">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乙方由于甲方原因暂停或终止执行本咨询业务，由此而增加的恢复执行本造价咨询业务的工作，应视为额外服务，有权得到额外的时间和酬金。</w:t>
      </w:r>
    </w:p>
    <w:p w14:paraId="4B946F1E">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变更或解除合同的通知或协议应当采取书面形式，新的协议未达成之前，原合同仍然有效。</w:t>
      </w:r>
    </w:p>
    <w:p w14:paraId="2A20395B">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bCs/>
          <w:smallCaps/>
          <w:kern w:val="0"/>
          <w:sz w:val="24"/>
          <w:szCs w:val="24"/>
        </w:rPr>
      </w:pPr>
      <w:r>
        <w:rPr>
          <w:rFonts w:hint="eastAsia" w:ascii="宋体" w:hAnsi="宋体" w:cs="宋体"/>
          <w:b/>
          <w:bCs/>
          <w:smallCaps/>
          <w:kern w:val="0"/>
          <w:sz w:val="24"/>
          <w:szCs w:val="24"/>
        </w:rPr>
        <w:t>咨询业务的酬金</w:t>
      </w:r>
    </w:p>
    <w:p w14:paraId="542DD46B">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本合同项下的咨询业务酬金，按照建设工程造价咨询合同专用条款约定的方法计取，并按约定的时间和数额支付。若乙方未按照本合同的约定履行相关义务或未能完全履行相关义务的，甲方有权暂停支付或扣减相关酬金。</w:t>
      </w:r>
    </w:p>
    <w:p w14:paraId="0F48D04B">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合同约定的酬金支付期限届满前_</w:t>
      </w:r>
      <w:r>
        <w:rPr>
          <w:rFonts w:hint="eastAsia" w:ascii="宋体" w:hAnsi="宋体" w:cs="宋体"/>
          <w:kern w:val="0"/>
          <w:sz w:val="24"/>
          <w:szCs w:val="24"/>
          <w:u w:val="single"/>
        </w:rPr>
        <w:t>10 个</w:t>
      </w:r>
      <w:r>
        <w:rPr>
          <w:rFonts w:hint="eastAsia" w:ascii="宋体" w:hAnsi="宋体" w:cs="宋体"/>
          <w:kern w:val="0"/>
          <w:sz w:val="24"/>
          <w:szCs w:val="24"/>
        </w:rPr>
        <w:t>工作日，乙方应向甲方发出支付通知书并提供相应的合法发票。支付酬金前，乙方应向甲方提交支付申请，经甲方审核无误后支付；如对酬金或部分酬金有异议，甲方应在收到支付申请之日起7个工作日内通知乙方，但不得拖延其无异议酬金项目的支付；对有异议部分，接到甲方通知后，乙方应立即核实处理。</w:t>
      </w:r>
    </w:p>
    <w:p w14:paraId="18549CFA">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支付建设工程造价咨询酬金所采取的货币币种、汇率由合同专用条款约定。</w:t>
      </w:r>
    </w:p>
    <w:p w14:paraId="00E8FCE5">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bCs/>
          <w:smallCaps/>
          <w:kern w:val="0"/>
          <w:sz w:val="24"/>
          <w:szCs w:val="24"/>
        </w:rPr>
      </w:pPr>
      <w:r>
        <w:rPr>
          <w:rFonts w:hint="eastAsia" w:ascii="宋体" w:hAnsi="宋体" w:cs="宋体"/>
          <w:b/>
          <w:bCs/>
          <w:smallCaps/>
          <w:kern w:val="0"/>
          <w:sz w:val="24"/>
          <w:szCs w:val="24"/>
        </w:rPr>
        <w:t>其他</w:t>
      </w:r>
    </w:p>
    <w:p w14:paraId="5C8E5161">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因本咨询业务的需要，乙方需在合同约定外的地方考察，经甲方书面同意，乙方在考察期间产生的合理的交通费、住宿费、餐饮费由甲方负责。</w:t>
      </w:r>
    </w:p>
    <w:p w14:paraId="4BC03C2B">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乙方如需外聘专家协助，在委托的本咨询业务范围内其费用由乙方承担；在委托的本咨询业务范围以外，且经甲方书面同意后，产生的外聘专家费用由甲方承担。</w:t>
      </w:r>
    </w:p>
    <w:p w14:paraId="463D5059">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未经对方的书面同意，各方均不得转让合同约定的权利和义务。</w:t>
      </w:r>
    </w:p>
    <w:p w14:paraId="1D8B5286">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除甲方书面同意外，乙方及咨询专业人员不应接受本咨询合同约定以外的与工程造价咨询项目有关的任何报酬。</w:t>
      </w:r>
    </w:p>
    <w:p w14:paraId="65976E9D">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乙方不得参与可能与合同规定的与甲方利益相冲突的任何活动。</w:t>
      </w:r>
    </w:p>
    <w:p w14:paraId="20A54F2E">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工程造价咨询服务成果文件质量标准，由双方在专用条款中约定。</w:t>
      </w:r>
    </w:p>
    <w:p w14:paraId="3DA0B017">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造价咨询成果文件的验收及费用支付，由双方在专用条款中约定。</w:t>
      </w:r>
    </w:p>
    <w:p w14:paraId="238F1FCC">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乙方在咨询过程中应坚守合法性原则，对工程签证或补充协议有违反法律禁止性规定的，应予排除。</w:t>
      </w:r>
    </w:p>
    <w:p w14:paraId="3871FAD1">
      <w:pPr>
        <w:widowControl/>
        <w:numPr>
          <w:ilvl w:val="0"/>
          <w:numId w:val="3"/>
        </w:numPr>
        <w:tabs>
          <w:tab w:val="left" w:pos="1276"/>
        </w:tabs>
        <w:adjustRightInd w:val="0"/>
        <w:snapToGrid w:val="0"/>
        <w:spacing w:line="360" w:lineRule="auto"/>
        <w:ind w:left="0" w:firstLine="482" w:firstLineChars="200"/>
        <w:jc w:val="left"/>
        <w:rPr>
          <w:rFonts w:hint="eastAsia" w:ascii="宋体" w:hAnsi="宋体" w:cs="宋体"/>
          <w:b/>
          <w:bCs/>
          <w:smallCaps/>
          <w:kern w:val="0"/>
          <w:sz w:val="24"/>
          <w:szCs w:val="24"/>
        </w:rPr>
      </w:pPr>
      <w:r>
        <w:rPr>
          <w:rFonts w:hint="eastAsia" w:ascii="宋体" w:hAnsi="宋体" w:cs="宋体"/>
          <w:b/>
          <w:bCs/>
          <w:smallCaps/>
          <w:kern w:val="0"/>
          <w:sz w:val="24"/>
          <w:szCs w:val="24"/>
        </w:rPr>
        <w:t>合同争议的解决</w:t>
      </w:r>
    </w:p>
    <w:p w14:paraId="0CDF8778">
      <w:pPr>
        <w:pStyle w:val="32"/>
        <w:widowControl/>
        <w:numPr>
          <w:ilvl w:val="1"/>
          <w:numId w:val="4"/>
        </w:numPr>
        <w:tabs>
          <w:tab w:val="left" w:pos="1276"/>
        </w:tabs>
        <w:adjustRightInd w:val="0"/>
        <w:snapToGrid w:val="0"/>
        <w:spacing w:line="360" w:lineRule="auto"/>
        <w:ind w:left="0" w:firstLine="480"/>
        <w:jc w:val="left"/>
        <w:rPr>
          <w:rFonts w:hint="eastAsia" w:ascii="宋体" w:hAnsi="宋体" w:cs="宋体"/>
          <w:kern w:val="0"/>
          <w:sz w:val="24"/>
          <w:szCs w:val="24"/>
        </w:rPr>
      </w:pPr>
      <w:r>
        <w:rPr>
          <w:rFonts w:hint="eastAsia" w:ascii="宋体" w:hAnsi="宋体" w:cs="宋体"/>
          <w:kern w:val="0"/>
          <w:sz w:val="24"/>
          <w:szCs w:val="24"/>
        </w:rPr>
        <w:t>因违约或终止合同而引起的损失和损害的赔偿，甲方与乙方之间应当协商解决；如未能达成一致，可提交有关主管部门调解；协商或调解不成的，由双方在专用条款中约定以下第</w:t>
      </w:r>
      <w:r>
        <w:rPr>
          <w:rFonts w:hint="eastAsia" w:ascii="宋体" w:hAnsi="宋体" w:cs="宋体"/>
          <w:kern w:val="0"/>
          <w:sz w:val="24"/>
          <w:szCs w:val="24"/>
          <w:u w:val="single"/>
        </w:rPr>
        <w:t xml:space="preserve"> 2 </w:t>
      </w:r>
      <w:r>
        <w:rPr>
          <w:rFonts w:hint="eastAsia" w:ascii="宋体" w:hAnsi="宋体" w:cs="宋体"/>
          <w:kern w:val="0"/>
          <w:sz w:val="24"/>
          <w:szCs w:val="24"/>
        </w:rPr>
        <w:t>种方式解决争议：</w:t>
      </w:r>
    </w:p>
    <w:p w14:paraId="1C6A1E39">
      <w:pPr>
        <w:numPr>
          <w:ilvl w:val="0"/>
          <w:numId w:val="7"/>
        </w:numPr>
        <w:tabs>
          <w:tab w:val="left" w:pos="1276"/>
        </w:tabs>
        <w:autoSpaceDE w:val="0"/>
        <w:autoSpaceDN w:val="0"/>
        <w:adjustRightInd w:val="0"/>
        <w:snapToGrid w:val="0"/>
        <w:spacing w:line="360" w:lineRule="auto"/>
        <w:ind w:left="0" w:firstLine="480" w:firstLineChars="200"/>
        <w:jc w:val="left"/>
        <w:rPr>
          <w:rFonts w:hint="eastAsia" w:ascii="宋体" w:hAnsi="宋体" w:cs="宋体"/>
          <w:sz w:val="24"/>
          <w:szCs w:val="24"/>
        </w:rPr>
      </w:pPr>
      <w:r>
        <w:rPr>
          <w:rFonts w:hint="eastAsia" w:ascii="宋体" w:hAnsi="宋体" w:cs="宋体"/>
          <w:sz w:val="24"/>
          <w:szCs w:val="24"/>
        </w:rPr>
        <w:t>向广州仲裁委员会申请仲裁；</w:t>
      </w:r>
    </w:p>
    <w:p w14:paraId="0A362D10">
      <w:pPr>
        <w:numPr>
          <w:ilvl w:val="0"/>
          <w:numId w:val="7"/>
        </w:numPr>
        <w:tabs>
          <w:tab w:val="left" w:pos="1276"/>
        </w:tabs>
        <w:autoSpaceDE w:val="0"/>
        <w:autoSpaceDN w:val="0"/>
        <w:adjustRightInd w:val="0"/>
        <w:snapToGrid w:val="0"/>
        <w:spacing w:line="360" w:lineRule="auto"/>
        <w:ind w:left="0" w:firstLine="480" w:firstLineChars="200"/>
        <w:jc w:val="left"/>
        <w:rPr>
          <w:rFonts w:hint="eastAsia" w:ascii="宋体" w:hAnsi="宋体" w:cs="宋体"/>
          <w:sz w:val="24"/>
          <w:szCs w:val="24"/>
        </w:rPr>
      </w:pPr>
      <w:r>
        <w:rPr>
          <w:rFonts w:hint="eastAsia" w:ascii="宋体" w:hAnsi="宋体" w:cs="宋体"/>
          <w:sz w:val="24"/>
          <w:szCs w:val="24"/>
        </w:rPr>
        <w:t>向</w:t>
      </w:r>
      <w:r>
        <w:rPr>
          <w:rFonts w:hint="eastAsia" w:ascii="宋体" w:hAnsi="宋体" w:cs="宋体"/>
          <w:sz w:val="24"/>
          <w:szCs w:val="24"/>
          <w:u w:val="single"/>
        </w:rPr>
        <w:t>（项目所在地）</w:t>
      </w:r>
      <w:r>
        <w:rPr>
          <w:rFonts w:hint="eastAsia" w:ascii="宋体" w:hAnsi="宋体" w:cs="宋体"/>
          <w:sz w:val="24"/>
          <w:szCs w:val="24"/>
        </w:rPr>
        <w:t>人民法院起诉。</w:t>
      </w:r>
    </w:p>
    <w:p w14:paraId="1BD96488">
      <w:pPr>
        <w:pStyle w:val="32"/>
        <w:widowControl/>
        <w:tabs>
          <w:tab w:val="left" w:pos="1276"/>
        </w:tabs>
        <w:adjustRightInd w:val="0"/>
        <w:snapToGrid w:val="0"/>
        <w:spacing w:line="360" w:lineRule="auto"/>
        <w:ind w:firstLine="480"/>
        <w:jc w:val="left"/>
        <w:rPr>
          <w:rFonts w:hint="eastAsia" w:ascii="宋体" w:hAnsi="宋体" w:cs="宋体"/>
          <w:kern w:val="0"/>
          <w:sz w:val="24"/>
          <w:szCs w:val="24"/>
        </w:rPr>
      </w:pPr>
    </w:p>
    <w:p w14:paraId="5BC9C406">
      <w:pPr>
        <w:pStyle w:val="32"/>
        <w:widowControl/>
        <w:tabs>
          <w:tab w:val="left" w:pos="1276"/>
        </w:tabs>
        <w:adjustRightInd w:val="0"/>
        <w:snapToGrid w:val="0"/>
        <w:spacing w:line="360" w:lineRule="auto"/>
        <w:ind w:firstLine="480"/>
        <w:jc w:val="left"/>
        <w:rPr>
          <w:rFonts w:hint="eastAsia" w:ascii="宋体" w:hAnsi="宋体" w:cs="宋体"/>
          <w:kern w:val="0"/>
          <w:sz w:val="24"/>
          <w:szCs w:val="24"/>
        </w:rPr>
      </w:pPr>
    </w:p>
    <w:p w14:paraId="30C27CDE">
      <w:pPr>
        <w:pStyle w:val="32"/>
        <w:widowControl/>
        <w:tabs>
          <w:tab w:val="left" w:pos="1274"/>
        </w:tabs>
        <w:adjustRightInd w:val="0"/>
        <w:snapToGrid w:val="0"/>
        <w:spacing w:line="360" w:lineRule="auto"/>
        <w:ind w:firstLine="480"/>
        <w:jc w:val="center"/>
        <w:rPr>
          <w:rFonts w:hint="eastAsia" w:ascii="宋体" w:hAnsi="宋体" w:cs="宋体"/>
          <w:b/>
          <w:bCs/>
          <w:smallCaps/>
          <w:kern w:val="0"/>
          <w:sz w:val="24"/>
          <w:szCs w:val="24"/>
        </w:rPr>
      </w:pPr>
      <w:r>
        <w:rPr>
          <w:rFonts w:hint="eastAsia" w:ascii="宋体" w:hAnsi="宋体" w:cs="宋体"/>
          <w:kern w:val="0"/>
          <w:sz w:val="24"/>
          <w:szCs w:val="24"/>
        </w:rPr>
        <w:br w:type="page"/>
      </w:r>
      <w:r>
        <w:rPr>
          <w:rFonts w:hint="eastAsia" w:ascii="宋体" w:hAnsi="宋体" w:cs="宋体"/>
          <w:b/>
          <w:kern w:val="0"/>
          <w:sz w:val="24"/>
          <w:szCs w:val="24"/>
        </w:rPr>
        <w:t xml:space="preserve">第三部分   </w:t>
      </w:r>
      <w:r>
        <w:rPr>
          <w:rFonts w:hint="eastAsia" w:ascii="宋体" w:hAnsi="宋体" w:cs="宋体"/>
          <w:b/>
          <w:bCs/>
          <w:smallCaps/>
          <w:kern w:val="0"/>
          <w:sz w:val="24"/>
          <w:szCs w:val="24"/>
        </w:rPr>
        <w:t>建设工程造价咨询合同专用条款</w:t>
      </w:r>
    </w:p>
    <w:p w14:paraId="49926BC8">
      <w:pPr>
        <w:widowControl/>
        <w:tabs>
          <w:tab w:val="left" w:pos="1276"/>
        </w:tabs>
        <w:adjustRightInd w:val="0"/>
        <w:snapToGrid w:val="0"/>
        <w:spacing w:line="360" w:lineRule="auto"/>
        <w:ind w:firstLine="482" w:firstLineChars="200"/>
        <w:jc w:val="left"/>
        <w:rPr>
          <w:rFonts w:hint="eastAsia" w:ascii="宋体" w:hAnsi="宋体" w:cs="宋体"/>
          <w:kern w:val="0"/>
          <w:sz w:val="24"/>
          <w:szCs w:val="24"/>
        </w:rPr>
      </w:pPr>
      <w:r>
        <w:rPr>
          <w:rFonts w:hint="eastAsia" w:ascii="宋体" w:hAnsi="宋体" w:cs="宋体"/>
          <w:b/>
          <w:bCs/>
          <w:smallCaps/>
          <w:kern w:val="0"/>
          <w:sz w:val="24"/>
          <w:szCs w:val="24"/>
        </w:rPr>
        <w:t>第一条  本合同适用的法律、法规及工程造价计价办法和规定：</w:t>
      </w:r>
      <w:r>
        <w:rPr>
          <w:rFonts w:hint="eastAsia" w:ascii="宋体" w:hAnsi="宋体" w:cs="宋体"/>
          <w:kern w:val="0"/>
          <w:sz w:val="24"/>
          <w:szCs w:val="24"/>
        </w:rPr>
        <w:t xml:space="preserve"> </w:t>
      </w:r>
    </w:p>
    <w:p w14:paraId="3B61529F">
      <w:pPr>
        <w:pStyle w:val="32"/>
        <w:widowControl/>
        <w:tabs>
          <w:tab w:val="left" w:pos="1276"/>
        </w:tabs>
        <w:adjustRightInd w:val="0"/>
        <w:snapToGrid w:val="0"/>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1.1本合同适用中华人民共和国法律、法规。</w:t>
      </w:r>
    </w:p>
    <w:p w14:paraId="207B525B">
      <w:pPr>
        <w:pStyle w:val="32"/>
        <w:widowControl/>
        <w:tabs>
          <w:tab w:val="left" w:pos="1276"/>
        </w:tabs>
        <w:adjustRightInd w:val="0"/>
        <w:snapToGrid w:val="0"/>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1.2本合同适用的工程造价计价办法和规定是：《广东省住房和城乡建设厅关于印发&lt;广东省建设工程计价依据（2018）&gt;的通知》（粤建市〔2019〕6号）及《建设工程工程量清单计价规范》（GB50500-2013）的相关规定。国家及广东省、广州市有最新规定的，从其规定。</w:t>
      </w:r>
    </w:p>
    <w:p w14:paraId="6B1E598D">
      <w:pPr>
        <w:pStyle w:val="32"/>
        <w:widowControl/>
        <w:tabs>
          <w:tab w:val="left" w:pos="1276"/>
        </w:tabs>
        <w:adjustRightInd w:val="0"/>
        <w:snapToGrid w:val="0"/>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1.3其它计价依据：甲方的要求、图纸、招标文件。</w:t>
      </w:r>
    </w:p>
    <w:p w14:paraId="6775BCC3">
      <w:pPr>
        <w:pStyle w:val="32"/>
        <w:widowControl/>
        <w:tabs>
          <w:tab w:val="left" w:pos="1276"/>
        </w:tabs>
        <w:adjustRightInd w:val="0"/>
        <w:snapToGrid w:val="0"/>
        <w:spacing w:line="360" w:lineRule="auto"/>
        <w:ind w:firstLine="482"/>
        <w:jc w:val="left"/>
        <w:rPr>
          <w:rFonts w:hint="eastAsia" w:ascii="宋体" w:hAnsi="宋体" w:cs="宋体"/>
          <w:kern w:val="0"/>
          <w:sz w:val="24"/>
          <w:szCs w:val="24"/>
        </w:rPr>
      </w:pPr>
      <w:r>
        <w:rPr>
          <w:rFonts w:hint="eastAsia" w:ascii="宋体" w:hAnsi="宋体" w:cs="宋体"/>
          <w:b/>
          <w:kern w:val="0"/>
          <w:sz w:val="24"/>
          <w:szCs w:val="24"/>
        </w:rPr>
        <w:t xml:space="preserve">第四条 </w:t>
      </w:r>
      <w:r>
        <w:rPr>
          <w:rFonts w:hint="eastAsia" w:ascii="宋体" w:hAnsi="宋体" w:cs="宋体"/>
          <w:kern w:val="0"/>
          <w:sz w:val="24"/>
          <w:szCs w:val="24"/>
        </w:rPr>
        <w:t xml:space="preserve"> </w:t>
      </w:r>
      <w:r>
        <w:rPr>
          <w:rFonts w:hint="eastAsia" w:ascii="宋体" w:hAnsi="宋体" w:cs="宋体"/>
          <w:b/>
          <w:kern w:val="0"/>
          <w:sz w:val="24"/>
          <w:szCs w:val="24"/>
        </w:rPr>
        <w:t>建设工程造价咨询业务范围、服务内容和造价咨询服务专业人员：</w:t>
      </w:r>
    </w:p>
    <w:p w14:paraId="39B142C3">
      <w:pPr>
        <w:adjustRightInd w:val="0"/>
        <w:snapToGrid w:val="0"/>
        <w:spacing w:line="36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4.1  “建设工程造价咨询业务”是指以下服务类别的咨询业务：</w:t>
      </w:r>
    </w:p>
    <w:p w14:paraId="69D3BF11">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(A类)建设项目可行性研究投资估算的编制、审核及项目经济评价（若有）；</w:t>
      </w:r>
    </w:p>
    <w:p w14:paraId="53F1C0AD">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(B类)建设工程概算、预算、结算的编制、审核；</w:t>
      </w:r>
    </w:p>
    <w:p w14:paraId="064D1F50">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(C类)建设工程招标控制价、清单的编制、审核；</w:t>
      </w:r>
    </w:p>
    <w:p w14:paraId="5D9968A2">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(D类)工程洽商、变更及合同争议的鉴定与索赔；</w:t>
      </w:r>
    </w:p>
    <w:p w14:paraId="68E1FDEE">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(E类)编制工程造价计价依据及对工程造价进行监控和提供有关工程造价信息资料等。</w:t>
      </w:r>
    </w:p>
    <w:p w14:paraId="1375B2F9">
      <w:pPr>
        <w:tabs>
          <w:tab w:val="left" w:pos="7513"/>
        </w:tabs>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4.2  建设工程造价咨询服务内容：</w:t>
      </w:r>
    </w:p>
    <w:p w14:paraId="46C5CB13">
      <w:pPr>
        <w:tabs>
          <w:tab w:val="left" w:pos="7513"/>
        </w:tabs>
        <w:spacing w:line="360" w:lineRule="auto"/>
        <w:ind w:firstLine="480" w:firstLineChars="200"/>
        <w:rPr>
          <w:rFonts w:hint="eastAsia" w:ascii="宋体" w:hAnsi="宋体" w:cs="宋体"/>
          <w:sz w:val="24"/>
          <w:szCs w:val="24"/>
        </w:rPr>
      </w:pPr>
      <w:r>
        <w:rPr>
          <w:rFonts w:hint="eastAsia" w:ascii="宋体" w:hAnsi="宋体" w:cs="宋体"/>
          <w:sz w:val="24"/>
          <w:szCs w:val="24"/>
        </w:rPr>
        <w:t>详见本合同第一部分协议书第一条第4款服务范围的约定。</w:t>
      </w:r>
    </w:p>
    <w:p w14:paraId="2EBA7A0F">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 xml:space="preserve">4.3  </w:t>
      </w:r>
      <w:r>
        <w:rPr>
          <w:rFonts w:hint="eastAsia" w:ascii="宋体" w:hAnsi="宋体" w:cs="宋体"/>
          <w:b/>
          <w:kern w:val="0"/>
          <w:sz w:val="24"/>
          <w:szCs w:val="24"/>
        </w:rPr>
        <w:t xml:space="preserve">乙方承诺派出与投标文件中《拟投入本项目造价人员一览表》一致的造价咨询服务团队。 </w:t>
      </w:r>
    </w:p>
    <w:p w14:paraId="5604AAF1">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 xml:space="preserve">4.4未经甲方书面同意，乙方不得擅自更换本项目负责人或造价咨询服务团队其他人员。确因实际情况需更换相关人员的，必须书面向甲方提出申请，说明原因，且换入人员条件（指学历、职称、执业证书等）和经验（指过去5年内的业绩情况）要等于或优于换出人员的条件和经验（否则甲方有权拒绝接受申请），经甲方书面同意后方可更换。未经申请或申请后甲方未同意，乙方擅自更换本项目造价咨询服务团队相关人员的，视为乙方违约，甲方有权进行处罚；造成甲方经济损失的，甲方有权向乙方索赔。但乙方有合法理由（如服务人员因死亡、重大疾病、离职等原因导致不能履行职责）提出申请并经甲方批准更换相关人员的，乙方可不承担违约责任。 </w:t>
      </w:r>
    </w:p>
    <w:p w14:paraId="4F85CEB2">
      <w:pPr>
        <w:spacing w:line="360" w:lineRule="auto"/>
        <w:ind w:firstLine="482" w:firstLineChars="200"/>
        <w:rPr>
          <w:rFonts w:hint="eastAsia" w:ascii="宋体" w:hAnsi="宋体" w:cs="宋体"/>
          <w:sz w:val="24"/>
          <w:szCs w:val="24"/>
          <w:lang w:val="zh-CN"/>
        </w:rPr>
      </w:pPr>
      <w:r>
        <w:rPr>
          <w:rFonts w:hint="eastAsia" w:ascii="宋体" w:hAnsi="宋体" w:cs="宋体"/>
          <w:b/>
          <w:sz w:val="24"/>
          <w:szCs w:val="24"/>
        </w:rPr>
        <w:t>4.5驻场服务：</w:t>
      </w:r>
    </w:p>
    <w:p w14:paraId="7B8E84D4">
      <w:pPr>
        <w:spacing w:line="360" w:lineRule="auto"/>
        <w:ind w:firstLine="480" w:firstLineChars="200"/>
        <w:rPr>
          <w:rFonts w:hint="eastAsia" w:ascii="宋体" w:hAnsi="宋体" w:cs="宋体"/>
          <w:sz w:val="24"/>
          <w:szCs w:val="24"/>
        </w:rPr>
      </w:pPr>
      <w:r>
        <w:rPr>
          <w:rFonts w:hint="eastAsia" w:ascii="宋体" w:hAnsi="宋体" w:cs="宋体"/>
          <w:sz w:val="24"/>
          <w:szCs w:val="24"/>
        </w:rPr>
        <w:t>4.5.1为便于甲方与乙方及时沟通及协调，乙方应根据甲方的要求，在指定的地点投入本合同约定的专业人员、设备及设施，实施本合同工程的造价咨询工作。乙方造价人员具体需求如下：</w:t>
      </w:r>
    </w:p>
    <w:tbl>
      <w:tblPr>
        <w:tblStyle w:val="18"/>
        <w:tblpPr w:leftFromText="180" w:rightFromText="180" w:vertAnchor="text" w:horzAnchor="page" w:tblpX="1629" w:tblpY="297"/>
        <w:tblOverlap w:val="never"/>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496"/>
        <w:gridCol w:w="2638"/>
        <w:gridCol w:w="2621"/>
        <w:gridCol w:w="1356"/>
      </w:tblGrid>
      <w:tr w14:paraId="5A8E2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20" w:type="dxa"/>
            <w:noWrap/>
            <w:vAlign w:val="center"/>
          </w:tcPr>
          <w:p w14:paraId="69693B69">
            <w:pPr>
              <w:spacing w:line="400" w:lineRule="exact"/>
              <w:jc w:val="center"/>
              <w:rPr>
                <w:rFonts w:hint="eastAsia" w:ascii="宋体" w:hAnsi="宋体" w:cs="宋体"/>
                <w:sz w:val="24"/>
                <w:szCs w:val="24"/>
              </w:rPr>
            </w:pPr>
            <w:r>
              <w:rPr>
                <w:rFonts w:hint="eastAsia" w:ascii="宋体" w:hAnsi="宋体" w:cs="宋体"/>
                <w:sz w:val="24"/>
                <w:szCs w:val="24"/>
              </w:rPr>
              <w:t>序号</w:t>
            </w:r>
          </w:p>
        </w:tc>
        <w:tc>
          <w:tcPr>
            <w:tcW w:w="1496" w:type="dxa"/>
            <w:noWrap/>
            <w:vAlign w:val="center"/>
          </w:tcPr>
          <w:p w14:paraId="478B089C">
            <w:pPr>
              <w:spacing w:line="400" w:lineRule="exact"/>
              <w:jc w:val="center"/>
              <w:rPr>
                <w:rFonts w:hint="eastAsia" w:ascii="宋体" w:hAnsi="宋体" w:cs="宋体"/>
                <w:sz w:val="24"/>
                <w:szCs w:val="24"/>
              </w:rPr>
            </w:pPr>
            <w:r>
              <w:rPr>
                <w:rFonts w:hint="eastAsia" w:ascii="宋体" w:hAnsi="宋体" w:cs="宋体"/>
                <w:sz w:val="24"/>
                <w:szCs w:val="24"/>
              </w:rPr>
              <w:t>岗位人员</w:t>
            </w:r>
          </w:p>
        </w:tc>
        <w:tc>
          <w:tcPr>
            <w:tcW w:w="2638" w:type="dxa"/>
            <w:noWrap/>
            <w:vAlign w:val="center"/>
          </w:tcPr>
          <w:p w14:paraId="053DC029">
            <w:pPr>
              <w:spacing w:line="400" w:lineRule="exact"/>
              <w:jc w:val="center"/>
              <w:rPr>
                <w:rFonts w:hint="eastAsia" w:ascii="宋体" w:hAnsi="宋体" w:cs="宋体"/>
                <w:sz w:val="24"/>
                <w:szCs w:val="24"/>
              </w:rPr>
            </w:pPr>
            <w:r>
              <w:rPr>
                <w:rFonts w:hint="eastAsia" w:ascii="宋体" w:hAnsi="宋体" w:cs="宋体"/>
                <w:sz w:val="24"/>
                <w:szCs w:val="24"/>
              </w:rPr>
              <w:t>职称和资格要求</w:t>
            </w:r>
          </w:p>
        </w:tc>
        <w:tc>
          <w:tcPr>
            <w:tcW w:w="2621" w:type="dxa"/>
            <w:noWrap/>
            <w:vAlign w:val="center"/>
          </w:tcPr>
          <w:p w14:paraId="08508FB9">
            <w:pPr>
              <w:spacing w:line="400" w:lineRule="exact"/>
              <w:jc w:val="center"/>
              <w:rPr>
                <w:rFonts w:hint="eastAsia" w:ascii="宋体" w:hAnsi="宋体" w:cs="宋体"/>
                <w:sz w:val="24"/>
                <w:szCs w:val="24"/>
              </w:rPr>
            </w:pPr>
            <w:r>
              <w:rPr>
                <w:rFonts w:hint="eastAsia" w:ascii="宋体" w:hAnsi="宋体" w:cs="宋体"/>
                <w:sz w:val="24"/>
                <w:szCs w:val="24"/>
              </w:rPr>
              <w:t>职责范围</w:t>
            </w:r>
          </w:p>
        </w:tc>
        <w:tc>
          <w:tcPr>
            <w:tcW w:w="1356" w:type="dxa"/>
            <w:noWrap/>
            <w:vAlign w:val="center"/>
          </w:tcPr>
          <w:p w14:paraId="4F59D05D">
            <w:pPr>
              <w:spacing w:line="400" w:lineRule="exact"/>
              <w:jc w:val="center"/>
              <w:rPr>
                <w:rFonts w:hint="eastAsia" w:ascii="宋体" w:hAnsi="宋体" w:cs="宋体"/>
                <w:sz w:val="24"/>
                <w:szCs w:val="24"/>
              </w:rPr>
            </w:pPr>
            <w:r>
              <w:rPr>
                <w:rFonts w:hint="eastAsia" w:ascii="宋体" w:hAnsi="宋体" w:cs="宋体"/>
                <w:sz w:val="24"/>
                <w:szCs w:val="24"/>
              </w:rPr>
              <w:t>人数要求</w:t>
            </w:r>
          </w:p>
        </w:tc>
      </w:tr>
      <w:tr w14:paraId="52DBB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720" w:type="dxa"/>
            <w:noWrap/>
            <w:vAlign w:val="center"/>
          </w:tcPr>
          <w:p w14:paraId="5CBB1089">
            <w:pPr>
              <w:spacing w:line="400" w:lineRule="exact"/>
              <w:jc w:val="center"/>
              <w:rPr>
                <w:rFonts w:hint="eastAsia" w:ascii="宋体" w:hAnsi="宋体" w:cs="宋体"/>
                <w:sz w:val="24"/>
                <w:szCs w:val="24"/>
              </w:rPr>
            </w:pPr>
            <w:r>
              <w:rPr>
                <w:rFonts w:hint="eastAsia" w:ascii="宋体" w:hAnsi="宋体" w:cs="宋体"/>
                <w:sz w:val="24"/>
                <w:szCs w:val="24"/>
              </w:rPr>
              <w:t>1</w:t>
            </w:r>
          </w:p>
        </w:tc>
        <w:tc>
          <w:tcPr>
            <w:tcW w:w="1496" w:type="dxa"/>
            <w:noWrap/>
            <w:vAlign w:val="center"/>
          </w:tcPr>
          <w:p w14:paraId="07FF9FE5">
            <w:pPr>
              <w:spacing w:line="400" w:lineRule="exact"/>
              <w:jc w:val="center"/>
              <w:rPr>
                <w:rFonts w:hint="eastAsia" w:ascii="宋体" w:hAnsi="宋体" w:cs="宋体"/>
                <w:sz w:val="24"/>
                <w:szCs w:val="24"/>
              </w:rPr>
            </w:pPr>
            <w:r>
              <w:rPr>
                <w:rFonts w:hint="eastAsia" w:ascii="宋体" w:hAnsi="宋体" w:cs="宋体"/>
                <w:sz w:val="24"/>
                <w:szCs w:val="24"/>
              </w:rPr>
              <w:t>项目负责人</w:t>
            </w:r>
          </w:p>
        </w:tc>
        <w:tc>
          <w:tcPr>
            <w:tcW w:w="2638" w:type="dxa"/>
            <w:noWrap/>
            <w:vAlign w:val="center"/>
          </w:tcPr>
          <w:p w14:paraId="2185EB27">
            <w:pPr>
              <w:spacing w:line="400" w:lineRule="exact"/>
              <w:jc w:val="center"/>
              <w:rPr>
                <w:rFonts w:hint="eastAsia" w:ascii="宋体" w:hAnsi="宋体" w:cs="宋体"/>
                <w:sz w:val="24"/>
                <w:szCs w:val="24"/>
              </w:rPr>
            </w:pPr>
          </w:p>
        </w:tc>
        <w:tc>
          <w:tcPr>
            <w:tcW w:w="2621" w:type="dxa"/>
            <w:noWrap/>
            <w:vAlign w:val="center"/>
          </w:tcPr>
          <w:p w14:paraId="46501986">
            <w:pPr>
              <w:spacing w:line="400" w:lineRule="exact"/>
              <w:jc w:val="center"/>
              <w:rPr>
                <w:rFonts w:hint="eastAsia" w:ascii="宋体" w:hAnsi="宋体" w:cs="宋体"/>
                <w:sz w:val="24"/>
                <w:szCs w:val="24"/>
              </w:rPr>
            </w:pPr>
            <w:r>
              <w:rPr>
                <w:rFonts w:hint="eastAsia" w:ascii="宋体" w:hAnsi="宋体" w:cs="宋体"/>
                <w:sz w:val="24"/>
                <w:szCs w:val="24"/>
              </w:rPr>
              <w:t>负责本项目造价咨询服务的总体统筹、协调工作，对服务质量负责。</w:t>
            </w:r>
          </w:p>
        </w:tc>
        <w:tc>
          <w:tcPr>
            <w:tcW w:w="1356" w:type="dxa"/>
            <w:noWrap/>
            <w:vAlign w:val="center"/>
          </w:tcPr>
          <w:p w14:paraId="3AB1C303">
            <w:pPr>
              <w:spacing w:line="400" w:lineRule="exact"/>
              <w:rPr>
                <w:rFonts w:hint="eastAsia" w:ascii="宋体" w:hAnsi="宋体" w:cs="宋体"/>
                <w:sz w:val="24"/>
                <w:szCs w:val="24"/>
              </w:rPr>
            </w:pPr>
          </w:p>
        </w:tc>
      </w:tr>
      <w:tr w14:paraId="11AD8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trPr>
        <w:tc>
          <w:tcPr>
            <w:tcW w:w="720" w:type="dxa"/>
            <w:noWrap/>
            <w:vAlign w:val="center"/>
          </w:tcPr>
          <w:p w14:paraId="1D17D28C">
            <w:pPr>
              <w:spacing w:line="400" w:lineRule="exact"/>
              <w:jc w:val="center"/>
              <w:rPr>
                <w:rFonts w:hint="eastAsia" w:ascii="宋体" w:hAnsi="宋体" w:cs="宋体"/>
                <w:sz w:val="24"/>
                <w:szCs w:val="24"/>
              </w:rPr>
            </w:pPr>
            <w:r>
              <w:rPr>
                <w:rFonts w:hint="eastAsia" w:ascii="宋体" w:hAnsi="宋体" w:cs="宋体"/>
                <w:sz w:val="24"/>
                <w:szCs w:val="24"/>
              </w:rPr>
              <w:t>2</w:t>
            </w:r>
          </w:p>
        </w:tc>
        <w:tc>
          <w:tcPr>
            <w:tcW w:w="1496" w:type="dxa"/>
            <w:noWrap/>
            <w:vAlign w:val="center"/>
          </w:tcPr>
          <w:p w14:paraId="2EC9FF53">
            <w:pPr>
              <w:spacing w:line="400" w:lineRule="exact"/>
              <w:jc w:val="center"/>
              <w:rPr>
                <w:rFonts w:hint="eastAsia" w:ascii="宋体" w:hAnsi="宋体" w:cs="宋体"/>
                <w:sz w:val="24"/>
                <w:szCs w:val="24"/>
              </w:rPr>
            </w:pPr>
            <w:r>
              <w:rPr>
                <w:rFonts w:hint="eastAsia" w:ascii="宋体" w:hAnsi="宋体" w:cs="宋体"/>
                <w:sz w:val="24"/>
                <w:szCs w:val="24"/>
              </w:rPr>
              <w:t>土建专业技术负责人</w:t>
            </w:r>
          </w:p>
        </w:tc>
        <w:tc>
          <w:tcPr>
            <w:tcW w:w="2638" w:type="dxa"/>
            <w:noWrap/>
            <w:vAlign w:val="center"/>
          </w:tcPr>
          <w:p w14:paraId="37B8D4BA">
            <w:pPr>
              <w:spacing w:line="400" w:lineRule="exact"/>
              <w:jc w:val="center"/>
              <w:rPr>
                <w:rFonts w:hint="eastAsia" w:ascii="宋体" w:hAnsi="宋体" w:cs="宋体"/>
                <w:sz w:val="24"/>
                <w:szCs w:val="24"/>
              </w:rPr>
            </w:pPr>
          </w:p>
        </w:tc>
        <w:tc>
          <w:tcPr>
            <w:tcW w:w="2621" w:type="dxa"/>
            <w:noWrap/>
            <w:vAlign w:val="center"/>
          </w:tcPr>
          <w:p w14:paraId="4B7D38C2">
            <w:pPr>
              <w:spacing w:line="400" w:lineRule="exact"/>
              <w:jc w:val="center"/>
              <w:rPr>
                <w:rFonts w:hint="eastAsia" w:ascii="宋体" w:hAnsi="宋体" w:cs="宋体"/>
                <w:sz w:val="24"/>
                <w:szCs w:val="24"/>
              </w:rPr>
            </w:pPr>
            <w:r>
              <w:rPr>
                <w:rFonts w:hint="eastAsia" w:ascii="宋体" w:hAnsi="宋体" w:cs="宋体"/>
                <w:sz w:val="24"/>
                <w:szCs w:val="24"/>
              </w:rPr>
              <w:t>负责土建专业造价咨询服务的组织协调工作。</w:t>
            </w:r>
          </w:p>
        </w:tc>
        <w:tc>
          <w:tcPr>
            <w:tcW w:w="1356" w:type="dxa"/>
            <w:noWrap/>
            <w:vAlign w:val="center"/>
          </w:tcPr>
          <w:p w14:paraId="7C94E77F">
            <w:pPr>
              <w:spacing w:line="400" w:lineRule="exact"/>
              <w:jc w:val="center"/>
              <w:rPr>
                <w:rFonts w:hint="eastAsia" w:ascii="宋体" w:hAnsi="宋体" w:cs="宋体"/>
                <w:sz w:val="24"/>
                <w:szCs w:val="24"/>
              </w:rPr>
            </w:pPr>
          </w:p>
        </w:tc>
      </w:tr>
      <w:tr w14:paraId="758A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720" w:type="dxa"/>
            <w:noWrap/>
            <w:vAlign w:val="center"/>
          </w:tcPr>
          <w:p w14:paraId="666F5FC7">
            <w:pPr>
              <w:spacing w:line="400" w:lineRule="exact"/>
              <w:jc w:val="center"/>
              <w:rPr>
                <w:rFonts w:hint="eastAsia" w:ascii="宋体" w:hAnsi="宋体" w:cs="宋体"/>
                <w:sz w:val="24"/>
                <w:szCs w:val="24"/>
              </w:rPr>
            </w:pPr>
            <w:r>
              <w:rPr>
                <w:rFonts w:hint="eastAsia" w:ascii="宋体" w:hAnsi="宋体" w:cs="宋体"/>
                <w:sz w:val="24"/>
                <w:szCs w:val="24"/>
              </w:rPr>
              <w:t>3</w:t>
            </w:r>
          </w:p>
        </w:tc>
        <w:tc>
          <w:tcPr>
            <w:tcW w:w="1496" w:type="dxa"/>
            <w:noWrap/>
            <w:vAlign w:val="center"/>
          </w:tcPr>
          <w:p w14:paraId="7B84EE27">
            <w:pPr>
              <w:widowControl/>
              <w:spacing w:line="400" w:lineRule="exact"/>
              <w:jc w:val="center"/>
              <w:textAlignment w:val="center"/>
              <w:rPr>
                <w:rFonts w:hint="eastAsia" w:ascii="宋体" w:hAnsi="宋体" w:cs="宋体"/>
                <w:sz w:val="24"/>
                <w:szCs w:val="24"/>
              </w:rPr>
            </w:pPr>
            <w:r>
              <w:rPr>
                <w:rFonts w:hint="eastAsia" w:ascii="宋体" w:hAnsi="宋体" w:cs="宋体"/>
                <w:color w:val="000000"/>
                <w:kern w:val="0"/>
                <w:sz w:val="24"/>
                <w:szCs w:val="24"/>
              </w:rPr>
              <w:t>土建专业造价人员</w:t>
            </w:r>
          </w:p>
        </w:tc>
        <w:tc>
          <w:tcPr>
            <w:tcW w:w="2638" w:type="dxa"/>
            <w:noWrap/>
            <w:vAlign w:val="center"/>
          </w:tcPr>
          <w:p w14:paraId="1F6456EE">
            <w:pPr>
              <w:widowControl/>
              <w:spacing w:line="400" w:lineRule="exact"/>
              <w:jc w:val="center"/>
              <w:textAlignment w:val="center"/>
              <w:rPr>
                <w:rFonts w:hint="eastAsia" w:ascii="宋体" w:hAnsi="宋体" w:cs="宋体"/>
                <w:sz w:val="24"/>
                <w:szCs w:val="24"/>
              </w:rPr>
            </w:pPr>
          </w:p>
        </w:tc>
        <w:tc>
          <w:tcPr>
            <w:tcW w:w="2621" w:type="dxa"/>
            <w:noWrap/>
            <w:vAlign w:val="center"/>
          </w:tcPr>
          <w:p w14:paraId="410F3F36">
            <w:pPr>
              <w:widowControl/>
              <w:spacing w:line="400" w:lineRule="exact"/>
              <w:jc w:val="center"/>
              <w:textAlignment w:val="center"/>
              <w:rPr>
                <w:rFonts w:hint="eastAsia" w:ascii="宋体" w:hAnsi="宋体" w:cs="宋体"/>
                <w:sz w:val="24"/>
                <w:szCs w:val="24"/>
              </w:rPr>
            </w:pPr>
            <w:r>
              <w:rPr>
                <w:rFonts w:hint="eastAsia" w:ascii="宋体" w:hAnsi="宋体" w:cs="宋体"/>
                <w:color w:val="000000"/>
                <w:kern w:val="0"/>
                <w:sz w:val="24"/>
                <w:szCs w:val="24"/>
              </w:rPr>
              <w:t>负责本项目的建筑、结构、土石方、装修等专业造价咨询服务工作。</w:t>
            </w:r>
          </w:p>
        </w:tc>
        <w:tc>
          <w:tcPr>
            <w:tcW w:w="1356" w:type="dxa"/>
            <w:noWrap/>
            <w:vAlign w:val="center"/>
          </w:tcPr>
          <w:p w14:paraId="77D18F29">
            <w:pPr>
              <w:widowControl/>
              <w:spacing w:line="400" w:lineRule="exact"/>
              <w:jc w:val="center"/>
              <w:textAlignment w:val="center"/>
              <w:rPr>
                <w:rFonts w:hint="eastAsia" w:ascii="宋体" w:hAnsi="宋体" w:cs="宋体"/>
                <w:sz w:val="24"/>
                <w:szCs w:val="24"/>
              </w:rPr>
            </w:pPr>
          </w:p>
        </w:tc>
      </w:tr>
      <w:tr w14:paraId="10BC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720" w:type="dxa"/>
            <w:noWrap/>
            <w:vAlign w:val="center"/>
          </w:tcPr>
          <w:p w14:paraId="70707F12">
            <w:pPr>
              <w:spacing w:line="400" w:lineRule="exact"/>
              <w:jc w:val="center"/>
              <w:rPr>
                <w:rFonts w:hint="eastAsia" w:ascii="宋体" w:hAnsi="宋体" w:cs="宋体"/>
                <w:sz w:val="24"/>
                <w:szCs w:val="24"/>
              </w:rPr>
            </w:pPr>
            <w:r>
              <w:rPr>
                <w:rFonts w:hint="eastAsia" w:ascii="宋体" w:hAnsi="宋体" w:cs="宋体"/>
                <w:sz w:val="24"/>
                <w:szCs w:val="24"/>
              </w:rPr>
              <w:t>4</w:t>
            </w:r>
          </w:p>
        </w:tc>
        <w:tc>
          <w:tcPr>
            <w:tcW w:w="1496" w:type="dxa"/>
            <w:noWrap/>
            <w:vAlign w:val="center"/>
          </w:tcPr>
          <w:p w14:paraId="5F668313">
            <w:pPr>
              <w:spacing w:line="400" w:lineRule="exact"/>
              <w:jc w:val="center"/>
              <w:rPr>
                <w:rFonts w:hint="eastAsia" w:ascii="宋体" w:hAnsi="宋体" w:cs="宋体"/>
                <w:sz w:val="24"/>
                <w:szCs w:val="24"/>
              </w:rPr>
            </w:pPr>
            <w:r>
              <w:rPr>
                <w:rFonts w:hint="eastAsia" w:ascii="宋体" w:hAnsi="宋体" w:cs="宋体"/>
                <w:sz w:val="24"/>
                <w:szCs w:val="24"/>
              </w:rPr>
              <w:t>安装专业负责人</w:t>
            </w:r>
          </w:p>
        </w:tc>
        <w:tc>
          <w:tcPr>
            <w:tcW w:w="2638" w:type="dxa"/>
            <w:noWrap/>
            <w:vAlign w:val="center"/>
          </w:tcPr>
          <w:p w14:paraId="1CB6CFAE">
            <w:pPr>
              <w:spacing w:line="400" w:lineRule="exact"/>
              <w:jc w:val="center"/>
              <w:rPr>
                <w:rFonts w:hint="eastAsia" w:ascii="宋体" w:hAnsi="宋体" w:cs="宋体"/>
                <w:sz w:val="24"/>
                <w:szCs w:val="24"/>
              </w:rPr>
            </w:pPr>
          </w:p>
        </w:tc>
        <w:tc>
          <w:tcPr>
            <w:tcW w:w="2621" w:type="dxa"/>
            <w:noWrap/>
            <w:vAlign w:val="center"/>
          </w:tcPr>
          <w:p w14:paraId="2E44F276">
            <w:pPr>
              <w:spacing w:line="400" w:lineRule="exact"/>
              <w:jc w:val="center"/>
              <w:rPr>
                <w:rFonts w:hint="eastAsia" w:ascii="宋体" w:hAnsi="宋体" w:cs="宋体"/>
                <w:sz w:val="24"/>
                <w:szCs w:val="24"/>
              </w:rPr>
            </w:pPr>
            <w:r>
              <w:rPr>
                <w:rFonts w:hint="eastAsia" w:ascii="宋体" w:hAnsi="宋体" w:cs="宋体"/>
                <w:sz w:val="24"/>
                <w:szCs w:val="24"/>
              </w:rPr>
              <w:t>负责安装专业、电力专业造价咨询服务的组织协调工作。</w:t>
            </w:r>
          </w:p>
        </w:tc>
        <w:tc>
          <w:tcPr>
            <w:tcW w:w="1356" w:type="dxa"/>
            <w:noWrap/>
            <w:vAlign w:val="center"/>
          </w:tcPr>
          <w:p w14:paraId="67BF958A">
            <w:pPr>
              <w:spacing w:line="400" w:lineRule="exact"/>
              <w:jc w:val="center"/>
              <w:rPr>
                <w:rFonts w:hint="eastAsia" w:ascii="宋体" w:hAnsi="宋体" w:cs="宋体"/>
                <w:sz w:val="24"/>
                <w:szCs w:val="24"/>
              </w:rPr>
            </w:pPr>
          </w:p>
        </w:tc>
      </w:tr>
      <w:tr w14:paraId="3404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trPr>
        <w:tc>
          <w:tcPr>
            <w:tcW w:w="720" w:type="dxa"/>
            <w:noWrap/>
            <w:vAlign w:val="center"/>
          </w:tcPr>
          <w:p w14:paraId="5DD03173">
            <w:pPr>
              <w:spacing w:line="400" w:lineRule="exact"/>
              <w:jc w:val="center"/>
              <w:rPr>
                <w:rFonts w:hint="eastAsia" w:ascii="宋体" w:hAnsi="宋体" w:cs="宋体"/>
                <w:sz w:val="24"/>
                <w:szCs w:val="24"/>
              </w:rPr>
            </w:pPr>
            <w:r>
              <w:rPr>
                <w:rFonts w:hint="eastAsia" w:ascii="宋体" w:hAnsi="宋体" w:cs="宋体"/>
                <w:sz w:val="24"/>
                <w:szCs w:val="24"/>
              </w:rPr>
              <w:t>5</w:t>
            </w:r>
          </w:p>
        </w:tc>
        <w:tc>
          <w:tcPr>
            <w:tcW w:w="1496" w:type="dxa"/>
            <w:noWrap/>
            <w:vAlign w:val="center"/>
          </w:tcPr>
          <w:p w14:paraId="71125D00">
            <w:pPr>
              <w:spacing w:line="400" w:lineRule="exact"/>
              <w:jc w:val="center"/>
              <w:rPr>
                <w:rFonts w:hint="eastAsia" w:ascii="宋体" w:hAnsi="宋体" w:cs="宋体"/>
                <w:sz w:val="24"/>
                <w:szCs w:val="24"/>
              </w:rPr>
            </w:pPr>
            <w:r>
              <w:rPr>
                <w:rFonts w:hint="eastAsia" w:ascii="宋体" w:hAnsi="宋体" w:cs="宋体"/>
                <w:sz w:val="24"/>
                <w:szCs w:val="24"/>
              </w:rPr>
              <w:t>安装专业造价人员</w:t>
            </w:r>
          </w:p>
        </w:tc>
        <w:tc>
          <w:tcPr>
            <w:tcW w:w="2638" w:type="dxa"/>
            <w:noWrap/>
            <w:vAlign w:val="center"/>
          </w:tcPr>
          <w:p w14:paraId="742851B3">
            <w:pPr>
              <w:spacing w:line="400" w:lineRule="exact"/>
              <w:jc w:val="center"/>
              <w:rPr>
                <w:rFonts w:hint="eastAsia" w:ascii="宋体" w:hAnsi="宋体" w:cs="宋体"/>
                <w:sz w:val="24"/>
                <w:szCs w:val="24"/>
              </w:rPr>
            </w:pPr>
          </w:p>
        </w:tc>
        <w:tc>
          <w:tcPr>
            <w:tcW w:w="2621" w:type="dxa"/>
            <w:noWrap/>
            <w:vAlign w:val="center"/>
          </w:tcPr>
          <w:p w14:paraId="3DE1F2C8">
            <w:pPr>
              <w:spacing w:line="400" w:lineRule="exact"/>
              <w:jc w:val="center"/>
              <w:rPr>
                <w:rFonts w:hint="eastAsia" w:ascii="宋体" w:hAnsi="宋体" w:cs="宋体"/>
                <w:sz w:val="24"/>
                <w:szCs w:val="24"/>
              </w:rPr>
            </w:pPr>
            <w:r>
              <w:rPr>
                <w:rFonts w:hint="eastAsia" w:ascii="宋体" w:hAnsi="宋体" w:cs="宋体"/>
                <w:sz w:val="24"/>
                <w:szCs w:val="24"/>
              </w:rPr>
              <w:t>负责本项目的（包含但不限于）消防、医气、外电、智能化、洁净、手术室、电梯、空调、给排水、电气、标识等专业造价咨询服务工作</w:t>
            </w:r>
          </w:p>
        </w:tc>
        <w:tc>
          <w:tcPr>
            <w:tcW w:w="1356" w:type="dxa"/>
            <w:noWrap/>
            <w:vAlign w:val="center"/>
          </w:tcPr>
          <w:p w14:paraId="0E1221FC">
            <w:pPr>
              <w:spacing w:line="400" w:lineRule="exact"/>
              <w:jc w:val="center"/>
              <w:rPr>
                <w:rFonts w:hint="eastAsia" w:ascii="宋体" w:hAnsi="宋体" w:cs="宋体"/>
                <w:sz w:val="24"/>
                <w:szCs w:val="24"/>
              </w:rPr>
            </w:pPr>
          </w:p>
        </w:tc>
      </w:tr>
      <w:tr w14:paraId="0F2AE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720" w:type="dxa"/>
            <w:noWrap/>
            <w:vAlign w:val="center"/>
          </w:tcPr>
          <w:p w14:paraId="6133F81A">
            <w:pPr>
              <w:spacing w:line="400" w:lineRule="exact"/>
              <w:jc w:val="center"/>
              <w:rPr>
                <w:rFonts w:hint="eastAsia" w:ascii="宋体" w:hAnsi="宋体" w:cs="宋体"/>
                <w:sz w:val="24"/>
                <w:szCs w:val="24"/>
              </w:rPr>
            </w:pPr>
            <w:r>
              <w:rPr>
                <w:rFonts w:hint="eastAsia" w:ascii="宋体" w:hAnsi="宋体" w:cs="宋体"/>
                <w:sz w:val="24"/>
                <w:szCs w:val="24"/>
              </w:rPr>
              <w:t>6</w:t>
            </w:r>
          </w:p>
        </w:tc>
        <w:tc>
          <w:tcPr>
            <w:tcW w:w="1496" w:type="dxa"/>
            <w:noWrap/>
            <w:vAlign w:val="center"/>
          </w:tcPr>
          <w:p w14:paraId="7691AB8E">
            <w:pPr>
              <w:spacing w:line="400" w:lineRule="exact"/>
              <w:jc w:val="center"/>
              <w:rPr>
                <w:rFonts w:hint="eastAsia" w:ascii="宋体" w:hAnsi="宋体" w:cs="宋体"/>
                <w:sz w:val="24"/>
                <w:szCs w:val="24"/>
              </w:rPr>
            </w:pPr>
            <w:r>
              <w:rPr>
                <w:rFonts w:hint="eastAsia" w:ascii="宋体" w:hAnsi="宋体" w:cs="宋体"/>
                <w:sz w:val="24"/>
                <w:szCs w:val="24"/>
              </w:rPr>
              <w:t>信息智能化造价师人员</w:t>
            </w:r>
          </w:p>
        </w:tc>
        <w:tc>
          <w:tcPr>
            <w:tcW w:w="2638" w:type="dxa"/>
            <w:noWrap/>
            <w:vAlign w:val="center"/>
          </w:tcPr>
          <w:p w14:paraId="28EDDFC4">
            <w:pPr>
              <w:spacing w:line="400" w:lineRule="exact"/>
              <w:jc w:val="center"/>
              <w:rPr>
                <w:rFonts w:hint="eastAsia" w:ascii="宋体" w:hAnsi="宋体" w:cs="宋体"/>
                <w:sz w:val="24"/>
                <w:szCs w:val="24"/>
              </w:rPr>
            </w:pPr>
          </w:p>
        </w:tc>
        <w:tc>
          <w:tcPr>
            <w:tcW w:w="2621" w:type="dxa"/>
            <w:noWrap/>
            <w:vAlign w:val="center"/>
          </w:tcPr>
          <w:p w14:paraId="2A140F16">
            <w:pPr>
              <w:spacing w:line="400" w:lineRule="exact"/>
              <w:jc w:val="center"/>
              <w:rPr>
                <w:rFonts w:hint="eastAsia" w:ascii="宋体" w:hAnsi="宋体" w:cs="宋体"/>
                <w:sz w:val="24"/>
                <w:szCs w:val="24"/>
              </w:rPr>
            </w:pPr>
            <w:r>
              <w:rPr>
                <w:rFonts w:hint="eastAsia" w:ascii="宋体" w:hAnsi="宋体" w:cs="宋体"/>
                <w:sz w:val="24"/>
                <w:szCs w:val="24"/>
              </w:rPr>
              <w:t>负责信息智能化化等专业造价咨询服务工作</w:t>
            </w:r>
          </w:p>
        </w:tc>
        <w:tc>
          <w:tcPr>
            <w:tcW w:w="1356" w:type="dxa"/>
            <w:noWrap/>
            <w:vAlign w:val="center"/>
          </w:tcPr>
          <w:p w14:paraId="78D5D0FB">
            <w:pPr>
              <w:spacing w:line="400" w:lineRule="exact"/>
              <w:jc w:val="center"/>
              <w:rPr>
                <w:rFonts w:hint="eastAsia" w:ascii="宋体" w:hAnsi="宋体" w:cs="宋体"/>
                <w:sz w:val="24"/>
                <w:szCs w:val="24"/>
              </w:rPr>
            </w:pPr>
          </w:p>
        </w:tc>
      </w:tr>
      <w:tr w14:paraId="0223D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720" w:type="dxa"/>
            <w:noWrap/>
            <w:vAlign w:val="center"/>
          </w:tcPr>
          <w:p w14:paraId="04554EF7">
            <w:pPr>
              <w:spacing w:line="400" w:lineRule="exact"/>
              <w:jc w:val="center"/>
              <w:rPr>
                <w:rFonts w:hint="eastAsia" w:ascii="宋体" w:hAnsi="宋体" w:cs="宋体"/>
                <w:sz w:val="24"/>
                <w:szCs w:val="24"/>
              </w:rPr>
            </w:pPr>
            <w:r>
              <w:rPr>
                <w:rFonts w:hint="eastAsia" w:ascii="宋体" w:hAnsi="宋体" w:cs="宋体"/>
                <w:sz w:val="24"/>
                <w:szCs w:val="24"/>
              </w:rPr>
              <w:t>7</w:t>
            </w:r>
          </w:p>
        </w:tc>
        <w:tc>
          <w:tcPr>
            <w:tcW w:w="1496" w:type="dxa"/>
            <w:noWrap/>
            <w:vAlign w:val="center"/>
          </w:tcPr>
          <w:p w14:paraId="110D6884">
            <w:pPr>
              <w:spacing w:line="400" w:lineRule="exact"/>
              <w:jc w:val="center"/>
              <w:rPr>
                <w:rFonts w:hint="eastAsia" w:ascii="宋体" w:hAnsi="宋体" w:cs="宋体"/>
                <w:sz w:val="24"/>
                <w:szCs w:val="24"/>
              </w:rPr>
            </w:pPr>
            <w:r>
              <w:rPr>
                <w:rFonts w:hint="eastAsia" w:ascii="宋体" w:hAnsi="宋体" w:cs="宋体"/>
                <w:sz w:val="24"/>
                <w:szCs w:val="24"/>
              </w:rPr>
              <w:t>其他人员</w:t>
            </w:r>
          </w:p>
        </w:tc>
        <w:tc>
          <w:tcPr>
            <w:tcW w:w="2638" w:type="dxa"/>
            <w:shd w:val="clear" w:color="auto" w:fill="auto"/>
            <w:noWrap/>
            <w:vAlign w:val="center"/>
          </w:tcPr>
          <w:p w14:paraId="7A9BD340">
            <w:pPr>
              <w:spacing w:line="400" w:lineRule="exact"/>
              <w:jc w:val="center"/>
              <w:rPr>
                <w:rFonts w:hint="eastAsia" w:ascii="宋体" w:hAnsi="宋体" w:cs="宋体"/>
                <w:sz w:val="24"/>
                <w:szCs w:val="24"/>
              </w:rPr>
            </w:pPr>
          </w:p>
        </w:tc>
        <w:tc>
          <w:tcPr>
            <w:tcW w:w="2621" w:type="dxa"/>
            <w:shd w:val="clear" w:color="auto" w:fill="auto"/>
            <w:noWrap/>
            <w:vAlign w:val="center"/>
          </w:tcPr>
          <w:p w14:paraId="560EA92C">
            <w:pPr>
              <w:spacing w:line="400" w:lineRule="exact"/>
              <w:jc w:val="center"/>
              <w:rPr>
                <w:rFonts w:hint="eastAsia" w:ascii="宋体" w:hAnsi="宋体" w:cs="宋体"/>
                <w:sz w:val="24"/>
                <w:szCs w:val="24"/>
              </w:rPr>
            </w:pPr>
            <w:r>
              <w:rPr>
                <w:rFonts w:hint="eastAsia" w:ascii="宋体" w:hAnsi="宋体" w:cs="宋体"/>
                <w:sz w:val="24"/>
                <w:szCs w:val="24"/>
              </w:rPr>
              <w:t>相关专业人员负责对应的财务和法务工作。</w:t>
            </w:r>
          </w:p>
        </w:tc>
        <w:tc>
          <w:tcPr>
            <w:tcW w:w="1356" w:type="dxa"/>
            <w:shd w:val="clear" w:color="auto" w:fill="auto"/>
            <w:noWrap/>
            <w:vAlign w:val="center"/>
          </w:tcPr>
          <w:p w14:paraId="45659A1E">
            <w:pPr>
              <w:spacing w:line="400" w:lineRule="exact"/>
              <w:jc w:val="center"/>
              <w:rPr>
                <w:rFonts w:hint="eastAsia" w:ascii="宋体" w:hAnsi="宋体" w:cs="宋体"/>
                <w:sz w:val="24"/>
                <w:szCs w:val="24"/>
              </w:rPr>
            </w:pPr>
          </w:p>
        </w:tc>
      </w:tr>
    </w:tbl>
    <w:p w14:paraId="4D24FA46">
      <w:pPr>
        <w:spacing w:line="360" w:lineRule="auto"/>
        <w:ind w:firstLine="480" w:firstLineChars="200"/>
        <w:rPr>
          <w:rFonts w:hint="eastAsia" w:ascii="宋体" w:hAnsi="宋体" w:cs="宋体"/>
          <w:bCs/>
          <w:sz w:val="24"/>
          <w:szCs w:val="24"/>
        </w:rPr>
      </w:pPr>
      <w:r>
        <w:rPr>
          <w:rFonts w:hint="eastAsia" w:ascii="宋体" w:hAnsi="宋体" w:cs="宋体"/>
          <w:sz w:val="24"/>
          <w:szCs w:val="24"/>
        </w:rPr>
        <w:t>4.5.2乙方应保证驻场人员的稳定性，原则在驻场期间上不得更换，确须更换的</w:t>
      </w:r>
      <w:r>
        <w:rPr>
          <w:rFonts w:hint="eastAsia" w:ascii="宋体" w:hAnsi="宋体" w:cs="宋体"/>
          <w:bCs/>
          <w:sz w:val="24"/>
          <w:szCs w:val="24"/>
        </w:rPr>
        <w:t>须提前7天</w:t>
      </w:r>
      <w:r>
        <w:rPr>
          <w:rFonts w:hint="eastAsia" w:ascii="宋体" w:hAnsi="宋体" w:cs="宋体"/>
          <w:sz w:val="24"/>
          <w:szCs w:val="24"/>
        </w:rPr>
        <w:t>向甲方提出</w:t>
      </w:r>
      <w:r>
        <w:rPr>
          <w:rFonts w:hint="eastAsia" w:ascii="宋体" w:hAnsi="宋体" w:cs="宋体"/>
          <w:bCs/>
          <w:sz w:val="24"/>
          <w:szCs w:val="24"/>
        </w:rPr>
        <w:t>书面申请</w:t>
      </w:r>
      <w:r>
        <w:rPr>
          <w:rFonts w:hint="eastAsia" w:ascii="宋体" w:hAnsi="宋体" w:cs="宋体"/>
          <w:sz w:val="24"/>
          <w:szCs w:val="24"/>
        </w:rPr>
        <w:t>报告</w:t>
      </w:r>
      <w:r>
        <w:rPr>
          <w:rFonts w:hint="eastAsia" w:ascii="宋体" w:hAnsi="宋体" w:cs="宋体"/>
          <w:bCs/>
          <w:sz w:val="24"/>
          <w:szCs w:val="24"/>
        </w:rPr>
        <w:t>，并按专用条款4.4款要求，附拟更换人员的详细资料，待</w:t>
      </w:r>
      <w:r>
        <w:rPr>
          <w:rFonts w:hint="eastAsia" w:ascii="宋体" w:hAnsi="宋体" w:cs="宋体"/>
          <w:sz w:val="24"/>
          <w:szCs w:val="24"/>
        </w:rPr>
        <w:t>甲方</w:t>
      </w:r>
      <w:r>
        <w:rPr>
          <w:rFonts w:hint="eastAsia" w:ascii="宋体" w:hAnsi="宋体" w:cs="宋体"/>
          <w:bCs/>
          <w:sz w:val="24"/>
          <w:szCs w:val="24"/>
        </w:rPr>
        <w:t>审核批准后才可更换。</w:t>
      </w:r>
    </w:p>
    <w:p w14:paraId="772BD6F1">
      <w:pPr>
        <w:tabs>
          <w:tab w:val="left" w:pos="9100"/>
        </w:tabs>
        <w:autoSpaceDE w:val="0"/>
        <w:autoSpaceDN w:val="0"/>
        <w:adjustRightInd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4.6 其它要求</w:t>
      </w:r>
    </w:p>
    <w:p w14:paraId="32951837">
      <w:pPr>
        <w:pStyle w:val="46"/>
        <w:spacing w:line="360" w:lineRule="auto"/>
        <w:ind w:firstLine="480" w:firstLineChars="200"/>
        <w:jc w:val="left"/>
        <w:rPr>
          <w:rFonts w:hint="eastAsia" w:cs="宋体"/>
          <w:color w:val="auto"/>
          <w:lang w:val="zh-CN"/>
        </w:rPr>
      </w:pPr>
      <w:r>
        <w:rPr>
          <w:rFonts w:hint="eastAsia" w:cs="宋体"/>
          <w:color w:val="auto"/>
          <w:lang w:val="zh-CN"/>
        </w:rPr>
        <w:t>4.6.1乙方须遵守甲方各项规章制度和廉政纪律要求，无条件配合甲方的复核、复审和考核等工作。</w:t>
      </w:r>
    </w:p>
    <w:p w14:paraId="623554F3">
      <w:pPr>
        <w:pStyle w:val="46"/>
        <w:spacing w:line="360" w:lineRule="auto"/>
        <w:ind w:firstLine="480" w:firstLineChars="200"/>
        <w:jc w:val="left"/>
        <w:rPr>
          <w:rFonts w:hint="eastAsia" w:cs="宋体"/>
          <w:color w:val="auto"/>
          <w:lang w:val="zh-CN"/>
        </w:rPr>
      </w:pPr>
      <w:r>
        <w:rPr>
          <w:rFonts w:hint="eastAsia" w:cs="宋体"/>
          <w:color w:val="auto"/>
          <w:lang w:val="zh-CN"/>
        </w:rPr>
        <w:t>4.6.2乙方必须具有保证业务需要的交通工具、办公设备和造价审核管理软件等。</w:t>
      </w:r>
    </w:p>
    <w:p w14:paraId="2D9CE5F7">
      <w:pPr>
        <w:pStyle w:val="46"/>
        <w:spacing w:line="360" w:lineRule="auto"/>
        <w:ind w:firstLine="480" w:firstLineChars="200"/>
        <w:jc w:val="left"/>
        <w:rPr>
          <w:rFonts w:hint="eastAsia" w:cs="宋体"/>
          <w:color w:val="auto"/>
          <w:lang w:val="zh-CN"/>
        </w:rPr>
      </w:pPr>
      <w:r>
        <w:rPr>
          <w:rFonts w:hint="eastAsia" w:cs="宋体"/>
          <w:color w:val="auto"/>
          <w:lang w:val="zh-CN"/>
        </w:rPr>
        <w:t>4.6.3乙方须独立完成造价咨询业务，未经甲方同意不得转让第三方负责；对有特殊技术要求的咨询项目，需聘请相关专家共同完成咨询业务的，需事先征得甲方同意。未经甲方同意，不得以任何形式向任何单位或个人披露审核项目有关的信息，不得对外提供、泄露审核有关情况。</w:t>
      </w:r>
    </w:p>
    <w:p w14:paraId="6E12D0D6">
      <w:pPr>
        <w:pStyle w:val="6"/>
        <w:spacing w:after="0" w:line="360" w:lineRule="auto"/>
        <w:ind w:left="0" w:leftChars="0" w:firstLine="480" w:firstLineChars="200"/>
        <w:rPr>
          <w:rFonts w:hint="eastAsia" w:ascii="宋体" w:hAnsi="宋体" w:cs="宋体"/>
          <w:b/>
          <w:kern w:val="0"/>
          <w:sz w:val="24"/>
          <w:szCs w:val="24"/>
        </w:rPr>
      </w:pPr>
      <w:r>
        <w:rPr>
          <w:rFonts w:hint="eastAsia" w:ascii="宋体" w:hAnsi="宋体" w:cs="宋体"/>
          <w:sz w:val="24"/>
          <w:szCs w:val="24"/>
          <w:lang w:val="zh-CN"/>
        </w:rPr>
        <w:t>4.6.4 乙方需为驻场人员购买商业保险，发生人身安全事故，由乙方承担相应责任。</w:t>
      </w:r>
    </w:p>
    <w:p w14:paraId="401B3E5F">
      <w:pPr>
        <w:spacing w:line="360" w:lineRule="auto"/>
        <w:ind w:firstLine="482" w:firstLineChars="200"/>
        <w:rPr>
          <w:rFonts w:hint="eastAsia" w:ascii="宋体" w:hAnsi="宋体" w:cs="宋体"/>
          <w:sz w:val="24"/>
          <w:szCs w:val="24"/>
        </w:rPr>
      </w:pPr>
      <w:r>
        <w:rPr>
          <w:rFonts w:hint="eastAsia" w:ascii="宋体" w:hAnsi="宋体" w:cs="宋体"/>
          <w:b/>
          <w:kern w:val="0"/>
          <w:sz w:val="24"/>
          <w:szCs w:val="24"/>
        </w:rPr>
        <w:t xml:space="preserve">第六条 </w:t>
      </w:r>
      <w:r>
        <w:rPr>
          <w:rFonts w:hint="eastAsia" w:ascii="宋体" w:hAnsi="宋体" w:cs="宋体"/>
          <w:kern w:val="0"/>
          <w:sz w:val="24"/>
          <w:szCs w:val="24"/>
        </w:rPr>
        <w:t xml:space="preserve"> </w:t>
      </w:r>
      <w:r>
        <w:rPr>
          <w:rFonts w:hint="eastAsia" w:ascii="宋体" w:hAnsi="宋体" w:cs="宋体"/>
          <w:b/>
          <w:kern w:val="0"/>
          <w:sz w:val="24"/>
          <w:szCs w:val="24"/>
        </w:rPr>
        <w:t>工作要求</w:t>
      </w:r>
    </w:p>
    <w:p w14:paraId="506088AA">
      <w:pPr>
        <w:tabs>
          <w:tab w:val="left" w:pos="9100"/>
        </w:tabs>
        <w:autoSpaceDE w:val="0"/>
        <w:autoSpaceDN w:val="0"/>
        <w:adjustRightInd w:val="0"/>
        <w:spacing w:line="36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6.1 质量要求</w:t>
      </w:r>
    </w:p>
    <w:p w14:paraId="08AAF2B7">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6.1.1乙方应熟悉并严格按照国家、省、市有关财政、基建、工程造价方面的法律、法规，以及甲方工程造价管理业务制度要求，依据合同相关约定，本着有依有据、合法合规的原则，科学、客观、公正地开展造价咨询工作，乙方提供的工程造价咨询成果文件应合理体现甲方控制项目投资的要求。</w:t>
      </w:r>
    </w:p>
    <w:p w14:paraId="0741BBF8">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6.1.2本项目建设实行全过程限额设计和施工。在不降低勘察设计任务书、初步设计文件等需求书中的主要设计指标（建筑高度、建筑面积等）的前提下，确保施工图预算不超过经审定概算中的相应金额。竣工结算总金额不得超出实际实施范围所对应的批复概算金额。</w:t>
      </w:r>
    </w:p>
    <w:p w14:paraId="01E27747">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6.1.3乙方应确保本项目施工图预算文件审核、招标工程量清单、招标控制价的编制（审核）工作质量，开项必须齐全、工程量必须准确、造价必须合理，并满足工程投资控制和合同的约定。</w:t>
      </w:r>
    </w:p>
    <w:p w14:paraId="3AEF5A89">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6.1.4</w:t>
      </w:r>
      <w:r>
        <w:rPr>
          <w:rFonts w:hint="eastAsia" w:ascii="宋体" w:hAnsi="宋体" w:cs="宋体"/>
          <w:bCs/>
          <w:snapToGrid w:val="0"/>
          <w:sz w:val="24"/>
          <w:szCs w:val="24"/>
        </w:rPr>
        <w:t>乙方提供的</w:t>
      </w:r>
      <w:r>
        <w:rPr>
          <w:rFonts w:hint="eastAsia" w:ascii="宋体" w:hAnsi="宋体" w:cs="宋体"/>
          <w:kern w:val="0"/>
          <w:sz w:val="24"/>
          <w:szCs w:val="24"/>
        </w:rPr>
        <w:t>工程造价咨询成果</w:t>
      </w:r>
      <w:r>
        <w:rPr>
          <w:rFonts w:hint="eastAsia" w:ascii="宋体" w:hAnsi="宋体" w:cs="宋体"/>
          <w:bCs/>
          <w:snapToGrid w:val="0"/>
          <w:sz w:val="24"/>
          <w:szCs w:val="24"/>
        </w:rPr>
        <w:t>文件应包括并不限于：编制说明、根据甲方要求编制的造价文件及其软件版（含计价及图形算量成果文件）、工程量计算书、经济指标分析表、</w:t>
      </w:r>
      <w:r>
        <w:rPr>
          <w:rFonts w:hint="eastAsia" w:ascii="宋体" w:hAnsi="宋体" w:cs="宋体"/>
          <w:kern w:val="0"/>
          <w:sz w:val="24"/>
          <w:szCs w:val="24"/>
        </w:rPr>
        <w:t>主要设备材料价格表、</w:t>
      </w:r>
      <w:r>
        <w:rPr>
          <w:rFonts w:hint="eastAsia" w:ascii="宋体" w:hAnsi="宋体" w:cs="宋体"/>
          <w:bCs/>
          <w:snapToGrid w:val="0"/>
          <w:sz w:val="24"/>
          <w:szCs w:val="24"/>
        </w:rPr>
        <w:t>主要材料设备定价依据文件（含询价文件等，询价单位不得少于3家）、审核意见落实情况说明和修改对比表。根据甲方要求提供图形算量成果文件。</w:t>
      </w:r>
    </w:p>
    <w:p w14:paraId="18104A65">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6.1.5乙方应建立健全内部控制制度、质量保证体系和档案管理制度，保证工程造价咨询成果文件的质量，对其完整性、真实性、准确性、有效性负责，并负有保密责任。</w:t>
      </w:r>
    </w:p>
    <w:p w14:paraId="3ABDFAD1">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（1）确保工程造价咨询成果文件文字表达清晰、装订整齐。</w:t>
      </w:r>
    </w:p>
    <w:p w14:paraId="046AAC12">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确保工程造价咨询成果文件均由专业造价师（造价员）编制，由专业负责人审核，由项目负责人审定的三级审查制度。工程造价咨询成果文件的编制人应具有注册造价工程师执业资格或造价员从业资格，工程造价咨询成果文件的审核人、审定人应具有注册造价工程师执业资格。工程造价咨询成果文件的编制人、审核人、审定人应在工程造价咨询的成果文件上签署执业(或从业)资格专用印章，最终的成果文件需经项目负责人签字并加盖公章。</w:t>
      </w:r>
    </w:p>
    <w:p w14:paraId="1997E4C9">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编制人应认真阅读、复核甲方提供书面资料的有效性、合规性，并应对自身所收集的工程计价基础资料和编制依据的全面性、真实性和适用性负责，全面进行工程的计量与计价，按工程造价咨询服务合同的要求编制工程造价咨询成果文件，并整理好工作过程文件。</w:t>
      </w:r>
    </w:p>
    <w:p w14:paraId="7E0F2475">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审核人应进一步审核甲方提供的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14:paraId="09444F3B">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审定人应再次审核甲方提供的书面资料的有效性、合规性，编制人使用工程计价基础资料和编制依据的全面性、真实性和有效性，并应依据工程经济指标进行工程造价的合理性分析，对工程造价咨询质量进行整体控制。</w:t>
      </w:r>
    </w:p>
    <w:p w14:paraId="0D220EE1">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（6）乙方应建立工程造价咨询项目档案，保证项目资料的完整，不得损坏、遗失项目资料。加强项目档案管理，及时做好已完成项目的资料移交和归档工作，妥善保管至报告出具之日起十年后。</w:t>
      </w:r>
    </w:p>
    <w:p w14:paraId="068E7938">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（7）加强信息系统管理，及时建立电子信息台账；保证本项目的工程造价相关电子信息及时、完整。</w:t>
      </w:r>
    </w:p>
    <w:p w14:paraId="48FBDF92">
      <w:pPr>
        <w:tabs>
          <w:tab w:val="left" w:pos="9100"/>
        </w:tabs>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6.1.6审核的结算经财局评审后，核减率超过5%的（有明显争议的问题不在核减率考核范围），施工总承包类合同每项扣减造价咨询费5万元，专业施工承包类合同每项扣减造价咨询费3万元，服务类合同每项扣减造价咨询费1万元。</w:t>
      </w:r>
    </w:p>
    <w:p w14:paraId="38E72502">
      <w:pPr>
        <w:tabs>
          <w:tab w:val="left" w:pos="9100"/>
        </w:tabs>
        <w:autoSpaceDE w:val="0"/>
        <w:autoSpaceDN w:val="0"/>
        <w:adjustRightInd w:val="0"/>
        <w:spacing w:line="36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6.2进度要求</w:t>
      </w:r>
    </w:p>
    <w:p w14:paraId="08D9CE4A">
      <w:pPr>
        <w:pStyle w:val="5"/>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6.2.1乙方应对甲方提供资料的完整性、严谨性把关，对因范围不清晰、图纸不详导致基本工程量难以计算等情况，应在收到资料后2个工作日内向甲方提出资料补充要求。因乙方未能在上述时间内提出要求而造成编审进度延误或其他损失的均由乙方自行承担全部责任。</w:t>
      </w:r>
    </w:p>
    <w:p w14:paraId="3D5BF6AA">
      <w:pPr>
        <w:pStyle w:val="5"/>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6.2.2各项服务内容的工作时间要求（如有）（以下天数指日历天数）</w:t>
      </w:r>
    </w:p>
    <w:p w14:paraId="76EED35A">
      <w:pPr>
        <w:tabs>
          <w:tab w:val="left" w:pos="1080"/>
        </w:tabs>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6.2.2.1本项目的结算造价咨询业务自合同签订后以单个合同开始实施，单个合同的结算资料齐备经甲方初审并提交乙方后，乙方在10-45个工作日内出具初稿。乙方收到甲方对初稿的审核意见后15个工作日内出具正式的咨询报告。</w:t>
      </w:r>
    </w:p>
    <w:p w14:paraId="285F524C">
      <w:pPr>
        <w:tabs>
          <w:tab w:val="left" w:pos="1080"/>
        </w:tabs>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6.2.2.2质量目标：造价咨询按国家和广东省、广州市相关计价规范等行业要求进行，工程结算审核误差率控制在3%以内。</w:t>
      </w:r>
    </w:p>
    <w:p w14:paraId="66A042BD">
      <w:pPr>
        <w:pStyle w:val="5"/>
        <w:spacing w:line="360" w:lineRule="auto"/>
        <w:ind w:firstLine="482" w:firstLineChars="200"/>
        <w:rPr>
          <w:rFonts w:hint="eastAsia" w:ascii="宋体" w:hAnsi="宋体" w:cs="宋体"/>
          <w:b/>
          <w:sz w:val="24"/>
          <w:szCs w:val="24"/>
        </w:rPr>
      </w:pPr>
      <w:r>
        <w:rPr>
          <w:rFonts w:hint="eastAsia" w:ascii="宋体" w:hAnsi="宋体" w:cs="宋体"/>
          <w:b/>
          <w:sz w:val="24"/>
          <w:szCs w:val="24"/>
        </w:rPr>
        <w:t>第十二条  甲乙双方联系人与联系方式：</w:t>
      </w:r>
    </w:p>
    <w:p w14:paraId="55D6516F">
      <w:pPr>
        <w:pStyle w:val="5"/>
        <w:spacing w:line="360" w:lineRule="auto"/>
        <w:ind w:firstLine="480" w:firstLineChars="200"/>
        <w:rPr>
          <w:rFonts w:hint="eastAsia" w:ascii="宋体" w:hAnsi="宋体" w:cs="宋体"/>
          <w:kern w:val="0"/>
          <w:sz w:val="24"/>
          <w:szCs w:val="24"/>
        </w:rPr>
      </w:pPr>
      <w:r>
        <w:rPr>
          <w:rFonts w:hint="eastAsia" w:ascii="宋体" w:hAnsi="宋体" w:cs="宋体"/>
          <w:sz w:val="24"/>
          <w:szCs w:val="24"/>
        </w:rPr>
        <w:t xml:space="preserve">12.1  </w:t>
      </w:r>
      <w:r>
        <w:rPr>
          <w:rFonts w:hint="eastAsia" w:ascii="宋体" w:hAnsi="宋体" w:cs="宋体"/>
          <w:kern w:val="0"/>
          <w:sz w:val="24"/>
          <w:szCs w:val="24"/>
        </w:rPr>
        <w:t>甲方业务代表：</w:t>
      </w:r>
      <w:r>
        <w:rPr>
          <w:rFonts w:hint="eastAsia" w:ascii="宋体" w:hAnsi="宋体" w:cs="宋体"/>
          <w:kern w:val="0"/>
          <w:sz w:val="24"/>
          <w:szCs w:val="24"/>
          <w:u w:val="single"/>
        </w:rPr>
        <w:t xml:space="preserve">      </w:t>
      </w:r>
      <w:r>
        <w:rPr>
          <w:rFonts w:hint="eastAsia" w:ascii="宋体" w:hAnsi="宋体" w:cs="宋体"/>
          <w:kern w:val="0"/>
          <w:sz w:val="24"/>
          <w:szCs w:val="24"/>
        </w:rPr>
        <w:t>，职务：</w:t>
      </w:r>
      <w:r>
        <w:rPr>
          <w:rFonts w:hint="eastAsia" w:ascii="宋体" w:hAnsi="宋体" w:cs="宋体"/>
          <w:kern w:val="0"/>
          <w:sz w:val="24"/>
          <w:szCs w:val="24"/>
          <w:u w:val="single"/>
        </w:rPr>
        <w:t xml:space="preserve">      </w:t>
      </w: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71186D93">
      <w:pPr>
        <w:pStyle w:val="5"/>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邮箱：</w:t>
      </w:r>
      <w:r>
        <w:rPr>
          <w:rFonts w:hint="eastAsia" w:ascii="宋体" w:hAnsi="宋体" w:cs="宋体"/>
          <w:kern w:val="0"/>
          <w:sz w:val="24"/>
          <w:szCs w:val="24"/>
          <w:u w:val="single"/>
        </w:rPr>
        <w:t xml:space="preserve">      </w:t>
      </w:r>
      <w:r>
        <w:rPr>
          <w:rFonts w:hint="eastAsia" w:ascii="宋体" w:hAnsi="宋体" w:cs="宋体"/>
          <w:kern w:val="0"/>
          <w:sz w:val="24"/>
          <w:szCs w:val="24"/>
        </w:rPr>
        <w:t>， 身份证号：</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372A3DDF">
      <w:pPr>
        <w:pStyle w:val="5"/>
        <w:spacing w:line="360" w:lineRule="auto"/>
        <w:ind w:firstLine="480" w:firstLineChars="200"/>
        <w:rPr>
          <w:rFonts w:hint="eastAsia" w:ascii="宋体" w:hAnsi="宋体" w:cs="宋体"/>
          <w:kern w:val="0"/>
          <w:sz w:val="24"/>
          <w:szCs w:val="24"/>
          <w:u w:val="single"/>
        </w:rPr>
      </w:pPr>
      <w:r>
        <w:rPr>
          <w:rFonts w:hint="eastAsia" w:ascii="宋体" w:hAnsi="宋体" w:cs="宋体"/>
          <w:sz w:val="24"/>
          <w:szCs w:val="24"/>
        </w:rPr>
        <w:t xml:space="preserve">12.2  </w:t>
      </w:r>
      <w:r>
        <w:rPr>
          <w:rFonts w:hint="eastAsia" w:ascii="宋体" w:hAnsi="宋体" w:cs="宋体"/>
          <w:kern w:val="0"/>
          <w:sz w:val="24"/>
          <w:szCs w:val="24"/>
        </w:rPr>
        <w:t>乙方业务代表：</w:t>
      </w:r>
      <w:r>
        <w:rPr>
          <w:rFonts w:hint="eastAsia" w:ascii="宋体" w:hAnsi="宋体" w:cs="宋体"/>
          <w:kern w:val="0"/>
          <w:sz w:val="24"/>
          <w:szCs w:val="24"/>
          <w:u w:val="single"/>
        </w:rPr>
        <w:t xml:space="preserve">      </w:t>
      </w:r>
      <w:r>
        <w:rPr>
          <w:rFonts w:hint="eastAsia" w:ascii="宋体" w:hAnsi="宋体" w:cs="宋体"/>
          <w:kern w:val="0"/>
          <w:sz w:val="24"/>
          <w:szCs w:val="24"/>
        </w:rPr>
        <w:t>，职务：</w:t>
      </w:r>
      <w:r>
        <w:rPr>
          <w:rFonts w:hint="eastAsia" w:ascii="宋体" w:hAnsi="宋体" w:cs="宋体"/>
          <w:kern w:val="0"/>
          <w:sz w:val="24"/>
          <w:szCs w:val="24"/>
          <w:u w:val="single"/>
        </w:rPr>
        <w:t xml:space="preserve">      </w:t>
      </w:r>
      <w:r>
        <w:rPr>
          <w:rFonts w:hint="eastAsia" w:ascii="宋体" w:hAnsi="宋体" w:cs="宋体"/>
          <w:kern w:val="0"/>
          <w:sz w:val="24"/>
          <w:szCs w:val="24"/>
        </w:rPr>
        <w:t>，电话：</w:t>
      </w:r>
      <w:r>
        <w:rPr>
          <w:rFonts w:hint="eastAsia" w:ascii="宋体" w:hAnsi="宋体" w:cs="宋体"/>
          <w:kern w:val="0"/>
          <w:sz w:val="24"/>
          <w:szCs w:val="24"/>
          <w:u w:val="single"/>
        </w:rPr>
        <w:t xml:space="preserve">      ，</w:t>
      </w:r>
    </w:p>
    <w:p w14:paraId="57B32326">
      <w:pPr>
        <w:pStyle w:val="5"/>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邮箱：</w:t>
      </w:r>
      <w:r>
        <w:rPr>
          <w:rFonts w:hint="eastAsia" w:ascii="宋体" w:hAnsi="宋体" w:cs="宋体"/>
          <w:kern w:val="0"/>
          <w:sz w:val="24"/>
          <w:szCs w:val="24"/>
          <w:u w:val="single"/>
        </w:rPr>
        <w:t xml:space="preserve">      </w:t>
      </w:r>
      <w:r>
        <w:rPr>
          <w:rFonts w:hint="eastAsia" w:ascii="宋体" w:hAnsi="宋体" w:cs="宋体"/>
          <w:kern w:val="0"/>
          <w:sz w:val="24"/>
          <w:szCs w:val="24"/>
        </w:rPr>
        <w:t>， 身份证号：</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1F0653E9">
      <w:pPr>
        <w:pStyle w:val="5"/>
        <w:spacing w:line="360" w:lineRule="auto"/>
        <w:ind w:firstLine="482" w:firstLineChars="200"/>
        <w:rPr>
          <w:rFonts w:hint="eastAsia" w:ascii="宋体" w:hAnsi="宋体" w:cs="宋体"/>
          <w:b/>
          <w:sz w:val="24"/>
          <w:szCs w:val="24"/>
        </w:rPr>
      </w:pPr>
      <w:r>
        <w:rPr>
          <w:rFonts w:hint="eastAsia" w:ascii="宋体" w:hAnsi="宋体" w:cs="宋体"/>
          <w:b/>
          <w:sz w:val="24"/>
          <w:szCs w:val="24"/>
        </w:rPr>
        <w:t>第十六条  乙方在其责任期内如果存在失职的，同意按以下办法承担违约责任：</w:t>
      </w:r>
    </w:p>
    <w:p w14:paraId="66A1B5E9">
      <w:pPr>
        <w:spacing w:line="360" w:lineRule="auto"/>
        <w:ind w:firstLine="480" w:firstLineChars="200"/>
        <w:rPr>
          <w:rFonts w:hint="eastAsia" w:ascii="宋体" w:hAnsi="宋体" w:cs="宋体"/>
          <w:sz w:val="24"/>
          <w:szCs w:val="24"/>
        </w:rPr>
      </w:pPr>
      <w:r>
        <w:rPr>
          <w:rFonts w:hint="eastAsia" w:ascii="宋体" w:hAnsi="宋体" w:cs="宋体"/>
          <w:sz w:val="24"/>
          <w:szCs w:val="24"/>
        </w:rPr>
        <w:t>16.1乙方未能按约定的时间向甲方提交</w:t>
      </w:r>
      <w:r>
        <w:rPr>
          <w:rFonts w:hint="eastAsia" w:ascii="宋体" w:hAnsi="宋体" w:cs="宋体"/>
          <w:kern w:val="0"/>
          <w:sz w:val="24"/>
          <w:szCs w:val="24"/>
        </w:rPr>
        <w:t>工程造价咨询</w:t>
      </w:r>
      <w:r>
        <w:rPr>
          <w:rFonts w:hint="eastAsia" w:ascii="宋体" w:hAnsi="宋体" w:cs="宋体"/>
          <w:sz w:val="24"/>
          <w:szCs w:val="24"/>
        </w:rPr>
        <w:t>成果文件的，每逾期一日，乙方应向甲方支付违约金3000元/天；逾期超过20日的，甲方有权单方终止合同，并要求乙方赔偿甲方由此遭受的全部损失。</w:t>
      </w:r>
    </w:p>
    <w:p w14:paraId="0246C959">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16.2若出现因乙方原因工程量清单或招标控制价中有漏项或少计的项目导致造价增加超过中标价的5%（含5%）或以上，每发生一次，则由乙方每次向甲方支付本合同</w:t>
      </w:r>
      <w:r>
        <w:rPr>
          <w:rFonts w:hint="eastAsia" w:ascii="宋体" w:hAnsi="宋体" w:cs="宋体"/>
          <w:snapToGrid w:val="0"/>
          <w:spacing w:val="4"/>
          <w:kern w:val="0"/>
          <w:sz w:val="24"/>
          <w:szCs w:val="24"/>
        </w:rPr>
        <w:t>暂定总价</w:t>
      </w:r>
      <w:r>
        <w:rPr>
          <w:rFonts w:hint="eastAsia" w:ascii="宋体" w:hAnsi="宋体" w:cs="宋体"/>
          <w:sz w:val="24"/>
          <w:szCs w:val="24"/>
        </w:rPr>
        <w:t>的10%作为违约金；</w:t>
      </w:r>
    </w:p>
    <w:p w14:paraId="05E1070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16.3因乙方过错造成甲方经济损失的，甲方有权向乙方索赔，并保留追究其法律责任的权利。违约金及赔偿金总额原则上不超过造价咨询酬金总额（除去税金）；但如果损失是由于乙方故意或严重渎职造成的，则乙方应赔偿甲方的全部经济损失。</w:t>
      </w:r>
    </w:p>
    <w:p w14:paraId="1895D5F4">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16.4因乙方违约导致费用扣减不足以弥补甲方损失的，甲方有权要求乙方予以赔偿；因乙方违反合同义务导致甲方按合同约定终止本合同的，甲方有权要求乙方返还委托已支付的费用，如费用不足以弥补甲方损失的，甲方有权要求乙方予以赔偿。</w:t>
      </w:r>
    </w:p>
    <w:p w14:paraId="590EE049">
      <w:pPr>
        <w:spacing w:line="360" w:lineRule="auto"/>
        <w:ind w:firstLine="480" w:firstLineChars="200"/>
        <w:rPr>
          <w:rFonts w:hint="eastAsia" w:ascii="宋体" w:hAnsi="宋体" w:cs="宋体"/>
          <w:sz w:val="24"/>
          <w:szCs w:val="24"/>
        </w:rPr>
      </w:pPr>
      <w:r>
        <w:rPr>
          <w:rFonts w:hint="eastAsia" w:ascii="宋体" w:hAnsi="宋体" w:cs="宋体"/>
          <w:sz w:val="24"/>
          <w:szCs w:val="24"/>
        </w:rPr>
        <w:t>16.5由于乙方在某次咨询服务过程中不遵守保密规定造成泄密事件发生，导致甲方经济损失的，一经查实，乙方需向甲方赔偿经济损失，并按本合同</w:t>
      </w:r>
      <w:r>
        <w:rPr>
          <w:rFonts w:hint="eastAsia" w:ascii="宋体" w:hAnsi="宋体" w:cs="宋体"/>
          <w:snapToGrid w:val="0"/>
          <w:spacing w:val="4"/>
          <w:kern w:val="0"/>
          <w:sz w:val="24"/>
          <w:szCs w:val="24"/>
        </w:rPr>
        <w:t>暂定总价</w:t>
      </w:r>
      <w:r>
        <w:rPr>
          <w:rFonts w:hint="eastAsia" w:ascii="宋体" w:hAnsi="宋体" w:cs="宋体"/>
          <w:sz w:val="24"/>
          <w:szCs w:val="24"/>
        </w:rPr>
        <w:t>的30%向甲方支付违约金。同时，甲方有权解除合同，取消其服务资格。</w:t>
      </w:r>
    </w:p>
    <w:p w14:paraId="1360C858">
      <w:pPr>
        <w:spacing w:line="360" w:lineRule="auto"/>
        <w:ind w:firstLine="480" w:firstLineChars="200"/>
        <w:rPr>
          <w:rFonts w:hint="eastAsia" w:ascii="宋体" w:hAnsi="宋体" w:cs="宋体"/>
          <w:sz w:val="24"/>
          <w:szCs w:val="24"/>
        </w:rPr>
      </w:pPr>
      <w:r>
        <w:rPr>
          <w:rFonts w:hint="eastAsia" w:ascii="宋体" w:hAnsi="宋体" w:cs="宋体"/>
          <w:sz w:val="24"/>
          <w:szCs w:val="24"/>
        </w:rPr>
        <w:t>16.6乙方在服务期内如被主管部门取消造价咨询资质或被降低资质等级不再适合甲方委托的咨询业务资质规定时，甲方有权单方解除本合同，并由乙方承担由此产生的一切责任。</w:t>
      </w:r>
    </w:p>
    <w:p w14:paraId="0D283AFD">
      <w:pPr>
        <w:spacing w:line="360" w:lineRule="auto"/>
        <w:ind w:firstLine="480" w:firstLineChars="200"/>
        <w:rPr>
          <w:rFonts w:hint="eastAsia" w:ascii="宋体" w:hAnsi="宋体" w:cs="宋体"/>
          <w:sz w:val="24"/>
          <w:szCs w:val="24"/>
        </w:rPr>
      </w:pPr>
      <w:r>
        <w:rPr>
          <w:rFonts w:hint="eastAsia" w:ascii="宋体" w:hAnsi="宋体" w:cs="宋体"/>
          <w:sz w:val="24"/>
          <w:szCs w:val="24"/>
        </w:rPr>
        <w:t>16.7杜绝出现咨询项目施工进度款超付现象, 若出现超额支付工程款的情况，视超付金额，乙方必须按本合同</w:t>
      </w:r>
      <w:r>
        <w:rPr>
          <w:rFonts w:hint="eastAsia" w:ascii="宋体" w:hAnsi="宋体" w:cs="宋体"/>
          <w:snapToGrid w:val="0"/>
          <w:spacing w:val="4"/>
          <w:kern w:val="0"/>
          <w:sz w:val="24"/>
          <w:szCs w:val="24"/>
        </w:rPr>
        <w:t>暂定总价</w:t>
      </w:r>
      <w:r>
        <w:rPr>
          <w:rFonts w:hint="eastAsia" w:ascii="宋体" w:hAnsi="宋体" w:cs="宋体"/>
          <w:sz w:val="24"/>
          <w:szCs w:val="24"/>
        </w:rPr>
        <w:t>的15%~20%向甲方支付违约金，违约金不足以弥补甲方的损失时，甲方保留继续向乙方追偿的权利。</w:t>
      </w:r>
    </w:p>
    <w:p w14:paraId="4EC1571A">
      <w:pPr>
        <w:spacing w:line="360" w:lineRule="auto"/>
        <w:ind w:firstLine="480" w:firstLineChars="200"/>
        <w:rPr>
          <w:rFonts w:hint="eastAsia" w:ascii="宋体" w:hAnsi="宋体" w:cs="宋体"/>
          <w:sz w:val="24"/>
          <w:szCs w:val="24"/>
        </w:rPr>
      </w:pPr>
      <w:r>
        <w:rPr>
          <w:rFonts w:hint="eastAsia" w:ascii="宋体" w:hAnsi="宋体" w:cs="宋体"/>
          <w:sz w:val="24"/>
          <w:szCs w:val="24"/>
        </w:rPr>
        <w:t>16.8</w:t>
      </w:r>
      <w:r>
        <w:rPr>
          <w:rFonts w:hint="eastAsia" w:ascii="宋体" w:hAnsi="宋体" w:cs="宋体"/>
          <w:kern w:val="0"/>
          <w:sz w:val="24"/>
          <w:szCs w:val="24"/>
          <w:lang w:val="zh-CN"/>
        </w:rPr>
        <w:t>乙方须按甲方要求和财政评审的需要使用计价软件，若乙方使用不当计价软件导致延误财政投资评审的，需马上按甲方要求整改并承担违约责任及赔偿</w:t>
      </w:r>
      <w:r>
        <w:rPr>
          <w:rFonts w:hint="eastAsia" w:ascii="宋体" w:hAnsi="宋体" w:cs="宋体"/>
          <w:sz w:val="24"/>
          <w:szCs w:val="24"/>
        </w:rPr>
        <w:t>本合同</w:t>
      </w:r>
      <w:r>
        <w:rPr>
          <w:rFonts w:hint="eastAsia" w:ascii="宋体" w:hAnsi="宋体" w:cs="宋体"/>
          <w:snapToGrid w:val="0"/>
          <w:spacing w:val="4"/>
          <w:kern w:val="0"/>
          <w:sz w:val="24"/>
          <w:szCs w:val="24"/>
        </w:rPr>
        <w:t>暂定总价</w:t>
      </w:r>
      <w:r>
        <w:rPr>
          <w:rFonts w:hint="eastAsia" w:ascii="宋体" w:hAnsi="宋体" w:cs="宋体"/>
          <w:kern w:val="0"/>
          <w:sz w:val="24"/>
          <w:szCs w:val="24"/>
          <w:lang w:val="zh-CN"/>
        </w:rPr>
        <w:t>的10%违约金。</w:t>
      </w:r>
    </w:p>
    <w:p w14:paraId="325179C5">
      <w:pPr>
        <w:pStyle w:val="32"/>
        <w:widowControl/>
        <w:tabs>
          <w:tab w:val="left" w:pos="1276"/>
        </w:tabs>
        <w:adjustRightInd w:val="0"/>
        <w:snapToGrid w:val="0"/>
        <w:spacing w:line="360" w:lineRule="auto"/>
        <w:ind w:firstLine="482"/>
        <w:jc w:val="left"/>
        <w:rPr>
          <w:rFonts w:hint="eastAsia" w:ascii="宋体" w:hAnsi="宋体" w:cs="宋体"/>
          <w:b/>
          <w:kern w:val="0"/>
          <w:sz w:val="24"/>
          <w:szCs w:val="24"/>
        </w:rPr>
      </w:pPr>
      <w:r>
        <w:rPr>
          <w:rFonts w:hint="eastAsia" w:ascii="宋体" w:hAnsi="宋体" w:cs="宋体"/>
          <w:b/>
          <w:kern w:val="0"/>
          <w:sz w:val="24"/>
          <w:szCs w:val="24"/>
        </w:rPr>
        <w:t>第二十六条  合同价款及支付方式：</w:t>
      </w:r>
    </w:p>
    <w:p w14:paraId="4B3C4F5C">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26.1合同价款：</w:t>
      </w:r>
    </w:p>
    <w:p w14:paraId="65B8D0DD">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26.1.1本合同</w:t>
      </w:r>
      <w:r>
        <w:rPr>
          <w:rFonts w:hint="eastAsia" w:ascii="宋体" w:hAnsi="宋体" w:cs="宋体"/>
          <w:sz w:val="24"/>
          <w:szCs w:val="24"/>
        </w:rPr>
        <w:t>造价咨询服务报酬（含税）</w:t>
      </w:r>
      <w:r>
        <w:rPr>
          <w:rFonts w:hint="eastAsia" w:ascii="宋体" w:hAnsi="宋体" w:cs="宋体"/>
          <w:bCs/>
          <w:sz w:val="24"/>
          <w:szCs w:val="24"/>
        </w:rPr>
        <w:t>为暂定总价。</w:t>
      </w:r>
    </w:p>
    <w:p w14:paraId="768716C4">
      <w:pPr>
        <w:spacing w:line="360" w:lineRule="auto"/>
        <w:ind w:firstLine="480" w:firstLineChars="200"/>
        <w:rPr>
          <w:rFonts w:hint="eastAsia" w:ascii="宋体" w:hAnsi="宋体" w:cs="宋体"/>
          <w:sz w:val="24"/>
          <w:szCs w:val="24"/>
        </w:rPr>
      </w:pPr>
      <w:r>
        <w:rPr>
          <w:rFonts w:hint="eastAsia" w:ascii="宋体" w:hAnsi="宋体" w:cs="宋体"/>
          <w:sz w:val="24"/>
          <w:szCs w:val="24"/>
        </w:rPr>
        <w:t>合同含税总价（暂定总价）为大写人民币</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 xml:space="preserve"> ），不含税总价为人民币</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 xml:space="preserve"> ），税金为大写人民币：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 xml:space="preserve"> ），增值税税率为</w:t>
      </w:r>
      <w:r>
        <w:rPr>
          <w:rFonts w:hint="eastAsia" w:ascii="宋体" w:hAnsi="宋体" w:cs="宋体"/>
          <w:sz w:val="24"/>
          <w:szCs w:val="24"/>
          <w:u w:val="single"/>
        </w:rPr>
        <w:t xml:space="preserve">      </w:t>
      </w:r>
      <w:r>
        <w:rPr>
          <w:rFonts w:hint="eastAsia" w:ascii="宋体" w:hAnsi="宋体" w:cs="宋体"/>
          <w:sz w:val="24"/>
          <w:szCs w:val="24"/>
        </w:rPr>
        <w:t>。本合同费率为</w:t>
      </w:r>
      <w:r>
        <w:rPr>
          <w:rFonts w:hint="eastAsia" w:ascii="宋体" w:hAnsi="宋体" w:cs="宋体"/>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即中标下浮率）</w:t>
      </w:r>
      <w:r>
        <w:rPr>
          <w:rFonts w:hint="eastAsia" w:ascii="宋体" w:hAnsi="宋体" w:cs="宋体"/>
          <w:sz w:val="24"/>
          <w:szCs w:val="24"/>
        </w:rPr>
        <w:t>。</w:t>
      </w:r>
    </w:p>
    <w:p w14:paraId="0755C647">
      <w:pPr>
        <w:spacing w:line="360" w:lineRule="auto"/>
        <w:ind w:firstLine="480" w:firstLineChars="200"/>
        <w:rPr>
          <w:rFonts w:hint="eastAsia" w:ascii="宋体" w:hAnsi="宋体" w:cs="宋体"/>
          <w:sz w:val="24"/>
          <w:szCs w:val="24"/>
        </w:rPr>
      </w:pPr>
      <w:r>
        <w:rPr>
          <w:rFonts w:hint="eastAsia" w:ascii="宋体" w:hAnsi="宋体" w:cs="宋体"/>
          <w:sz w:val="24"/>
          <w:szCs w:val="24"/>
        </w:rPr>
        <w:t>26.1.2委托人同意咨询人按粤价函[2011]742号文的相关标准下浮    %，收取结算审核服务费；</w:t>
      </w:r>
    </w:p>
    <w:p w14:paraId="058B1226">
      <w:pPr>
        <w:spacing w:line="360" w:lineRule="auto"/>
        <w:ind w:firstLine="480" w:firstLineChars="200"/>
        <w:rPr>
          <w:rFonts w:hint="eastAsia" w:ascii="宋体" w:hAnsi="宋体" w:cs="宋体"/>
          <w:snapToGrid w:val="0"/>
          <w:spacing w:val="4"/>
          <w:kern w:val="0"/>
          <w:sz w:val="24"/>
          <w:szCs w:val="24"/>
        </w:rPr>
      </w:pPr>
      <w:r>
        <w:rPr>
          <w:rFonts w:hint="eastAsia" w:ascii="宋体" w:hAnsi="宋体" w:cs="宋体"/>
          <w:sz w:val="24"/>
          <w:szCs w:val="24"/>
        </w:rPr>
        <w:t>26.1.3 造价咨询服务费=按粤价函[2011]742号计算所得服务费×（1-投标下浮率   %），合同暂定价200万元，最终造价咨询服务费计算合计不得超出预算200万元，如超出，按200万元封顶结算</w:t>
      </w:r>
      <w:r>
        <w:rPr>
          <w:rFonts w:hint="eastAsia" w:ascii="宋体" w:hAnsi="宋体" w:cs="宋体"/>
          <w:snapToGrid w:val="0"/>
          <w:spacing w:val="4"/>
          <w:kern w:val="0"/>
          <w:sz w:val="24"/>
          <w:szCs w:val="24"/>
        </w:rPr>
        <w:t>。</w:t>
      </w:r>
    </w:p>
    <w:p w14:paraId="7B6AD24D">
      <w:pPr>
        <w:spacing w:line="360" w:lineRule="auto"/>
        <w:ind w:firstLine="480" w:firstLineChars="200"/>
        <w:rPr>
          <w:rFonts w:hint="eastAsia" w:ascii="宋体" w:hAnsi="宋体" w:cs="宋体"/>
          <w:snapToGrid/>
          <w:spacing w:val="0"/>
          <w:kern w:val="2"/>
          <w:sz w:val="24"/>
          <w:szCs w:val="24"/>
        </w:rPr>
      </w:pPr>
      <w:r>
        <w:rPr>
          <w:rFonts w:ascii="宋体" w:hAnsi="宋体" w:cs="宋体"/>
          <w:sz w:val="24"/>
          <w:szCs w:val="24"/>
        </w:rPr>
        <w:t xml:space="preserve">26.1.4 </w:t>
      </w:r>
      <w:r>
        <w:rPr>
          <w:rFonts w:hint="eastAsia" w:ascii="宋体" w:hAnsi="宋体" w:cs="宋体"/>
          <w:sz w:val="24"/>
          <w:szCs w:val="24"/>
        </w:rPr>
        <w:t>同意按每个项目合同独立支付咨询人结算造价咨询服务费</w:t>
      </w:r>
      <w:r>
        <w:rPr>
          <w:rFonts w:hint="eastAsia" w:ascii="宋体" w:hAnsi="宋体" w:cs="宋体"/>
          <w:sz w:val="24"/>
          <w:szCs w:val="24"/>
          <w:lang w:eastAsia="zh-CN"/>
        </w:rPr>
        <w:t>，</w:t>
      </w:r>
      <w:r>
        <w:rPr>
          <w:rFonts w:hint="eastAsia" w:ascii="宋体" w:hAnsi="宋体" w:cs="宋体"/>
          <w:sz w:val="24"/>
          <w:szCs w:val="24"/>
          <w:lang w:val="en-US" w:eastAsia="zh-CN"/>
        </w:rPr>
        <w:t>即每个独立项目出具正式审计结算书等资料，并提供相应合法合规发票后，甲方在15个工作日内完成相应服务费付款。</w:t>
      </w:r>
    </w:p>
    <w:p w14:paraId="4BC7238C">
      <w:pPr>
        <w:spacing w:line="360" w:lineRule="auto"/>
        <w:ind w:firstLine="480" w:firstLineChars="200"/>
        <w:rPr>
          <w:rFonts w:hint="eastAsia" w:ascii="宋体" w:hAnsi="宋体" w:cs="宋体"/>
          <w:sz w:val="24"/>
          <w:szCs w:val="24"/>
        </w:rPr>
      </w:pPr>
      <w:r>
        <w:rPr>
          <w:rFonts w:hint="eastAsia" w:ascii="宋体" w:hAnsi="宋体" w:cs="宋体"/>
          <w:sz w:val="24"/>
          <w:szCs w:val="24"/>
        </w:rPr>
        <w:t>26.1.5其他说明</w:t>
      </w:r>
    </w:p>
    <w:p w14:paraId="7C165909">
      <w:pPr>
        <w:spacing w:line="360" w:lineRule="auto"/>
        <w:ind w:firstLine="480" w:firstLineChars="200"/>
        <w:rPr>
          <w:rFonts w:hint="eastAsia" w:ascii="宋体" w:hAnsi="宋体" w:cs="宋体"/>
          <w:sz w:val="24"/>
          <w:szCs w:val="24"/>
        </w:rPr>
      </w:pPr>
      <w:r>
        <w:rPr>
          <w:rFonts w:hint="eastAsia" w:ascii="宋体" w:hAnsi="宋体" w:cs="宋体"/>
          <w:sz w:val="24"/>
          <w:szCs w:val="24"/>
        </w:rPr>
        <w:t>①钢筋量及预埋件由造价咨询单位计算或复核，且其费用含在合同价款中，甲方不另行支付。</w:t>
      </w:r>
    </w:p>
    <w:p w14:paraId="49EE3F62">
      <w:pPr>
        <w:spacing w:line="360" w:lineRule="auto"/>
        <w:ind w:firstLine="480" w:firstLineChars="200"/>
        <w:rPr>
          <w:rFonts w:hint="eastAsia" w:ascii="宋体" w:hAnsi="宋体" w:cs="宋体"/>
          <w:sz w:val="24"/>
          <w:szCs w:val="24"/>
        </w:rPr>
      </w:pPr>
      <w:r>
        <w:rPr>
          <w:rFonts w:hint="eastAsia" w:ascii="宋体" w:hAnsi="宋体" w:cs="宋体"/>
          <w:sz w:val="24"/>
          <w:szCs w:val="24"/>
        </w:rPr>
        <w:t>②上述费用包含投入本项目的管理、交通、食宿、文件制作以及包含所有税、费、款、金等一切费用，同时也包括在服务过程中出现特殊因素造价人员必须加班或甲方要求加班的费用以及产生的所有费用，并考虑应承担的风险。乙方工作范围内的配合甲方工程招投标、为甲方提供其他与造价控制有关的技术服务（如主要材料市场信息及经济指标的比较分析）等工作的相关费用包括在合同价款中，甲方不另行计费。除本合同另有约定外，乙方不得再向甲方要求其它任何费用。</w:t>
      </w:r>
    </w:p>
    <w:p w14:paraId="63C4D92F">
      <w:pPr>
        <w:spacing w:line="36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26.2甲方付款前，乙方须提供合法有效、相应金额、相应内容的增值税发票，发票抬头应填写甲方单位名称。因乙方未及时提供发票等原因致使甲方逾期付款的，责任由乙方承担；乙方未提供发票给甲方的，甲方可以顺延付款日期。</w:t>
      </w:r>
    </w:p>
    <w:p w14:paraId="50A56B21">
      <w:pPr>
        <w:spacing w:line="360" w:lineRule="auto"/>
        <w:ind w:firstLine="480" w:firstLineChars="200"/>
        <w:rPr>
          <w:rFonts w:hint="eastAsia" w:ascii="宋体" w:hAnsi="宋体" w:cs="宋体"/>
          <w:sz w:val="24"/>
          <w:szCs w:val="24"/>
        </w:rPr>
      </w:pPr>
      <w:r>
        <w:rPr>
          <w:rFonts w:hint="eastAsia" w:ascii="宋体" w:hAnsi="宋体" w:cs="宋体"/>
          <w:sz w:val="24"/>
          <w:szCs w:val="24"/>
        </w:rPr>
        <w:t>26.4支付附加服务酬金：</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w:t>
      </w:r>
    </w:p>
    <w:p w14:paraId="75691E55">
      <w:pPr>
        <w:spacing w:line="360" w:lineRule="auto"/>
        <w:ind w:firstLine="480" w:firstLineChars="200"/>
        <w:rPr>
          <w:rFonts w:hint="eastAsia" w:ascii="宋体" w:hAnsi="宋体" w:cs="宋体"/>
          <w:sz w:val="24"/>
          <w:szCs w:val="24"/>
        </w:rPr>
      </w:pPr>
      <w:r>
        <w:rPr>
          <w:rFonts w:hint="eastAsia" w:ascii="宋体" w:hAnsi="宋体" w:cs="宋体"/>
          <w:sz w:val="24"/>
          <w:szCs w:val="24"/>
        </w:rPr>
        <w:t>26.5支付额外服务酬金：</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w:t>
      </w:r>
    </w:p>
    <w:p w14:paraId="307FAE36">
      <w:pPr>
        <w:spacing w:line="360" w:lineRule="auto"/>
        <w:ind w:firstLine="480" w:firstLineChars="200"/>
        <w:rPr>
          <w:rFonts w:hint="eastAsia" w:ascii="宋体" w:hAnsi="宋体" w:cs="宋体"/>
          <w:sz w:val="24"/>
          <w:szCs w:val="24"/>
        </w:rPr>
      </w:pPr>
    </w:p>
    <w:p w14:paraId="6FD9BC4B">
      <w:pPr>
        <w:spacing w:line="360" w:lineRule="auto"/>
        <w:ind w:firstLine="482" w:firstLineChars="200"/>
        <w:rPr>
          <w:rFonts w:hint="eastAsia" w:ascii="宋体" w:hAnsi="宋体" w:cs="宋体"/>
          <w:b/>
          <w:sz w:val="24"/>
          <w:szCs w:val="24"/>
        </w:rPr>
      </w:pPr>
      <w:r>
        <w:rPr>
          <w:rFonts w:hint="eastAsia" w:ascii="宋体" w:hAnsi="宋体" w:cs="宋体"/>
          <w:b/>
          <w:sz w:val="24"/>
          <w:szCs w:val="24"/>
        </w:rPr>
        <w:t>第三十四条  工程造价咨询成果文件质量标准。</w:t>
      </w:r>
    </w:p>
    <w:p w14:paraId="4BED5516">
      <w:pPr>
        <w:spacing w:line="360" w:lineRule="auto"/>
        <w:ind w:firstLine="480" w:firstLineChars="200"/>
        <w:rPr>
          <w:rFonts w:hint="eastAsia" w:ascii="宋体" w:hAnsi="宋体" w:cs="宋体"/>
          <w:sz w:val="24"/>
          <w:szCs w:val="24"/>
        </w:rPr>
      </w:pPr>
      <w:r>
        <w:rPr>
          <w:rFonts w:hint="eastAsia" w:ascii="宋体" w:hAnsi="宋体" w:cs="宋体"/>
          <w:sz w:val="24"/>
          <w:szCs w:val="24"/>
        </w:rPr>
        <w:t>乙方必须按国家、省、市有关规定开展造价咨询工作，认真、准确、及时地提交</w:t>
      </w:r>
      <w:r>
        <w:rPr>
          <w:rFonts w:hint="eastAsia" w:ascii="宋体" w:hAnsi="宋体" w:cs="宋体"/>
          <w:kern w:val="0"/>
          <w:sz w:val="24"/>
          <w:szCs w:val="24"/>
        </w:rPr>
        <w:t>工程造价</w:t>
      </w:r>
      <w:r>
        <w:rPr>
          <w:rFonts w:hint="eastAsia" w:ascii="宋体" w:hAnsi="宋体" w:cs="宋体"/>
          <w:sz w:val="24"/>
          <w:szCs w:val="24"/>
        </w:rPr>
        <w:t>咨询成果文件，具体质量要求如下：</w:t>
      </w:r>
    </w:p>
    <w:p w14:paraId="0EA3946A">
      <w:pPr>
        <w:spacing w:line="360" w:lineRule="auto"/>
        <w:ind w:firstLine="480" w:firstLineChars="200"/>
        <w:rPr>
          <w:rFonts w:hint="eastAsia" w:ascii="宋体" w:hAnsi="宋体" w:cs="宋体"/>
          <w:sz w:val="24"/>
          <w:szCs w:val="24"/>
        </w:rPr>
      </w:pPr>
      <w:r>
        <w:rPr>
          <w:rFonts w:hint="eastAsia" w:ascii="宋体" w:hAnsi="宋体" w:cs="宋体"/>
          <w:sz w:val="24"/>
          <w:szCs w:val="24"/>
        </w:rPr>
        <w:t>34.1根据咨询任务的情况，提出必要的要求和建议。如列出所缺资料的清单等。</w:t>
      </w:r>
    </w:p>
    <w:p w14:paraId="6E087702">
      <w:pPr>
        <w:spacing w:line="360" w:lineRule="auto"/>
        <w:ind w:firstLine="480" w:firstLineChars="200"/>
        <w:rPr>
          <w:rFonts w:hint="eastAsia" w:ascii="宋体" w:hAnsi="宋体" w:cs="宋体"/>
          <w:sz w:val="24"/>
          <w:szCs w:val="24"/>
        </w:rPr>
      </w:pPr>
      <w:r>
        <w:rPr>
          <w:rFonts w:hint="eastAsia" w:ascii="宋体" w:hAnsi="宋体" w:cs="宋体"/>
          <w:sz w:val="24"/>
          <w:szCs w:val="24"/>
        </w:rPr>
        <w:t>34.2根据咨询任务的性质，主动配合甲方，积极与工作相关的单位联系，取得有关数据、资料等，并将所得结果报甲方。</w:t>
      </w:r>
    </w:p>
    <w:p w14:paraId="7CC5A036">
      <w:pPr>
        <w:spacing w:line="360" w:lineRule="auto"/>
        <w:ind w:firstLine="480" w:firstLineChars="200"/>
        <w:rPr>
          <w:rFonts w:hint="eastAsia" w:ascii="宋体" w:hAnsi="宋体" w:cs="宋体"/>
          <w:sz w:val="24"/>
          <w:szCs w:val="24"/>
        </w:rPr>
      </w:pPr>
      <w:r>
        <w:rPr>
          <w:rFonts w:hint="eastAsia" w:ascii="宋体" w:hAnsi="宋体" w:cs="宋体"/>
          <w:sz w:val="24"/>
          <w:szCs w:val="24"/>
        </w:rPr>
        <w:t>34.3根据咨询任务的期限，及时向甲方提供工作计划，包括各专业的人员配置情况和各专业完成阶段性工作的时间节点。</w:t>
      </w:r>
    </w:p>
    <w:p w14:paraId="7F06FB9A">
      <w:pPr>
        <w:spacing w:line="360" w:lineRule="auto"/>
        <w:ind w:firstLine="480" w:firstLineChars="200"/>
        <w:rPr>
          <w:rFonts w:hint="eastAsia" w:ascii="宋体" w:hAnsi="宋体" w:cs="宋体"/>
          <w:sz w:val="24"/>
          <w:szCs w:val="24"/>
        </w:rPr>
      </w:pPr>
      <w:r>
        <w:rPr>
          <w:rFonts w:hint="eastAsia" w:ascii="宋体" w:hAnsi="宋体" w:cs="宋体"/>
          <w:sz w:val="24"/>
          <w:szCs w:val="24"/>
        </w:rPr>
        <w:t>34.4乙方应对施工图预算、招标工程量清单及招标控制价的准确性负责。</w:t>
      </w:r>
    </w:p>
    <w:p w14:paraId="654E2434">
      <w:pPr>
        <w:spacing w:line="360" w:lineRule="auto"/>
        <w:ind w:firstLine="480" w:firstLineChars="200"/>
        <w:rPr>
          <w:rFonts w:hint="eastAsia" w:ascii="宋体" w:hAnsi="宋体" w:cs="宋体"/>
          <w:sz w:val="24"/>
          <w:szCs w:val="24"/>
        </w:rPr>
      </w:pPr>
      <w:r>
        <w:rPr>
          <w:rFonts w:hint="eastAsia" w:ascii="宋体" w:hAnsi="宋体" w:cs="宋体"/>
          <w:sz w:val="24"/>
          <w:szCs w:val="24"/>
        </w:rPr>
        <w:t>34.5乙方应对施工过程造价控制（工程量及进度款审核、工程变更的预算审核、签证文件及费用审核、新增综合单价预算审核等）及工程结算初步审核的准确性负责。</w:t>
      </w:r>
    </w:p>
    <w:p w14:paraId="0E3C8EF8">
      <w:pPr>
        <w:spacing w:line="360" w:lineRule="auto"/>
        <w:ind w:firstLine="480" w:firstLineChars="200"/>
        <w:rPr>
          <w:rFonts w:hint="eastAsia" w:ascii="宋体" w:hAnsi="宋体" w:cs="宋体"/>
          <w:sz w:val="24"/>
          <w:szCs w:val="24"/>
        </w:rPr>
      </w:pPr>
    </w:p>
    <w:p w14:paraId="2F0E4880">
      <w:pPr>
        <w:pStyle w:val="5"/>
        <w:spacing w:line="360" w:lineRule="auto"/>
        <w:ind w:firstLine="482" w:firstLineChars="200"/>
        <w:rPr>
          <w:rFonts w:hint="eastAsia" w:ascii="宋体" w:hAnsi="宋体" w:cs="宋体"/>
          <w:b/>
          <w:sz w:val="24"/>
          <w:szCs w:val="24"/>
        </w:rPr>
      </w:pPr>
      <w:r>
        <w:rPr>
          <w:rFonts w:hint="eastAsia" w:ascii="宋体" w:hAnsi="宋体" w:cs="宋体"/>
          <w:b/>
          <w:sz w:val="24"/>
          <w:szCs w:val="24"/>
        </w:rPr>
        <w:t>第三十五条  造价咨询成果及费用支付。</w:t>
      </w:r>
    </w:p>
    <w:p w14:paraId="216D7BEC">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35.1</w:t>
      </w:r>
      <w:r>
        <w:rPr>
          <w:rFonts w:hint="eastAsia" w:ascii="宋体" w:hAnsi="宋体" w:cs="宋体"/>
          <w:kern w:val="0"/>
          <w:sz w:val="24"/>
          <w:szCs w:val="24"/>
        </w:rPr>
        <w:t>乙方应按专用条款第六条将工程造价咨询成果文件交付甲方。</w:t>
      </w:r>
    </w:p>
    <w:p w14:paraId="213021AB">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35.2无论因何原因造成的项目变化，乙方要无条件配合甲方开展相关造价审核工作。甲方均不再另行支付任何费用。</w:t>
      </w:r>
    </w:p>
    <w:p w14:paraId="5A377C9B">
      <w:pPr>
        <w:pStyle w:val="32"/>
        <w:widowControl/>
        <w:tabs>
          <w:tab w:val="left" w:pos="1276"/>
        </w:tabs>
        <w:adjustRightInd w:val="0"/>
        <w:snapToGrid w:val="0"/>
        <w:spacing w:line="360" w:lineRule="auto"/>
        <w:ind w:firstLine="482"/>
        <w:jc w:val="left"/>
        <w:rPr>
          <w:rFonts w:hint="eastAsia" w:ascii="宋体" w:hAnsi="宋体" w:cs="宋体"/>
          <w:kern w:val="0"/>
          <w:sz w:val="24"/>
          <w:szCs w:val="24"/>
        </w:rPr>
      </w:pPr>
      <w:r>
        <w:rPr>
          <w:rFonts w:hint="eastAsia" w:ascii="宋体" w:hAnsi="宋体" w:cs="宋体"/>
          <w:b/>
          <w:kern w:val="0"/>
          <w:sz w:val="24"/>
          <w:szCs w:val="24"/>
        </w:rPr>
        <w:t>第三十七条</w:t>
      </w:r>
      <w:r>
        <w:rPr>
          <w:rFonts w:hint="eastAsia" w:ascii="宋体" w:hAnsi="宋体" w:cs="宋体"/>
          <w:kern w:val="0"/>
          <w:sz w:val="24"/>
          <w:szCs w:val="24"/>
        </w:rPr>
        <w:t xml:space="preserve">  建设工程造价咨询合同在履行过程中发生争议，甲方与乙方应及时协商解决；如未能达成一致，可提交有关主管部门调解；协商或调解不成的，依法向</w:t>
      </w:r>
      <w:r>
        <w:rPr>
          <w:rFonts w:hint="eastAsia" w:ascii="宋体" w:hAnsi="宋体" w:cs="宋体"/>
          <w:sz w:val="24"/>
          <w:szCs w:val="24"/>
        </w:rPr>
        <w:t>项目所在地</w:t>
      </w:r>
      <w:r>
        <w:rPr>
          <w:rFonts w:hint="eastAsia" w:ascii="宋体" w:hAnsi="宋体" w:cs="宋体"/>
          <w:kern w:val="0"/>
          <w:sz w:val="24"/>
          <w:szCs w:val="24"/>
        </w:rPr>
        <w:t>人民法院起诉。</w:t>
      </w:r>
    </w:p>
    <w:p w14:paraId="0D83EBE9">
      <w:pPr>
        <w:pStyle w:val="32"/>
        <w:widowControl/>
        <w:numPr>
          <w:ilvl w:val="255"/>
          <w:numId w:val="0"/>
        </w:numPr>
        <w:tabs>
          <w:tab w:val="left" w:pos="1276"/>
        </w:tabs>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附件：1、中标通知书</w:t>
      </w:r>
    </w:p>
    <w:p w14:paraId="561339A9">
      <w:pPr>
        <w:pStyle w:val="32"/>
        <w:widowControl/>
        <w:tabs>
          <w:tab w:val="left" w:pos="1276"/>
        </w:tabs>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2、廉洁协议书</w:t>
      </w:r>
    </w:p>
    <w:p w14:paraId="2675D2DF">
      <w:pPr>
        <w:pStyle w:val="32"/>
        <w:widowControl/>
        <w:tabs>
          <w:tab w:val="left" w:pos="1276"/>
        </w:tabs>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3、保密协议</w:t>
      </w:r>
    </w:p>
    <w:p w14:paraId="0ADE6621">
      <w:pPr>
        <w:pStyle w:val="32"/>
        <w:widowControl/>
        <w:tabs>
          <w:tab w:val="left" w:pos="1276"/>
        </w:tabs>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4、投标报价表</w:t>
      </w:r>
    </w:p>
    <w:p w14:paraId="2F82EC29">
      <w:pPr>
        <w:pStyle w:val="32"/>
        <w:widowControl/>
        <w:tabs>
          <w:tab w:val="left" w:pos="1276"/>
        </w:tabs>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5、拟投入本项目造价人员一览表</w:t>
      </w:r>
    </w:p>
    <w:p w14:paraId="70B2362B">
      <w:pPr>
        <w:pStyle w:val="32"/>
        <w:widowControl/>
        <w:tabs>
          <w:tab w:val="left" w:pos="1276"/>
        </w:tabs>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（本页以下无正文）</w:t>
      </w:r>
    </w:p>
    <w:p w14:paraId="549906BB">
      <w:pPr>
        <w:spacing w:line="360" w:lineRule="auto"/>
        <w:ind w:firstLine="480" w:firstLineChars="200"/>
        <w:rPr>
          <w:rFonts w:hint="eastAsia" w:ascii="宋体" w:hAnsi="宋体" w:cs="宋体"/>
          <w:sz w:val="24"/>
          <w:szCs w:val="24"/>
        </w:rPr>
        <w:sectPr>
          <w:headerReference r:id="rId4" w:type="first"/>
          <w:footerReference r:id="rId6" w:type="first"/>
          <w:headerReference r:id="rId3" w:type="default"/>
          <w:footerReference r:id="rId5" w:type="default"/>
          <w:pgSz w:w="11906" w:h="16838"/>
          <w:pgMar w:top="1276" w:right="1274" w:bottom="1440" w:left="1276" w:header="851" w:footer="992" w:gutter="0"/>
          <w:pgNumType w:start="1"/>
          <w:cols w:space="720" w:num="1"/>
          <w:titlePg/>
          <w:docGrid w:type="lines" w:linePitch="312" w:charSpace="0"/>
        </w:sectPr>
      </w:pPr>
      <w:r>
        <w:rPr>
          <w:rFonts w:hint="eastAsia" w:ascii="宋体" w:hAnsi="宋体" w:cs="宋体"/>
          <w:kern w:val="0"/>
          <w:sz w:val="24"/>
          <w:szCs w:val="24"/>
        </w:rPr>
        <w:br w:type="page"/>
      </w:r>
    </w:p>
    <w:p w14:paraId="1DEDC001">
      <w:pPr>
        <w:rPr>
          <w:rFonts w:hint="eastAsia" w:hAnsi="宋体"/>
          <w:sz w:val="28"/>
        </w:rPr>
      </w:pPr>
      <w:r>
        <w:rPr>
          <w:rFonts w:hint="eastAsia" w:hAnsi="宋体"/>
          <w:sz w:val="28"/>
        </w:rPr>
        <w:t>附件1：中标通知书</w:t>
      </w:r>
    </w:p>
    <w:p w14:paraId="60B2DB45">
      <w:pPr>
        <w:rPr>
          <w:rFonts w:hint="eastAsia" w:hAnsi="宋体"/>
          <w:sz w:val="28"/>
          <w:szCs w:val="28"/>
        </w:rPr>
      </w:pPr>
    </w:p>
    <w:p w14:paraId="34960B80">
      <w:pPr>
        <w:rPr>
          <w:rFonts w:hint="eastAsia" w:hAnsi="宋体"/>
          <w:sz w:val="28"/>
          <w:szCs w:val="28"/>
        </w:rPr>
      </w:pPr>
    </w:p>
    <w:p w14:paraId="0B8A03AF">
      <w:pPr>
        <w:rPr>
          <w:rFonts w:hint="eastAsia" w:hAnsi="宋体"/>
          <w:sz w:val="28"/>
          <w:szCs w:val="28"/>
        </w:rPr>
      </w:pPr>
    </w:p>
    <w:p w14:paraId="31531E76">
      <w:pPr>
        <w:rPr>
          <w:rFonts w:hint="eastAsia" w:hAnsi="宋体"/>
          <w:sz w:val="28"/>
          <w:szCs w:val="28"/>
        </w:rPr>
      </w:pPr>
    </w:p>
    <w:p w14:paraId="64C64E3D">
      <w:pPr>
        <w:rPr>
          <w:rFonts w:hint="eastAsia" w:hAnsi="宋体"/>
          <w:sz w:val="28"/>
          <w:szCs w:val="28"/>
        </w:rPr>
      </w:pPr>
    </w:p>
    <w:p w14:paraId="095E7CC6">
      <w:pPr>
        <w:rPr>
          <w:rFonts w:hint="eastAsia" w:hAnsi="宋体"/>
          <w:sz w:val="28"/>
          <w:szCs w:val="28"/>
        </w:rPr>
      </w:pPr>
    </w:p>
    <w:p w14:paraId="58658BE0">
      <w:pPr>
        <w:rPr>
          <w:rFonts w:hint="eastAsia" w:hAnsi="宋体"/>
          <w:sz w:val="28"/>
          <w:szCs w:val="28"/>
        </w:rPr>
      </w:pPr>
    </w:p>
    <w:p w14:paraId="7416B6FE">
      <w:pPr>
        <w:rPr>
          <w:rFonts w:hint="eastAsia" w:hAnsi="宋体"/>
          <w:sz w:val="28"/>
          <w:szCs w:val="28"/>
        </w:rPr>
      </w:pPr>
    </w:p>
    <w:p w14:paraId="6A5B2203">
      <w:pPr>
        <w:rPr>
          <w:rFonts w:hint="eastAsia" w:hAnsi="宋体"/>
          <w:sz w:val="28"/>
          <w:szCs w:val="28"/>
        </w:rPr>
      </w:pPr>
    </w:p>
    <w:p w14:paraId="2F6C98ED">
      <w:pPr>
        <w:rPr>
          <w:rFonts w:hint="eastAsia" w:hAnsi="宋体"/>
        </w:rPr>
      </w:pPr>
    </w:p>
    <w:p w14:paraId="45DD87DF">
      <w:pPr>
        <w:rPr>
          <w:rFonts w:hint="eastAsia" w:hAnsi="宋体"/>
        </w:rPr>
      </w:pPr>
    </w:p>
    <w:p w14:paraId="160559DC">
      <w:pPr>
        <w:rPr>
          <w:rFonts w:hint="eastAsia" w:hAnsi="宋体"/>
        </w:rPr>
      </w:pPr>
    </w:p>
    <w:p w14:paraId="594D73EA">
      <w:pPr>
        <w:snapToGrid w:val="0"/>
        <w:spacing w:line="360" w:lineRule="auto"/>
        <w:rPr>
          <w:rFonts w:hint="eastAsia" w:ascii="宋体" w:hAnsi="宋体" w:cs="宋体"/>
          <w:bCs/>
          <w:sz w:val="24"/>
          <w:szCs w:val="24"/>
        </w:rPr>
      </w:pPr>
      <w:r>
        <w:rPr>
          <w:rFonts w:ascii="宋体" w:hAnsi="宋体" w:cs="宋体"/>
          <w:bCs/>
          <w:sz w:val="28"/>
          <w:szCs w:val="28"/>
        </w:rPr>
        <w:br w:type="page"/>
      </w:r>
      <w:r>
        <w:rPr>
          <w:rFonts w:hint="eastAsia" w:ascii="宋体" w:hAnsi="宋体" w:cs="宋体"/>
          <w:bCs/>
          <w:sz w:val="24"/>
          <w:szCs w:val="24"/>
        </w:rPr>
        <w:t>附件2</w:t>
      </w:r>
    </w:p>
    <w:p w14:paraId="244E01F7">
      <w:pPr>
        <w:spacing w:line="360" w:lineRule="auto"/>
        <w:ind w:firstLine="480" w:firstLineChars="200"/>
        <w:rPr>
          <w:rFonts w:hint="eastAsia" w:ascii="宋体" w:hAnsi="宋体" w:cs="宋体"/>
          <w:sz w:val="24"/>
          <w:szCs w:val="24"/>
        </w:rPr>
      </w:pPr>
    </w:p>
    <w:p w14:paraId="7F94459B">
      <w:pPr>
        <w:spacing w:line="360" w:lineRule="auto"/>
        <w:ind w:firstLine="480" w:firstLineChars="200"/>
        <w:jc w:val="center"/>
        <w:rPr>
          <w:rFonts w:hint="eastAsia" w:ascii="宋体" w:hAnsi="宋体" w:cs="宋体"/>
          <w:sz w:val="24"/>
          <w:szCs w:val="24"/>
        </w:rPr>
      </w:pPr>
      <w:bookmarkStart w:id="1" w:name="OLE_LINK5"/>
      <w:r>
        <w:rPr>
          <w:rFonts w:hint="eastAsia" w:ascii="宋体" w:hAnsi="宋体" w:cs="宋体"/>
          <w:sz w:val="24"/>
          <w:szCs w:val="24"/>
        </w:rPr>
        <w:t>廉洁协议书</w:t>
      </w:r>
    </w:p>
    <w:bookmarkEnd w:id="1"/>
    <w:p w14:paraId="28224E99">
      <w:pPr>
        <w:spacing w:line="360" w:lineRule="auto"/>
        <w:ind w:firstLine="480" w:firstLineChars="200"/>
        <w:rPr>
          <w:rFonts w:hint="eastAsia" w:ascii="宋体" w:hAnsi="宋体" w:cs="宋体"/>
          <w:sz w:val="24"/>
          <w:szCs w:val="24"/>
        </w:rPr>
      </w:pPr>
      <w:r>
        <w:rPr>
          <w:rFonts w:hint="eastAsia" w:ascii="宋体" w:hAnsi="宋体" w:cs="宋体"/>
          <w:sz w:val="24"/>
          <w:szCs w:val="24"/>
        </w:rPr>
        <w:t>甲方：南方医科大学南方医院</w:t>
      </w:r>
    </w:p>
    <w:p w14:paraId="45FE063E">
      <w:pPr>
        <w:spacing w:line="360" w:lineRule="auto"/>
        <w:ind w:firstLine="480" w:firstLineChars="200"/>
        <w:rPr>
          <w:rFonts w:hint="eastAsia" w:ascii="宋体" w:hAnsi="宋体" w:cs="宋体"/>
          <w:sz w:val="24"/>
          <w:szCs w:val="24"/>
        </w:rPr>
      </w:pPr>
      <w:r>
        <w:rPr>
          <w:rFonts w:hint="eastAsia" w:ascii="宋体" w:hAnsi="宋体" w:cs="宋体"/>
          <w:sz w:val="24"/>
          <w:szCs w:val="24"/>
        </w:rPr>
        <w:t>乙方：</w:t>
      </w:r>
    </w:p>
    <w:p w14:paraId="79EAD987">
      <w:pPr>
        <w:spacing w:line="360" w:lineRule="auto"/>
        <w:ind w:firstLine="480" w:firstLineChars="200"/>
        <w:rPr>
          <w:rFonts w:hint="eastAsia" w:ascii="宋体" w:hAnsi="宋体" w:cs="宋体"/>
          <w:sz w:val="24"/>
          <w:szCs w:val="24"/>
        </w:rPr>
      </w:pPr>
    </w:p>
    <w:p w14:paraId="597CC16B">
      <w:pPr>
        <w:pStyle w:val="6"/>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7665B282">
      <w:pPr>
        <w:spacing w:line="360" w:lineRule="auto"/>
        <w:ind w:firstLine="480" w:firstLineChars="200"/>
        <w:rPr>
          <w:rFonts w:hint="eastAsia" w:ascii="宋体" w:hAnsi="宋体" w:cs="宋体"/>
          <w:sz w:val="24"/>
          <w:szCs w:val="24"/>
        </w:rPr>
      </w:pPr>
      <w:r>
        <w:rPr>
          <w:rFonts w:hint="eastAsia" w:ascii="宋体" w:hAnsi="宋体" w:cs="宋体"/>
          <w:sz w:val="24"/>
          <w:szCs w:val="24"/>
        </w:rPr>
        <w:t>第一条 甲、乙双方的共同责任</w:t>
      </w:r>
    </w:p>
    <w:p w14:paraId="539C71A9">
      <w:pPr>
        <w:spacing w:line="360" w:lineRule="auto"/>
        <w:ind w:firstLine="480" w:firstLineChars="200"/>
        <w:rPr>
          <w:rFonts w:hint="eastAsia" w:ascii="宋体" w:hAnsi="宋体" w:cs="宋体"/>
          <w:sz w:val="24"/>
          <w:szCs w:val="24"/>
        </w:rPr>
      </w:pPr>
      <w:r>
        <w:rPr>
          <w:rFonts w:hint="eastAsia" w:ascii="宋体" w:hAnsi="宋体" w:cs="宋体"/>
          <w:sz w:val="24"/>
          <w:szCs w:val="24"/>
        </w:rPr>
        <w:t>（一）严格遵守国家关于市场准入、招标投标、工程建设、物资采购、投资并购、国有资产处置等市场经济活动的法律法规制度以及廉洁建设规定。</w:t>
      </w:r>
    </w:p>
    <w:p w14:paraId="252B39D8">
      <w:pPr>
        <w:spacing w:line="360" w:lineRule="auto"/>
        <w:ind w:firstLine="480" w:firstLineChars="200"/>
        <w:rPr>
          <w:rFonts w:hint="eastAsia" w:ascii="宋体" w:hAnsi="宋体" w:cs="宋体"/>
          <w:sz w:val="24"/>
          <w:szCs w:val="24"/>
        </w:rPr>
      </w:pPr>
      <w:r>
        <w:rPr>
          <w:rFonts w:hint="eastAsia" w:ascii="宋体" w:hAnsi="宋体" w:cs="宋体"/>
          <w:sz w:val="24"/>
          <w:szCs w:val="24"/>
        </w:rPr>
        <w:t>（二）严格履行合同约定，自觉承担合同义务。</w:t>
      </w:r>
    </w:p>
    <w:p w14:paraId="335D9F87">
      <w:pPr>
        <w:spacing w:line="360" w:lineRule="auto"/>
        <w:ind w:firstLine="480" w:firstLineChars="200"/>
        <w:rPr>
          <w:rFonts w:hint="eastAsia" w:ascii="宋体" w:hAnsi="宋体" w:cs="宋体"/>
          <w:sz w:val="24"/>
          <w:szCs w:val="24"/>
        </w:rPr>
      </w:pPr>
      <w:r>
        <w:rPr>
          <w:rFonts w:hint="eastAsia" w:ascii="宋体" w:hAnsi="宋体" w:cs="宋体"/>
          <w:sz w:val="24"/>
          <w:szCs w:val="24"/>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7D471106">
      <w:pPr>
        <w:spacing w:line="360" w:lineRule="auto"/>
        <w:ind w:firstLine="480" w:firstLineChars="200"/>
        <w:rPr>
          <w:rFonts w:hint="eastAsia" w:ascii="宋体" w:hAnsi="宋体" w:cs="宋体"/>
          <w:sz w:val="24"/>
          <w:szCs w:val="24"/>
        </w:rPr>
      </w:pPr>
      <w:r>
        <w:rPr>
          <w:rFonts w:hint="eastAsia" w:ascii="宋体" w:hAnsi="宋体" w:cs="宋体"/>
          <w:sz w:val="24"/>
          <w:szCs w:val="24"/>
        </w:rPr>
        <w:t>（四）建立健全自我制约制度，开展廉洁教育，公布举报电话，监督并认真查处违法违纪行为。</w:t>
      </w:r>
    </w:p>
    <w:p w14:paraId="37B40AF8">
      <w:pPr>
        <w:spacing w:line="360" w:lineRule="auto"/>
        <w:ind w:firstLine="480" w:firstLineChars="200"/>
        <w:rPr>
          <w:rFonts w:hint="eastAsia" w:ascii="宋体" w:hAnsi="宋体" w:cs="宋体"/>
          <w:sz w:val="24"/>
          <w:szCs w:val="24"/>
        </w:rPr>
      </w:pPr>
      <w:r>
        <w:rPr>
          <w:rFonts w:hint="eastAsia" w:ascii="宋体" w:hAnsi="宋体" w:cs="宋体"/>
          <w:sz w:val="24"/>
          <w:szCs w:val="24"/>
        </w:rPr>
        <w:t>（五）发现对方在业务活动中有违规、违纪、违法行为的，应及时提醒对方，情节严重的，应向有关纪检监察部门举报。</w:t>
      </w:r>
    </w:p>
    <w:p w14:paraId="0B4F3C43">
      <w:pPr>
        <w:spacing w:line="360" w:lineRule="auto"/>
        <w:ind w:firstLine="480" w:firstLineChars="200"/>
        <w:rPr>
          <w:rFonts w:hint="eastAsia" w:ascii="宋体" w:hAnsi="宋体" w:cs="宋体"/>
          <w:sz w:val="24"/>
          <w:szCs w:val="24"/>
        </w:rPr>
      </w:pPr>
      <w:r>
        <w:rPr>
          <w:rFonts w:hint="eastAsia" w:ascii="宋体" w:hAnsi="宋体" w:cs="宋体"/>
          <w:sz w:val="24"/>
          <w:szCs w:val="24"/>
        </w:rPr>
        <w:t>第二条  甲方的责任：</w:t>
      </w:r>
    </w:p>
    <w:p w14:paraId="40370C66">
      <w:pPr>
        <w:spacing w:line="360" w:lineRule="auto"/>
        <w:ind w:firstLine="480" w:firstLineChars="200"/>
        <w:rPr>
          <w:rFonts w:hint="eastAsia" w:ascii="宋体" w:hAnsi="宋体" w:cs="宋体"/>
          <w:sz w:val="24"/>
          <w:szCs w:val="24"/>
        </w:rPr>
      </w:pPr>
      <w:r>
        <w:rPr>
          <w:rFonts w:hint="eastAsia" w:ascii="宋体" w:hAnsi="宋体" w:cs="宋体"/>
          <w:sz w:val="24"/>
          <w:szCs w:val="24"/>
        </w:rPr>
        <w:t>甲方相关工作人员，在与乙方业务活动的事前、事中、事后，应遵守以下规定：</w:t>
      </w:r>
    </w:p>
    <w:p w14:paraId="09DAA733">
      <w:pPr>
        <w:spacing w:line="360" w:lineRule="auto"/>
        <w:ind w:firstLine="480" w:firstLineChars="200"/>
        <w:rPr>
          <w:rFonts w:hint="eastAsia" w:ascii="宋体" w:hAnsi="宋体" w:cs="宋体"/>
          <w:sz w:val="24"/>
          <w:szCs w:val="24"/>
        </w:rPr>
      </w:pPr>
      <w:r>
        <w:rPr>
          <w:rFonts w:hint="eastAsia" w:ascii="宋体" w:hAnsi="宋体" w:cs="宋体"/>
          <w:sz w:val="24"/>
          <w:szCs w:val="24"/>
        </w:rPr>
        <w:t>（一）贯彻落实广州城投城市更新集团有限公司有关党风廉政建设责任制及廉洁从业的规定；</w:t>
      </w:r>
    </w:p>
    <w:p w14:paraId="73F9A008">
      <w:pPr>
        <w:spacing w:line="360" w:lineRule="auto"/>
        <w:ind w:firstLine="480" w:firstLineChars="200"/>
        <w:rPr>
          <w:rFonts w:hint="eastAsia" w:ascii="宋体" w:hAnsi="宋体" w:cs="宋体"/>
          <w:sz w:val="24"/>
          <w:szCs w:val="24"/>
        </w:rPr>
      </w:pPr>
      <w:r>
        <w:rPr>
          <w:rFonts w:hint="eastAsia" w:ascii="宋体" w:hAnsi="宋体" w:cs="宋体"/>
          <w:sz w:val="24"/>
          <w:szCs w:val="24"/>
        </w:rPr>
        <w:t>（二）按照公平、公正、公开和诚实守信的原则开展各项业务活动；</w:t>
      </w:r>
    </w:p>
    <w:p w14:paraId="4DAA7015">
      <w:pPr>
        <w:spacing w:line="360" w:lineRule="auto"/>
        <w:ind w:firstLine="480" w:firstLineChars="200"/>
        <w:rPr>
          <w:rFonts w:hint="eastAsia" w:ascii="宋体" w:hAnsi="宋体" w:cs="宋体"/>
          <w:sz w:val="24"/>
          <w:szCs w:val="24"/>
        </w:rPr>
      </w:pPr>
      <w:r>
        <w:rPr>
          <w:rFonts w:hint="eastAsia" w:ascii="宋体" w:hAnsi="宋体" w:cs="宋体"/>
          <w:sz w:val="24"/>
          <w:szCs w:val="24"/>
        </w:rPr>
        <w:t>（三）不准向乙方泄漏涉及有关业务活动的秘密，不准以谋取非正当利益为目的，擅自与乙方工作人员就业务问题达成利益默契；</w:t>
      </w:r>
    </w:p>
    <w:p w14:paraId="02A66E3B">
      <w:pPr>
        <w:spacing w:line="360" w:lineRule="auto"/>
        <w:ind w:firstLine="480" w:firstLineChars="200"/>
        <w:rPr>
          <w:rFonts w:hint="eastAsia" w:ascii="宋体" w:hAnsi="宋体" w:cs="宋体"/>
          <w:sz w:val="24"/>
          <w:szCs w:val="24"/>
        </w:rPr>
      </w:pPr>
      <w:r>
        <w:rPr>
          <w:rFonts w:hint="eastAsia" w:ascii="宋体" w:hAnsi="宋体" w:cs="宋体"/>
          <w:sz w:val="24"/>
          <w:szCs w:val="24"/>
        </w:rPr>
        <w:t>（四）不准向乙方和相关单位索要或接受回扣、红包、礼金、购物卡、有价证券、贵重物品和好处费、感谢费等；</w:t>
      </w:r>
    </w:p>
    <w:p w14:paraId="03E16347">
      <w:pPr>
        <w:spacing w:line="360" w:lineRule="auto"/>
        <w:ind w:firstLine="480" w:firstLineChars="200"/>
        <w:rPr>
          <w:rFonts w:hint="eastAsia" w:ascii="宋体" w:hAnsi="宋体" w:cs="宋体"/>
          <w:sz w:val="24"/>
          <w:szCs w:val="24"/>
        </w:rPr>
      </w:pPr>
      <w:r>
        <w:rPr>
          <w:rFonts w:hint="eastAsia" w:ascii="宋体" w:hAnsi="宋体" w:cs="宋体"/>
          <w:sz w:val="24"/>
          <w:szCs w:val="24"/>
        </w:rPr>
        <w:t>（五）不准在乙方和相关单位报销任何应由甲方或个人支付的费用；</w:t>
      </w:r>
    </w:p>
    <w:p w14:paraId="25168933">
      <w:pPr>
        <w:spacing w:line="360" w:lineRule="auto"/>
        <w:ind w:firstLine="480" w:firstLineChars="200"/>
        <w:rPr>
          <w:rFonts w:hint="eastAsia" w:ascii="宋体" w:hAnsi="宋体" w:cs="宋体"/>
          <w:sz w:val="24"/>
          <w:szCs w:val="24"/>
        </w:rPr>
      </w:pPr>
      <w:r>
        <w:rPr>
          <w:rFonts w:hint="eastAsia" w:ascii="宋体" w:hAnsi="宋体" w:cs="宋体"/>
          <w:sz w:val="24"/>
          <w:szCs w:val="24"/>
        </w:rPr>
        <w:t>（六）不准要求、暗示或接受乙方和相关单位为个人装修住房、婚丧嫁娶、配偶子女的工作安排以及境内外旅游等提供方便；</w:t>
      </w:r>
    </w:p>
    <w:p w14:paraId="5EABFD21">
      <w:pPr>
        <w:spacing w:line="360" w:lineRule="auto"/>
        <w:ind w:firstLine="480" w:firstLineChars="200"/>
        <w:rPr>
          <w:rFonts w:hint="eastAsia" w:ascii="宋体" w:hAnsi="宋体" w:cs="宋体"/>
          <w:sz w:val="24"/>
          <w:szCs w:val="24"/>
        </w:rPr>
      </w:pPr>
      <w:r>
        <w:rPr>
          <w:rFonts w:hint="eastAsia" w:ascii="宋体" w:hAnsi="宋体" w:cs="宋体"/>
          <w:sz w:val="24"/>
          <w:szCs w:val="24"/>
        </w:rPr>
        <w:t>（七）不准向乙方介绍配偶、子女、亲属参与与甲方有关的经济活动，不得以任何理由向乙方和相关单位推荐第三方单位；</w:t>
      </w:r>
    </w:p>
    <w:p w14:paraId="45372575">
      <w:pPr>
        <w:spacing w:line="360" w:lineRule="auto"/>
        <w:ind w:firstLine="480" w:firstLineChars="200"/>
        <w:rPr>
          <w:rFonts w:hint="eastAsia" w:ascii="宋体" w:hAnsi="宋体" w:cs="宋体"/>
          <w:sz w:val="24"/>
          <w:szCs w:val="24"/>
        </w:rPr>
      </w:pPr>
      <w:r>
        <w:rPr>
          <w:rFonts w:hint="eastAsia" w:ascii="宋体" w:hAnsi="宋体" w:cs="宋体"/>
          <w:sz w:val="24"/>
          <w:szCs w:val="24"/>
        </w:rPr>
        <w:t>（八）不准参与影响相关工作正常和公正开展的其他活动；</w:t>
      </w:r>
    </w:p>
    <w:p w14:paraId="62821BEE">
      <w:pPr>
        <w:spacing w:line="360" w:lineRule="auto"/>
        <w:ind w:firstLine="480" w:firstLineChars="200"/>
        <w:rPr>
          <w:rFonts w:hint="eastAsia" w:ascii="宋体" w:hAnsi="宋体" w:cs="宋体"/>
          <w:sz w:val="24"/>
          <w:szCs w:val="24"/>
        </w:rPr>
      </w:pPr>
      <w:r>
        <w:rPr>
          <w:rFonts w:hint="eastAsia" w:ascii="宋体" w:hAnsi="宋体" w:cs="宋体"/>
          <w:sz w:val="24"/>
          <w:szCs w:val="24"/>
        </w:rPr>
        <w:t>（九）不准违反《中共中央纪委关于严格禁止利用职务上的便利谋取不正当利益的若干规定》的内容。</w:t>
      </w:r>
    </w:p>
    <w:p w14:paraId="05D180FA">
      <w:pPr>
        <w:spacing w:line="360" w:lineRule="auto"/>
        <w:ind w:firstLine="480" w:firstLineChars="200"/>
        <w:rPr>
          <w:rFonts w:hint="eastAsia" w:ascii="宋体" w:hAnsi="宋体" w:cs="宋体"/>
          <w:sz w:val="24"/>
          <w:szCs w:val="24"/>
        </w:rPr>
      </w:pPr>
      <w:r>
        <w:rPr>
          <w:rFonts w:hint="eastAsia" w:ascii="宋体" w:hAnsi="宋体" w:cs="宋体"/>
          <w:sz w:val="24"/>
          <w:szCs w:val="24"/>
        </w:rPr>
        <w:t>第三条 乙方的责任：</w:t>
      </w:r>
    </w:p>
    <w:p w14:paraId="306B0CAD">
      <w:pPr>
        <w:spacing w:line="360" w:lineRule="auto"/>
        <w:ind w:firstLine="480" w:firstLineChars="200"/>
        <w:rPr>
          <w:rFonts w:hint="eastAsia" w:ascii="宋体" w:hAnsi="宋体" w:cs="宋体"/>
          <w:sz w:val="24"/>
          <w:szCs w:val="24"/>
        </w:rPr>
      </w:pPr>
      <w:r>
        <w:rPr>
          <w:rFonts w:hint="eastAsia" w:ascii="宋体" w:hAnsi="宋体" w:cs="宋体"/>
          <w:sz w:val="24"/>
          <w:szCs w:val="24"/>
        </w:rPr>
        <w:t>在与甲方业务交往过程中，按照有关法律法规和程序开展工作，严格执行国家的有关方针、政策，并遵守以下规定：</w:t>
      </w:r>
    </w:p>
    <w:p w14:paraId="585B5F78">
      <w:pPr>
        <w:spacing w:line="360" w:lineRule="auto"/>
        <w:ind w:firstLine="480" w:firstLineChars="200"/>
        <w:rPr>
          <w:rFonts w:hint="eastAsia" w:ascii="宋体" w:hAnsi="宋体" w:cs="宋体"/>
          <w:sz w:val="24"/>
          <w:szCs w:val="24"/>
        </w:rPr>
      </w:pPr>
      <w:r>
        <w:rPr>
          <w:rFonts w:hint="eastAsia" w:ascii="宋体" w:hAnsi="宋体" w:cs="宋体"/>
          <w:sz w:val="24"/>
          <w:szCs w:val="24"/>
        </w:rPr>
        <w:t>（一）不准以任何理由为甲方和相关单位报销应由对方或个人支付的费用；</w:t>
      </w:r>
    </w:p>
    <w:p w14:paraId="60AEE10D">
      <w:pPr>
        <w:spacing w:line="360" w:lineRule="auto"/>
        <w:ind w:firstLine="480" w:firstLineChars="200"/>
        <w:rPr>
          <w:rFonts w:hint="eastAsia" w:ascii="宋体" w:hAnsi="宋体" w:cs="宋体"/>
          <w:sz w:val="24"/>
          <w:szCs w:val="24"/>
        </w:rPr>
      </w:pPr>
      <w:r>
        <w:rPr>
          <w:rFonts w:hint="eastAsia" w:ascii="宋体" w:hAnsi="宋体" w:cs="宋体"/>
          <w:sz w:val="24"/>
          <w:szCs w:val="24"/>
        </w:rPr>
        <w:t>（二）不准以任何理由向甲方负责人及其工作人员赠送回扣、红包、礼金、购物卡、有价证券、贵重物品和好处费、感谢费等；</w:t>
      </w:r>
    </w:p>
    <w:p w14:paraId="511593B7">
      <w:pPr>
        <w:spacing w:line="360" w:lineRule="auto"/>
        <w:ind w:firstLine="480" w:firstLineChars="200"/>
        <w:rPr>
          <w:rFonts w:hint="eastAsia" w:ascii="宋体" w:hAnsi="宋体" w:cs="宋体"/>
          <w:sz w:val="24"/>
          <w:szCs w:val="24"/>
        </w:rPr>
      </w:pPr>
      <w:r>
        <w:rPr>
          <w:rFonts w:hint="eastAsia" w:ascii="宋体" w:hAnsi="宋体" w:cs="宋体"/>
          <w:sz w:val="24"/>
          <w:szCs w:val="24"/>
        </w:rPr>
        <w:t>（三）不准以任何理由为甲方、与甲方相关的单位或个人提供高消费宴请及娱乐活动；</w:t>
      </w:r>
    </w:p>
    <w:p w14:paraId="5A38FC3A">
      <w:pPr>
        <w:spacing w:line="360" w:lineRule="auto"/>
        <w:ind w:firstLine="480" w:firstLineChars="200"/>
        <w:rPr>
          <w:rFonts w:hint="eastAsia" w:ascii="宋体" w:hAnsi="宋体" w:cs="宋体"/>
          <w:sz w:val="24"/>
          <w:szCs w:val="24"/>
        </w:rPr>
      </w:pPr>
      <w:r>
        <w:rPr>
          <w:rFonts w:hint="eastAsia" w:ascii="宋体" w:hAnsi="宋体" w:cs="宋体"/>
          <w:sz w:val="24"/>
          <w:szCs w:val="24"/>
        </w:rPr>
        <w:t>（四）不准以任何理由为甲方、与甲方相关的单位或个人购置或提供通讯工具、交通工具和高档办公用品；</w:t>
      </w:r>
    </w:p>
    <w:p w14:paraId="11F254F0">
      <w:pPr>
        <w:spacing w:line="360" w:lineRule="auto"/>
        <w:ind w:firstLine="480" w:firstLineChars="200"/>
        <w:rPr>
          <w:rFonts w:hint="eastAsia" w:ascii="宋体" w:hAnsi="宋体" w:cs="宋体"/>
          <w:sz w:val="24"/>
          <w:szCs w:val="24"/>
        </w:rPr>
      </w:pPr>
      <w:r>
        <w:rPr>
          <w:rFonts w:hint="eastAsia" w:ascii="宋体" w:hAnsi="宋体" w:cs="宋体"/>
          <w:sz w:val="24"/>
          <w:szCs w:val="24"/>
        </w:rPr>
        <w:t>（五）不准接受或暗示为甲方、与甲方相关的单位或个人装修住房、婚丧嫁娶、配偶子女的工作安排以及境内外旅游等提供方便；</w:t>
      </w:r>
    </w:p>
    <w:p w14:paraId="5FDA4B1A">
      <w:pPr>
        <w:spacing w:line="360" w:lineRule="auto"/>
        <w:ind w:firstLine="480" w:firstLineChars="200"/>
        <w:rPr>
          <w:rFonts w:hint="eastAsia" w:ascii="宋体" w:hAnsi="宋体" w:cs="宋体"/>
          <w:sz w:val="24"/>
          <w:szCs w:val="24"/>
        </w:rPr>
      </w:pPr>
      <w:r>
        <w:rPr>
          <w:rFonts w:hint="eastAsia" w:ascii="宋体" w:hAnsi="宋体" w:cs="宋体"/>
          <w:sz w:val="24"/>
          <w:szCs w:val="24"/>
        </w:rPr>
        <w:t>（六）不准以谋取非正当利益为目的，擅自与甲方工作人员就业务问题进行私下商谈或者达成利益默契；</w:t>
      </w:r>
    </w:p>
    <w:p w14:paraId="1F6FE6A6">
      <w:pPr>
        <w:spacing w:line="360" w:lineRule="auto"/>
        <w:ind w:firstLine="480" w:firstLineChars="200"/>
        <w:rPr>
          <w:rFonts w:hint="eastAsia" w:ascii="宋体" w:hAnsi="宋体" w:cs="宋体"/>
          <w:sz w:val="24"/>
          <w:szCs w:val="24"/>
        </w:rPr>
      </w:pPr>
      <w:r>
        <w:rPr>
          <w:rFonts w:hint="eastAsia" w:ascii="宋体" w:hAnsi="宋体" w:cs="宋体"/>
          <w:sz w:val="24"/>
          <w:szCs w:val="24"/>
        </w:rPr>
        <w:t>（七）发现甲方工作人员有违反本廉洁协议书规定的，应向甲方单位举报（反映）。</w:t>
      </w:r>
    </w:p>
    <w:p w14:paraId="36CEFC4E">
      <w:pPr>
        <w:spacing w:line="360" w:lineRule="auto"/>
        <w:ind w:firstLine="480" w:firstLineChars="200"/>
        <w:rPr>
          <w:rFonts w:hint="eastAsia" w:ascii="宋体" w:hAnsi="宋体" w:cs="宋体"/>
          <w:sz w:val="24"/>
          <w:szCs w:val="24"/>
        </w:rPr>
      </w:pPr>
      <w:r>
        <w:rPr>
          <w:rFonts w:hint="eastAsia" w:ascii="宋体" w:hAnsi="宋体" w:cs="宋体"/>
          <w:sz w:val="24"/>
          <w:szCs w:val="24"/>
        </w:rPr>
        <w:t>第四条 相关责任</w:t>
      </w:r>
    </w:p>
    <w:p w14:paraId="37840F6F">
      <w:pPr>
        <w:spacing w:line="360" w:lineRule="auto"/>
        <w:ind w:firstLine="480" w:firstLineChars="200"/>
        <w:rPr>
          <w:rFonts w:hint="eastAsia" w:ascii="宋体" w:hAnsi="宋体" w:cs="宋体"/>
          <w:sz w:val="24"/>
          <w:szCs w:val="24"/>
        </w:rPr>
      </w:pPr>
      <w:r>
        <w:rPr>
          <w:rFonts w:hint="eastAsia" w:ascii="宋体" w:hAnsi="宋体" w:cs="宋体"/>
          <w:sz w:val="24"/>
          <w:szCs w:val="24"/>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2A38F1C4">
      <w:pPr>
        <w:spacing w:line="360" w:lineRule="auto"/>
        <w:ind w:firstLine="480" w:firstLineChars="200"/>
        <w:rPr>
          <w:rFonts w:hint="eastAsia" w:ascii="宋体" w:hAnsi="宋体" w:cs="宋体"/>
          <w:sz w:val="24"/>
          <w:szCs w:val="24"/>
        </w:rPr>
      </w:pPr>
      <w:r>
        <w:rPr>
          <w:rFonts w:hint="eastAsia" w:ascii="宋体" w:hAnsi="宋体" w:cs="宋体"/>
          <w:sz w:val="24"/>
          <w:szCs w:val="24"/>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1124694A">
      <w:pPr>
        <w:spacing w:line="360" w:lineRule="auto"/>
        <w:ind w:firstLine="480" w:firstLineChars="200"/>
        <w:rPr>
          <w:rFonts w:hint="eastAsia" w:ascii="宋体" w:hAnsi="宋体" w:cs="宋体"/>
          <w:sz w:val="24"/>
          <w:szCs w:val="24"/>
        </w:rPr>
      </w:pPr>
      <w:r>
        <w:rPr>
          <w:rFonts w:hint="eastAsia" w:ascii="宋体" w:hAnsi="宋体" w:cs="宋体"/>
          <w:sz w:val="24"/>
          <w:szCs w:val="24"/>
        </w:rPr>
        <w:t>（三）乙方违反本廉洁协议书第一、三条规定，发生行贿行为，经有关执纪执法部门或甲方纪检机构查证属实，甲方对乙方实施3年的市场禁入。</w:t>
      </w:r>
    </w:p>
    <w:p w14:paraId="6F924715">
      <w:pPr>
        <w:spacing w:line="360" w:lineRule="auto"/>
        <w:ind w:firstLine="480" w:firstLineChars="200"/>
        <w:rPr>
          <w:rFonts w:hint="eastAsia" w:ascii="宋体" w:hAnsi="宋体" w:cs="宋体"/>
          <w:sz w:val="24"/>
          <w:szCs w:val="24"/>
        </w:rPr>
      </w:pPr>
      <w:r>
        <w:rPr>
          <w:rFonts w:hint="eastAsia" w:ascii="宋体" w:hAnsi="宋体" w:cs="宋体"/>
          <w:sz w:val="24"/>
          <w:szCs w:val="24"/>
        </w:rPr>
        <w:t>第五条 协议书生效及法律效力</w:t>
      </w:r>
    </w:p>
    <w:p w14:paraId="23DB455C">
      <w:pPr>
        <w:spacing w:line="360" w:lineRule="auto"/>
        <w:ind w:firstLine="480" w:firstLineChars="200"/>
        <w:rPr>
          <w:rFonts w:hint="eastAsia" w:ascii="宋体" w:hAnsi="宋体" w:cs="宋体"/>
          <w:sz w:val="24"/>
          <w:szCs w:val="24"/>
        </w:rPr>
      </w:pPr>
      <w:r>
        <w:rPr>
          <w:rFonts w:hint="eastAsia" w:ascii="宋体" w:hAnsi="宋体" w:cs="宋体"/>
          <w:sz w:val="24"/>
          <w:szCs w:val="24"/>
        </w:rPr>
        <w:t>（一）本廉洁协议书作为建设工程造价咨询合同的附件，与建设工程造价咨询合同具有同等法律效力，经双方法定代表人或委托代理人签字并盖公章后立即生效。</w:t>
      </w:r>
    </w:p>
    <w:p w14:paraId="667B5157">
      <w:pPr>
        <w:pStyle w:val="6"/>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（二）除非甲乙双方另行签订新的廉洁协议书，否则本廉洁协议书在甲方与乙方存在业务关系期间均对双方产生约束力。</w:t>
      </w:r>
    </w:p>
    <w:p w14:paraId="512DC625">
      <w:pPr>
        <w:spacing w:line="360" w:lineRule="auto"/>
        <w:ind w:firstLine="480" w:firstLineChars="200"/>
        <w:rPr>
          <w:rFonts w:hint="eastAsia" w:ascii="宋体" w:hAnsi="宋体" w:cs="宋体"/>
          <w:sz w:val="24"/>
          <w:szCs w:val="24"/>
        </w:rPr>
      </w:pPr>
      <w:r>
        <w:rPr>
          <w:rFonts w:hint="eastAsia" w:ascii="宋体" w:hAnsi="宋体" w:cs="宋体"/>
          <w:sz w:val="24"/>
          <w:szCs w:val="24"/>
        </w:rPr>
        <w:t>第六条 协议书份数</w:t>
      </w:r>
    </w:p>
    <w:p w14:paraId="1AC53A8B">
      <w:pPr>
        <w:spacing w:line="360" w:lineRule="auto"/>
        <w:ind w:firstLine="480" w:firstLineChars="200"/>
        <w:rPr>
          <w:rFonts w:hint="eastAsia" w:ascii="宋体" w:hAnsi="宋体" w:cs="宋体"/>
          <w:sz w:val="24"/>
          <w:szCs w:val="24"/>
        </w:rPr>
      </w:pPr>
      <w:r>
        <w:rPr>
          <w:rFonts w:hint="eastAsia" w:ascii="宋体" w:hAnsi="宋体" w:cs="宋体"/>
          <w:sz w:val="24"/>
          <w:szCs w:val="24"/>
        </w:rPr>
        <w:t>本廉洁协议书一式</w:t>
      </w:r>
      <w:r>
        <w:rPr>
          <w:rFonts w:hint="eastAsia" w:ascii="宋体" w:hAnsi="宋体" w:cs="宋体"/>
          <w:sz w:val="24"/>
          <w:szCs w:val="24"/>
          <w:u w:val="single"/>
        </w:rPr>
        <w:t>10</w:t>
      </w:r>
      <w:r>
        <w:rPr>
          <w:rFonts w:hint="eastAsia" w:ascii="宋体" w:hAnsi="宋体" w:cs="宋体"/>
          <w:sz w:val="24"/>
          <w:szCs w:val="24"/>
        </w:rPr>
        <w:t>份，甲方</w:t>
      </w:r>
      <w:r>
        <w:rPr>
          <w:rFonts w:hint="eastAsia" w:ascii="宋体" w:hAnsi="宋体" w:cs="宋体"/>
          <w:sz w:val="24"/>
          <w:szCs w:val="24"/>
          <w:u w:val="single"/>
        </w:rPr>
        <w:t>5</w:t>
      </w:r>
      <w:r>
        <w:rPr>
          <w:rFonts w:hint="eastAsia" w:ascii="宋体" w:hAnsi="宋体" w:cs="宋体"/>
          <w:sz w:val="24"/>
          <w:szCs w:val="24"/>
        </w:rPr>
        <w:t>份，乙方</w:t>
      </w:r>
      <w:r>
        <w:rPr>
          <w:rFonts w:hint="eastAsia" w:ascii="宋体" w:hAnsi="宋体" w:cs="宋体"/>
          <w:sz w:val="24"/>
          <w:szCs w:val="24"/>
          <w:u w:val="single"/>
        </w:rPr>
        <w:t>5</w:t>
      </w:r>
      <w:r>
        <w:rPr>
          <w:rFonts w:hint="eastAsia" w:ascii="宋体" w:hAnsi="宋体" w:cs="宋体"/>
          <w:sz w:val="24"/>
          <w:szCs w:val="24"/>
        </w:rPr>
        <w:t>份。</w:t>
      </w:r>
    </w:p>
    <w:p w14:paraId="4B7307A3">
      <w:pPr>
        <w:pStyle w:val="9"/>
        <w:spacing w:after="0" w:line="360" w:lineRule="auto"/>
        <w:ind w:left="0" w:leftChars="0" w:firstLine="480" w:firstLineChars="200"/>
        <w:rPr>
          <w:rFonts w:hint="eastAsia" w:ascii="宋体" w:hAnsi="宋体" w:cs="宋体"/>
          <w:sz w:val="24"/>
          <w:szCs w:val="24"/>
        </w:rPr>
      </w:pPr>
    </w:p>
    <w:p w14:paraId="5D1E89B4">
      <w:pPr>
        <w:pStyle w:val="9"/>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甲乙双方确认在签订本廉洁协议书前已仔细阅读条款内容，甲乙双方对本廉洁协议书所产生的法律责任已清楚知悉并承诺遵守。</w:t>
      </w:r>
    </w:p>
    <w:p w14:paraId="3AE1F87D">
      <w:pPr>
        <w:spacing w:line="360" w:lineRule="auto"/>
        <w:ind w:firstLine="480" w:firstLineChars="200"/>
        <w:rPr>
          <w:rFonts w:hint="eastAsia" w:ascii="宋体" w:hAnsi="宋体" w:cs="宋体"/>
          <w:sz w:val="24"/>
          <w:szCs w:val="24"/>
        </w:rPr>
      </w:pPr>
    </w:p>
    <w:p w14:paraId="0BB4723B">
      <w:pPr>
        <w:spacing w:line="360" w:lineRule="auto"/>
        <w:ind w:firstLine="480" w:firstLineChars="200"/>
        <w:rPr>
          <w:rFonts w:hint="eastAsia" w:ascii="宋体" w:hAnsi="宋体" w:cs="宋体"/>
          <w:sz w:val="24"/>
          <w:szCs w:val="24"/>
        </w:rPr>
      </w:pPr>
    </w:p>
    <w:p w14:paraId="224E43B2">
      <w:pPr>
        <w:pStyle w:val="54"/>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甲方（盖章）：南方医科大学南方医院                                </w:t>
      </w:r>
    </w:p>
    <w:p w14:paraId="1A66AC64">
      <w:pPr>
        <w:pStyle w:val="54"/>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法定代表人</w:t>
      </w:r>
    </w:p>
    <w:p w14:paraId="2CAB42D6">
      <w:pPr>
        <w:pStyle w:val="54"/>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或</w:t>
      </w:r>
    </w:p>
    <w:p w14:paraId="17B234AB">
      <w:pPr>
        <w:pStyle w:val="54"/>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委托代理人：</w:t>
      </w:r>
    </w:p>
    <w:p w14:paraId="5FCC15B3">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14:paraId="71261A62">
      <w:pPr>
        <w:spacing w:line="360" w:lineRule="auto"/>
        <w:ind w:firstLine="480" w:firstLineChars="200"/>
        <w:rPr>
          <w:rFonts w:hint="eastAsia" w:ascii="宋体" w:hAnsi="宋体" w:cs="宋体"/>
          <w:sz w:val="24"/>
          <w:szCs w:val="24"/>
        </w:rPr>
      </w:pPr>
    </w:p>
    <w:p w14:paraId="53324D4A">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乙方（盖章）： </w:t>
      </w:r>
    </w:p>
    <w:p w14:paraId="46417B47">
      <w:pPr>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w:t>
      </w:r>
    </w:p>
    <w:p w14:paraId="7936C99B">
      <w:pPr>
        <w:spacing w:line="360" w:lineRule="auto"/>
        <w:ind w:firstLine="480" w:firstLineChars="200"/>
        <w:rPr>
          <w:rFonts w:hint="eastAsia" w:ascii="宋体" w:hAnsi="宋体" w:cs="宋体"/>
          <w:sz w:val="24"/>
          <w:szCs w:val="24"/>
        </w:rPr>
      </w:pPr>
      <w:r>
        <w:rPr>
          <w:rFonts w:hint="eastAsia" w:ascii="宋体" w:hAnsi="宋体" w:cs="宋体"/>
          <w:sz w:val="24"/>
          <w:szCs w:val="24"/>
        </w:rPr>
        <w:t>或</w:t>
      </w:r>
    </w:p>
    <w:p w14:paraId="31EDB95C">
      <w:pPr>
        <w:spacing w:line="360" w:lineRule="auto"/>
        <w:ind w:firstLine="480" w:firstLineChars="200"/>
        <w:rPr>
          <w:rFonts w:hint="eastAsia" w:ascii="宋体" w:hAnsi="宋体" w:cs="宋体"/>
          <w:sz w:val="24"/>
          <w:szCs w:val="24"/>
        </w:rPr>
      </w:pPr>
      <w:r>
        <w:rPr>
          <w:rFonts w:hint="eastAsia" w:ascii="宋体" w:hAnsi="宋体" w:cs="宋体"/>
          <w:sz w:val="24"/>
          <w:szCs w:val="24"/>
        </w:rPr>
        <w:t>委托代理人：</w:t>
      </w:r>
    </w:p>
    <w:p w14:paraId="52D7F5F6">
      <w:pPr>
        <w:spacing w:line="360" w:lineRule="auto"/>
        <w:ind w:firstLine="480" w:firstLineChars="200"/>
        <w:rPr>
          <w:rFonts w:hint="eastAsia" w:ascii="宋体" w:hAnsi="宋体" w:cs="宋体"/>
          <w:sz w:val="24"/>
          <w:szCs w:val="24"/>
        </w:rPr>
      </w:pPr>
    </w:p>
    <w:p w14:paraId="6838A15F">
      <w:pPr>
        <w:tabs>
          <w:tab w:val="left" w:pos="4395"/>
          <w:tab w:val="left" w:pos="4678"/>
        </w:tabs>
        <w:adjustRightInd w:val="0"/>
        <w:snapToGrid w:val="0"/>
        <w:spacing w:line="360" w:lineRule="auto"/>
        <w:jc w:val="left"/>
        <w:rPr>
          <w:rFonts w:hint="eastAsia" w:ascii="宋体" w:hAnsi="宋体"/>
          <w:sz w:val="24"/>
          <w:szCs w:val="24"/>
        </w:rPr>
      </w:pPr>
      <w:bookmarkStart w:id="2" w:name="OLE_LINK8"/>
      <w:bookmarkStart w:id="3" w:name="OLE_LINK9"/>
      <w:r>
        <w:rPr>
          <w:rFonts w:ascii="Times New Roman" w:hAnsi="Times New Roman"/>
          <w:szCs w:val="21"/>
        </w:rPr>
        <w:br w:type="page"/>
      </w:r>
      <w:bookmarkEnd w:id="2"/>
      <w:bookmarkEnd w:id="3"/>
      <w:r>
        <w:rPr>
          <w:rFonts w:hint="eastAsia" w:ascii="宋体" w:hAnsi="宋体"/>
          <w:bCs/>
          <w:sz w:val="28"/>
          <w:szCs w:val="28"/>
        </w:rPr>
        <w:t>附件3</w:t>
      </w:r>
    </w:p>
    <w:p w14:paraId="13B69915">
      <w:pPr>
        <w:spacing w:line="360" w:lineRule="auto"/>
        <w:ind w:firstLine="480" w:firstLineChars="200"/>
        <w:jc w:val="center"/>
        <w:rPr>
          <w:rFonts w:hint="eastAsia" w:ascii="宋体" w:hAnsi="宋体" w:cs="长城行楷体"/>
          <w:sz w:val="24"/>
          <w:szCs w:val="24"/>
        </w:rPr>
      </w:pPr>
      <w:r>
        <w:rPr>
          <w:rFonts w:hint="eastAsia" w:ascii="宋体" w:hAnsi="宋体" w:cs="长城行楷体"/>
          <w:sz w:val="24"/>
          <w:szCs w:val="24"/>
        </w:rPr>
        <w:t>保密协议</w:t>
      </w:r>
    </w:p>
    <w:p w14:paraId="73A84B77">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乙方作为甲方服务单位，乙方同意遵守甲方下列保密条款：</w:t>
      </w:r>
    </w:p>
    <w:p w14:paraId="50B48BB7">
      <w:pPr>
        <w:autoSpaceDE w:val="0"/>
        <w:autoSpaceDN w:val="0"/>
        <w:spacing w:line="360" w:lineRule="auto"/>
        <w:ind w:firstLine="480" w:firstLineChars="200"/>
        <w:outlineLvl w:val="0"/>
        <w:rPr>
          <w:rFonts w:hint="eastAsia" w:ascii="宋体" w:hAnsi="宋体" w:cs="长城行楷体"/>
          <w:sz w:val="24"/>
          <w:szCs w:val="24"/>
        </w:rPr>
      </w:pPr>
      <w:r>
        <w:rPr>
          <w:rFonts w:hint="eastAsia" w:ascii="宋体" w:hAnsi="宋体" w:cs="长城行楷体"/>
          <w:sz w:val="24"/>
          <w:szCs w:val="24"/>
        </w:rPr>
        <w:t>一、保密信息的范围</w:t>
      </w:r>
    </w:p>
    <w:p w14:paraId="6B837C3B">
      <w:pPr>
        <w:autoSpaceDE w:val="0"/>
        <w:autoSpaceDN w:val="0"/>
        <w:spacing w:line="360" w:lineRule="auto"/>
        <w:ind w:firstLine="480" w:firstLineChars="200"/>
        <w:rPr>
          <w:rFonts w:hint="eastAsia" w:ascii="宋体" w:hAnsi="宋体"/>
          <w:sz w:val="24"/>
          <w:szCs w:val="24"/>
          <w:lang w:val="zh-CN"/>
        </w:rPr>
      </w:pPr>
      <w:r>
        <w:rPr>
          <w:rFonts w:hint="eastAsia" w:ascii="宋体" w:hAnsi="宋体" w:cs="长城行楷体"/>
          <w:sz w:val="24"/>
          <w:szCs w:val="24"/>
        </w:rPr>
        <w:t>“保密信息”在本保密协议中是指乙方在为甲方提供服务工作的过程中所获取的重要工作信息。</w:t>
      </w:r>
      <w:r>
        <w:rPr>
          <w:rFonts w:hint="eastAsia" w:ascii="宋体" w:hAnsi="宋体"/>
          <w:sz w:val="24"/>
          <w:szCs w:val="24"/>
          <w:lang w:val="zh-CN"/>
        </w:rPr>
        <w:t>该保密信息包括但不限于投资计划、项目规模、项目计划、项目相关数据和图纸、招标文件资料及信息、合同、价格、成本、研究报告、会议资料和文件。</w:t>
      </w:r>
    </w:p>
    <w:p w14:paraId="0BC2FD59">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不论以何种形式或载于何种载体，无论在披露时是否以口头、图像或以书面方式表明其具有保密性，都视为甲方的保密信息。</w:t>
      </w:r>
    </w:p>
    <w:p w14:paraId="70543E79">
      <w:pPr>
        <w:autoSpaceDE w:val="0"/>
        <w:autoSpaceDN w:val="0"/>
        <w:spacing w:line="360" w:lineRule="auto"/>
        <w:ind w:firstLine="480" w:firstLineChars="200"/>
        <w:outlineLvl w:val="0"/>
        <w:rPr>
          <w:rFonts w:hint="eastAsia" w:ascii="宋体" w:hAnsi="宋体" w:cs="长城行楷体"/>
          <w:sz w:val="24"/>
          <w:szCs w:val="24"/>
        </w:rPr>
      </w:pPr>
      <w:r>
        <w:rPr>
          <w:rFonts w:hint="eastAsia" w:ascii="宋体" w:hAnsi="宋体" w:cs="长城行楷体"/>
          <w:sz w:val="24"/>
          <w:szCs w:val="24"/>
        </w:rPr>
        <w:t>二、乙方的保密义务</w:t>
      </w:r>
    </w:p>
    <w:p w14:paraId="13F7E163">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乙方对已知悉的甲方保密信息，在此同意：</w:t>
      </w:r>
    </w:p>
    <w:p w14:paraId="42872FC2">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（一）未经甲方事前书面批准，不论服务期间或以后，乙方及其工作人员不得以任何方式泄漏甲方的保密信息。</w:t>
      </w:r>
    </w:p>
    <w:p w14:paraId="04E61809">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（二）一旦服务工作终止，乙方及其工作人员将退还保存的属于甲方的所有保密信息及资料，如方案、制度、报告、合同等。</w:t>
      </w:r>
    </w:p>
    <w:p w14:paraId="3C193E82">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三、保密期限</w:t>
      </w:r>
    </w:p>
    <w:p w14:paraId="38C0390A">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保密期限包括但不限于：从获知甲方保密信息时起，至保密信息已由甲方通过合法途径让普通公众知悉时止。</w:t>
      </w:r>
    </w:p>
    <w:p w14:paraId="33DA5A16">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四、违约责任</w:t>
      </w:r>
    </w:p>
    <w:p w14:paraId="6EDC7774">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乙方违反本保密协议约定，甲方有权追究乙方的违约责任并单方解除</w:t>
      </w:r>
      <w:r>
        <w:rPr>
          <w:rFonts w:hint="eastAsia" w:ascii="宋体" w:hAnsi="宋体"/>
          <w:sz w:val="24"/>
          <w:szCs w:val="24"/>
          <w:lang w:val="zh-CN"/>
        </w:rPr>
        <w:t>建设工程造价咨询</w:t>
      </w:r>
      <w:r>
        <w:rPr>
          <w:rFonts w:hint="eastAsia" w:ascii="宋体" w:hAnsi="宋体" w:cs="长城行楷体"/>
          <w:sz w:val="24"/>
          <w:szCs w:val="24"/>
        </w:rPr>
        <w:t>合同。造成甲方损失的，甲方有权要求乙方进行赔偿并追究乙方其他的法律责任。</w:t>
      </w:r>
    </w:p>
    <w:p w14:paraId="7497DED3">
      <w:pPr>
        <w:autoSpaceDE w:val="0"/>
        <w:autoSpaceDN w:val="0"/>
        <w:spacing w:line="360" w:lineRule="auto"/>
        <w:ind w:firstLine="480" w:firstLineChars="200"/>
        <w:rPr>
          <w:rFonts w:hint="eastAsia" w:ascii="宋体" w:hAnsi="宋体" w:cs="长城行楷体"/>
          <w:sz w:val="24"/>
          <w:szCs w:val="24"/>
        </w:rPr>
      </w:pPr>
      <w:r>
        <w:rPr>
          <w:rFonts w:hint="eastAsia" w:ascii="宋体" w:hAnsi="宋体" w:cs="长城行楷体"/>
          <w:sz w:val="24"/>
          <w:szCs w:val="24"/>
        </w:rPr>
        <w:t>五、其他约定</w:t>
      </w:r>
    </w:p>
    <w:p w14:paraId="465212BF">
      <w:pPr>
        <w:autoSpaceDE w:val="0"/>
        <w:autoSpaceDN w:val="0"/>
        <w:spacing w:line="360" w:lineRule="auto"/>
        <w:ind w:firstLine="480" w:firstLineChars="200"/>
        <w:rPr>
          <w:rFonts w:hint="eastAsia" w:ascii="宋体" w:hAnsi="宋体"/>
          <w:sz w:val="24"/>
          <w:szCs w:val="24"/>
          <w:lang w:val="zh-CN"/>
        </w:rPr>
      </w:pPr>
      <w:r>
        <w:rPr>
          <w:rFonts w:hint="eastAsia" w:ascii="宋体" w:hAnsi="宋体"/>
          <w:sz w:val="24"/>
          <w:szCs w:val="24"/>
          <w:lang w:val="zh-CN"/>
        </w:rPr>
        <w:t>本</w:t>
      </w:r>
      <w:r>
        <w:rPr>
          <w:rFonts w:hint="eastAsia" w:ascii="宋体" w:hAnsi="宋体"/>
          <w:sz w:val="24"/>
          <w:szCs w:val="24"/>
        </w:rPr>
        <w:t>保密协议</w:t>
      </w:r>
      <w:r>
        <w:rPr>
          <w:rFonts w:hint="eastAsia" w:ascii="宋体" w:hAnsi="宋体"/>
          <w:sz w:val="24"/>
          <w:szCs w:val="24"/>
          <w:lang w:val="zh-CN"/>
        </w:rPr>
        <w:t>作为建设工程造价咨询合同的附件，与该合同具有同等的法律效力，经合同双方</w:t>
      </w:r>
      <w:r>
        <w:rPr>
          <w:rFonts w:hint="eastAsia" w:ascii="宋体" w:hAnsi="宋体"/>
          <w:sz w:val="24"/>
          <w:szCs w:val="24"/>
        </w:rPr>
        <w:t>法定代表人或委托代理人签名并加盖公章之日起</w:t>
      </w:r>
      <w:r>
        <w:rPr>
          <w:rFonts w:hint="eastAsia" w:ascii="宋体" w:hAnsi="宋体"/>
          <w:sz w:val="24"/>
          <w:szCs w:val="24"/>
          <w:lang w:val="zh-CN"/>
        </w:rPr>
        <w:t>生效。</w:t>
      </w:r>
    </w:p>
    <w:p w14:paraId="2A427180">
      <w:pPr>
        <w:autoSpaceDE w:val="0"/>
        <w:autoSpaceDN w:val="0"/>
        <w:spacing w:line="360" w:lineRule="auto"/>
        <w:ind w:firstLine="480" w:firstLineChars="200"/>
        <w:rPr>
          <w:rFonts w:hint="eastAsia" w:ascii="宋体" w:hAnsi="宋体"/>
          <w:sz w:val="24"/>
          <w:szCs w:val="24"/>
        </w:rPr>
      </w:pPr>
      <w:r>
        <w:rPr>
          <w:rFonts w:hint="eastAsia" w:ascii="宋体" w:hAnsi="宋体" w:cs="长城行楷体"/>
          <w:sz w:val="24"/>
          <w:szCs w:val="24"/>
        </w:rPr>
        <w:t>本保密协议一式拾</w:t>
      </w:r>
      <w:r>
        <w:rPr>
          <w:rFonts w:ascii="宋体" w:hAnsi="宋体" w:cs="长城行楷体"/>
          <w:sz w:val="24"/>
          <w:szCs w:val="24"/>
        </w:rPr>
        <w:t>份，</w:t>
      </w:r>
      <w:r>
        <w:rPr>
          <w:rFonts w:hint="eastAsia" w:ascii="宋体" w:hAnsi="宋体" w:cs="长城行楷体"/>
          <w:sz w:val="24"/>
          <w:szCs w:val="24"/>
        </w:rPr>
        <w:t>甲方执伍份，乙方</w:t>
      </w:r>
      <w:r>
        <w:rPr>
          <w:rFonts w:ascii="宋体" w:hAnsi="宋体" w:cs="长城行楷体"/>
          <w:sz w:val="24"/>
          <w:szCs w:val="24"/>
        </w:rPr>
        <w:t>执</w:t>
      </w:r>
      <w:r>
        <w:rPr>
          <w:rFonts w:hint="eastAsia" w:ascii="宋体" w:hAnsi="宋体" w:cs="长城行楷体"/>
          <w:sz w:val="24"/>
          <w:szCs w:val="24"/>
        </w:rPr>
        <w:t>伍份</w:t>
      </w:r>
      <w:r>
        <w:rPr>
          <w:rFonts w:ascii="宋体" w:hAnsi="宋体" w:cs="长城行楷体"/>
          <w:sz w:val="24"/>
          <w:szCs w:val="24"/>
        </w:rPr>
        <w:t>。</w:t>
      </w:r>
      <w:r>
        <w:rPr>
          <w:rFonts w:hint="eastAsia" w:ascii="宋体" w:hAnsi="宋体" w:cs="长城行楷体"/>
          <w:sz w:val="24"/>
          <w:szCs w:val="24"/>
        </w:rPr>
        <w:t>均具有同等法律效力。</w:t>
      </w:r>
    </w:p>
    <w:p w14:paraId="72E159F1">
      <w:pPr>
        <w:pStyle w:val="54"/>
        <w:adjustRightInd w:val="0"/>
        <w:snapToGrid w:val="0"/>
        <w:spacing w:after="0" w:line="360" w:lineRule="auto"/>
        <w:ind w:firstLine="480" w:firstLineChars="200"/>
        <w:jc w:val="left"/>
        <w:rPr>
          <w:rFonts w:hint="eastAsia" w:ascii="宋体" w:hAnsi="宋体" w:cs="宋体"/>
          <w:sz w:val="24"/>
          <w:szCs w:val="24"/>
        </w:rPr>
      </w:pPr>
    </w:p>
    <w:p w14:paraId="53D97768">
      <w:pPr>
        <w:pStyle w:val="54"/>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甲方（盖章）：南方医科大学南方医院                      </w:t>
      </w:r>
    </w:p>
    <w:p w14:paraId="7A62044A">
      <w:pPr>
        <w:pStyle w:val="54"/>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法定代表人</w:t>
      </w:r>
    </w:p>
    <w:p w14:paraId="120D913B">
      <w:pPr>
        <w:pStyle w:val="54"/>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或</w:t>
      </w:r>
    </w:p>
    <w:p w14:paraId="66EBE78D">
      <w:pPr>
        <w:pStyle w:val="54"/>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委托代理人：</w:t>
      </w:r>
    </w:p>
    <w:p w14:paraId="0B074124">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14:paraId="754AF278">
      <w:pPr>
        <w:spacing w:line="360" w:lineRule="auto"/>
        <w:ind w:firstLine="480" w:firstLineChars="200"/>
        <w:rPr>
          <w:rFonts w:hint="eastAsia" w:ascii="宋体" w:hAnsi="宋体" w:cs="宋体"/>
          <w:sz w:val="24"/>
          <w:szCs w:val="24"/>
        </w:rPr>
      </w:pPr>
    </w:p>
    <w:p w14:paraId="3B27CAB7">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乙方（盖章）： </w:t>
      </w:r>
    </w:p>
    <w:p w14:paraId="423E4D5D">
      <w:pPr>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w:t>
      </w:r>
    </w:p>
    <w:p w14:paraId="0D2B128E">
      <w:pPr>
        <w:spacing w:line="360" w:lineRule="auto"/>
        <w:ind w:firstLine="480" w:firstLineChars="200"/>
        <w:rPr>
          <w:rFonts w:hint="eastAsia" w:ascii="宋体" w:hAnsi="宋体" w:cs="宋体"/>
          <w:sz w:val="24"/>
          <w:szCs w:val="24"/>
        </w:rPr>
      </w:pPr>
      <w:r>
        <w:rPr>
          <w:rFonts w:hint="eastAsia" w:ascii="宋体" w:hAnsi="宋体" w:cs="宋体"/>
          <w:sz w:val="24"/>
          <w:szCs w:val="24"/>
        </w:rPr>
        <w:t>或</w:t>
      </w:r>
    </w:p>
    <w:p w14:paraId="3DC20CA8">
      <w:pPr>
        <w:spacing w:line="360" w:lineRule="auto"/>
        <w:ind w:firstLine="480" w:firstLineChars="200"/>
        <w:rPr>
          <w:rFonts w:hint="eastAsia" w:ascii="宋体" w:hAnsi="宋体" w:cs="宋体"/>
          <w:sz w:val="24"/>
          <w:szCs w:val="24"/>
        </w:rPr>
      </w:pPr>
      <w:r>
        <w:rPr>
          <w:rFonts w:hint="eastAsia" w:ascii="宋体" w:hAnsi="宋体" w:cs="宋体"/>
          <w:sz w:val="24"/>
          <w:szCs w:val="24"/>
        </w:rPr>
        <w:t>委托代理人：</w:t>
      </w:r>
    </w:p>
    <w:p w14:paraId="5F0B21E9">
      <w:pPr>
        <w:spacing w:line="360" w:lineRule="auto"/>
        <w:ind w:firstLine="480" w:firstLineChars="200"/>
        <w:rPr>
          <w:rFonts w:hint="eastAsia" w:ascii="宋体" w:hAnsi="宋体"/>
          <w:sz w:val="24"/>
          <w:szCs w:val="24"/>
        </w:rPr>
      </w:pPr>
    </w:p>
    <w:p w14:paraId="28CE6D5A">
      <w:pPr>
        <w:spacing w:line="360" w:lineRule="auto"/>
        <w:ind w:firstLine="480" w:firstLineChars="200"/>
        <w:rPr>
          <w:rFonts w:hint="eastAsia" w:ascii="宋体" w:hAnsi="宋体"/>
          <w:sz w:val="24"/>
          <w:szCs w:val="24"/>
        </w:rPr>
      </w:pPr>
    </w:p>
    <w:p w14:paraId="5F5FD689">
      <w:pPr>
        <w:spacing w:line="360" w:lineRule="auto"/>
        <w:ind w:firstLine="480" w:firstLineChars="200"/>
        <w:rPr>
          <w:rFonts w:hint="eastAsia" w:ascii="宋体" w:hAnsi="宋体"/>
          <w:sz w:val="24"/>
          <w:szCs w:val="24"/>
        </w:rPr>
      </w:pPr>
    </w:p>
    <w:p w14:paraId="7AF9259B">
      <w:pPr>
        <w:spacing w:line="360" w:lineRule="auto"/>
        <w:ind w:firstLine="480" w:firstLineChars="200"/>
        <w:rPr>
          <w:rFonts w:hint="eastAsia" w:ascii="宋体" w:hAnsi="宋体"/>
          <w:sz w:val="24"/>
          <w:szCs w:val="24"/>
        </w:rPr>
      </w:pPr>
    </w:p>
    <w:p w14:paraId="76B6ED7D">
      <w:pPr>
        <w:spacing w:line="360" w:lineRule="auto"/>
        <w:ind w:firstLine="480" w:firstLineChars="200"/>
        <w:rPr>
          <w:rFonts w:hint="eastAsia" w:ascii="宋体" w:hAnsi="宋体"/>
          <w:sz w:val="24"/>
          <w:szCs w:val="24"/>
        </w:rPr>
      </w:pPr>
    </w:p>
    <w:p w14:paraId="25DD3135">
      <w:pPr>
        <w:spacing w:line="360" w:lineRule="auto"/>
        <w:ind w:firstLine="480" w:firstLineChars="200"/>
        <w:rPr>
          <w:rFonts w:hint="eastAsia" w:ascii="宋体" w:hAnsi="宋体"/>
          <w:sz w:val="24"/>
          <w:szCs w:val="24"/>
        </w:rPr>
      </w:pPr>
    </w:p>
    <w:p w14:paraId="5438624D">
      <w:pPr>
        <w:spacing w:line="360" w:lineRule="auto"/>
        <w:ind w:firstLine="480" w:firstLineChars="200"/>
        <w:rPr>
          <w:rFonts w:hint="eastAsia" w:ascii="宋体" w:hAnsi="宋体"/>
          <w:sz w:val="24"/>
          <w:szCs w:val="24"/>
        </w:rPr>
      </w:pPr>
    </w:p>
    <w:p w14:paraId="6CBAA49C">
      <w:pPr>
        <w:spacing w:line="360" w:lineRule="auto"/>
        <w:ind w:firstLine="480" w:firstLineChars="200"/>
        <w:rPr>
          <w:rFonts w:hint="eastAsia" w:ascii="宋体" w:hAnsi="宋体"/>
          <w:sz w:val="24"/>
          <w:szCs w:val="24"/>
        </w:rPr>
      </w:pPr>
    </w:p>
    <w:p w14:paraId="4B166E14">
      <w:pPr>
        <w:spacing w:line="360" w:lineRule="auto"/>
        <w:ind w:firstLine="480" w:firstLineChars="200"/>
        <w:rPr>
          <w:rFonts w:hint="eastAsia" w:ascii="宋体" w:hAnsi="宋体"/>
          <w:sz w:val="24"/>
          <w:szCs w:val="24"/>
        </w:rPr>
      </w:pPr>
    </w:p>
    <w:p w14:paraId="1C134E1B">
      <w:pPr>
        <w:spacing w:line="360" w:lineRule="auto"/>
        <w:ind w:firstLine="480" w:firstLineChars="200"/>
        <w:rPr>
          <w:rFonts w:hint="eastAsia" w:ascii="宋体" w:hAnsi="宋体"/>
          <w:sz w:val="24"/>
          <w:szCs w:val="24"/>
        </w:rPr>
      </w:pPr>
    </w:p>
    <w:p w14:paraId="34CECCC7">
      <w:pPr>
        <w:spacing w:line="360" w:lineRule="auto"/>
        <w:ind w:firstLine="480" w:firstLineChars="200"/>
        <w:rPr>
          <w:rFonts w:hint="eastAsia" w:ascii="宋体" w:hAnsi="宋体"/>
          <w:sz w:val="24"/>
          <w:szCs w:val="24"/>
        </w:rPr>
      </w:pPr>
    </w:p>
    <w:p w14:paraId="61068099">
      <w:pPr>
        <w:spacing w:line="360" w:lineRule="auto"/>
        <w:ind w:firstLine="480" w:firstLineChars="200"/>
        <w:rPr>
          <w:rFonts w:hint="eastAsia" w:hAnsi="宋体"/>
          <w:sz w:val="28"/>
        </w:rPr>
      </w:pPr>
      <w:r>
        <w:rPr>
          <w:rFonts w:ascii="Times New Roman" w:hAnsi="Times New Roman"/>
          <w:sz w:val="24"/>
          <w:szCs w:val="24"/>
        </w:rPr>
        <w:br w:type="page"/>
      </w:r>
      <w:bookmarkStart w:id="4" w:name="OLE_LINK10"/>
      <w:bookmarkStart w:id="5" w:name="OLE_LINK11"/>
      <w:r>
        <w:rPr>
          <w:rFonts w:hint="eastAsia" w:hAnsi="宋体"/>
          <w:sz w:val="28"/>
        </w:rPr>
        <w:t>附件</w:t>
      </w:r>
      <w:r>
        <w:rPr>
          <w:rFonts w:hAnsi="宋体"/>
          <w:sz w:val="28"/>
        </w:rPr>
        <w:t>4</w:t>
      </w:r>
      <w:r>
        <w:rPr>
          <w:rFonts w:hint="eastAsia" w:hAnsi="宋体"/>
          <w:sz w:val="28"/>
        </w:rPr>
        <w:t>：投标报价表</w:t>
      </w:r>
      <w:bookmarkEnd w:id="4"/>
      <w:bookmarkEnd w:id="5"/>
    </w:p>
    <w:p w14:paraId="2259B7AC">
      <w:pPr>
        <w:spacing w:line="540" w:lineRule="exact"/>
        <w:rPr>
          <w:rFonts w:hint="eastAsia" w:ascii="宋体" w:hAnsi="宋体"/>
          <w:sz w:val="24"/>
          <w:szCs w:val="24"/>
        </w:rPr>
      </w:pPr>
    </w:p>
    <w:p w14:paraId="6EBEA2B5">
      <w:pPr>
        <w:spacing w:line="540" w:lineRule="exact"/>
        <w:rPr>
          <w:rFonts w:hint="eastAsia" w:ascii="宋体" w:hAnsi="宋体"/>
          <w:sz w:val="24"/>
          <w:szCs w:val="24"/>
        </w:rPr>
      </w:pPr>
    </w:p>
    <w:p w14:paraId="130D8472">
      <w:pPr>
        <w:spacing w:line="540" w:lineRule="exact"/>
        <w:rPr>
          <w:rFonts w:hint="eastAsia" w:ascii="宋体" w:hAnsi="宋体"/>
          <w:sz w:val="24"/>
          <w:szCs w:val="24"/>
        </w:rPr>
      </w:pPr>
    </w:p>
    <w:p w14:paraId="239ACF75">
      <w:pPr>
        <w:spacing w:line="540" w:lineRule="exact"/>
        <w:rPr>
          <w:rFonts w:hint="eastAsia" w:ascii="宋体" w:hAnsi="宋体"/>
          <w:sz w:val="24"/>
          <w:szCs w:val="24"/>
        </w:rPr>
      </w:pPr>
    </w:p>
    <w:p w14:paraId="447DCD5A">
      <w:pPr>
        <w:spacing w:line="540" w:lineRule="exact"/>
        <w:rPr>
          <w:rFonts w:hint="eastAsia" w:ascii="宋体" w:hAnsi="宋体"/>
          <w:sz w:val="24"/>
          <w:szCs w:val="24"/>
        </w:rPr>
      </w:pPr>
    </w:p>
    <w:p w14:paraId="78E5080F">
      <w:pPr>
        <w:spacing w:line="540" w:lineRule="exact"/>
        <w:rPr>
          <w:rFonts w:hint="eastAsia" w:ascii="宋体" w:hAnsi="宋体"/>
          <w:sz w:val="24"/>
          <w:szCs w:val="24"/>
        </w:rPr>
      </w:pPr>
    </w:p>
    <w:p w14:paraId="090F7E51">
      <w:pPr>
        <w:spacing w:line="540" w:lineRule="exact"/>
        <w:rPr>
          <w:rFonts w:hint="eastAsia" w:ascii="宋体" w:hAnsi="宋体"/>
          <w:sz w:val="24"/>
          <w:szCs w:val="24"/>
        </w:rPr>
      </w:pPr>
    </w:p>
    <w:p w14:paraId="4FCC0989">
      <w:pPr>
        <w:spacing w:line="540" w:lineRule="exact"/>
        <w:rPr>
          <w:rFonts w:hint="eastAsia" w:ascii="宋体" w:hAnsi="宋体"/>
          <w:sz w:val="24"/>
          <w:szCs w:val="24"/>
        </w:rPr>
      </w:pPr>
    </w:p>
    <w:p w14:paraId="46DAB674">
      <w:pPr>
        <w:spacing w:line="540" w:lineRule="exact"/>
        <w:rPr>
          <w:rFonts w:ascii="Times New Roman" w:hAnsi="Times New Roman"/>
          <w:szCs w:val="21"/>
        </w:rPr>
      </w:pPr>
      <w:r>
        <w:rPr>
          <w:rFonts w:ascii="Times New Roman" w:hAnsi="Times New Roman"/>
          <w:szCs w:val="21"/>
        </w:rPr>
        <w:br w:type="page"/>
      </w:r>
    </w:p>
    <w:p w14:paraId="01D43052">
      <w:pPr>
        <w:spacing w:line="540" w:lineRule="exact"/>
        <w:rPr>
          <w:rFonts w:ascii="Times New Roman" w:hAnsi="Times New Roman"/>
          <w:szCs w:val="21"/>
        </w:rPr>
      </w:pPr>
      <w:r>
        <w:rPr>
          <w:rFonts w:hint="eastAsia" w:hAnsi="宋体"/>
          <w:sz w:val="28"/>
        </w:rPr>
        <w:t>附件</w:t>
      </w:r>
      <w:r>
        <w:rPr>
          <w:rFonts w:hAnsi="宋体"/>
          <w:sz w:val="28"/>
        </w:rPr>
        <w:t>5</w:t>
      </w:r>
      <w:r>
        <w:rPr>
          <w:rFonts w:hint="eastAsia" w:hAnsi="宋体"/>
          <w:sz w:val="28"/>
        </w:rPr>
        <w:t>：拟投入本项目造价人员一览表</w:t>
      </w:r>
    </w:p>
    <w:p w14:paraId="373F7B98">
      <w:pPr>
        <w:spacing w:line="540" w:lineRule="exact"/>
        <w:rPr>
          <w:rFonts w:ascii="Times New Roman" w:hAnsi="Times New Roman"/>
          <w:szCs w:val="21"/>
        </w:rPr>
      </w:pPr>
    </w:p>
    <w:p w14:paraId="5F66D515">
      <w:pPr>
        <w:spacing w:line="540" w:lineRule="exact"/>
        <w:rPr>
          <w:rFonts w:ascii="Times New Roman" w:hAnsi="Times New Roman"/>
          <w:szCs w:val="21"/>
        </w:rPr>
      </w:pPr>
    </w:p>
    <w:p w14:paraId="11C84A1D">
      <w:pPr>
        <w:spacing w:line="540" w:lineRule="exact"/>
        <w:rPr>
          <w:rFonts w:hint="eastAsia" w:ascii="宋体" w:hAnsi="宋体"/>
          <w:sz w:val="24"/>
          <w:szCs w:val="24"/>
        </w:rPr>
      </w:pPr>
    </w:p>
    <w:bookmarkEnd w:id="6"/>
    <w:sectPr>
      <w:headerReference r:id="rId7" w:type="default"/>
      <w:footerReference r:id="rId8" w:type="default"/>
      <w:pgSz w:w="11906" w:h="16838"/>
      <w:pgMar w:top="1440" w:right="991" w:bottom="124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686062C1-E580-4102-93C7-C34D084CDC1C}"/>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BE5FB37A-89D8-4806-8C9A-EFBD570BE547}"/>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8613DF1B-23C4-4E4A-A3AE-866AE65AE9E8}"/>
  </w:font>
  <w:font w:name="华文中宋">
    <w:panose1 w:val="02010600040101010101"/>
    <w:charset w:val="86"/>
    <w:family w:val="auto"/>
    <w:pitch w:val="default"/>
    <w:sig w:usb0="00000287" w:usb1="080F0000" w:usb2="00000000" w:usb3="00000000" w:csb0="0004009F" w:csb1="DFD70000"/>
    <w:embedRegular r:id="rId4" w:fontKey="{08C3431F-E3ED-457F-ACFB-C26C61593067}"/>
  </w:font>
  <w:font w:name="长城行楷体">
    <w:altName w:val="宋体"/>
    <w:panose1 w:val="00000000000000000000"/>
    <w:charset w:val="86"/>
    <w:family w:val="modern"/>
    <w:pitch w:val="default"/>
    <w:sig w:usb0="00000000" w:usb1="00000000" w:usb2="00000010" w:usb3="00000000" w:csb0="00040000" w:csb1="00000000"/>
    <w:embedRegular r:id="rId5" w:fontKey="{2B3B0032-1B82-4B1F-B501-1FEA838235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7976">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w:t>
    </w:r>
    <w:r>
      <w:fldChar w:fldCharType="end"/>
    </w:r>
  </w:p>
  <w:p w14:paraId="035B0FB1">
    <w:pPr>
      <w:pStyle w:val="11"/>
      <w:jc w:val="center"/>
    </w:pPr>
  </w:p>
  <w:p w14:paraId="2498026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5AB4">
    <w:pPr>
      <w:pStyle w:val="11"/>
      <w:jc w:val="center"/>
    </w:pPr>
    <w:r>
      <w:t>1</w:t>
    </w:r>
  </w:p>
  <w:p w14:paraId="5F1F9E7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72D9">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37</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37</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C8B11">
    <w:pPr>
      <w:pStyle w:val="12"/>
    </w:pPr>
    <w:r>
      <w:rPr>
        <w:rFonts w:hint="eastAsia"/>
      </w:rPr>
      <w:t>南方医科大学南方医院医疗综合楼建设工程项目结算造价咨询服务采购项目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C83B">
    <w:pPr>
      <w:pStyle w:val="12"/>
    </w:pPr>
    <w:r>
      <w:rPr>
        <w:rFonts w:hint="eastAsia"/>
      </w:rPr>
      <w:t>南方医科大学南方医院医疗综合楼建设工程项目结算造价咨询服务采购项目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4757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chineseCountingThousand"/>
      <w:lvlText w:val="%1、"/>
      <w:lvlJc w:val="left"/>
      <w:pPr>
        <w:ind w:left="780" w:hanging="420"/>
      </w:pPr>
      <w:rPr>
        <w:rFonts w:hint="eastAsia"/>
      </w:rPr>
    </w:lvl>
    <w:lvl w:ilvl="1" w:tentative="0">
      <w:start w:val="1"/>
      <w:numFmt w:val="decimal"/>
      <w:lvlText w:val="%2．"/>
      <w:lvlJc w:val="left"/>
      <w:pPr>
        <w:ind w:left="1140" w:hanging="36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000000F"/>
    <w:multiLevelType w:val="multilevel"/>
    <w:tmpl w:val="000000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0"/>
    <w:multiLevelType w:val="multilevel"/>
    <w:tmpl w:val="0000001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12"/>
    <w:multiLevelType w:val="multilevel"/>
    <w:tmpl w:val="00000012"/>
    <w:lvl w:ilvl="0" w:tentative="0">
      <w:start w:val="1"/>
      <w:numFmt w:val="decimal"/>
      <w:lvlText w:val="%1."/>
      <w:lvlJc w:val="left"/>
      <w:pPr>
        <w:ind w:left="84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6"/>
    <w:multiLevelType w:val="multilevel"/>
    <w:tmpl w:val="00000016"/>
    <w:lvl w:ilvl="0" w:tentative="0">
      <w:start w:val="1"/>
      <w:numFmt w:val="chineseCountingThousand"/>
      <w:lvlText w:val="第%1章"/>
      <w:lvlJc w:val="left"/>
      <w:pPr>
        <w:ind w:left="1694" w:hanging="420"/>
      </w:pPr>
      <w:rPr>
        <w:rFonts w:hint="eastAsia"/>
      </w:rPr>
    </w:lvl>
    <w:lvl w:ilvl="1" w:tentative="0">
      <w:start w:val="1"/>
      <w:numFmt w:val="lowerLetter"/>
      <w:lvlText w:val="%2)"/>
      <w:lvlJc w:val="left"/>
      <w:pPr>
        <w:ind w:left="2114" w:hanging="420"/>
      </w:pPr>
    </w:lvl>
    <w:lvl w:ilvl="2" w:tentative="0">
      <w:start w:val="1"/>
      <w:numFmt w:val="lowerRoman"/>
      <w:lvlText w:val="%3."/>
      <w:lvlJc w:val="right"/>
      <w:pPr>
        <w:ind w:left="2534" w:hanging="420"/>
      </w:pPr>
    </w:lvl>
    <w:lvl w:ilvl="3" w:tentative="0">
      <w:start w:val="1"/>
      <w:numFmt w:val="decimal"/>
      <w:lvlText w:val="%4."/>
      <w:lvlJc w:val="left"/>
      <w:pPr>
        <w:ind w:left="2954" w:hanging="420"/>
      </w:pPr>
    </w:lvl>
    <w:lvl w:ilvl="4" w:tentative="0">
      <w:start w:val="1"/>
      <w:numFmt w:val="lowerLetter"/>
      <w:lvlText w:val="%5)"/>
      <w:lvlJc w:val="left"/>
      <w:pPr>
        <w:ind w:left="3374" w:hanging="420"/>
      </w:pPr>
    </w:lvl>
    <w:lvl w:ilvl="5" w:tentative="0">
      <w:start w:val="1"/>
      <w:numFmt w:val="lowerRoman"/>
      <w:lvlText w:val="%6."/>
      <w:lvlJc w:val="right"/>
      <w:pPr>
        <w:ind w:left="3794" w:hanging="420"/>
      </w:pPr>
    </w:lvl>
    <w:lvl w:ilvl="6" w:tentative="0">
      <w:start w:val="1"/>
      <w:numFmt w:val="decimal"/>
      <w:lvlText w:val="%7."/>
      <w:lvlJc w:val="left"/>
      <w:pPr>
        <w:ind w:left="4214" w:hanging="420"/>
      </w:pPr>
    </w:lvl>
    <w:lvl w:ilvl="7" w:tentative="0">
      <w:start w:val="1"/>
      <w:numFmt w:val="lowerLetter"/>
      <w:lvlText w:val="%8)"/>
      <w:lvlJc w:val="left"/>
      <w:pPr>
        <w:ind w:left="4634" w:hanging="420"/>
      </w:pPr>
    </w:lvl>
    <w:lvl w:ilvl="8" w:tentative="0">
      <w:start w:val="1"/>
      <w:numFmt w:val="lowerRoman"/>
      <w:lvlText w:val="%9."/>
      <w:lvlJc w:val="right"/>
      <w:pPr>
        <w:ind w:left="5054" w:hanging="420"/>
      </w:pPr>
    </w:lvl>
  </w:abstractNum>
  <w:abstractNum w:abstractNumId="5">
    <w:nsid w:val="00000019"/>
    <w:multiLevelType w:val="multilevel"/>
    <w:tmpl w:val="00000019"/>
    <w:lvl w:ilvl="0" w:tentative="0">
      <w:start w:val="1"/>
      <w:numFmt w:val="chineseCountingThousand"/>
      <w:lvlText w:val="第%1条、"/>
      <w:lvlJc w:val="left"/>
      <w:pPr>
        <w:ind w:left="420" w:hanging="420"/>
      </w:pPr>
      <w:rPr>
        <w:rFonts w:hint="eastAsia"/>
      </w:rPr>
    </w:lvl>
    <w:lvl w:ilvl="1" w:tentative="0">
      <w:start w:val="1"/>
      <w:numFmt w:val="chineseCountingThousand"/>
      <w:lvlText w:val="第%2条"/>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C"/>
    <w:multiLevelType w:val="multilevel"/>
    <w:tmpl w:val="0000001C"/>
    <w:lvl w:ilvl="0" w:tentative="0">
      <w:start w:val="1"/>
      <w:numFmt w:val="decimal"/>
      <w:lvlText w:val="%1."/>
      <w:lvlJc w:val="right"/>
      <w:pPr>
        <w:ind w:left="78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ZTY4YTFkMThmNjc0MzM3MTUyOTFhZWM2MjkxMWIifQ=="/>
  </w:docVars>
  <w:rsids>
    <w:rsidRoot w:val="00172A27"/>
    <w:rsid w:val="000378F6"/>
    <w:rsid w:val="00055E41"/>
    <w:rsid w:val="00056344"/>
    <w:rsid w:val="000605D5"/>
    <w:rsid w:val="000629CC"/>
    <w:rsid w:val="000630CE"/>
    <w:rsid w:val="00063E37"/>
    <w:rsid w:val="00064F5B"/>
    <w:rsid w:val="00070345"/>
    <w:rsid w:val="000735F7"/>
    <w:rsid w:val="000738AB"/>
    <w:rsid w:val="0007624A"/>
    <w:rsid w:val="0007791A"/>
    <w:rsid w:val="0008310C"/>
    <w:rsid w:val="000837DF"/>
    <w:rsid w:val="00083C78"/>
    <w:rsid w:val="00092981"/>
    <w:rsid w:val="00094707"/>
    <w:rsid w:val="000A27ED"/>
    <w:rsid w:val="000A2C26"/>
    <w:rsid w:val="000A59F1"/>
    <w:rsid w:val="000A60F6"/>
    <w:rsid w:val="000A7008"/>
    <w:rsid w:val="000B3011"/>
    <w:rsid w:val="000B4052"/>
    <w:rsid w:val="000B45BB"/>
    <w:rsid w:val="000B74E0"/>
    <w:rsid w:val="000C34DC"/>
    <w:rsid w:val="000C483C"/>
    <w:rsid w:val="000C4C8A"/>
    <w:rsid w:val="000C5266"/>
    <w:rsid w:val="000C6E7D"/>
    <w:rsid w:val="000D014B"/>
    <w:rsid w:val="000D66F6"/>
    <w:rsid w:val="000F0AB8"/>
    <w:rsid w:val="000F25D1"/>
    <w:rsid w:val="000F63A0"/>
    <w:rsid w:val="000F6FB5"/>
    <w:rsid w:val="000F73EE"/>
    <w:rsid w:val="000F7887"/>
    <w:rsid w:val="00101CE2"/>
    <w:rsid w:val="0010281E"/>
    <w:rsid w:val="00102ACA"/>
    <w:rsid w:val="00102B8C"/>
    <w:rsid w:val="00115E44"/>
    <w:rsid w:val="00115EE9"/>
    <w:rsid w:val="001259AE"/>
    <w:rsid w:val="00133129"/>
    <w:rsid w:val="00145ADD"/>
    <w:rsid w:val="00147338"/>
    <w:rsid w:val="00157797"/>
    <w:rsid w:val="00162258"/>
    <w:rsid w:val="00164F67"/>
    <w:rsid w:val="00170766"/>
    <w:rsid w:val="001710C4"/>
    <w:rsid w:val="00171286"/>
    <w:rsid w:val="0017206E"/>
    <w:rsid w:val="00172A27"/>
    <w:rsid w:val="00176184"/>
    <w:rsid w:val="001803FF"/>
    <w:rsid w:val="001844B4"/>
    <w:rsid w:val="001847A2"/>
    <w:rsid w:val="00187A9C"/>
    <w:rsid w:val="00190F61"/>
    <w:rsid w:val="00191C5C"/>
    <w:rsid w:val="001965AB"/>
    <w:rsid w:val="00196944"/>
    <w:rsid w:val="001A223B"/>
    <w:rsid w:val="001A638A"/>
    <w:rsid w:val="001A75F8"/>
    <w:rsid w:val="001C0ACD"/>
    <w:rsid w:val="001C153A"/>
    <w:rsid w:val="001D0677"/>
    <w:rsid w:val="001D179E"/>
    <w:rsid w:val="001D34B3"/>
    <w:rsid w:val="001E098C"/>
    <w:rsid w:val="001E4D6E"/>
    <w:rsid w:val="001F12C1"/>
    <w:rsid w:val="001F5035"/>
    <w:rsid w:val="002007D2"/>
    <w:rsid w:val="0020650A"/>
    <w:rsid w:val="00210F09"/>
    <w:rsid w:val="002116D2"/>
    <w:rsid w:val="0021413E"/>
    <w:rsid w:val="00214393"/>
    <w:rsid w:val="00215D30"/>
    <w:rsid w:val="00220524"/>
    <w:rsid w:val="0022250B"/>
    <w:rsid w:val="002226C2"/>
    <w:rsid w:val="002232D6"/>
    <w:rsid w:val="00223701"/>
    <w:rsid w:val="00230A67"/>
    <w:rsid w:val="00231454"/>
    <w:rsid w:val="00235897"/>
    <w:rsid w:val="002373B9"/>
    <w:rsid w:val="00237D1B"/>
    <w:rsid w:val="002464DC"/>
    <w:rsid w:val="002476DD"/>
    <w:rsid w:val="00251FB2"/>
    <w:rsid w:val="00252902"/>
    <w:rsid w:val="002539EA"/>
    <w:rsid w:val="00254305"/>
    <w:rsid w:val="00254B56"/>
    <w:rsid w:val="0026241D"/>
    <w:rsid w:val="0026300F"/>
    <w:rsid w:val="00264DAD"/>
    <w:rsid w:val="00264F59"/>
    <w:rsid w:val="0026653F"/>
    <w:rsid w:val="00267107"/>
    <w:rsid w:val="00272037"/>
    <w:rsid w:val="00280552"/>
    <w:rsid w:val="00281953"/>
    <w:rsid w:val="00287FDD"/>
    <w:rsid w:val="00291552"/>
    <w:rsid w:val="00294999"/>
    <w:rsid w:val="002A5ED8"/>
    <w:rsid w:val="002B0C00"/>
    <w:rsid w:val="002B0ED2"/>
    <w:rsid w:val="002B0F5A"/>
    <w:rsid w:val="002B1078"/>
    <w:rsid w:val="002B1499"/>
    <w:rsid w:val="002C3882"/>
    <w:rsid w:val="002D12B8"/>
    <w:rsid w:val="002D1341"/>
    <w:rsid w:val="002D48B0"/>
    <w:rsid w:val="002D59DA"/>
    <w:rsid w:val="002D6ABA"/>
    <w:rsid w:val="002D6E67"/>
    <w:rsid w:val="002D6EA8"/>
    <w:rsid w:val="002D7E93"/>
    <w:rsid w:val="002E5CDB"/>
    <w:rsid w:val="002F68AE"/>
    <w:rsid w:val="00302A49"/>
    <w:rsid w:val="00305E1D"/>
    <w:rsid w:val="00321B88"/>
    <w:rsid w:val="003232C3"/>
    <w:rsid w:val="00324A2B"/>
    <w:rsid w:val="00324C1B"/>
    <w:rsid w:val="00325BB2"/>
    <w:rsid w:val="00331DE9"/>
    <w:rsid w:val="00332254"/>
    <w:rsid w:val="003324C6"/>
    <w:rsid w:val="003432AD"/>
    <w:rsid w:val="0034382B"/>
    <w:rsid w:val="00343D56"/>
    <w:rsid w:val="003467D7"/>
    <w:rsid w:val="00351DFC"/>
    <w:rsid w:val="0035516D"/>
    <w:rsid w:val="00355CAF"/>
    <w:rsid w:val="00357FD0"/>
    <w:rsid w:val="0037065B"/>
    <w:rsid w:val="0037545D"/>
    <w:rsid w:val="00382755"/>
    <w:rsid w:val="00382B53"/>
    <w:rsid w:val="00384F35"/>
    <w:rsid w:val="00386FF0"/>
    <w:rsid w:val="00395EF1"/>
    <w:rsid w:val="003A4265"/>
    <w:rsid w:val="003B3CF0"/>
    <w:rsid w:val="003B5A50"/>
    <w:rsid w:val="003C14E3"/>
    <w:rsid w:val="003C52E8"/>
    <w:rsid w:val="003C7A80"/>
    <w:rsid w:val="003D03E1"/>
    <w:rsid w:val="003D4104"/>
    <w:rsid w:val="003E20FA"/>
    <w:rsid w:val="003E2AB4"/>
    <w:rsid w:val="003E6CAA"/>
    <w:rsid w:val="003E7C77"/>
    <w:rsid w:val="00405445"/>
    <w:rsid w:val="00405E67"/>
    <w:rsid w:val="0040782B"/>
    <w:rsid w:val="004121E7"/>
    <w:rsid w:val="00416406"/>
    <w:rsid w:val="00421EBC"/>
    <w:rsid w:val="004226CF"/>
    <w:rsid w:val="00426289"/>
    <w:rsid w:val="00432D45"/>
    <w:rsid w:val="0043566C"/>
    <w:rsid w:val="004433E3"/>
    <w:rsid w:val="004464D9"/>
    <w:rsid w:val="00446514"/>
    <w:rsid w:val="00454720"/>
    <w:rsid w:val="004619F6"/>
    <w:rsid w:val="00462068"/>
    <w:rsid w:val="004679BB"/>
    <w:rsid w:val="00470695"/>
    <w:rsid w:val="00474041"/>
    <w:rsid w:val="00476F9F"/>
    <w:rsid w:val="00480696"/>
    <w:rsid w:val="004845E3"/>
    <w:rsid w:val="00486374"/>
    <w:rsid w:val="0049737D"/>
    <w:rsid w:val="004A1A45"/>
    <w:rsid w:val="004A5D6A"/>
    <w:rsid w:val="004B6098"/>
    <w:rsid w:val="004B6ED4"/>
    <w:rsid w:val="004C0DA3"/>
    <w:rsid w:val="004C1FF9"/>
    <w:rsid w:val="004C20A2"/>
    <w:rsid w:val="004C2BF7"/>
    <w:rsid w:val="004D203F"/>
    <w:rsid w:val="004D469F"/>
    <w:rsid w:val="004D6900"/>
    <w:rsid w:val="004E7C2B"/>
    <w:rsid w:val="00501775"/>
    <w:rsid w:val="00504227"/>
    <w:rsid w:val="00505A22"/>
    <w:rsid w:val="0052087F"/>
    <w:rsid w:val="00520EDB"/>
    <w:rsid w:val="005220AA"/>
    <w:rsid w:val="00534FE3"/>
    <w:rsid w:val="00540AEC"/>
    <w:rsid w:val="0054493C"/>
    <w:rsid w:val="005452C1"/>
    <w:rsid w:val="00546F76"/>
    <w:rsid w:val="0055245E"/>
    <w:rsid w:val="005577B0"/>
    <w:rsid w:val="0056293F"/>
    <w:rsid w:val="00562B70"/>
    <w:rsid w:val="00570887"/>
    <w:rsid w:val="0058789D"/>
    <w:rsid w:val="005914ED"/>
    <w:rsid w:val="005918B7"/>
    <w:rsid w:val="00595E96"/>
    <w:rsid w:val="005A37E8"/>
    <w:rsid w:val="005A3AE9"/>
    <w:rsid w:val="005A44C8"/>
    <w:rsid w:val="005A44F2"/>
    <w:rsid w:val="005A5A21"/>
    <w:rsid w:val="005A5AA9"/>
    <w:rsid w:val="005A78C4"/>
    <w:rsid w:val="005B124C"/>
    <w:rsid w:val="005B26EB"/>
    <w:rsid w:val="005C03C2"/>
    <w:rsid w:val="005C08A3"/>
    <w:rsid w:val="005C36B6"/>
    <w:rsid w:val="005D3DD7"/>
    <w:rsid w:val="005E1E02"/>
    <w:rsid w:val="005F2F29"/>
    <w:rsid w:val="005F373B"/>
    <w:rsid w:val="005F3C38"/>
    <w:rsid w:val="005F3E79"/>
    <w:rsid w:val="005F6133"/>
    <w:rsid w:val="005F6FC1"/>
    <w:rsid w:val="00605C0A"/>
    <w:rsid w:val="00612F8E"/>
    <w:rsid w:val="006210F8"/>
    <w:rsid w:val="006253C0"/>
    <w:rsid w:val="006268D7"/>
    <w:rsid w:val="006412B4"/>
    <w:rsid w:val="00645F07"/>
    <w:rsid w:val="006531BD"/>
    <w:rsid w:val="00654BC5"/>
    <w:rsid w:val="00655BF0"/>
    <w:rsid w:val="00661E16"/>
    <w:rsid w:val="0066517C"/>
    <w:rsid w:val="0066558D"/>
    <w:rsid w:val="0067015A"/>
    <w:rsid w:val="0068134B"/>
    <w:rsid w:val="006874EF"/>
    <w:rsid w:val="006A017A"/>
    <w:rsid w:val="006A080A"/>
    <w:rsid w:val="006A3C72"/>
    <w:rsid w:val="006B79C9"/>
    <w:rsid w:val="006C4453"/>
    <w:rsid w:val="006C594A"/>
    <w:rsid w:val="006D3132"/>
    <w:rsid w:val="006D5390"/>
    <w:rsid w:val="006E0FF6"/>
    <w:rsid w:val="006E5E47"/>
    <w:rsid w:val="006E7284"/>
    <w:rsid w:val="006F262D"/>
    <w:rsid w:val="006F271D"/>
    <w:rsid w:val="006F4935"/>
    <w:rsid w:val="006F4E83"/>
    <w:rsid w:val="006F650A"/>
    <w:rsid w:val="00702733"/>
    <w:rsid w:val="00703052"/>
    <w:rsid w:val="00703B50"/>
    <w:rsid w:val="00704450"/>
    <w:rsid w:val="00704890"/>
    <w:rsid w:val="00705ACC"/>
    <w:rsid w:val="00710360"/>
    <w:rsid w:val="00710C67"/>
    <w:rsid w:val="00711DBD"/>
    <w:rsid w:val="0071247A"/>
    <w:rsid w:val="007129AA"/>
    <w:rsid w:val="007137BA"/>
    <w:rsid w:val="00714909"/>
    <w:rsid w:val="00716FA6"/>
    <w:rsid w:val="00721322"/>
    <w:rsid w:val="00730B28"/>
    <w:rsid w:val="00731408"/>
    <w:rsid w:val="0073228F"/>
    <w:rsid w:val="00736BF2"/>
    <w:rsid w:val="00736ECC"/>
    <w:rsid w:val="00742095"/>
    <w:rsid w:val="00744719"/>
    <w:rsid w:val="007454BE"/>
    <w:rsid w:val="00750CFC"/>
    <w:rsid w:val="00754936"/>
    <w:rsid w:val="00755B59"/>
    <w:rsid w:val="007571D6"/>
    <w:rsid w:val="0075791F"/>
    <w:rsid w:val="0076099F"/>
    <w:rsid w:val="00762992"/>
    <w:rsid w:val="0078221D"/>
    <w:rsid w:val="00792A8F"/>
    <w:rsid w:val="00796CC8"/>
    <w:rsid w:val="007A040B"/>
    <w:rsid w:val="007A1030"/>
    <w:rsid w:val="007A36E8"/>
    <w:rsid w:val="007B15F4"/>
    <w:rsid w:val="007B1FBC"/>
    <w:rsid w:val="007C06EB"/>
    <w:rsid w:val="007C5CAF"/>
    <w:rsid w:val="007D2A7A"/>
    <w:rsid w:val="007D507B"/>
    <w:rsid w:val="007D587D"/>
    <w:rsid w:val="007D7B40"/>
    <w:rsid w:val="007E4A1B"/>
    <w:rsid w:val="007E5243"/>
    <w:rsid w:val="007F2935"/>
    <w:rsid w:val="007F33F4"/>
    <w:rsid w:val="007F3679"/>
    <w:rsid w:val="007F6B79"/>
    <w:rsid w:val="00801E5B"/>
    <w:rsid w:val="008141F3"/>
    <w:rsid w:val="00816218"/>
    <w:rsid w:val="0081730B"/>
    <w:rsid w:val="008208D8"/>
    <w:rsid w:val="00820A6C"/>
    <w:rsid w:val="00824567"/>
    <w:rsid w:val="00826D53"/>
    <w:rsid w:val="008361AF"/>
    <w:rsid w:val="0084148D"/>
    <w:rsid w:val="0084261C"/>
    <w:rsid w:val="0084371C"/>
    <w:rsid w:val="00846565"/>
    <w:rsid w:val="00846DC0"/>
    <w:rsid w:val="00847BEB"/>
    <w:rsid w:val="00851EA8"/>
    <w:rsid w:val="00854B25"/>
    <w:rsid w:val="00854D43"/>
    <w:rsid w:val="008561A3"/>
    <w:rsid w:val="0086077F"/>
    <w:rsid w:val="00863EA3"/>
    <w:rsid w:val="00866A3F"/>
    <w:rsid w:val="00872129"/>
    <w:rsid w:val="00872500"/>
    <w:rsid w:val="00876EFC"/>
    <w:rsid w:val="00881561"/>
    <w:rsid w:val="00883342"/>
    <w:rsid w:val="00885003"/>
    <w:rsid w:val="008941F3"/>
    <w:rsid w:val="008A307D"/>
    <w:rsid w:val="008A3103"/>
    <w:rsid w:val="008A365C"/>
    <w:rsid w:val="008A5D4A"/>
    <w:rsid w:val="008A6CEC"/>
    <w:rsid w:val="008A6E34"/>
    <w:rsid w:val="008A7066"/>
    <w:rsid w:val="008A7BA2"/>
    <w:rsid w:val="008B59CE"/>
    <w:rsid w:val="008B5C19"/>
    <w:rsid w:val="008C4327"/>
    <w:rsid w:val="008C6246"/>
    <w:rsid w:val="008C7961"/>
    <w:rsid w:val="008C7C5D"/>
    <w:rsid w:val="008D002C"/>
    <w:rsid w:val="008D2805"/>
    <w:rsid w:val="008E149A"/>
    <w:rsid w:val="008E298D"/>
    <w:rsid w:val="008E4137"/>
    <w:rsid w:val="008F0A55"/>
    <w:rsid w:val="008F12B5"/>
    <w:rsid w:val="008F3C32"/>
    <w:rsid w:val="008F5F87"/>
    <w:rsid w:val="009014F0"/>
    <w:rsid w:val="00914A56"/>
    <w:rsid w:val="00921D1B"/>
    <w:rsid w:val="00923780"/>
    <w:rsid w:val="00931945"/>
    <w:rsid w:val="00934836"/>
    <w:rsid w:val="00943A1C"/>
    <w:rsid w:val="0094407C"/>
    <w:rsid w:val="00945402"/>
    <w:rsid w:val="009528F0"/>
    <w:rsid w:val="009534FB"/>
    <w:rsid w:val="009557AC"/>
    <w:rsid w:val="0096007C"/>
    <w:rsid w:val="00963725"/>
    <w:rsid w:val="009666FF"/>
    <w:rsid w:val="009674B6"/>
    <w:rsid w:val="00971F7F"/>
    <w:rsid w:val="00974D05"/>
    <w:rsid w:val="00986058"/>
    <w:rsid w:val="009863FA"/>
    <w:rsid w:val="0099056A"/>
    <w:rsid w:val="00990C5F"/>
    <w:rsid w:val="009924C4"/>
    <w:rsid w:val="00996AF9"/>
    <w:rsid w:val="009A3B08"/>
    <w:rsid w:val="009A3F39"/>
    <w:rsid w:val="009A3FEE"/>
    <w:rsid w:val="009A46DB"/>
    <w:rsid w:val="009A735B"/>
    <w:rsid w:val="009A7BB6"/>
    <w:rsid w:val="009B6546"/>
    <w:rsid w:val="009C1D03"/>
    <w:rsid w:val="009C2E40"/>
    <w:rsid w:val="009D2938"/>
    <w:rsid w:val="009D460F"/>
    <w:rsid w:val="009E28B1"/>
    <w:rsid w:val="009E6855"/>
    <w:rsid w:val="009F4F1D"/>
    <w:rsid w:val="009F67C1"/>
    <w:rsid w:val="00A00A54"/>
    <w:rsid w:val="00A00FEA"/>
    <w:rsid w:val="00A01272"/>
    <w:rsid w:val="00A02E32"/>
    <w:rsid w:val="00A06F7B"/>
    <w:rsid w:val="00A07567"/>
    <w:rsid w:val="00A15E86"/>
    <w:rsid w:val="00A1612B"/>
    <w:rsid w:val="00A226B5"/>
    <w:rsid w:val="00A27040"/>
    <w:rsid w:val="00A334CA"/>
    <w:rsid w:val="00A33B4A"/>
    <w:rsid w:val="00A34EA0"/>
    <w:rsid w:val="00A36538"/>
    <w:rsid w:val="00A40981"/>
    <w:rsid w:val="00A55AD5"/>
    <w:rsid w:val="00A57381"/>
    <w:rsid w:val="00A61DA5"/>
    <w:rsid w:val="00A65A90"/>
    <w:rsid w:val="00A66FB3"/>
    <w:rsid w:val="00A671AA"/>
    <w:rsid w:val="00A70890"/>
    <w:rsid w:val="00A71206"/>
    <w:rsid w:val="00A74985"/>
    <w:rsid w:val="00A8035A"/>
    <w:rsid w:val="00A80C93"/>
    <w:rsid w:val="00A847C9"/>
    <w:rsid w:val="00A85BB9"/>
    <w:rsid w:val="00A924C0"/>
    <w:rsid w:val="00AA3FE5"/>
    <w:rsid w:val="00AB10FE"/>
    <w:rsid w:val="00AB4625"/>
    <w:rsid w:val="00AC56BF"/>
    <w:rsid w:val="00AC57FB"/>
    <w:rsid w:val="00AD2777"/>
    <w:rsid w:val="00AD42D2"/>
    <w:rsid w:val="00AD45A3"/>
    <w:rsid w:val="00AE258B"/>
    <w:rsid w:val="00AE2CE4"/>
    <w:rsid w:val="00AE5D31"/>
    <w:rsid w:val="00AE7812"/>
    <w:rsid w:val="00AF1BAB"/>
    <w:rsid w:val="00AF3F97"/>
    <w:rsid w:val="00AF4637"/>
    <w:rsid w:val="00AF7068"/>
    <w:rsid w:val="00B1133A"/>
    <w:rsid w:val="00B11F49"/>
    <w:rsid w:val="00B144CF"/>
    <w:rsid w:val="00B21B84"/>
    <w:rsid w:val="00B21BF4"/>
    <w:rsid w:val="00B239FA"/>
    <w:rsid w:val="00B240AC"/>
    <w:rsid w:val="00B25AB3"/>
    <w:rsid w:val="00B31B60"/>
    <w:rsid w:val="00B364C7"/>
    <w:rsid w:val="00B41B0F"/>
    <w:rsid w:val="00B43738"/>
    <w:rsid w:val="00B51107"/>
    <w:rsid w:val="00B53FDD"/>
    <w:rsid w:val="00B554AA"/>
    <w:rsid w:val="00B57CC8"/>
    <w:rsid w:val="00B61486"/>
    <w:rsid w:val="00B6649D"/>
    <w:rsid w:val="00B716C0"/>
    <w:rsid w:val="00B73903"/>
    <w:rsid w:val="00B76D01"/>
    <w:rsid w:val="00B80F69"/>
    <w:rsid w:val="00B8637A"/>
    <w:rsid w:val="00B90547"/>
    <w:rsid w:val="00B9144F"/>
    <w:rsid w:val="00B95113"/>
    <w:rsid w:val="00BA0742"/>
    <w:rsid w:val="00BA3D1F"/>
    <w:rsid w:val="00BA5B6E"/>
    <w:rsid w:val="00BA6AE3"/>
    <w:rsid w:val="00BB2D73"/>
    <w:rsid w:val="00BB38DF"/>
    <w:rsid w:val="00BB3D72"/>
    <w:rsid w:val="00BB5882"/>
    <w:rsid w:val="00BB5ABD"/>
    <w:rsid w:val="00BB604E"/>
    <w:rsid w:val="00BC2C05"/>
    <w:rsid w:val="00BC407B"/>
    <w:rsid w:val="00BC5B1F"/>
    <w:rsid w:val="00BC61A5"/>
    <w:rsid w:val="00BC6E78"/>
    <w:rsid w:val="00BD05BC"/>
    <w:rsid w:val="00BD2759"/>
    <w:rsid w:val="00BD2A37"/>
    <w:rsid w:val="00BD3915"/>
    <w:rsid w:val="00BD41CA"/>
    <w:rsid w:val="00BD6513"/>
    <w:rsid w:val="00BD685D"/>
    <w:rsid w:val="00BE076E"/>
    <w:rsid w:val="00BE0FFE"/>
    <w:rsid w:val="00BE7FB2"/>
    <w:rsid w:val="00BF083A"/>
    <w:rsid w:val="00BF2A51"/>
    <w:rsid w:val="00BF38C4"/>
    <w:rsid w:val="00C00849"/>
    <w:rsid w:val="00C04AD0"/>
    <w:rsid w:val="00C10452"/>
    <w:rsid w:val="00C1737B"/>
    <w:rsid w:val="00C20317"/>
    <w:rsid w:val="00C22B56"/>
    <w:rsid w:val="00C23AF4"/>
    <w:rsid w:val="00C2592C"/>
    <w:rsid w:val="00C43CF8"/>
    <w:rsid w:val="00C515AE"/>
    <w:rsid w:val="00C5233F"/>
    <w:rsid w:val="00C57001"/>
    <w:rsid w:val="00C575BD"/>
    <w:rsid w:val="00C6602A"/>
    <w:rsid w:val="00C666E0"/>
    <w:rsid w:val="00C679D5"/>
    <w:rsid w:val="00C70549"/>
    <w:rsid w:val="00C80E35"/>
    <w:rsid w:val="00C829CF"/>
    <w:rsid w:val="00C848B7"/>
    <w:rsid w:val="00C94C34"/>
    <w:rsid w:val="00CA07C8"/>
    <w:rsid w:val="00CA2D97"/>
    <w:rsid w:val="00CA6F93"/>
    <w:rsid w:val="00CB202B"/>
    <w:rsid w:val="00CB28A8"/>
    <w:rsid w:val="00CC09CC"/>
    <w:rsid w:val="00CD04FF"/>
    <w:rsid w:val="00CE1B39"/>
    <w:rsid w:val="00CE4B97"/>
    <w:rsid w:val="00CF304A"/>
    <w:rsid w:val="00CF3DB0"/>
    <w:rsid w:val="00CF78AD"/>
    <w:rsid w:val="00D0299D"/>
    <w:rsid w:val="00D05335"/>
    <w:rsid w:val="00D06E69"/>
    <w:rsid w:val="00D12F14"/>
    <w:rsid w:val="00D142D4"/>
    <w:rsid w:val="00D211B2"/>
    <w:rsid w:val="00D24D87"/>
    <w:rsid w:val="00D31BD1"/>
    <w:rsid w:val="00D32C13"/>
    <w:rsid w:val="00D443C7"/>
    <w:rsid w:val="00D444A3"/>
    <w:rsid w:val="00D46B68"/>
    <w:rsid w:val="00D50C98"/>
    <w:rsid w:val="00D53BF2"/>
    <w:rsid w:val="00D60788"/>
    <w:rsid w:val="00D6128E"/>
    <w:rsid w:val="00D61478"/>
    <w:rsid w:val="00D706B1"/>
    <w:rsid w:val="00D71223"/>
    <w:rsid w:val="00D71604"/>
    <w:rsid w:val="00D73BF8"/>
    <w:rsid w:val="00D7481D"/>
    <w:rsid w:val="00D74E05"/>
    <w:rsid w:val="00D75971"/>
    <w:rsid w:val="00D766C0"/>
    <w:rsid w:val="00D7689C"/>
    <w:rsid w:val="00D77714"/>
    <w:rsid w:val="00D806E6"/>
    <w:rsid w:val="00D82F65"/>
    <w:rsid w:val="00D9132C"/>
    <w:rsid w:val="00D914A1"/>
    <w:rsid w:val="00DA34F6"/>
    <w:rsid w:val="00DA4469"/>
    <w:rsid w:val="00DC0E32"/>
    <w:rsid w:val="00DC28EE"/>
    <w:rsid w:val="00DC639E"/>
    <w:rsid w:val="00DC7704"/>
    <w:rsid w:val="00DD1DC0"/>
    <w:rsid w:val="00DD761D"/>
    <w:rsid w:val="00DE62A6"/>
    <w:rsid w:val="00DE62C0"/>
    <w:rsid w:val="00DE7C7D"/>
    <w:rsid w:val="00DF6384"/>
    <w:rsid w:val="00E00916"/>
    <w:rsid w:val="00E01D50"/>
    <w:rsid w:val="00E02454"/>
    <w:rsid w:val="00E05B32"/>
    <w:rsid w:val="00E06E77"/>
    <w:rsid w:val="00E123ED"/>
    <w:rsid w:val="00E13C5D"/>
    <w:rsid w:val="00E15FF9"/>
    <w:rsid w:val="00E16137"/>
    <w:rsid w:val="00E163C2"/>
    <w:rsid w:val="00E1701B"/>
    <w:rsid w:val="00E20C6D"/>
    <w:rsid w:val="00E2375C"/>
    <w:rsid w:val="00E25BCD"/>
    <w:rsid w:val="00E27677"/>
    <w:rsid w:val="00E315A3"/>
    <w:rsid w:val="00E4581E"/>
    <w:rsid w:val="00E46BD9"/>
    <w:rsid w:val="00E4756B"/>
    <w:rsid w:val="00E4774D"/>
    <w:rsid w:val="00E5127A"/>
    <w:rsid w:val="00E51FD7"/>
    <w:rsid w:val="00E6088F"/>
    <w:rsid w:val="00E67CBB"/>
    <w:rsid w:val="00E71D8A"/>
    <w:rsid w:val="00E73381"/>
    <w:rsid w:val="00E74C55"/>
    <w:rsid w:val="00E82CDA"/>
    <w:rsid w:val="00E85D99"/>
    <w:rsid w:val="00E86AF6"/>
    <w:rsid w:val="00E907EE"/>
    <w:rsid w:val="00E95882"/>
    <w:rsid w:val="00E97D5B"/>
    <w:rsid w:val="00EA034D"/>
    <w:rsid w:val="00EA0454"/>
    <w:rsid w:val="00EA665B"/>
    <w:rsid w:val="00EA72C7"/>
    <w:rsid w:val="00EA77C8"/>
    <w:rsid w:val="00EB29A3"/>
    <w:rsid w:val="00EC03E1"/>
    <w:rsid w:val="00EC03FC"/>
    <w:rsid w:val="00EC140F"/>
    <w:rsid w:val="00EC2E19"/>
    <w:rsid w:val="00EC3839"/>
    <w:rsid w:val="00EC4E5A"/>
    <w:rsid w:val="00ED1019"/>
    <w:rsid w:val="00ED6FCB"/>
    <w:rsid w:val="00EE0737"/>
    <w:rsid w:val="00EE4430"/>
    <w:rsid w:val="00EE4564"/>
    <w:rsid w:val="00F00F08"/>
    <w:rsid w:val="00F01243"/>
    <w:rsid w:val="00F01818"/>
    <w:rsid w:val="00F01AFA"/>
    <w:rsid w:val="00F03896"/>
    <w:rsid w:val="00F154DA"/>
    <w:rsid w:val="00F15D05"/>
    <w:rsid w:val="00F22351"/>
    <w:rsid w:val="00F233CF"/>
    <w:rsid w:val="00F25BB3"/>
    <w:rsid w:val="00F25F88"/>
    <w:rsid w:val="00F274F4"/>
    <w:rsid w:val="00F321CE"/>
    <w:rsid w:val="00F32E77"/>
    <w:rsid w:val="00F3691E"/>
    <w:rsid w:val="00F378AE"/>
    <w:rsid w:val="00F46A8C"/>
    <w:rsid w:val="00F47B96"/>
    <w:rsid w:val="00F5226C"/>
    <w:rsid w:val="00F53F7A"/>
    <w:rsid w:val="00F650C4"/>
    <w:rsid w:val="00F655BE"/>
    <w:rsid w:val="00F65E6C"/>
    <w:rsid w:val="00F7357A"/>
    <w:rsid w:val="00F75377"/>
    <w:rsid w:val="00F774E4"/>
    <w:rsid w:val="00F8050E"/>
    <w:rsid w:val="00F85A75"/>
    <w:rsid w:val="00F860C9"/>
    <w:rsid w:val="00F8658D"/>
    <w:rsid w:val="00F929C9"/>
    <w:rsid w:val="00F92B71"/>
    <w:rsid w:val="00F947F1"/>
    <w:rsid w:val="00F96055"/>
    <w:rsid w:val="00FA38D5"/>
    <w:rsid w:val="00FA4439"/>
    <w:rsid w:val="00FA690C"/>
    <w:rsid w:val="00FB74A5"/>
    <w:rsid w:val="00FC3CD4"/>
    <w:rsid w:val="00FD0268"/>
    <w:rsid w:val="00FD2DED"/>
    <w:rsid w:val="00FE4557"/>
    <w:rsid w:val="00FF1B09"/>
    <w:rsid w:val="00FF554F"/>
    <w:rsid w:val="00FF65C7"/>
    <w:rsid w:val="01D134FA"/>
    <w:rsid w:val="02B62AFF"/>
    <w:rsid w:val="02E336A6"/>
    <w:rsid w:val="032543C3"/>
    <w:rsid w:val="043A3747"/>
    <w:rsid w:val="05145C6D"/>
    <w:rsid w:val="05A30A30"/>
    <w:rsid w:val="07AD40C1"/>
    <w:rsid w:val="08314CF2"/>
    <w:rsid w:val="08554B30"/>
    <w:rsid w:val="0C286C06"/>
    <w:rsid w:val="0C6079D8"/>
    <w:rsid w:val="0DBA4C90"/>
    <w:rsid w:val="0DF261D4"/>
    <w:rsid w:val="0E6331E7"/>
    <w:rsid w:val="0EF53BC4"/>
    <w:rsid w:val="0FAF054E"/>
    <w:rsid w:val="103E7FAD"/>
    <w:rsid w:val="11520737"/>
    <w:rsid w:val="12610AFB"/>
    <w:rsid w:val="13070B2A"/>
    <w:rsid w:val="131274CE"/>
    <w:rsid w:val="1355202B"/>
    <w:rsid w:val="136E7CFB"/>
    <w:rsid w:val="13BA6ECD"/>
    <w:rsid w:val="14DC5FE6"/>
    <w:rsid w:val="15C416E2"/>
    <w:rsid w:val="16B105AC"/>
    <w:rsid w:val="16BD3DD9"/>
    <w:rsid w:val="1716408D"/>
    <w:rsid w:val="17A138BF"/>
    <w:rsid w:val="180B680D"/>
    <w:rsid w:val="181628F9"/>
    <w:rsid w:val="189270E7"/>
    <w:rsid w:val="1B896D16"/>
    <w:rsid w:val="1C872CDB"/>
    <w:rsid w:val="1C964336"/>
    <w:rsid w:val="1D663E3C"/>
    <w:rsid w:val="1D7911B7"/>
    <w:rsid w:val="1D9A7CDD"/>
    <w:rsid w:val="1E346D17"/>
    <w:rsid w:val="1EA3148E"/>
    <w:rsid w:val="1F9000F9"/>
    <w:rsid w:val="1FD60202"/>
    <w:rsid w:val="201605FE"/>
    <w:rsid w:val="20985E0B"/>
    <w:rsid w:val="20CE003D"/>
    <w:rsid w:val="20F052F3"/>
    <w:rsid w:val="210F75CC"/>
    <w:rsid w:val="21FF7DEB"/>
    <w:rsid w:val="22450ABA"/>
    <w:rsid w:val="22530344"/>
    <w:rsid w:val="225B3E34"/>
    <w:rsid w:val="234B2E7A"/>
    <w:rsid w:val="239D2DE4"/>
    <w:rsid w:val="23F81D22"/>
    <w:rsid w:val="245B565F"/>
    <w:rsid w:val="25A0381A"/>
    <w:rsid w:val="27465883"/>
    <w:rsid w:val="27587B28"/>
    <w:rsid w:val="276F1207"/>
    <w:rsid w:val="29594129"/>
    <w:rsid w:val="297A286D"/>
    <w:rsid w:val="29F37C02"/>
    <w:rsid w:val="29FC2A03"/>
    <w:rsid w:val="2A4828F5"/>
    <w:rsid w:val="2B4F03BE"/>
    <w:rsid w:val="2C197925"/>
    <w:rsid w:val="2C1C26F1"/>
    <w:rsid w:val="2CCE2C31"/>
    <w:rsid w:val="2CFD758E"/>
    <w:rsid w:val="2D0068BE"/>
    <w:rsid w:val="2EF15A00"/>
    <w:rsid w:val="2F3458B1"/>
    <w:rsid w:val="2FB05F21"/>
    <w:rsid w:val="30446AC1"/>
    <w:rsid w:val="311D1A88"/>
    <w:rsid w:val="31860436"/>
    <w:rsid w:val="31CD2150"/>
    <w:rsid w:val="320A3D3B"/>
    <w:rsid w:val="33E34664"/>
    <w:rsid w:val="34213390"/>
    <w:rsid w:val="35407D26"/>
    <w:rsid w:val="354E655F"/>
    <w:rsid w:val="35B37FAF"/>
    <w:rsid w:val="362A675A"/>
    <w:rsid w:val="38170D74"/>
    <w:rsid w:val="38591265"/>
    <w:rsid w:val="3A682D03"/>
    <w:rsid w:val="3B5C5B21"/>
    <w:rsid w:val="3BF9539A"/>
    <w:rsid w:val="3C447E49"/>
    <w:rsid w:val="405C142D"/>
    <w:rsid w:val="41397489"/>
    <w:rsid w:val="41CB669E"/>
    <w:rsid w:val="42481EEE"/>
    <w:rsid w:val="42CB3072"/>
    <w:rsid w:val="42FE0D65"/>
    <w:rsid w:val="45016903"/>
    <w:rsid w:val="463A50D8"/>
    <w:rsid w:val="46E97498"/>
    <w:rsid w:val="47154B28"/>
    <w:rsid w:val="483E74AC"/>
    <w:rsid w:val="48750891"/>
    <w:rsid w:val="48F83D75"/>
    <w:rsid w:val="49892504"/>
    <w:rsid w:val="4A4A0D02"/>
    <w:rsid w:val="4A867F1F"/>
    <w:rsid w:val="4B95030D"/>
    <w:rsid w:val="4C5C2F8D"/>
    <w:rsid w:val="4C6D60C5"/>
    <w:rsid w:val="4CA010CC"/>
    <w:rsid w:val="4CFB24FB"/>
    <w:rsid w:val="4D700107"/>
    <w:rsid w:val="4DC04C80"/>
    <w:rsid w:val="4E393F94"/>
    <w:rsid w:val="4E3E294A"/>
    <w:rsid w:val="4E9637B8"/>
    <w:rsid w:val="4EB8375D"/>
    <w:rsid w:val="4F33280F"/>
    <w:rsid w:val="4F7B77BF"/>
    <w:rsid w:val="50244E82"/>
    <w:rsid w:val="50AD3DB7"/>
    <w:rsid w:val="538F3C48"/>
    <w:rsid w:val="539F032F"/>
    <w:rsid w:val="540B3A65"/>
    <w:rsid w:val="55497245"/>
    <w:rsid w:val="55722772"/>
    <w:rsid w:val="56CB4600"/>
    <w:rsid w:val="56D26326"/>
    <w:rsid w:val="56ED4269"/>
    <w:rsid w:val="57452F9B"/>
    <w:rsid w:val="578329AB"/>
    <w:rsid w:val="57842AAA"/>
    <w:rsid w:val="588A0FB2"/>
    <w:rsid w:val="59617DBC"/>
    <w:rsid w:val="59B91A1F"/>
    <w:rsid w:val="59BD1AED"/>
    <w:rsid w:val="5A3B6389"/>
    <w:rsid w:val="5AC71F19"/>
    <w:rsid w:val="5B8322E4"/>
    <w:rsid w:val="5BE508A9"/>
    <w:rsid w:val="5C3747E5"/>
    <w:rsid w:val="5CFA4828"/>
    <w:rsid w:val="5D7874FB"/>
    <w:rsid w:val="5E524F12"/>
    <w:rsid w:val="5E575EAB"/>
    <w:rsid w:val="5E696E63"/>
    <w:rsid w:val="5E791482"/>
    <w:rsid w:val="5F31180B"/>
    <w:rsid w:val="5FF17AF7"/>
    <w:rsid w:val="606F72DB"/>
    <w:rsid w:val="61612C83"/>
    <w:rsid w:val="616F2239"/>
    <w:rsid w:val="61C5391B"/>
    <w:rsid w:val="63471E49"/>
    <w:rsid w:val="63620D61"/>
    <w:rsid w:val="63C6093E"/>
    <w:rsid w:val="63F21DB5"/>
    <w:rsid w:val="64B450F5"/>
    <w:rsid w:val="65660807"/>
    <w:rsid w:val="65925D94"/>
    <w:rsid w:val="65B31A18"/>
    <w:rsid w:val="6617798C"/>
    <w:rsid w:val="66C043ED"/>
    <w:rsid w:val="67136C12"/>
    <w:rsid w:val="67167800"/>
    <w:rsid w:val="67191D4F"/>
    <w:rsid w:val="67A3376A"/>
    <w:rsid w:val="67FA5148"/>
    <w:rsid w:val="69660D76"/>
    <w:rsid w:val="69A073C8"/>
    <w:rsid w:val="6A3824EC"/>
    <w:rsid w:val="6A510CF2"/>
    <w:rsid w:val="6A923599"/>
    <w:rsid w:val="6BA01CC0"/>
    <w:rsid w:val="6BF52CBB"/>
    <w:rsid w:val="6D29027F"/>
    <w:rsid w:val="6DD62748"/>
    <w:rsid w:val="6E16292A"/>
    <w:rsid w:val="6EEC1160"/>
    <w:rsid w:val="6F173018"/>
    <w:rsid w:val="6F187B60"/>
    <w:rsid w:val="6F435BBB"/>
    <w:rsid w:val="6F4446A3"/>
    <w:rsid w:val="70DB74A5"/>
    <w:rsid w:val="71002299"/>
    <w:rsid w:val="71573514"/>
    <w:rsid w:val="718117FC"/>
    <w:rsid w:val="71CC25BE"/>
    <w:rsid w:val="725345E8"/>
    <w:rsid w:val="726241D7"/>
    <w:rsid w:val="72861B25"/>
    <w:rsid w:val="72FC56B6"/>
    <w:rsid w:val="73773A7A"/>
    <w:rsid w:val="74470B0B"/>
    <w:rsid w:val="74475954"/>
    <w:rsid w:val="751D0C5C"/>
    <w:rsid w:val="75C573A4"/>
    <w:rsid w:val="7614205F"/>
    <w:rsid w:val="767E4D94"/>
    <w:rsid w:val="76B92C06"/>
    <w:rsid w:val="78297377"/>
    <w:rsid w:val="78A92684"/>
    <w:rsid w:val="78E92F32"/>
    <w:rsid w:val="798679EA"/>
    <w:rsid w:val="79B82EBF"/>
    <w:rsid w:val="7A30625E"/>
    <w:rsid w:val="7A790531"/>
    <w:rsid w:val="7AD91DAC"/>
    <w:rsid w:val="7B0C77A9"/>
    <w:rsid w:val="7B690757"/>
    <w:rsid w:val="7B7706C9"/>
    <w:rsid w:val="7BAF59EF"/>
    <w:rsid w:val="7C130823"/>
    <w:rsid w:val="7D016B7E"/>
    <w:rsid w:val="7D1E3617"/>
    <w:rsid w:val="7F71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0"/>
    <w:pPr>
      <w:keepNext/>
      <w:keepLines/>
      <w:spacing w:before="340" w:after="330" w:line="576" w:lineRule="auto"/>
      <w:outlineLvl w:val="0"/>
    </w:pPr>
    <w:rPr>
      <w:rFonts w:ascii="Times New Roman" w:hAnsi="Times New Roman"/>
      <w:b/>
      <w:kern w:val="44"/>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Document Map"/>
    <w:basedOn w:val="1"/>
    <w:link w:val="26"/>
    <w:qFormat/>
    <w:uiPriority w:val="0"/>
    <w:rPr>
      <w:rFonts w:ascii="宋体"/>
      <w:sz w:val="18"/>
      <w:szCs w:val="18"/>
    </w:rPr>
  </w:style>
  <w:style w:type="paragraph" w:styleId="5">
    <w:name w:val="annotation text"/>
    <w:basedOn w:val="1"/>
    <w:link w:val="24"/>
    <w:qFormat/>
    <w:uiPriority w:val="0"/>
    <w:pPr>
      <w:jc w:val="left"/>
    </w:pPr>
  </w:style>
  <w:style w:type="paragraph" w:styleId="6">
    <w:name w:val="Body Text Indent"/>
    <w:basedOn w:val="1"/>
    <w:qFormat/>
    <w:uiPriority w:val="0"/>
    <w:pPr>
      <w:spacing w:after="120"/>
      <w:ind w:left="420" w:leftChars="200"/>
    </w:pPr>
  </w:style>
  <w:style w:type="paragraph" w:styleId="7">
    <w:name w:val="Plain Text"/>
    <w:basedOn w:val="1"/>
    <w:next w:val="1"/>
    <w:link w:val="28"/>
    <w:qFormat/>
    <w:uiPriority w:val="0"/>
    <w:pPr>
      <w:spacing w:line="580" w:lineRule="exact"/>
      <w:ind w:right="-197" w:firstLine="560" w:firstLineChars="200"/>
    </w:pPr>
    <w:rPr>
      <w:rFonts w:ascii="黑体" w:hAnsi="Courier New" w:eastAsia="黑体"/>
      <w:sz w:val="28"/>
      <w:szCs w:val="20"/>
    </w:rPr>
  </w:style>
  <w:style w:type="paragraph" w:styleId="8">
    <w:name w:val="Date"/>
    <w:basedOn w:val="1"/>
    <w:next w:val="1"/>
    <w:link w:val="49"/>
    <w:qFormat/>
    <w:uiPriority w:val="99"/>
    <w:pPr>
      <w:ind w:left="100" w:leftChars="2500"/>
    </w:pPr>
    <w:rPr>
      <w:rFonts w:ascii="仿宋_GB2312" w:hAnsi="Times New Roman" w:eastAsia="仿宋_GB2312" w:cs="仿宋_GB2312"/>
      <w:b/>
      <w:bCs/>
      <w:kern w:val="0"/>
      <w:sz w:val="24"/>
      <w:szCs w:val="24"/>
    </w:rPr>
  </w:style>
  <w:style w:type="paragraph" w:styleId="9">
    <w:name w:val="Body Text Indent 2"/>
    <w:basedOn w:val="1"/>
    <w:link w:val="53"/>
    <w:qFormat/>
    <w:uiPriority w:val="0"/>
    <w:pPr>
      <w:spacing w:after="120" w:line="480" w:lineRule="auto"/>
      <w:ind w:left="420" w:leftChars="200"/>
    </w:pPr>
  </w:style>
  <w:style w:type="paragraph" w:styleId="10">
    <w:name w:val="Balloon Text"/>
    <w:basedOn w:val="1"/>
    <w:link w:val="27"/>
    <w:qFormat/>
    <w:uiPriority w:val="0"/>
    <w:rPr>
      <w:sz w:val="18"/>
      <w:szCs w:val="18"/>
    </w:rPr>
  </w:style>
  <w:style w:type="paragraph" w:styleId="11">
    <w:name w:val="footer"/>
    <w:basedOn w:val="1"/>
    <w:link w:val="25"/>
    <w:qFormat/>
    <w:uiPriority w:val="0"/>
    <w:pPr>
      <w:tabs>
        <w:tab w:val="center" w:pos="4153"/>
        <w:tab w:val="right" w:pos="8306"/>
      </w:tabs>
      <w:snapToGrid w:val="0"/>
      <w:jc w:val="left"/>
    </w:pPr>
    <w:rPr>
      <w:kern w:val="0"/>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2"/>
    <w:basedOn w:val="1"/>
    <w:next w:val="1"/>
    <w:qFormat/>
    <w:uiPriority w:val="1"/>
    <w:pPr>
      <w:spacing w:before="157"/>
      <w:ind w:left="120"/>
    </w:pPr>
    <w:rPr>
      <w:rFonts w:ascii="宋体" w:hAnsi="宋体"/>
      <w:b/>
      <w:bCs/>
      <w:sz w:val="24"/>
      <w:szCs w:val="24"/>
    </w:rPr>
  </w:style>
  <w:style w:type="paragraph" w:styleId="14">
    <w:name w:val="Body Text 2"/>
    <w:basedOn w:val="1"/>
    <w:qFormat/>
    <w:uiPriority w:val="0"/>
    <w:pPr>
      <w:spacing w:after="120" w:line="480" w:lineRule="auto"/>
    </w:pPr>
    <w:rPr>
      <w:rFonts w:ascii="Times New Roman" w:hAnsi="Times New Roman"/>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annotation subject"/>
    <w:basedOn w:val="5"/>
    <w:next w:val="5"/>
    <w:link w:val="30"/>
    <w:qFormat/>
    <w:uiPriority w:val="0"/>
    <w:rPr>
      <w:b/>
      <w:bCs/>
    </w:rPr>
  </w:style>
  <w:style w:type="paragraph" w:styleId="17">
    <w:name w:val="Body Text First Indent"/>
    <w:basedOn w:val="2"/>
    <w:link w:val="39"/>
    <w:qFormat/>
    <w:uiPriority w:val="0"/>
    <w:pPr>
      <w:ind w:firstLine="420"/>
    </w:pPr>
    <w:rPr>
      <w:rFonts w:ascii="Times New Roman" w:hAnsi="Times New Roman"/>
      <w:szCs w:val="20"/>
    </w:rPr>
  </w:style>
  <w:style w:type="table" w:styleId="19">
    <w:name w:val="Table Grid"/>
    <w:basedOn w:val="1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99"/>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批注文字 字符"/>
    <w:link w:val="5"/>
    <w:qFormat/>
    <w:uiPriority w:val="0"/>
    <w:rPr>
      <w:kern w:val="2"/>
      <w:sz w:val="21"/>
      <w:szCs w:val="22"/>
    </w:rPr>
  </w:style>
  <w:style w:type="character" w:customStyle="1" w:styleId="25">
    <w:name w:val="页脚 字符"/>
    <w:link w:val="11"/>
    <w:qFormat/>
    <w:uiPriority w:val="0"/>
    <w:rPr>
      <w:sz w:val="18"/>
      <w:szCs w:val="18"/>
    </w:rPr>
  </w:style>
  <w:style w:type="character" w:customStyle="1" w:styleId="26">
    <w:name w:val="文档结构图 字符"/>
    <w:link w:val="4"/>
    <w:qFormat/>
    <w:uiPriority w:val="0"/>
    <w:rPr>
      <w:rFonts w:ascii="宋体"/>
      <w:kern w:val="2"/>
      <w:sz w:val="18"/>
      <w:szCs w:val="18"/>
    </w:rPr>
  </w:style>
  <w:style w:type="character" w:customStyle="1" w:styleId="27">
    <w:name w:val="批注框文本 字符"/>
    <w:link w:val="10"/>
    <w:qFormat/>
    <w:uiPriority w:val="0"/>
    <w:rPr>
      <w:kern w:val="2"/>
      <w:sz w:val="18"/>
      <w:szCs w:val="18"/>
    </w:rPr>
  </w:style>
  <w:style w:type="character" w:customStyle="1" w:styleId="28">
    <w:name w:val="纯文本 字符"/>
    <w:link w:val="7"/>
    <w:qFormat/>
    <w:uiPriority w:val="0"/>
    <w:rPr>
      <w:rFonts w:ascii="黑体" w:hAnsi="Courier New" w:eastAsia="黑体"/>
      <w:kern w:val="2"/>
      <w:sz w:val="28"/>
    </w:rPr>
  </w:style>
  <w:style w:type="character" w:customStyle="1" w:styleId="29">
    <w:name w:val="标题 1 字符"/>
    <w:link w:val="3"/>
    <w:qFormat/>
    <w:uiPriority w:val="0"/>
    <w:rPr>
      <w:rFonts w:ascii="Times New Roman" w:hAnsi="Times New Roman"/>
      <w:b/>
      <w:kern w:val="44"/>
      <w:sz w:val="44"/>
    </w:rPr>
  </w:style>
  <w:style w:type="character" w:customStyle="1" w:styleId="30">
    <w:name w:val="批注主题 字符"/>
    <w:link w:val="16"/>
    <w:qFormat/>
    <w:uiPriority w:val="0"/>
    <w:rPr>
      <w:b/>
      <w:bCs/>
      <w:kern w:val="2"/>
      <w:sz w:val="21"/>
      <w:szCs w:val="22"/>
    </w:rPr>
  </w:style>
  <w:style w:type="character" w:customStyle="1" w:styleId="31">
    <w:name w:val="页眉 字符"/>
    <w:link w:val="12"/>
    <w:qFormat/>
    <w:uiPriority w:val="99"/>
    <w:rPr>
      <w:sz w:val="18"/>
      <w:szCs w:val="18"/>
    </w:rPr>
  </w:style>
  <w:style w:type="paragraph" w:styleId="32">
    <w:name w:val="List Paragraph"/>
    <w:basedOn w:val="1"/>
    <w:qFormat/>
    <w:uiPriority w:val="0"/>
    <w:pPr>
      <w:ind w:firstLine="420" w:firstLineChars="200"/>
    </w:pPr>
  </w:style>
  <w:style w:type="paragraph" w:customStyle="1" w:styleId="33">
    <w:name w:val="正文 New"/>
    <w:qFormat/>
    <w:uiPriority w:val="0"/>
    <w:pPr>
      <w:widowControl w:val="0"/>
      <w:autoSpaceDE w:val="0"/>
      <w:autoSpaceDN w:val="0"/>
      <w:adjustRightInd w:val="0"/>
    </w:pPr>
    <w:rPr>
      <w:rFonts w:ascii="Calibri" w:hAnsi="Calibri" w:eastAsia="宋体" w:cs="Times New Roman"/>
      <w:lang w:val="en-US" w:eastAsia="zh-CN" w:bidi="ar-SA"/>
    </w:rPr>
  </w:style>
  <w:style w:type="paragraph" w:customStyle="1" w:styleId="34">
    <w:name w:val="正文 New New New"/>
    <w:qFormat/>
    <w:uiPriority w:val="0"/>
    <w:pPr>
      <w:widowControl w:val="0"/>
      <w:autoSpaceDE w:val="0"/>
      <w:autoSpaceDN w:val="0"/>
      <w:adjustRightInd w:val="0"/>
    </w:pPr>
    <w:rPr>
      <w:rFonts w:ascii="Calibri" w:hAnsi="Calibri" w:eastAsia="宋体" w:cs="Times New Roman"/>
      <w:lang w:val="en-US" w:eastAsia="zh-CN" w:bidi="ar-SA"/>
    </w:rPr>
  </w:style>
  <w:style w:type="paragraph" w:customStyle="1" w:styleId="35">
    <w:name w:val="页脚 New"/>
    <w:basedOn w:val="34"/>
    <w:qFormat/>
    <w:uiPriority w:val="0"/>
    <w:pPr>
      <w:tabs>
        <w:tab w:val="center" w:pos="4153"/>
        <w:tab w:val="right" w:pos="8306"/>
      </w:tabs>
      <w:snapToGrid w:val="0"/>
    </w:pPr>
    <w:rPr>
      <w:sz w:val="18"/>
      <w:szCs w:val="18"/>
    </w:rPr>
  </w:style>
  <w:style w:type="paragraph" w:customStyle="1" w:styleId="36">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p0"/>
    <w:basedOn w:val="1"/>
    <w:qFormat/>
    <w:uiPriority w:val="0"/>
    <w:pPr>
      <w:widowControl/>
    </w:pPr>
    <w:rPr>
      <w:rFonts w:cs="宋体"/>
      <w:kern w:val="0"/>
      <w:szCs w:val="21"/>
    </w:rPr>
  </w:style>
  <w:style w:type="paragraph" w:customStyle="1" w:styleId="38">
    <w:name w:val="zhang"/>
    <w:basedOn w:val="1"/>
    <w:qFormat/>
    <w:uiPriority w:val="0"/>
    <w:pPr>
      <w:widowControl/>
      <w:spacing w:before="100" w:beforeAutospacing="1" w:after="100" w:afterAutospacing="1"/>
      <w:jc w:val="left"/>
    </w:pPr>
    <w:rPr>
      <w:rFonts w:ascii="ˎ̥" w:hAnsi="ˎ̥" w:cs="宋体"/>
      <w:b/>
      <w:bCs/>
      <w:smallCaps/>
      <w:color w:val="000000"/>
      <w:kern w:val="0"/>
      <w:sz w:val="20"/>
      <w:szCs w:val="20"/>
    </w:rPr>
  </w:style>
  <w:style w:type="character" w:customStyle="1" w:styleId="39">
    <w:name w:val="正文文本首行缩进 字符"/>
    <w:link w:val="17"/>
    <w:qFormat/>
    <w:locked/>
    <w:uiPriority w:val="0"/>
    <w:rPr>
      <w:rFonts w:eastAsia="宋体"/>
      <w:kern w:val="2"/>
      <w:sz w:val="21"/>
      <w:lang w:val="en-US" w:eastAsia="zh-CN" w:bidi="ar-SA"/>
    </w:rPr>
  </w:style>
  <w:style w:type="character" w:customStyle="1" w:styleId="40">
    <w:name w:val="Comment Text Char"/>
    <w:semiHidden/>
    <w:qFormat/>
    <w:locked/>
    <w:uiPriority w:val="0"/>
    <w:rPr>
      <w:rFonts w:eastAsia="宋体" w:cs="Times New Roman"/>
      <w:sz w:val="24"/>
    </w:rPr>
  </w:style>
  <w:style w:type="paragraph" w:customStyle="1" w:styleId="41">
    <w:name w:val="普通 (Web)"/>
    <w:basedOn w:val="1"/>
    <w:link w:val="42"/>
    <w:qFormat/>
    <w:uiPriority w:val="0"/>
    <w:pPr>
      <w:widowControl/>
      <w:spacing w:before="100" w:beforeAutospacing="1" w:after="100" w:afterAutospacing="1"/>
      <w:jc w:val="left"/>
    </w:pPr>
    <w:rPr>
      <w:rFonts w:ascii="宋体" w:hAnsi="宋体"/>
      <w:kern w:val="0"/>
      <w:sz w:val="24"/>
      <w:szCs w:val="20"/>
    </w:rPr>
  </w:style>
  <w:style w:type="character" w:customStyle="1" w:styleId="42">
    <w:name w:val="普通 (Web) Char1"/>
    <w:link w:val="41"/>
    <w:qFormat/>
    <w:locked/>
    <w:uiPriority w:val="0"/>
    <w:rPr>
      <w:rFonts w:ascii="宋体" w:hAnsi="宋体" w:eastAsia="宋体"/>
      <w:sz w:val="24"/>
      <w:lang w:val="en-US" w:eastAsia="zh-CN" w:bidi="ar-SA"/>
    </w:rPr>
  </w:style>
  <w:style w:type="paragraph" w:customStyle="1" w:styleId="43">
    <w:name w:val="Char1"/>
    <w:basedOn w:val="1"/>
    <w:qFormat/>
    <w:uiPriority w:val="0"/>
    <w:pPr>
      <w:ind w:left="567" w:hanging="279"/>
    </w:pPr>
    <w:rPr>
      <w:rFonts w:ascii="Times New Roman" w:hAnsi="Times New Roman"/>
      <w:sz w:val="24"/>
      <w:szCs w:val="24"/>
    </w:rPr>
  </w:style>
  <w:style w:type="paragraph" w:customStyle="1" w:styleId="44">
    <w:name w:val="Char Char Char Char Char Char Char Char Char Char"/>
    <w:basedOn w:val="1"/>
    <w:qFormat/>
    <w:uiPriority w:val="0"/>
    <w:rPr>
      <w:rFonts w:ascii="Tahoma" w:hAnsi="Tahoma"/>
      <w:sz w:val="24"/>
      <w:szCs w:val="20"/>
    </w:rPr>
  </w:style>
  <w:style w:type="paragraph" w:customStyle="1" w:styleId="45">
    <w:name w:val="表头"/>
    <w:basedOn w:val="1"/>
    <w:qFormat/>
    <w:uiPriority w:val="0"/>
    <w:pPr>
      <w:spacing w:line="360" w:lineRule="auto"/>
      <w:jc w:val="center"/>
    </w:pPr>
    <w:rPr>
      <w:rFonts w:ascii="黑体" w:hAnsi="Times New Roman" w:eastAsia="黑体"/>
      <w:kern w:val="0"/>
      <w:sz w:val="24"/>
      <w:szCs w:val="4"/>
    </w:rPr>
  </w:style>
  <w:style w:type="paragraph" w:customStyle="1" w:styleId="46">
    <w:name w:val="样式"/>
    <w:basedOn w:val="1"/>
    <w:next w:val="6"/>
    <w:qFormat/>
    <w:uiPriority w:val="0"/>
    <w:pPr>
      <w:jc w:val="center"/>
    </w:pPr>
    <w:rPr>
      <w:rFonts w:ascii="宋体" w:hAnsi="宋体"/>
      <w:color w:val="FF0000"/>
      <w:sz w:val="24"/>
      <w:szCs w:val="24"/>
    </w:rPr>
  </w:style>
  <w:style w:type="character" w:customStyle="1" w:styleId="47">
    <w:name w:val="纯文本 Char1"/>
    <w:qFormat/>
    <w:locked/>
    <w:uiPriority w:val="0"/>
    <w:rPr>
      <w:rFonts w:ascii="宋体" w:hAnsi="Courier New"/>
      <w:kern w:val="2"/>
      <w:sz w:val="21"/>
      <w:lang w:bidi="ar-SA"/>
    </w:rPr>
  </w:style>
  <w:style w:type="paragraph" w:customStyle="1" w:styleId="48">
    <w:name w:val="Char13 Char Char Char Char Char"/>
    <w:basedOn w:val="1"/>
    <w:qFormat/>
    <w:uiPriority w:val="0"/>
    <w:pPr>
      <w:ind w:left="567" w:hanging="279"/>
    </w:pPr>
    <w:rPr>
      <w:rFonts w:ascii="Times New Roman" w:hAnsi="Times New Roman"/>
      <w:kern w:val="0"/>
      <w:sz w:val="20"/>
      <w:szCs w:val="20"/>
    </w:rPr>
  </w:style>
  <w:style w:type="character" w:customStyle="1" w:styleId="49">
    <w:name w:val="日期 字符"/>
    <w:link w:val="8"/>
    <w:qFormat/>
    <w:locked/>
    <w:uiPriority w:val="99"/>
    <w:rPr>
      <w:rFonts w:ascii="仿宋_GB2312" w:hAnsi="Times New Roman" w:eastAsia="仿宋_GB2312" w:cs="仿宋_GB2312"/>
      <w:b/>
      <w:bCs/>
      <w:sz w:val="24"/>
      <w:szCs w:val="24"/>
    </w:rPr>
  </w:style>
  <w:style w:type="character" w:customStyle="1" w:styleId="50">
    <w:name w:val="日期 Char1"/>
    <w:qFormat/>
    <w:uiPriority w:val="0"/>
    <w:rPr>
      <w:kern w:val="2"/>
      <w:sz w:val="21"/>
      <w:szCs w:val="22"/>
    </w:rPr>
  </w:style>
  <w:style w:type="character" w:customStyle="1" w:styleId="51">
    <w:name w:val="15"/>
    <w:qFormat/>
    <w:uiPriority w:val="99"/>
    <w:rPr>
      <w:rFonts w:ascii="Times New Roman" w:hAnsi="Times New Roman" w:cs="Times New Roman"/>
      <w:color w:val="auto"/>
      <w:u w:val="none"/>
    </w:rPr>
  </w:style>
  <w:style w:type="character" w:customStyle="1" w:styleId="52">
    <w:name w:val="Char Char10"/>
    <w:qFormat/>
    <w:uiPriority w:val="99"/>
    <w:rPr>
      <w:rFonts w:ascii="宋体" w:hAnsi="Courier New" w:eastAsia="宋体" w:cs="宋体"/>
      <w:kern w:val="2"/>
      <w:sz w:val="24"/>
      <w:szCs w:val="24"/>
      <w:lang w:val="en-US" w:eastAsia="zh-CN"/>
    </w:rPr>
  </w:style>
  <w:style w:type="character" w:customStyle="1" w:styleId="53">
    <w:name w:val="正文文本缩进 2 字符"/>
    <w:basedOn w:val="20"/>
    <w:link w:val="9"/>
    <w:qFormat/>
    <w:uiPriority w:val="0"/>
    <w:rPr>
      <w:kern w:val="2"/>
      <w:sz w:val="21"/>
      <w:szCs w:val="22"/>
    </w:rPr>
  </w:style>
  <w:style w:type="paragraph" w:customStyle="1" w:styleId="54">
    <w:name w:val="正文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5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sam</Company>
  <Pages>23</Pages>
  <Words>1248</Words>
  <Characters>1273</Characters>
  <Lines>94</Lines>
  <Paragraphs>26</Paragraphs>
  <TotalTime>1</TotalTime>
  <ScaleCrop>false</ScaleCrop>
  <LinksUpToDate>false</LinksUpToDate>
  <CharactersWithSpaces>1400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2019-11-22T08:30:00Z</dcterms:created>
  <dc:creator>LSK</dc:creator>
  <dc:description>Shankar's Birthday falls on 25th July.  Don't Forget to wish him</dc:description>
  <cp:keywords>Birthday</cp:keywords>
  <cp:lastModifiedBy>Jessica</cp:lastModifiedBy>
  <cp:lastPrinted>2019-12-06T07:32:00Z</cp:lastPrinted>
  <dcterms:modified xsi:type="dcterms:W3CDTF">2025-07-29T09:45:46Z</dcterms:modified>
  <dc:subject>Birthday</dc:subject>
  <dc:title>Are You suprised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eyJoZGlkIjoiNGZkNWFjMzg4MjZjNDZhOTExMWI3NWFjNjM3ZjhhOTQiLCJ1c2VySWQiOiI1NjkwMDMxNDgifQ==</vt:lpwstr>
  </property>
  <property fmtid="{D5CDD505-2E9C-101B-9397-08002B2CF9AE}" pid="4" name="ICV">
    <vt:lpwstr>97018CE4AAA84975A4B41C52B81234A1_13</vt:lpwstr>
  </property>
</Properties>
</file>