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664DE9">
      <w:pPr>
        <w:spacing w:after="240"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lang w:val="en-US" w:eastAsia="zh-CN"/>
        </w:rPr>
        <w:t>广州LNG应急调峰气源站配套管线工程（黄阁门站-横沥调压和气化站段）线路工程与场站工程 施工监理</w:t>
      </w:r>
      <w:r>
        <w:rPr>
          <w:rFonts w:hint="eastAsia" w:ascii="宋体" w:hAnsi="宋体" w:eastAsia="宋体" w:cs="宋体"/>
          <w:b/>
          <w:color w:val="auto"/>
          <w:sz w:val="44"/>
          <w:szCs w:val="44"/>
          <w:highlight w:val="none"/>
        </w:rPr>
        <w:t>服务</w:t>
      </w:r>
    </w:p>
    <w:p w14:paraId="11EE193B">
      <w:pPr>
        <w:spacing w:line="400" w:lineRule="exact"/>
        <w:jc w:val="right"/>
        <w:rPr>
          <w:rFonts w:ascii="宋体" w:hAnsi="宋体" w:eastAsia="宋体"/>
          <w:color w:val="auto"/>
          <w:highlight w:val="none"/>
        </w:rPr>
      </w:pPr>
    </w:p>
    <w:p w14:paraId="4E2A0AFC">
      <w:pPr>
        <w:rPr>
          <w:rFonts w:ascii="宋体" w:hAnsi="宋体" w:eastAsia="宋体"/>
          <w:color w:val="auto"/>
          <w:sz w:val="28"/>
          <w:szCs w:val="28"/>
          <w:highlight w:val="none"/>
        </w:rPr>
      </w:pPr>
    </w:p>
    <w:p w14:paraId="38D7534E">
      <w:pPr>
        <w:pStyle w:val="33"/>
        <w:rPr>
          <w:rFonts w:ascii="宋体" w:hAnsi="宋体" w:eastAsia="宋体"/>
          <w:color w:val="auto"/>
          <w:sz w:val="28"/>
          <w:szCs w:val="28"/>
          <w:highlight w:val="none"/>
        </w:rPr>
      </w:pPr>
    </w:p>
    <w:p w14:paraId="2227435E">
      <w:pPr>
        <w:rPr>
          <w:rFonts w:ascii="宋体" w:hAnsi="宋体" w:eastAsia="宋体"/>
          <w:color w:val="auto"/>
          <w:sz w:val="28"/>
          <w:szCs w:val="28"/>
          <w:highlight w:val="none"/>
        </w:rPr>
      </w:pPr>
    </w:p>
    <w:p w14:paraId="03E4700D">
      <w:pPr>
        <w:pStyle w:val="33"/>
        <w:rPr>
          <w:rFonts w:ascii="宋体" w:hAnsi="宋体" w:eastAsia="宋体"/>
          <w:color w:val="auto"/>
          <w:sz w:val="28"/>
          <w:szCs w:val="28"/>
          <w:highlight w:val="none"/>
        </w:rPr>
      </w:pPr>
    </w:p>
    <w:p w14:paraId="6CCCD598">
      <w:pPr>
        <w:rPr>
          <w:color w:val="auto"/>
          <w:highlight w:val="none"/>
        </w:rPr>
      </w:pPr>
    </w:p>
    <w:p w14:paraId="7E6F82B7">
      <w:pPr>
        <w:rPr>
          <w:rFonts w:ascii="宋体" w:hAnsi="宋体" w:eastAsia="宋体"/>
          <w:color w:val="auto"/>
          <w:sz w:val="28"/>
          <w:szCs w:val="28"/>
          <w:highlight w:val="none"/>
        </w:rPr>
      </w:pPr>
    </w:p>
    <w:p w14:paraId="247093E0">
      <w:pPr>
        <w:rPr>
          <w:rFonts w:ascii="宋体" w:hAnsi="宋体" w:eastAsia="宋体"/>
          <w:color w:val="auto"/>
          <w:sz w:val="28"/>
          <w:szCs w:val="28"/>
          <w:highlight w:val="none"/>
        </w:rPr>
      </w:pPr>
    </w:p>
    <w:p w14:paraId="2EA8CD7F">
      <w:pPr>
        <w:rPr>
          <w:rFonts w:ascii="宋体" w:hAnsi="宋体" w:eastAsia="宋体"/>
          <w:color w:val="auto"/>
          <w:sz w:val="28"/>
          <w:highlight w:val="none"/>
        </w:rPr>
      </w:pPr>
    </w:p>
    <w:p w14:paraId="55D4940C">
      <w:pPr>
        <w:jc w:val="center"/>
        <w:rPr>
          <w:rFonts w:ascii="宋体" w:hAnsi="宋体" w:eastAsia="宋体"/>
          <w:b/>
          <w:color w:val="auto"/>
          <w:sz w:val="84"/>
          <w:szCs w:val="84"/>
          <w:highlight w:val="none"/>
        </w:rPr>
      </w:pPr>
      <w:r>
        <w:rPr>
          <w:rFonts w:hint="eastAsia" w:ascii="宋体" w:hAnsi="宋体" w:eastAsia="宋体"/>
          <w:b/>
          <w:color w:val="auto"/>
          <w:sz w:val="84"/>
          <w:szCs w:val="84"/>
          <w:highlight w:val="none"/>
        </w:rPr>
        <w:t>招标文件</w:t>
      </w:r>
    </w:p>
    <w:p w14:paraId="70144B7E">
      <w:pPr>
        <w:spacing w:line="400" w:lineRule="exact"/>
        <w:rPr>
          <w:rFonts w:ascii="宋体" w:hAnsi="宋体" w:eastAsia="宋体"/>
          <w:color w:val="auto"/>
          <w:highlight w:val="none"/>
        </w:rPr>
      </w:pPr>
    </w:p>
    <w:p w14:paraId="6090B56E">
      <w:pPr>
        <w:spacing w:line="400" w:lineRule="exact"/>
        <w:rPr>
          <w:rFonts w:ascii="宋体" w:hAnsi="宋体" w:eastAsia="宋体"/>
          <w:color w:val="auto"/>
          <w:highlight w:val="none"/>
        </w:rPr>
      </w:pPr>
    </w:p>
    <w:p w14:paraId="0501CD92">
      <w:pPr>
        <w:spacing w:line="400" w:lineRule="exact"/>
        <w:rPr>
          <w:rFonts w:ascii="宋体" w:hAnsi="宋体" w:eastAsia="宋体"/>
          <w:color w:val="auto"/>
          <w:highlight w:val="none"/>
        </w:rPr>
      </w:pPr>
    </w:p>
    <w:p w14:paraId="0864B802">
      <w:pPr>
        <w:spacing w:line="400" w:lineRule="exact"/>
        <w:rPr>
          <w:rFonts w:ascii="宋体" w:hAnsi="宋体" w:eastAsia="宋体"/>
          <w:color w:val="auto"/>
          <w:highlight w:val="none"/>
        </w:rPr>
      </w:pPr>
    </w:p>
    <w:p w14:paraId="765C802B">
      <w:pPr>
        <w:spacing w:line="400" w:lineRule="exact"/>
        <w:rPr>
          <w:rFonts w:ascii="宋体" w:hAnsi="宋体" w:eastAsia="宋体"/>
          <w:color w:val="auto"/>
          <w:highlight w:val="none"/>
        </w:rPr>
      </w:pPr>
    </w:p>
    <w:p w14:paraId="72E2A5EE">
      <w:pPr>
        <w:spacing w:line="400" w:lineRule="exact"/>
        <w:rPr>
          <w:rFonts w:ascii="宋体" w:hAnsi="宋体" w:eastAsia="宋体"/>
          <w:color w:val="auto"/>
          <w:highlight w:val="none"/>
        </w:rPr>
      </w:pPr>
    </w:p>
    <w:p w14:paraId="1A766204">
      <w:pPr>
        <w:spacing w:line="400" w:lineRule="exact"/>
        <w:rPr>
          <w:rFonts w:ascii="宋体" w:hAnsi="宋体" w:eastAsia="宋体"/>
          <w:color w:val="auto"/>
          <w:highlight w:val="none"/>
        </w:rPr>
      </w:pPr>
    </w:p>
    <w:p w14:paraId="146625EA">
      <w:pPr>
        <w:spacing w:line="400" w:lineRule="exact"/>
        <w:rPr>
          <w:rFonts w:ascii="宋体" w:hAnsi="宋体" w:eastAsia="宋体"/>
          <w:color w:val="auto"/>
          <w:highlight w:val="none"/>
        </w:rPr>
      </w:pPr>
    </w:p>
    <w:p w14:paraId="06589069">
      <w:pPr>
        <w:spacing w:line="400" w:lineRule="exact"/>
        <w:rPr>
          <w:rFonts w:ascii="宋体" w:hAnsi="宋体" w:eastAsia="宋体"/>
          <w:color w:val="auto"/>
          <w:highlight w:val="none"/>
        </w:rPr>
      </w:pPr>
    </w:p>
    <w:p w14:paraId="009A4B3C">
      <w:pPr>
        <w:spacing w:line="360" w:lineRule="auto"/>
        <w:ind w:firstLine="1285" w:firstLineChars="400"/>
        <w:jc w:val="both"/>
        <w:rPr>
          <w:rFonts w:ascii="宋体" w:hAnsi="宋体" w:eastAsia="宋体"/>
          <w:b/>
          <w:color w:val="auto"/>
          <w:sz w:val="32"/>
          <w:szCs w:val="32"/>
          <w:highlight w:val="none"/>
        </w:rPr>
      </w:pPr>
      <w:bookmarkStart w:id="0" w:name="_Toc152042287"/>
      <w:bookmarkStart w:id="1" w:name="_Toc144974479"/>
      <w:bookmarkStart w:id="2" w:name="_Toc152045511"/>
      <w:r>
        <w:rPr>
          <w:rFonts w:hint="eastAsia" w:ascii="宋体" w:hAnsi="宋体" w:eastAsia="宋体"/>
          <w:b/>
          <w:color w:val="auto"/>
          <w:sz w:val="32"/>
          <w:szCs w:val="32"/>
          <w:highlight w:val="none"/>
        </w:rPr>
        <w:t>招标人：广州燃气集团有限公司（盖章）</w:t>
      </w:r>
    </w:p>
    <w:p w14:paraId="2F7E540C">
      <w:pPr>
        <w:spacing w:line="360" w:lineRule="auto"/>
        <w:jc w:val="center"/>
        <w:rPr>
          <w:rFonts w:ascii="宋体" w:hAnsi="宋体" w:eastAsia="宋体"/>
          <w:b/>
          <w:color w:val="auto"/>
          <w:sz w:val="32"/>
          <w:szCs w:val="32"/>
          <w:highlight w:val="none"/>
        </w:rPr>
      </w:pPr>
      <w:r>
        <w:rPr>
          <w:rFonts w:hint="eastAsia" w:ascii="宋体" w:hAnsi="宋体" w:eastAsia="宋体"/>
          <w:b/>
          <w:color w:val="auto"/>
          <w:sz w:val="32"/>
          <w:szCs w:val="32"/>
          <w:highlight w:val="none"/>
          <w:lang w:val="en-US" w:eastAsia="zh-CN"/>
        </w:rPr>
        <w:t xml:space="preserve"> </w:t>
      </w:r>
      <w:r>
        <w:rPr>
          <w:rFonts w:hint="eastAsia" w:ascii="宋体" w:hAnsi="宋体" w:eastAsia="宋体"/>
          <w:b/>
          <w:color w:val="auto"/>
          <w:sz w:val="32"/>
          <w:szCs w:val="32"/>
          <w:highlight w:val="none"/>
        </w:rPr>
        <w:t>招标代理单位：</w:t>
      </w:r>
      <w:r>
        <w:rPr>
          <w:rFonts w:hint="eastAsia" w:ascii="宋体" w:hAnsi="宋体" w:eastAsia="宋体"/>
          <w:b/>
          <w:color w:val="auto"/>
          <w:sz w:val="32"/>
          <w:szCs w:val="32"/>
          <w:highlight w:val="none"/>
          <w:lang w:eastAsia="zh-CN"/>
        </w:rPr>
        <w:t>广东粤能工程管理有限公司</w:t>
      </w:r>
      <w:r>
        <w:rPr>
          <w:rFonts w:hint="eastAsia" w:ascii="宋体" w:hAnsi="宋体" w:eastAsia="宋体"/>
          <w:b/>
          <w:color w:val="auto"/>
          <w:sz w:val="32"/>
          <w:szCs w:val="32"/>
          <w:highlight w:val="none"/>
        </w:rPr>
        <w:t>（盖章）</w:t>
      </w:r>
    </w:p>
    <w:p w14:paraId="780D7871">
      <w:pPr>
        <w:spacing w:line="360" w:lineRule="auto"/>
        <w:jc w:val="center"/>
        <w:rPr>
          <w:rFonts w:ascii="宋体" w:hAnsi="宋体" w:eastAsia="宋体"/>
          <w:b/>
          <w:bCs/>
          <w:color w:val="auto"/>
          <w:sz w:val="28"/>
          <w:szCs w:val="28"/>
          <w:highlight w:val="none"/>
        </w:rPr>
      </w:pPr>
      <w:r>
        <w:rPr>
          <w:rFonts w:hint="eastAsia" w:ascii="宋体" w:hAnsi="宋体" w:eastAsia="宋体" w:cs="宋体"/>
          <w:b/>
          <w:bCs/>
          <w:color w:val="auto"/>
          <w:sz w:val="28"/>
          <w:szCs w:val="28"/>
          <w:highlight w:val="none"/>
        </w:rPr>
        <w:t>招标机构签章位置</w:t>
      </w:r>
    </w:p>
    <w:p w14:paraId="4FB61DDD">
      <w:pPr>
        <w:spacing w:line="360" w:lineRule="auto"/>
        <w:jc w:val="center"/>
        <w:rPr>
          <w:rFonts w:ascii="宋体" w:hAnsi="宋体" w:eastAsia="宋体"/>
          <w:b/>
          <w:color w:val="auto"/>
          <w:sz w:val="32"/>
          <w:szCs w:val="32"/>
          <w:highlight w:val="none"/>
        </w:rPr>
      </w:pPr>
      <w:r>
        <w:rPr>
          <w:rFonts w:hint="eastAsia" w:ascii="宋体" w:hAnsi="宋体" w:eastAsia="宋体"/>
          <w:b/>
          <w:color w:val="auto"/>
          <w:sz w:val="32"/>
          <w:szCs w:val="32"/>
          <w:highlight w:val="none"/>
          <w:u w:val="single"/>
        </w:rPr>
        <w:t>202</w:t>
      </w:r>
      <w:r>
        <w:rPr>
          <w:rFonts w:hint="eastAsia" w:ascii="宋体" w:hAnsi="宋体" w:eastAsia="宋体"/>
          <w:b/>
          <w:color w:val="auto"/>
          <w:sz w:val="32"/>
          <w:szCs w:val="32"/>
          <w:highlight w:val="none"/>
          <w:u w:val="single"/>
          <w:lang w:val="en-US" w:eastAsia="zh-CN"/>
        </w:rPr>
        <w:t>5</w:t>
      </w:r>
      <w:r>
        <w:rPr>
          <w:rFonts w:hint="eastAsia" w:ascii="宋体" w:hAnsi="宋体" w:eastAsia="宋体"/>
          <w:b/>
          <w:color w:val="auto"/>
          <w:sz w:val="32"/>
          <w:szCs w:val="32"/>
          <w:highlight w:val="none"/>
        </w:rPr>
        <w:t>年</w:t>
      </w:r>
      <w:r>
        <w:rPr>
          <w:rFonts w:hint="eastAsia" w:ascii="宋体" w:hAnsi="宋体" w:eastAsia="宋体"/>
          <w:b/>
          <w:color w:val="auto"/>
          <w:sz w:val="32"/>
          <w:szCs w:val="32"/>
          <w:highlight w:val="none"/>
          <w:u w:val="single"/>
          <w:lang w:val="en-US" w:eastAsia="zh-CN"/>
        </w:rPr>
        <w:t>7</w:t>
      </w:r>
      <w:r>
        <w:rPr>
          <w:rFonts w:hint="eastAsia" w:ascii="宋体" w:hAnsi="宋体" w:eastAsia="宋体"/>
          <w:b/>
          <w:color w:val="auto"/>
          <w:sz w:val="32"/>
          <w:szCs w:val="32"/>
          <w:highlight w:val="none"/>
        </w:rPr>
        <w:t>月</w:t>
      </w:r>
    </w:p>
    <w:p w14:paraId="4996A229">
      <w:pPr>
        <w:widowControl/>
        <w:spacing w:line="360" w:lineRule="auto"/>
        <w:jc w:val="left"/>
        <w:rPr>
          <w:rFonts w:ascii="宋体" w:hAnsi="宋体" w:eastAsia="宋体" w:cs="Calibri"/>
          <w:b/>
          <w:color w:val="auto"/>
          <w:kern w:val="0"/>
          <w:sz w:val="32"/>
          <w:szCs w:val="32"/>
          <w:highlight w:val="none"/>
          <w:lang w:val="zh-CN"/>
        </w:rPr>
        <w:sectPr>
          <w:footerReference r:id="rId4" w:type="first"/>
          <w:headerReference r:id="rId3" w:type="default"/>
          <w:pgSz w:w="12240" w:h="15840"/>
          <w:pgMar w:top="1304" w:right="1417" w:bottom="1304" w:left="1417" w:header="0" w:footer="567" w:gutter="0"/>
          <w:pgBorders>
            <w:top w:val="none" w:sz="0" w:space="0"/>
            <w:left w:val="none" w:sz="0" w:space="0"/>
            <w:bottom w:val="none" w:sz="0" w:space="0"/>
            <w:right w:val="none" w:sz="0" w:space="0"/>
          </w:pgBorders>
          <w:cols w:space="0" w:num="1"/>
          <w:rtlGutter w:val="1"/>
          <w:docGrid w:linePitch="312" w:charSpace="0"/>
        </w:sectPr>
      </w:pPr>
    </w:p>
    <w:p w14:paraId="7CB80EC7">
      <w:pPr>
        <w:pStyle w:val="224"/>
        <w:keepNext w:val="0"/>
        <w:keepLines w:val="0"/>
        <w:pageBreakBefore w:val="0"/>
        <w:widowControl w:val="0"/>
        <w:kinsoku/>
        <w:wordWrap/>
        <w:overflowPunct/>
        <w:topLinePunct w:val="0"/>
        <w:autoSpaceDE/>
        <w:autoSpaceDN/>
        <w:bidi w:val="0"/>
        <w:adjustRightInd/>
        <w:snapToGrid/>
        <w:spacing w:before="0" w:line="360" w:lineRule="auto"/>
        <w:jc w:val="center"/>
        <w:textAlignment w:val="auto"/>
        <w:rPr>
          <w:rFonts w:ascii="宋体" w:hAnsi="宋体"/>
          <w:color w:val="auto"/>
          <w:sz w:val="32"/>
          <w:szCs w:val="32"/>
          <w:highlight w:val="none"/>
          <w:lang w:val="zh-CN"/>
        </w:rPr>
      </w:pPr>
      <w:r>
        <w:rPr>
          <w:rFonts w:hint="eastAsia" w:ascii="宋体" w:hAnsi="宋体"/>
          <w:color w:val="auto"/>
          <w:sz w:val="32"/>
          <w:szCs w:val="32"/>
          <w:highlight w:val="none"/>
          <w:lang w:val="zh-CN"/>
        </w:rPr>
        <w:t>目录</w:t>
      </w:r>
    </w:p>
    <w:p w14:paraId="4B79ADFA">
      <w:pPr>
        <w:jc w:val="center"/>
        <w:rPr>
          <w:rFonts w:ascii="宋体" w:hAnsi="宋体" w:eastAsia="宋体"/>
          <w:color w:val="auto"/>
          <w:highlight w:val="none"/>
          <w:lang w:val="zh-CN"/>
        </w:rPr>
      </w:pPr>
    </w:p>
    <w:p w14:paraId="526B81FF">
      <w:pPr>
        <w:pStyle w:val="29"/>
        <w:tabs>
          <w:tab w:val="right" w:leader="dot" w:pos="9406"/>
        </w:tabs>
        <w:rPr>
          <w:color w:val="auto"/>
          <w:sz w:val="24"/>
          <w:szCs w:val="24"/>
          <w:highlight w:val="none"/>
        </w:rPr>
      </w:pPr>
      <w:r>
        <w:rPr>
          <w:rFonts w:hint="eastAsia" w:ascii="宋体" w:hAnsi="宋体" w:cs="宋体"/>
          <w:color w:val="auto"/>
          <w:sz w:val="30"/>
          <w:szCs w:val="30"/>
          <w:highlight w:val="none"/>
        </w:rPr>
        <w:fldChar w:fldCharType="begin"/>
      </w:r>
      <w:r>
        <w:rPr>
          <w:rFonts w:hint="eastAsia" w:ascii="宋体" w:hAnsi="宋体" w:cs="宋体"/>
          <w:color w:val="auto"/>
          <w:sz w:val="30"/>
          <w:szCs w:val="30"/>
          <w:highlight w:val="none"/>
        </w:rPr>
        <w:instrText xml:space="preserve"> TOC \o "1-1" \h \z \u </w:instrText>
      </w:r>
      <w:r>
        <w:rPr>
          <w:rFonts w:hint="eastAsia" w:ascii="宋体" w:hAnsi="宋体" w:cs="宋体"/>
          <w:color w:val="auto"/>
          <w:sz w:val="30"/>
          <w:szCs w:val="30"/>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_Toc30372 </w:instrText>
      </w:r>
      <w:r>
        <w:rPr>
          <w:rFonts w:hint="eastAsia" w:ascii="宋体" w:hAnsi="宋体" w:eastAsia="宋体" w:cs="宋体"/>
          <w:color w:val="auto"/>
          <w:sz w:val="24"/>
          <w:szCs w:val="24"/>
          <w:highlight w:val="none"/>
        </w:rPr>
        <w:fldChar w:fldCharType="separate"/>
      </w:r>
      <w:r>
        <w:rPr>
          <w:rFonts w:hint="eastAsia" w:ascii="宋体" w:hAnsi="宋体" w:eastAsia="宋体"/>
          <w:color w:val="auto"/>
          <w:sz w:val="24"/>
          <w:szCs w:val="24"/>
          <w:highlight w:val="none"/>
        </w:rPr>
        <w:t>第一卷</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_Toc30372 \h </w:instrText>
      </w:r>
      <w:r>
        <w:rPr>
          <w:color w:val="auto"/>
          <w:sz w:val="24"/>
          <w:szCs w:val="24"/>
          <w:highlight w:val="none"/>
        </w:rPr>
        <w:fldChar w:fldCharType="separate"/>
      </w:r>
      <w:r>
        <w:rPr>
          <w:color w:val="auto"/>
          <w:sz w:val="24"/>
          <w:szCs w:val="24"/>
          <w:highlight w:val="none"/>
        </w:rPr>
        <w:t>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AEB80AB">
      <w:pPr>
        <w:pStyle w:val="29"/>
        <w:tabs>
          <w:tab w:val="right" w:leader="dot" w:pos="9406"/>
        </w:tabs>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_Toc3880 </w:instrText>
      </w:r>
      <w:r>
        <w:rPr>
          <w:rFonts w:hint="eastAsia" w:ascii="宋体" w:hAnsi="宋体" w:eastAsia="宋体" w:cs="宋体"/>
          <w:color w:val="auto"/>
          <w:sz w:val="24"/>
          <w:szCs w:val="24"/>
          <w:highlight w:val="none"/>
        </w:rPr>
        <w:fldChar w:fldCharType="separate"/>
      </w:r>
      <w:r>
        <w:rPr>
          <w:rFonts w:hint="default" w:ascii="宋体" w:hAnsi="宋体"/>
          <w:color w:val="auto"/>
          <w:sz w:val="24"/>
          <w:szCs w:val="24"/>
          <w:highlight w:val="none"/>
        </w:rPr>
        <w:t xml:space="preserve">第一章 </w:t>
      </w:r>
      <w:r>
        <w:rPr>
          <w:rFonts w:hint="eastAsia" w:ascii="宋体" w:hAnsi="宋体"/>
          <w:color w:val="auto"/>
          <w:sz w:val="24"/>
          <w:szCs w:val="24"/>
          <w:highlight w:val="none"/>
        </w:rPr>
        <w:t>招标公告</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_Toc3880 \h </w:instrText>
      </w:r>
      <w:r>
        <w:rPr>
          <w:color w:val="auto"/>
          <w:sz w:val="24"/>
          <w:szCs w:val="24"/>
          <w:highlight w:val="none"/>
        </w:rPr>
        <w:fldChar w:fldCharType="separate"/>
      </w:r>
      <w:r>
        <w:rPr>
          <w:color w:val="auto"/>
          <w:sz w:val="24"/>
          <w:szCs w:val="24"/>
          <w:highlight w:val="none"/>
        </w:rPr>
        <w:t>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CFCBC3E">
      <w:pPr>
        <w:pStyle w:val="29"/>
        <w:tabs>
          <w:tab w:val="right" w:leader="dot" w:pos="9406"/>
        </w:tabs>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_Toc17238 </w:instrText>
      </w:r>
      <w:r>
        <w:rPr>
          <w:rFonts w:hint="eastAsia" w:ascii="宋体" w:hAnsi="宋体" w:eastAsia="宋体" w:cs="宋体"/>
          <w:color w:val="auto"/>
          <w:sz w:val="24"/>
          <w:szCs w:val="24"/>
          <w:highlight w:val="none"/>
        </w:rPr>
        <w:fldChar w:fldCharType="separate"/>
      </w:r>
      <w:r>
        <w:rPr>
          <w:rFonts w:hint="eastAsia" w:ascii="宋体" w:hAnsi="宋体"/>
          <w:color w:val="auto"/>
          <w:sz w:val="24"/>
          <w:szCs w:val="24"/>
          <w:highlight w:val="none"/>
        </w:rPr>
        <w:t>附件一：投标人声明</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_Toc17238 \h </w:instrText>
      </w:r>
      <w:r>
        <w:rPr>
          <w:color w:val="auto"/>
          <w:sz w:val="24"/>
          <w:szCs w:val="24"/>
          <w:highlight w:val="none"/>
        </w:rPr>
        <w:fldChar w:fldCharType="separate"/>
      </w:r>
      <w:r>
        <w:rPr>
          <w:color w:val="auto"/>
          <w:sz w:val="24"/>
          <w:szCs w:val="24"/>
          <w:highlight w:val="none"/>
        </w:rPr>
        <w:t>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EFB9176">
      <w:pPr>
        <w:pStyle w:val="29"/>
        <w:tabs>
          <w:tab w:val="right" w:leader="dot" w:pos="9406"/>
        </w:tabs>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_Toc27597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kern w:val="0"/>
          <w:sz w:val="24"/>
          <w:szCs w:val="24"/>
          <w:highlight w:val="none"/>
        </w:rPr>
        <w:t>投标人声明</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_Toc27597 \h </w:instrText>
      </w:r>
      <w:r>
        <w:rPr>
          <w:color w:val="auto"/>
          <w:sz w:val="24"/>
          <w:szCs w:val="24"/>
          <w:highlight w:val="none"/>
        </w:rPr>
        <w:fldChar w:fldCharType="separate"/>
      </w:r>
      <w:r>
        <w:rPr>
          <w:color w:val="auto"/>
          <w:sz w:val="24"/>
          <w:szCs w:val="24"/>
          <w:highlight w:val="none"/>
        </w:rPr>
        <w:t>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2E6F022">
      <w:pPr>
        <w:pStyle w:val="29"/>
        <w:tabs>
          <w:tab w:val="right" w:leader="dot" w:pos="9406"/>
        </w:tabs>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_Toc10450 </w:instrText>
      </w:r>
      <w:r>
        <w:rPr>
          <w:rFonts w:hint="eastAsia" w:ascii="宋体" w:hAnsi="宋体" w:eastAsia="宋体" w:cs="宋体"/>
          <w:color w:val="auto"/>
          <w:sz w:val="24"/>
          <w:szCs w:val="24"/>
          <w:highlight w:val="none"/>
        </w:rPr>
        <w:fldChar w:fldCharType="separate"/>
      </w:r>
      <w:r>
        <w:rPr>
          <w:rFonts w:hint="eastAsia" w:ascii="宋体" w:hAnsi="宋体"/>
          <w:color w:val="auto"/>
          <w:sz w:val="24"/>
          <w:szCs w:val="24"/>
          <w:highlight w:val="none"/>
        </w:rPr>
        <w:t>第二章 投标人须知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_Toc10450 \h </w:instrText>
      </w:r>
      <w:r>
        <w:rPr>
          <w:color w:val="auto"/>
          <w:sz w:val="24"/>
          <w:szCs w:val="24"/>
          <w:highlight w:val="none"/>
        </w:rPr>
        <w:fldChar w:fldCharType="separate"/>
      </w:r>
      <w:r>
        <w:rPr>
          <w:color w:val="auto"/>
          <w:sz w:val="24"/>
          <w:szCs w:val="24"/>
          <w:highlight w:val="none"/>
        </w:rPr>
        <w:t>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A627487">
      <w:pPr>
        <w:pStyle w:val="29"/>
        <w:tabs>
          <w:tab w:val="right" w:leader="dot" w:pos="9406"/>
        </w:tabs>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_Toc32313 </w:instrText>
      </w:r>
      <w:r>
        <w:rPr>
          <w:rFonts w:hint="eastAsia" w:ascii="宋体" w:hAnsi="宋体" w:eastAsia="宋体" w:cs="宋体"/>
          <w:color w:val="auto"/>
          <w:sz w:val="24"/>
          <w:szCs w:val="24"/>
          <w:highlight w:val="none"/>
        </w:rPr>
        <w:fldChar w:fldCharType="separate"/>
      </w:r>
      <w:r>
        <w:rPr>
          <w:rFonts w:hint="eastAsia" w:ascii="宋体" w:hAnsi="宋体"/>
          <w:color w:val="auto"/>
          <w:sz w:val="24"/>
          <w:szCs w:val="24"/>
          <w:highlight w:val="none"/>
        </w:rPr>
        <w:t>第三章 评标办法（综合评估法）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_Toc32313 \h </w:instrText>
      </w:r>
      <w:r>
        <w:rPr>
          <w:color w:val="auto"/>
          <w:sz w:val="24"/>
          <w:szCs w:val="24"/>
          <w:highlight w:val="none"/>
        </w:rPr>
        <w:fldChar w:fldCharType="separate"/>
      </w:r>
      <w:r>
        <w:rPr>
          <w:color w:val="auto"/>
          <w:sz w:val="24"/>
          <w:szCs w:val="24"/>
          <w:highlight w:val="none"/>
        </w:rPr>
        <w:t>37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B374FFC">
      <w:pPr>
        <w:pStyle w:val="29"/>
        <w:tabs>
          <w:tab w:val="right" w:leader="dot" w:pos="9406"/>
        </w:tabs>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_Toc2445 </w:instrText>
      </w:r>
      <w:r>
        <w:rPr>
          <w:rFonts w:hint="eastAsia" w:ascii="宋体" w:hAnsi="宋体" w:eastAsia="宋体" w:cs="宋体"/>
          <w:color w:val="auto"/>
          <w:sz w:val="24"/>
          <w:szCs w:val="24"/>
          <w:highlight w:val="none"/>
        </w:rPr>
        <w:fldChar w:fldCharType="separate"/>
      </w:r>
      <w:r>
        <w:rPr>
          <w:rFonts w:hint="eastAsia" w:ascii="宋体" w:hAnsi="宋体"/>
          <w:color w:val="auto"/>
          <w:sz w:val="24"/>
          <w:szCs w:val="24"/>
          <w:highlight w:val="none"/>
        </w:rPr>
        <w:t>第四章 合同条款及格式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_Toc2445 \h </w:instrText>
      </w:r>
      <w:r>
        <w:rPr>
          <w:color w:val="auto"/>
          <w:sz w:val="24"/>
          <w:szCs w:val="24"/>
          <w:highlight w:val="none"/>
        </w:rPr>
        <w:fldChar w:fldCharType="separate"/>
      </w:r>
      <w:r>
        <w:rPr>
          <w:color w:val="auto"/>
          <w:sz w:val="24"/>
          <w:szCs w:val="24"/>
          <w:highlight w:val="none"/>
        </w:rPr>
        <w:t>46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E4BF739">
      <w:pPr>
        <w:pStyle w:val="29"/>
        <w:tabs>
          <w:tab w:val="right" w:leader="dot" w:pos="9406"/>
        </w:tabs>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_Toc29222 </w:instrText>
      </w:r>
      <w:r>
        <w:rPr>
          <w:rFonts w:hint="eastAsia" w:ascii="宋体" w:hAnsi="宋体" w:eastAsia="宋体" w:cs="宋体"/>
          <w:color w:val="auto"/>
          <w:sz w:val="24"/>
          <w:szCs w:val="24"/>
          <w:highlight w:val="none"/>
        </w:rPr>
        <w:fldChar w:fldCharType="separate"/>
      </w:r>
      <w:r>
        <w:rPr>
          <w:rFonts w:hint="eastAsia" w:ascii="宋体" w:hAnsi="宋体" w:eastAsia="宋体"/>
          <w:color w:val="auto"/>
          <w:sz w:val="24"/>
          <w:szCs w:val="24"/>
          <w:highlight w:val="none"/>
        </w:rPr>
        <w:t>第一部分</w:t>
      </w:r>
      <w:r>
        <w:rPr>
          <w:rFonts w:hint="eastAsia" w:ascii="宋体" w:hAnsi="宋体" w:eastAsia="宋体"/>
          <w:bCs/>
          <w:color w:val="auto"/>
          <w:sz w:val="24"/>
          <w:szCs w:val="24"/>
          <w:highlight w:val="none"/>
        </w:rPr>
        <w:t xml:space="preserve"> 监理合同协议书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_Toc29222 \h </w:instrText>
      </w:r>
      <w:r>
        <w:rPr>
          <w:color w:val="auto"/>
          <w:sz w:val="24"/>
          <w:szCs w:val="24"/>
          <w:highlight w:val="none"/>
        </w:rPr>
        <w:fldChar w:fldCharType="separate"/>
      </w:r>
      <w:r>
        <w:rPr>
          <w:color w:val="auto"/>
          <w:sz w:val="24"/>
          <w:szCs w:val="24"/>
          <w:highlight w:val="none"/>
        </w:rPr>
        <w:t>48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497C6FE">
      <w:pPr>
        <w:pStyle w:val="29"/>
        <w:tabs>
          <w:tab w:val="right" w:leader="dot" w:pos="9406"/>
        </w:tabs>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_Toc20753 </w:instrText>
      </w:r>
      <w:r>
        <w:rPr>
          <w:rFonts w:hint="eastAsia" w:ascii="宋体" w:hAnsi="宋体" w:eastAsia="宋体" w:cs="宋体"/>
          <w:color w:val="auto"/>
          <w:sz w:val="24"/>
          <w:szCs w:val="24"/>
          <w:highlight w:val="none"/>
        </w:rPr>
        <w:fldChar w:fldCharType="separate"/>
      </w:r>
      <w:r>
        <w:rPr>
          <w:rFonts w:hint="eastAsia" w:ascii="宋体" w:hAnsi="宋体" w:eastAsia="宋体"/>
          <w:color w:val="auto"/>
          <w:sz w:val="24"/>
          <w:szCs w:val="24"/>
          <w:highlight w:val="none"/>
        </w:rPr>
        <w:t>第二部分</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标准条件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_Toc20753 \h </w:instrText>
      </w:r>
      <w:r>
        <w:rPr>
          <w:color w:val="auto"/>
          <w:sz w:val="24"/>
          <w:szCs w:val="24"/>
          <w:highlight w:val="none"/>
        </w:rPr>
        <w:fldChar w:fldCharType="separate"/>
      </w:r>
      <w:r>
        <w:rPr>
          <w:color w:val="auto"/>
          <w:sz w:val="24"/>
          <w:szCs w:val="24"/>
          <w:highlight w:val="none"/>
        </w:rPr>
        <w:t>51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DB3F5D5">
      <w:pPr>
        <w:pStyle w:val="29"/>
        <w:tabs>
          <w:tab w:val="right" w:leader="dot" w:pos="9406"/>
        </w:tabs>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_Toc222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第三部分 专用条件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_Toc222 \h </w:instrText>
      </w:r>
      <w:r>
        <w:rPr>
          <w:color w:val="auto"/>
          <w:sz w:val="24"/>
          <w:szCs w:val="24"/>
          <w:highlight w:val="none"/>
        </w:rPr>
        <w:fldChar w:fldCharType="separate"/>
      </w:r>
      <w:r>
        <w:rPr>
          <w:color w:val="auto"/>
          <w:sz w:val="24"/>
          <w:szCs w:val="24"/>
          <w:highlight w:val="none"/>
        </w:rPr>
        <w:t>57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70159A4">
      <w:pPr>
        <w:pStyle w:val="29"/>
        <w:tabs>
          <w:tab w:val="right" w:leader="dot" w:pos="9406"/>
        </w:tabs>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_Toc1979 </w:instrText>
      </w:r>
      <w:r>
        <w:rPr>
          <w:rFonts w:hint="eastAsia" w:ascii="宋体" w:hAnsi="宋体" w:eastAsia="宋体" w:cs="宋体"/>
          <w:color w:val="auto"/>
          <w:sz w:val="24"/>
          <w:szCs w:val="24"/>
          <w:highlight w:val="none"/>
        </w:rPr>
        <w:fldChar w:fldCharType="separate"/>
      </w:r>
      <w:r>
        <w:rPr>
          <w:rFonts w:hint="eastAsia" w:ascii="宋体" w:hAnsi="宋体" w:eastAsia="宋体"/>
          <w:color w:val="auto"/>
          <w:sz w:val="24"/>
          <w:szCs w:val="24"/>
          <w:highlight w:val="none"/>
        </w:rPr>
        <w:t>第四部分 合同附件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_Toc1979 \h </w:instrText>
      </w:r>
      <w:r>
        <w:rPr>
          <w:color w:val="auto"/>
          <w:sz w:val="24"/>
          <w:szCs w:val="24"/>
          <w:highlight w:val="none"/>
        </w:rPr>
        <w:fldChar w:fldCharType="separate"/>
      </w:r>
      <w:r>
        <w:rPr>
          <w:color w:val="auto"/>
          <w:sz w:val="24"/>
          <w:szCs w:val="24"/>
          <w:highlight w:val="none"/>
        </w:rPr>
        <w:t>71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1AFAEBB">
      <w:pPr>
        <w:pStyle w:val="29"/>
        <w:tabs>
          <w:tab w:val="right" w:leader="dot" w:pos="9406"/>
        </w:tabs>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_Toc31876 </w:instrText>
      </w:r>
      <w:r>
        <w:rPr>
          <w:rFonts w:hint="eastAsia" w:ascii="宋体" w:hAnsi="宋体" w:eastAsia="宋体" w:cs="宋体"/>
          <w:color w:val="auto"/>
          <w:sz w:val="24"/>
          <w:szCs w:val="24"/>
          <w:highlight w:val="none"/>
        </w:rPr>
        <w:fldChar w:fldCharType="separate"/>
      </w:r>
      <w:r>
        <w:rPr>
          <w:rFonts w:hint="eastAsia" w:ascii="宋体" w:hAnsi="宋体"/>
          <w:color w:val="auto"/>
          <w:sz w:val="24"/>
          <w:szCs w:val="24"/>
          <w:highlight w:val="none"/>
        </w:rPr>
        <w:t>附件一 廉洁协议</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_Toc31876 \h </w:instrText>
      </w:r>
      <w:r>
        <w:rPr>
          <w:color w:val="auto"/>
          <w:sz w:val="24"/>
          <w:szCs w:val="24"/>
          <w:highlight w:val="none"/>
        </w:rPr>
        <w:fldChar w:fldCharType="separate"/>
      </w:r>
      <w:r>
        <w:rPr>
          <w:color w:val="auto"/>
          <w:sz w:val="24"/>
          <w:szCs w:val="24"/>
          <w:highlight w:val="none"/>
        </w:rPr>
        <w:t>74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1AA809B">
      <w:pPr>
        <w:pStyle w:val="29"/>
        <w:tabs>
          <w:tab w:val="right" w:leader="dot" w:pos="9406"/>
        </w:tabs>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_Toc23930 </w:instrText>
      </w:r>
      <w:r>
        <w:rPr>
          <w:rFonts w:hint="eastAsia" w:ascii="宋体" w:hAnsi="宋体" w:eastAsia="宋体" w:cs="宋体"/>
          <w:color w:val="auto"/>
          <w:sz w:val="24"/>
          <w:szCs w:val="24"/>
          <w:highlight w:val="none"/>
        </w:rPr>
        <w:fldChar w:fldCharType="separate"/>
      </w:r>
      <w:r>
        <w:rPr>
          <w:rFonts w:hint="eastAsia" w:ascii="宋体" w:hAnsi="宋体"/>
          <w:color w:val="auto"/>
          <w:sz w:val="24"/>
          <w:szCs w:val="24"/>
          <w:highlight w:val="none"/>
        </w:rPr>
        <w:t xml:space="preserve">附件二 </w:t>
      </w:r>
      <w:r>
        <w:rPr>
          <w:rFonts w:ascii="宋体" w:hAnsi="宋体"/>
          <w:color w:val="auto"/>
          <w:sz w:val="24"/>
          <w:szCs w:val="24"/>
          <w:highlight w:val="none"/>
        </w:rPr>
        <w:t>本项目的监理组织机构</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_Toc23930 \h </w:instrText>
      </w:r>
      <w:r>
        <w:rPr>
          <w:color w:val="auto"/>
          <w:sz w:val="24"/>
          <w:szCs w:val="24"/>
          <w:highlight w:val="none"/>
        </w:rPr>
        <w:fldChar w:fldCharType="separate"/>
      </w:r>
      <w:r>
        <w:rPr>
          <w:color w:val="auto"/>
          <w:sz w:val="24"/>
          <w:szCs w:val="24"/>
          <w:highlight w:val="none"/>
        </w:rPr>
        <w:t>77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95E8F60">
      <w:pPr>
        <w:pStyle w:val="29"/>
        <w:tabs>
          <w:tab w:val="right" w:leader="dot" w:pos="9406"/>
        </w:tabs>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_Toc10839 </w:instrText>
      </w:r>
      <w:r>
        <w:rPr>
          <w:rFonts w:hint="eastAsia" w:ascii="宋体" w:hAnsi="宋体" w:eastAsia="宋体" w:cs="宋体"/>
          <w:color w:val="auto"/>
          <w:sz w:val="24"/>
          <w:szCs w:val="24"/>
          <w:highlight w:val="none"/>
        </w:rPr>
        <w:fldChar w:fldCharType="separate"/>
      </w:r>
      <w:r>
        <w:rPr>
          <w:rFonts w:hint="eastAsia" w:ascii="宋体" w:hAnsi="宋体"/>
          <w:color w:val="auto"/>
          <w:sz w:val="24"/>
          <w:szCs w:val="24"/>
          <w:highlight w:val="none"/>
        </w:rPr>
        <w:t>附件三 投入本项目的监理人员汇总表（须满足投标文件的承诺）</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_Toc10839 \h </w:instrText>
      </w:r>
      <w:r>
        <w:rPr>
          <w:color w:val="auto"/>
          <w:sz w:val="24"/>
          <w:szCs w:val="24"/>
          <w:highlight w:val="none"/>
        </w:rPr>
        <w:fldChar w:fldCharType="separate"/>
      </w:r>
      <w:r>
        <w:rPr>
          <w:color w:val="auto"/>
          <w:sz w:val="24"/>
          <w:szCs w:val="24"/>
          <w:highlight w:val="none"/>
        </w:rPr>
        <w:t>78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53624BE">
      <w:pPr>
        <w:pStyle w:val="29"/>
        <w:tabs>
          <w:tab w:val="right" w:leader="dot" w:pos="9406"/>
        </w:tabs>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_Toc11117 </w:instrText>
      </w:r>
      <w:r>
        <w:rPr>
          <w:rFonts w:hint="eastAsia" w:ascii="宋体" w:hAnsi="宋体" w:eastAsia="宋体" w:cs="宋体"/>
          <w:color w:val="auto"/>
          <w:sz w:val="24"/>
          <w:szCs w:val="24"/>
          <w:highlight w:val="none"/>
        </w:rPr>
        <w:fldChar w:fldCharType="separate"/>
      </w:r>
      <w:r>
        <w:rPr>
          <w:rFonts w:hint="eastAsia" w:ascii="宋体" w:hAnsi="宋体"/>
          <w:color w:val="auto"/>
          <w:sz w:val="24"/>
          <w:szCs w:val="24"/>
          <w:highlight w:val="none"/>
        </w:rPr>
        <w:t>附件四 投入本项目的监理人员计划表（须满足投标文件的承诺）</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_Toc11117 \h </w:instrText>
      </w:r>
      <w:r>
        <w:rPr>
          <w:color w:val="auto"/>
          <w:sz w:val="24"/>
          <w:szCs w:val="24"/>
          <w:highlight w:val="none"/>
        </w:rPr>
        <w:fldChar w:fldCharType="separate"/>
      </w:r>
      <w:r>
        <w:rPr>
          <w:color w:val="auto"/>
          <w:sz w:val="24"/>
          <w:szCs w:val="24"/>
          <w:highlight w:val="none"/>
        </w:rPr>
        <w:t>79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3A967EC">
      <w:pPr>
        <w:pStyle w:val="29"/>
        <w:tabs>
          <w:tab w:val="right" w:leader="dot" w:pos="9406"/>
        </w:tabs>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_Toc3157 </w:instrText>
      </w:r>
      <w:r>
        <w:rPr>
          <w:rFonts w:hint="eastAsia" w:ascii="宋体" w:hAnsi="宋体" w:eastAsia="宋体" w:cs="宋体"/>
          <w:color w:val="auto"/>
          <w:sz w:val="24"/>
          <w:szCs w:val="24"/>
          <w:highlight w:val="none"/>
        </w:rPr>
        <w:fldChar w:fldCharType="separate"/>
      </w:r>
      <w:r>
        <w:rPr>
          <w:rFonts w:hint="eastAsia" w:ascii="宋体" w:hAnsi="宋体"/>
          <w:color w:val="auto"/>
          <w:sz w:val="24"/>
          <w:szCs w:val="24"/>
          <w:highlight w:val="none"/>
        </w:rPr>
        <w:t>附件五 投入本项目的检测设备及交通工具（须满足投标文件的承诺）</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_Toc3157 \h </w:instrText>
      </w:r>
      <w:r>
        <w:rPr>
          <w:color w:val="auto"/>
          <w:sz w:val="24"/>
          <w:szCs w:val="24"/>
          <w:highlight w:val="none"/>
        </w:rPr>
        <w:fldChar w:fldCharType="separate"/>
      </w:r>
      <w:r>
        <w:rPr>
          <w:color w:val="auto"/>
          <w:sz w:val="24"/>
          <w:szCs w:val="24"/>
          <w:highlight w:val="none"/>
        </w:rPr>
        <w:t>80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5F3797B">
      <w:pPr>
        <w:pStyle w:val="29"/>
        <w:tabs>
          <w:tab w:val="right" w:leader="dot" w:pos="9406"/>
        </w:tabs>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_Toc11156 </w:instrText>
      </w:r>
      <w:r>
        <w:rPr>
          <w:rFonts w:hint="eastAsia" w:ascii="宋体" w:hAnsi="宋体" w:eastAsia="宋体" w:cs="宋体"/>
          <w:color w:val="auto"/>
          <w:sz w:val="24"/>
          <w:szCs w:val="24"/>
          <w:highlight w:val="none"/>
        </w:rPr>
        <w:fldChar w:fldCharType="separate"/>
      </w:r>
      <w:r>
        <w:rPr>
          <w:rFonts w:hint="eastAsia" w:ascii="宋体" w:hAnsi="宋体"/>
          <w:color w:val="auto"/>
          <w:sz w:val="24"/>
          <w:szCs w:val="24"/>
          <w:highlight w:val="none"/>
        </w:rPr>
        <w:t>附件六 履约保函格式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_Toc11156 \h </w:instrText>
      </w:r>
      <w:r>
        <w:rPr>
          <w:color w:val="auto"/>
          <w:sz w:val="24"/>
          <w:szCs w:val="24"/>
          <w:highlight w:val="none"/>
        </w:rPr>
        <w:fldChar w:fldCharType="separate"/>
      </w:r>
      <w:r>
        <w:rPr>
          <w:color w:val="auto"/>
          <w:sz w:val="24"/>
          <w:szCs w:val="24"/>
          <w:highlight w:val="none"/>
        </w:rPr>
        <w:t>81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5BFF675">
      <w:pPr>
        <w:pStyle w:val="29"/>
        <w:tabs>
          <w:tab w:val="right" w:leader="dot" w:pos="9406"/>
        </w:tabs>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_Toc31909 </w:instrText>
      </w:r>
      <w:r>
        <w:rPr>
          <w:rFonts w:hint="eastAsia" w:ascii="宋体" w:hAnsi="宋体" w:eastAsia="宋体" w:cs="宋体"/>
          <w:color w:val="auto"/>
          <w:sz w:val="24"/>
          <w:szCs w:val="24"/>
          <w:highlight w:val="none"/>
        </w:rPr>
        <w:fldChar w:fldCharType="separate"/>
      </w:r>
      <w:r>
        <w:rPr>
          <w:rFonts w:hint="eastAsia" w:ascii="宋体" w:hAnsi="宋体" w:eastAsia="宋体"/>
          <w:color w:val="auto"/>
          <w:sz w:val="24"/>
          <w:szCs w:val="24"/>
          <w:highlight w:val="none"/>
        </w:rPr>
        <w:t>第二卷</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_Toc31909 \h </w:instrText>
      </w:r>
      <w:r>
        <w:rPr>
          <w:color w:val="auto"/>
          <w:sz w:val="24"/>
          <w:szCs w:val="24"/>
          <w:highlight w:val="none"/>
        </w:rPr>
        <w:fldChar w:fldCharType="separate"/>
      </w:r>
      <w:r>
        <w:rPr>
          <w:color w:val="auto"/>
          <w:sz w:val="24"/>
          <w:szCs w:val="24"/>
          <w:highlight w:val="none"/>
        </w:rPr>
        <w:t>82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B35223B">
      <w:pPr>
        <w:pStyle w:val="29"/>
        <w:tabs>
          <w:tab w:val="right" w:leader="dot" w:pos="9406"/>
        </w:tabs>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_Toc24307 </w:instrText>
      </w:r>
      <w:r>
        <w:rPr>
          <w:rFonts w:hint="eastAsia" w:ascii="宋体" w:hAnsi="宋体" w:eastAsia="宋体" w:cs="宋体"/>
          <w:color w:val="auto"/>
          <w:sz w:val="24"/>
          <w:szCs w:val="24"/>
          <w:highlight w:val="none"/>
        </w:rPr>
        <w:fldChar w:fldCharType="separate"/>
      </w:r>
      <w:r>
        <w:rPr>
          <w:rFonts w:hint="eastAsia" w:ascii="宋体" w:hAnsi="宋体"/>
          <w:color w:val="auto"/>
          <w:sz w:val="24"/>
          <w:szCs w:val="24"/>
          <w:highlight w:val="none"/>
        </w:rPr>
        <w:t>第五章 委托人要求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_Toc24307 \h </w:instrText>
      </w:r>
      <w:r>
        <w:rPr>
          <w:color w:val="auto"/>
          <w:sz w:val="24"/>
          <w:szCs w:val="24"/>
          <w:highlight w:val="none"/>
        </w:rPr>
        <w:fldChar w:fldCharType="separate"/>
      </w:r>
      <w:r>
        <w:rPr>
          <w:color w:val="auto"/>
          <w:sz w:val="24"/>
          <w:szCs w:val="24"/>
          <w:highlight w:val="none"/>
        </w:rPr>
        <w:t>82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CAC9D17">
      <w:pPr>
        <w:pStyle w:val="29"/>
        <w:tabs>
          <w:tab w:val="right" w:leader="dot" w:pos="9406"/>
        </w:tabs>
        <w:rPr>
          <w:color w:val="auto"/>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_Toc20919 </w:instrText>
      </w:r>
      <w:r>
        <w:rPr>
          <w:rFonts w:hint="eastAsia" w:ascii="宋体" w:hAnsi="宋体" w:eastAsia="宋体" w:cs="宋体"/>
          <w:color w:val="auto"/>
          <w:sz w:val="24"/>
          <w:szCs w:val="24"/>
          <w:highlight w:val="none"/>
        </w:rPr>
        <w:fldChar w:fldCharType="separate"/>
      </w:r>
      <w:r>
        <w:rPr>
          <w:rFonts w:hint="eastAsia" w:ascii="宋体" w:hAnsi="宋体"/>
          <w:color w:val="auto"/>
          <w:sz w:val="24"/>
          <w:szCs w:val="24"/>
          <w:highlight w:val="none"/>
        </w:rPr>
        <w:t>第六章 投标文件格式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_Toc20919 \h </w:instrText>
      </w:r>
      <w:r>
        <w:rPr>
          <w:color w:val="auto"/>
          <w:sz w:val="24"/>
          <w:szCs w:val="24"/>
          <w:highlight w:val="none"/>
        </w:rPr>
        <w:fldChar w:fldCharType="separate"/>
      </w:r>
      <w:r>
        <w:rPr>
          <w:color w:val="auto"/>
          <w:sz w:val="24"/>
          <w:szCs w:val="24"/>
          <w:highlight w:val="none"/>
        </w:rPr>
        <w:t>95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4918079">
      <w:pPr>
        <w:spacing w:line="360" w:lineRule="auto"/>
        <w:rPr>
          <w:rFonts w:ascii="宋体" w:hAnsi="宋体" w:eastAsia="宋体"/>
          <w:color w:val="auto"/>
          <w:highlight w:val="none"/>
        </w:rPr>
      </w:pPr>
      <w:r>
        <w:rPr>
          <w:rFonts w:hint="eastAsia" w:ascii="宋体" w:hAnsi="宋体" w:eastAsia="宋体" w:cs="宋体"/>
          <w:color w:val="auto"/>
          <w:sz w:val="30"/>
          <w:szCs w:val="30"/>
          <w:highlight w:val="none"/>
        </w:rPr>
        <w:fldChar w:fldCharType="end"/>
      </w:r>
    </w:p>
    <w:p w14:paraId="7FD72170">
      <w:pPr>
        <w:widowControl/>
        <w:spacing w:line="480" w:lineRule="auto"/>
        <w:jc w:val="left"/>
        <w:rPr>
          <w:rFonts w:ascii="宋体" w:hAnsi="宋体" w:eastAsia="宋体"/>
          <w:color w:val="auto"/>
          <w:highlight w:val="none"/>
        </w:rPr>
        <w:sectPr>
          <w:footerReference r:id="rId5" w:type="default"/>
          <w:pgSz w:w="12240" w:h="15840"/>
          <w:pgMar w:top="1304" w:right="1417" w:bottom="1304" w:left="1417" w:header="0" w:footer="567" w:gutter="0"/>
          <w:pgBorders>
            <w:top w:val="none" w:sz="0" w:space="0"/>
            <w:left w:val="none" w:sz="0" w:space="0"/>
            <w:bottom w:val="none" w:sz="0" w:space="0"/>
            <w:right w:val="none" w:sz="0" w:space="0"/>
          </w:pgBorders>
          <w:pgNumType w:start="1"/>
          <w:cols w:space="0" w:num="1"/>
          <w:rtlGutter w:val="1"/>
          <w:docGrid w:linePitch="0" w:charSpace="0"/>
        </w:sectPr>
      </w:pPr>
    </w:p>
    <w:bookmarkEnd w:id="0"/>
    <w:bookmarkEnd w:id="1"/>
    <w:bookmarkEnd w:id="2"/>
    <w:p w14:paraId="2483611B">
      <w:pPr>
        <w:rPr>
          <w:rFonts w:ascii="宋体" w:hAnsi="宋体" w:eastAsia="宋体"/>
          <w:color w:val="auto"/>
          <w:highlight w:val="none"/>
        </w:rPr>
      </w:pPr>
      <w:bookmarkStart w:id="3" w:name="_Toc511557024"/>
    </w:p>
    <w:p w14:paraId="635972D9">
      <w:pPr>
        <w:jc w:val="center"/>
        <w:outlineLvl w:val="0"/>
        <w:rPr>
          <w:rFonts w:ascii="宋体" w:hAnsi="宋体" w:eastAsia="宋体"/>
          <w:b/>
          <w:color w:val="auto"/>
          <w:sz w:val="44"/>
          <w:szCs w:val="44"/>
          <w:highlight w:val="none"/>
        </w:rPr>
      </w:pPr>
      <w:bookmarkStart w:id="4" w:name="_Toc63769812"/>
      <w:bookmarkStart w:id="5" w:name="_Toc30372"/>
      <w:r>
        <w:rPr>
          <w:rFonts w:hint="eastAsia" w:ascii="宋体" w:hAnsi="宋体" w:eastAsia="宋体"/>
          <w:b/>
          <w:color w:val="auto"/>
          <w:sz w:val="44"/>
          <w:szCs w:val="44"/>
          <w:highlight w:val="none"/>
        </w:rPr>
        <w:t>第</w:t>
      </w:r>
      <w:bookmarkEnd w:id="3"/>
      <w:r>
        <w:rPr>
          <w:rFonts w:hint="eastAsia" w:ascii="宋体" w:hAnsi="宋体" w:eastAsia="宋体"/>
          <w:b/>
          <w:color w:val="auto"/>
          <w:sz w:val="44"/>
          <w:szCs w:val="44"/>
          <w:highlight w:val="none"/>
        </w:rPr>
        <w:t>一卷</w:t>
      </w:r>
      <w:bookmarkEnd w:id="4"/>
      <w:bookmarkEnd w:id="5"/>
    </w:p>
    <w:p w14:paraId="412D2EC0">
      <w:pPr>
        <w:pStyle w:val="5"/>
        <w:keepNext w:val="0"/>
        <w:keepLines w:val="0"/>
        <w:numPr>
          <w:ilvl w:val="0"/>
          <w:numId w:val="1"/>
        </w:numPr>
        <w:spacing w:before="120" w:line="240" w:lineRule="auto"/>
        <w:jc w:val="center"/>
        <w:outlineLvl w:val="1"/>
        <w:rPr>
          <w:rFonts w:ascii="宋体" w:hAnsi="宋体"/>
          <w:color w:val="auto"/>
          <w:sz w:val="36"/>
          <w:szCs w:val="36"/>
          <w:highlight w:val="none"/>
        </w:rPr>
      </w:pPr>
      <w:bookmarkStart w:id="6" w:name="_Toc3880"/>
      <w:bookmarkStart w:id="7" w:name="_Toc63769813"/>
      <w:r>
        <w:rPr>
          <w:rFonts w:hint="eastAsia" w:ascii="宋体" w:hAnsi="宋体"/>
          <w:color w:val="auto"/>
          <w:sz w:val="36"/>
          <w:szCs w:val="36"/>
          <w:highlight w:val="none"/>
        </w:rPr>
        <w:t>招标公告</w:t>
      </w:r>
      <w:bookmarkEnd w:id="6"/>
      <w:bookmarkEnd w:id="7"/>
    </w:p>
    <w:p w14:paraId="06BA359B">
      <w:pPr>
        <w:spacing w:line="360" w:lineRule="auto"/>
        <w:jc w:val="left"/>
        <w:outlineLvl w:val="1"/>
        <w:rPr>
          <w:rFonts w:ascii="宋体" w:hAnsi="宋体" w:eastAsia="宋体" w:cs="宋体"/>
          <w:b/>
          <w:bCs/>
          <w:color w:val="auto"/>
          <w:kern w:val="0"/>
          <w:sz w:val="28"/>
          <w:szCs w:val="28"/>
          <w:highlight w:val="none"/>
        </w:rPr>
      </w:pPr>
      <w:bookmarkStart w:id="8" w:name="_Toc511557025"/>
      <w:bookmarkStart w:id="9" w:name="_Toc511557028"/>
      <w:bookmarkStart w:id="10" w:name="_Toc529196507"/>
      <w:bookmarkStart w:id="11" w:name="_Toc529196504"/>
      <w:bookmarkStart w:id="12" w:name="_Toc535938695"/>
      <w:bookmarkStart w:id="13" w:name="_Toc63769814"/>
      <w:r>
        <w:rPr>
          <w:rFonts w:hint="eastAsia" w:ascii="宋体" w:hAnsi="宋体" w:eastAsia="宋体" w:cs="宋体"/>
          <w:b/>
          <w:bCs/>
          <w:color w:val="auto"/>
          <w:kern w:val="0"/>
          <w:sz w:val="28"/>
          <w:szCs w:val="28"/>
          <w:highlight w:val="none"/>
        </w:rPr>
        <w:t>1.招标条件</w:t>
      </w:r>
      <w:bookmarkStart w:id="14" w:name="_Toc511557026"/>
    </w:p>
    <w:p w14:paraId="2C64A4A8">
      <w:pPr>
        <w:spacing w:line="360" w:lineRule="auto"/>
        <w:ind w:firstLine="480" w:firstLineChars="200"/>
        <w:jc w:val="left"/>
        <w:outlineLvl w:val="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本招标项目</w:t>
      </w:r>
      <w:r>
        <w:rPr>
          <w:rFonts w:hint="eastAsia" w:ascii="宋体" w:hAnsi="宋体" w:eastAsia="宋体" w:cs="宋体"/>
          <w:color w:val="auto"/>
          <w:sz w:val="24"/>
          <w:szCs w:val="24"/>
          <w:highlight w:val="none"/>
          <w:u w:val="single"/>
        </w:rPr>
        <w:t>广州LNG应急调峰气源站配套管线工程（黄阁门站-横沥调压和气化站段）</w:t>
      </w:r>
      <w:r>
        <w:rPr>
          <w:rFonts w:hint="eastAsia" w:ascii="宋体" w:hAnsi="宋体" w:eastAsia="宋体"/>
          <w:color w:val="auto"/>
          <w:sz w:val="24"/>
          <w:highlight w:val="none"/>
        </w:rPr>
        <w:t>项目已由</w:t>
      </w:r>
      <w:r>
        <w:rPr>
          <w:rFonts w:hint="eastAsia" w:ascii="宋体" w:hAnsi="宋体" w:eastAsia="宋体" w:cs="宋体"/>
          <w:color w:val="auto"/>
          <w:sz w:val="24"/>
          <w:highlight w:val="none"/>
          <w:u w:val="single"/>
        </w:rPr>
        <w:t>广州市发展和改革委员会</w:t>
      </w:r>
      <w:r>
        <w:rPr>
          <w:rFonts w:hint="eastAsia" w:ascii="宋体" w:hAnsi="宋体" w:eastAsia="宋体" w:cs="宋体"/>
          <w:color w:val="auto"/>
          <w:sz w:val="24"/>
          <w:highlight w:val="none"/>
        </w:rPr>
        <w:t>以</w:t>
      </w:r>
      <w:r>
        <w:rPr>
          <w:rFonts w:hint="eastAsia" w:ascii="宋体" w:hAnsi="宋体" w:eastAsia="宋体" w:cs="宋体"/>
          <w:color w:val="auto"/>
          <w:sz w:val="24"/>
          <w:highlight w:val="none"/>
          <w:u w:val="single"/>
        </w:rPr>
        <w:t>穗发改核准〔2022〕22号与穗发改核准〔2025〕6号</w:t>
      </w:r>
      <w:r>
        <w:rPr>
          <w:rFonts w:hint="eastAsia" w:ascii="宋体" w:hAnsi="宋体" w:eastAsia="宋体"/>
          <w:color w:val="auto"/>
          <w:sz w:val="24"/>
          <w:highlight w:val="none"/>
        </w:rPr>
        <w:t>文批准建设</w:t>
      </w:r>
      <w:r>
        <w:rPr>
          <w:rFonts w:hint="eastAsia" w:ascii="宋体" w:hAnsi="宋体" w:eastAsia="宋体" w:cs="宋体"/>
          <w:color w:val="auto"/>
          <w:sz w:val="24"/>
          <w:szCs w:val="24"/>
          <w:highlight w:val="none"/>
        </w:rPr>
        <w:t>，项目业主为</w:t>
      </w:r>
      <w:r>
        <w:rPr>
          <w:rFonts w:hint="eastAsia" w:ascii="宋体" w:hAnsi="宋体" w:eastAsia="宋体" w:cs="宋体"/>
          <w:color w:val="auto"/>
          <w:sz w:val="24"/>
          <w:szCs w:val="24"/>
          <w:highlight w:val="none"/>
          <w:u w:val="single"/>
        </w:rPr>
        <w:t>广州燃气集团有限公司</w:t>
      </w:r>
      <w:r>
        <w:rPr>
          <w:rFonts w:hint="eastAsia" w:ascii="宋体" w:hAnsi="宋体" w:eastAsia="宋体" w:cs="宋体"/>
          <w:color w:val="auto"/>
          <w:sz w:val="24"/>
          <w:szCs w:val="24"/>
          <w:highlight w:val="none"/>
        </w:rPr>
        <w:t>，建设资金来自</w:t>
      </w:r>
      <w:r>
        <w:rPr>
          <w:rFonts w:hint="eastAsia" w:ascii="宋体" w:hAnsi="宋体" w:eastAsia="宋体" w:cs="宋体"/>
          <w:color w:val="auto"/>
          <w:sz w:val="24"/>
          <w:szCs w:val="24"/>
          <w:highlight w:val="none"/>
          <w:u w:val="single"/>
        </w:rPr>
        <w:t>企业自筹和银行贷款</w:t>
      </w:r>
      <w:r>
        <w:rPr>
          <w:rFonts w:hint="eastAsia" w:ascii="宋体" w:hAnsi="宋体" w:eastAsia="宋体" w:cs="宋体"/>
          <w:color w:val="auto"/>
          <w:sz w:val="24"/>
          <w:szCs w:val="24"/>
          <w:highlight w:val="none"/>
        </w:rPr>
        <w:t>，出资比例为</w:t>
      </w:r>
      <w:r>
        <w:rPr>
          <w:rFonts w:hint="eastAsia" w:ascii="宋体" w:hAnsi="宋体" w:eastAsia="宋体" w:cs="宋体"/>
          <w:color w:val="auto"/>
          <w:sz w:val="24"/>
          <w:szCs w:val="24"/>
          <w:highlight w:val="none"/>
          <w:u w:val="single"/>
        </w:rPr>
        <w:t>100%</w:t>
      </w:r>
      <w:r>
        <w:rPr>
          <w:rFonts w:hint="eastAsia" w:ascii="宋体" w:hAnsi="宋体" w:eastAsia="宋体" w:cs="宋体"/>
          <w:color w:val="auto"/>
          <w:sz w:val="24"/>
          <w:szCs w:val="24"/>
          <w:highlight w:val="none"/>
        </w:rPr>
        <w:t>，招标人为</w:t>
      </w:r>
      <w:r>
        <w:rPr>
          <w:rFonts w:hint="eastAsia" w:ascii="宋体" w:hAnsi="宋体" w:eastAsia="宋体" w:cs="宋体"/>
          <w:color w:val="auto"/>
          <w:sz w:val="24"/>
          <w:szCs w:val="24"/>
          <w:highlight w:val="none"/>
          <w:u w:val="single"/>
        </w:rPr>
        <w:t>广州燃气集团有限公司</w:t>
      </w:r>
      <w:r>
        <w:rPr>
          <w:rFonts w:hint="eastAsia" w:ascii="宋体" w:hAnsi="宋体" w:eastAsia="宋体" w:cs="宋体"/>
          <w:color w:val="auto"/>
          <w:sz w:val="24"/>
          <w:szCs w:val="24"/>
          <w:highlight w:val="none"/>
        </w:rPr>
        <w:t>。项目已具备招标条件，现对该项目的监理进行公开招标。</w:t>
      </w:r>
    </w:p>
    <w:p w14:paraId="69FBF310">
      <w:pPr>
        <w:spacing w:line="360" w:lineRule="auto"/>
        <w:jc w:val="left"/>
        <w:outlineLvl w:val="1"/>
        <w:rPr>
          <w:rFonts w:ascii="宋体" w:hAnsi="宋体" w:eastAsia="宋体" w:cs="宋体"/>
          <w:b/>
          <w:bCs/>
          <w:color w:val="auto"/>
          <w:kern w:val="0"/>
          <w:sz w:val="28"/>
          <w:szCs w:val="28"/>
          <w:highlight w:val="none"/>
        </w:rPr>
      </w:pPr>
      <w:bookmarkStart w:id="15" w:name="_Toc535938696"/>
      <w:bookmarkStart w:id="16" w:name="_Toc529196505"/>
      <w:r>
        <w:rPr>
          <w:rFonts w:hint="eastAsia" w:ascii="宋体" w:hAnsi="宋体" w:eastAsia="宋体" w:cs="宋体"/>
          <w:b/>
          <w:bCs/>
          <w:color w:val="auto"/>
          <w:kern w:val="0"/>
          <w:sz w:val="28"/>
          <w:szCs w:val="28"/>
          <w:highlight w:val="none"/>
        </w:rPr>
        <w:t>2.项目概况与招标范围</w:t>
      </w:r>
      <w:bookmarkEnd w:id="14"/>
      <w:bookmarkEnd w:id="15"/>
      <w:bookmarkEnd w:id="16"/>
    </w:p>
    <w:p w14:paraId="773A3282">
      <w:pPr>
        <w:spacing w:line="360" w:lineRule="auto"/>
        <w:ind w:firstLine="482" w:firstLineChars="200"/>
        <w:jc w:val="left"/>
        <w:outlineLvl w:val="1"/>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2.1招标项目概况</w:t>
      </w:r>
    </w:p>
    <w:p w14:paraId="3C90A981">
      <w:pPr>
        <w:tabs>
          <w:tab w:val="left" w:pos="7513"/>
        </w:tabs>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2.1.1招标项目名称：</w:t>
      </w:r>
      <w:r>
        <w:rPr>
          <w:rFonts w:hint="eastAsia" w:ascii="宋体" w:hAnsi="宋体" w:eastAsia="宋体" w:cs="宋体"/>
          <w:color w:val="auto"/>
          <w:sz w:val="24"/>
          <w:szCs w:val="24"/>
          <w:highlight w:val="none"/>
          <w:u w:val="single"/>
        </w:rPr>
        <w:t>广州LNG应急调峰气源站配套管线工程（黄阁门站-横沥调压和气化站段）线路工程与场站工程施工监理服务</w:t>
      </w:r>
    </w:p>
    <w:p w14:paraId="028364FC">
      <w:pPr>
        <w:tabs>
          <w:tab w:val="left" w:pos="7513"/>
        </w:tabs>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2.1.2</w:t>
      </w:r>
      <w:r>
        <w:rPr>
          <w:rFonts w:hint="eastAsia" w:ascii="宋体" w:hAnsi="宋体" w:eastAsia="宋体"/>
          <w:bCs/>
          <w:color w:val="auto"/>
          <w:sz w:val="24"/>
          <w:highlight w:val="none"/>
        </w:rPr>
        <w:t>工程建设规模</w:t>
      </w:r>
      <w:r>
        <w:rPr>
          <w:rFonts w:hint="eastAsia" w:ascii="宋体" w:hAnsi="宋体" w:eastAsia="宋体" w:cs="宋体"/>
          <w:color w:val="auto"/>
          <w:sz w:val="24"/>
          <w:szCs w:val="24"/>
          <w:highlight w:val="none"/>
        </w:rPr>
        <w:t>：</w:t>
      </w:r>
    </w:p>
    <w:p w14:paraId="3241EAA3">
      <w:pPr>
        <w:tabs>
          <w:tab w:val="left" w:pos="7513"/>
        </w:tabs>
        <w:spacing w:line="360" w:lineRule="auto"/>
        <w:ind w:firstLine="480" w:firstLineChars="200"/>
        <w:rPr>
          <w:rFonts w:ascii="宋体" w:hAnsi="宋体" w:eastAsia="宋体"/>
          <w:color w:val="auto"/>
          <w:sz w:val="24"/>
          <w:highlight w:val="none"/>
          <w:u w:val="single"/>
        </w:rPr>
      </w:pPr>
      <w:r>
        <w:rPr>
          <w:rFonts w:hint="eastAsia" w:ascii="宋体" w:hAnsi="宋体" w:eastAsia="宋体"/>
          <w:color w:val="auto"/>
          <w:sz w:val="24"/>
          <w:highlight w:val="none"/>
          <w:u w:val="single"/>
        </w:rPr>
        <w:t>广州LNG应急调峰气源站配套管线工程(黄阁门站-横沥调压和气化站段）：新建超高压燃气管道30.1公里，管道全线位于广州市南沙区境内；新建大岗门站1座、横沥调压和气化站1座、细沥阀室1座、分输阀井1座。具体如下：</w:t>
      </w:r>
    </w:p>
    <w:p w14:paraId="13EE260F">
      <w:pPr>
        <w:tabs>
          <w:tab w:val="left" w:pos="7513"/>
        </w:tabs>
        <w:spacing w:line="360" w:lineRule="auto"/>
        <w:ind w:firstLine="480" w:firstLineChars="200"/>
        <w:rPr>
          <w:rFonts w:ascii="宋体" w:hAnsi="宋体" w:eastAsia="宋体"/>
          <w:color w:val="auto"/>
          <w:sz w:val="24"/>
          <w:highlight w:val="none"/>
          <w:u w:val="single"/>
        </w:rPr>
      </w:pPr>
      <w:r>
        <w:rPr>
          <w:rFonts w:hint="eastAsia" w:ascii="宋体" w:hAnsi="宋体" w:eastAsia="宋体"/>
          <w:color w:val="auto"/>
          <w:sz w:val="24"/>
          <w:highlight w:val="none"/>
          <w:u w:val="single"/>
        </w:rPr>
        <w:t>1）黄阁门站-横沥调压和气化站段：新建超高压管线28.2公里，设计压力9.2MPa，管径为DN700；</w:t>
      </w:r>
    </w:p>
    <w:p w14:paraId="24D824F4">
      <w:pPr>
        <w:tabs>
          <w:tab w:val="left" w:pos="7513"/>
        </w:tabs>
        <w:spacing w:line="360" w:lineRule="auto"/>
        <w:ind w:firstLine="480" w:firstLineChars="200"/>
        <w:rPr>
          <w:rFonts w:ascii="宋体" w:hAnsi="宋体" w:eastAsia="宋体"/>
          <w:color w:val="auto"/>
          <w:sz w:val="24"/>
          <w:highlight w:val="none"/>
          <w:u w:val="single"/>
        </w:rPr>
      </w:pPr>
      <w:r>
        <w:rPr>
          <w:rFonts w:hint="eastAsia" w:ascii="宋体" w:hAnsi="宋体" w:eastAsia="宋体"/>
          <w:color w:val="auto"/>
          <w:sz w:val="24"/>
          <w:highlight w:val="none"/>
          <w:u w:val="single"/>
        </w:rPr>
        <w:t>2）中海广东管道联络段管线：新建超高压管线0.9公里，设计压力9.2MPa，管径为DN500；</w:t>
      </w:r>
    </w:p>
    <w:p w14:paraId="24122FC6">
      <w:pPr>
        <w:tabs>
          <w:tab w:val="left" w:pos="7513"/>
        </w:tabs>
        <w:spacing w:line="360" w:lineRule="auto"/>
        <w:ind w:firstLine="480" w:firstLineChars="200"/>
        <w:rPr>
          <w:rFonts w:ascii="宋体" w:hAnsi="宋体" w:eastAsia="宋体" w:cs="宋体"/>
          <w:color w:val="auto"/>
          <w:sz w:val="24"/>
          <w:szCs w:val="24"/>
          <w:highlight w:val="none"/>
          <w:u w:val="single"/>
        </w:rPr>
      </w:pPr>
      <w:r>
        <w:rPr>
          <w:rFonts w:hint="eastAsia" w:ascii="宋体" w:hAnsi="宋体" w:eastAsia="宋体"/>
          <w:color w:val="auto"/>
          <w:sz w:val="24"/>
          <w:highlight w:val="none"/>
          <w:u w:val="single"/>
        </w:rPr>
        <w:t>3）广州南部燃气应急联络线：新建超高压管线1公里，设计压力9.2MPa，管径为DN700。</w:t>
      </w:r>
    </w:p>
    <w:p w14:paraId="24065BAA">
      <w:pPr>
        <w:tabs>
          <w:tab w:val="left" w:pos="7513"/>
        </w:tabs>
        <w:spacing w:line="360"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2.1.3工程建设地点：</w:t>
      </w:r>
      <w:r>
        <w:rPr>
          <w:rFonts w:hint="eastAsia" w:ascii="宋体" w:hAnsi="宋体" w:eastAsia="宋体" w:cs="宋体"/>
          <w:color w:val="auto"/>
          <w:sz w:val="24"/>
          <w:szCs w:val="24"/>
          <w:highlight w:val="none"/>
          <w:u w:val="single"/>
        </w:rPr>
        <w:t>广州市南沙区。</w:t>
      </w:r>
    </w:p>
    <w:p w14:paraId="5B256F1E">
      <w:pPr>
        <w:tabs>
          <w:tab w:val="left" w:pos="7513"/>
        </w:tabs>
        <w:spacing w:line="360" w:lineRule="auto"/>
        <w:ind w:firstLine="480" w:firstLineChars="200"/>
        <w:rPr>
          <w:rFonts w:ascii="宋体" w:hAnsi="宋体" w:eastAsia="宋体" w:cs="宋体"/>
          <w:color w:val="auto"/>
          <w:sz w:val="24"/>
          <w:highlight w:val="none"/>
        </w:rPr>
      </w:pPr>
      <w:r>
        <w:rPr>
          <w:rFonts w:hint="eastAsia" w:ascii="宋体" w:hAnsi="宋体" w:eastAsia="宋体"/>
          <w:color w:val="auto"/>
          <w:sz w:val="24"/>
          <w:szCs w:val="24"/>
          <w:highlight w:val="none"/>
        </w:rPr>
        <w:t>2.1.4工程概算/建筑安装工程费：建筑安装工程费</w:t>
      </w:r>
      <w:r>
        <w:rPr>
          <w:rFonts w:hint="eastAsia" w:ascii="宋体" w:hAnsi="宋体" w:eastAsia="宋体"/>
          <w:color w:val="auto"/>
          <w:kern w:val="0"/>
          <w:sz w:val="24"/>
          <w:szCs w:val="24"/>
          <w:highlight w:val="none"/>
          <w:u w:val="single"/>
        </w:rPr>
        <w:t>约47,069.92万元</w:t>
      </w:r>
      <w:r>
        <w:rPr>
          <w:rFonts w:hint="eastAsia" w:ascii="宋体" w:hAnsi="宋体" w:eastAsia="宋体" w:cs="宋体"/>
          <w:color w:val="auto"/>
          <w:kern w:val="0"/>
          <w:sz w:val="24"/>
          <w:szCs w:val="24"/>
          <w:highlight w:val="none"/>
          <w:u w:val="single"/>
        </w:rPr>
        <w:t>。</w:t>
      </w:r>
    </w:p>
    <w:p w14:paraId="155C0BA9">
      <w:pPr>
        <w:tabs>
          <w:tab w:val="left" w:pos="7513"/>
        </w:tabs>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2.2招标范围</w:t>
      </w:r>
    </w:p>
    <w:p w14:paraId="3F1263C1">
      <w:pPr>
        <w:tabs>
          <w:tab w:val="left" w:pos="7513"/>
        </w:tabs>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2.2.1</w:t>
      </w:r>
      <w:r>
        <w:rPr>
          <w:rFonts w:hint="eastAsia" w:ascii="宋体" w:hAnsi="宋体" w:eastAsia="宋体"/>
          <w:bCs/>
          <w:color w:val="auto"/>
          <w:sz w:val="24"/>
          <w:highlight w:val="none"/>
        </w:rPr>
        <w:t>标段划分：</w:t>
      </w:r>
      <w:r>
        <w:rPr>
          <w:rFonts w:hint="eastAsia" w:ascii="宋体" w:hAnsi="宋体" w:eastAsia="宋体"/>
          <w:color w:val="auto"/>
          <w:sz w:val="24"/>
          <w:highlight w:val="none"/>
          <w:u w:val="single"/>
        </w:rPr>
        <w:t>本项目设1个标段。</w:t>
      </w:r>
    </w:p>
    <w:p w14:paraId="2130CA26">
      <w:pPr>
        <w:tabs>
          <w:tab w:val="left" w:pos="7513"/>
        </w:tabs>
        <w:adjustRightInd w:val="0"/>
        <w:snapToGrid w:val="0"/>
        <w:spacing w:line="360"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2.2.2监理范围：</w:t>
      </w:r>
      <w:r>
        <w:rPr>
          <w:rFonts w:hint="eastAsia" w:ascii="宋体" w:hAnsi="宋体" w:eastAsia="宋体" w:cs="宋体"/>
          <w:color w:val="auto"/>
          <w:sz w:val="24"/>
          <w:szCs w:val="24"/>
          <w:highlight w:val="none"/>
          <w:u w:val="single"/>
        </w:rPr>
        <w:t>上述工程的工程施工准备阶段、工程施工阶段、竣工结算阶段和工程保修阶段的质量控制、投资控制、进度控制、组织协调、合同及信息管理、安全文明、结算管理等监理服务工作。</w:t>
      </w:r>
    </w:p>
    <w:p w14:paraId="08F5EF8C">
      <w:pPr>
        <w:tabs>
          <w:tab w:val="left" w:pos="7513"/>
        </w:tabs>
        <w:adjustRightInd w:val="0"/>
        <w:snapToGrid w:val="0"/>
        <w:spacing w:line="360" w:lineRule="auto"/>
        <w:ind w:firstLine="480" w:firstLineChars="200"/>
        <w:rPr>
          <w:rFonts w:ascii="宋体" w:hAnsi="宋体" w:eastAsia="宋体"/>
          <w:color w:val="auto"/>
          <w:sz w:val="24"/>
          <w:szCs w:val="24"/>
          <w:highlight w:val="none"/>
          <w:u w:val="single"/>
        </w:rPr>
      </w:pPr>
      <w:r>
        <w:rPr>
          <w:rFonts w:hint="eastAsia" w:ascii="宋体" w:hAnsi="宋体" w:eastAsia="宋体" w:cs="宋体"/>
          <w:color w:val="auto"/>
          <w:sz w:val="24"/>
          <w:szCs w:val="24"/>
          <w:highlight w:val="none"/>
        </w:rPr>
        <w:t>2.2.3监理服务期限：</w:t>
      </w:r>
      <w:r>
        <w:rPr>
          <w:rFonts w:hint="eastAsia" w:ascii="宋体" w:hAnsi="宋体" w:eastAsia="宋体"/>
          <w:bCs/>
          <w:snapToGrid w:val="0"/>
          <w:color w:val="auto"/>
          <w:spacing w:val="4"/>
          <w:kern w:val="0"/>
          <w:sz w:val="24"/>
          <w:szCs w:val="20"/>
          <w:highlight w:val="none"/>
          <w:u w:val="single"/>
        </w:rPr>
        <w:t>自监理合同签订之日起至工程项目全部完成竣工验收和工程质量保修期满止。</w:t>
      </w:r>
    </w:p>
    <w:p w14:paraId="4C71D596">
      <w:pPr>
        <w:tabs>
          <w:tab w:val="left" w:pos="7513"/>
        </w:tabs>
        <w:adjustRightInd w:val="0"/>
        <w:snapToGrid w:val="0"/>
        <w:spacing w:line="360" w:lineRule="auto"/>
        <w:ind w:firstLine="482" w:firstLineChars="200"/>
        <w:rPr>
          <w:rFonts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2.3监理服务最高投标限价：</w:t>
      </w:r>
      <w:r>
        <w:rPr>
          <w:rFonts w:hint="eastAsia" w:ascii="宋体" w:hAnsi="宋体" w:eastAsia="宋体" w:cs="宋体"/>
          <w:b/>
          <w:color w:val="auto"/>
          <w:sz w:val="24"/>
          <w:szCs w:val="24"/>
          <w:highlight w:val="none"/>
          <w:u w:val="single"/>
        </w:rPr>
        <w:t>人民币</w:t>
      </w:r>
      <w:r>
        <w:rPr>
          <w:rFonts w:hint="eastAsia" w:ascii="宋体" w:hAnsi="宋体" w:eastAsia="宋体" w:cs="宋体"/>
          <w:b/>
          <w:color w:val="auto"/>
          <w:sz w:val="24"/>
          <w:szCs w:val="24"/>
          <w:highlight w:val="none"/>
          <w:u w:val="single"/>
          <w:lang w:val="en-US" w:eastAsia="zh-CN"/>
        </w:rPr>
        <w:t>698.13</w:t>
      </w:r>
      <w:r>
        <w:rPr>
          <w:rFonts w:hint="eastAsia" w:ascii="宋体" w:hAnsi="宋体" w:eastAsia="宋体" w:cs="宋体"/>
          <w:b/>
          <w:color w:val="auto"/>
          <w:sz w:val="24"/>
          <w:szCs w:val="24"/>
          <w:highlight w:val="none"/>
          <w:u w:val="single"/>
        </w:rPr>
        <w:t>万元</w:t>
      </w:r>
    </w:p>
    <w:p w14:paraId="2B4D2150">
      <w:pPr>
        <w:spacing w:line="360" w:lineRule="auto"/>
        <w:jc w:val="left"/>
        <w:outlineLvl w:val="1"/>
        <w:rPr>
          <w:rFonts w:ascii="宋体" w:hAnsi="宋体" w:eastAsia="宋体" w:cs="宋体"/>
          <w:b/>
          <w:bCs/>
          <w:color w:val="auto"/>
          <w:kern w:val="0"/>
          <w:sz w:val="28"/>
          <w:szCs w:val="28"/>
          <w:highlight w:val="none"/>
        </w:rPr>
      </w:pPr>
      <w:bookmarkStart w:id="17" w:name="_Toc529196506"/>
      <w:bookmarkStart w:id="18" w:name="_Toc511557027"/>
      <w:bookmarkStart w:id="19" w:name="_Toc535938697"/>
      <w:r>
        <w:rPr>
          <w:rFonts w:hint="eastAsia" w:ascii="宋体" w:hAnsi="宋体" w:eastAsia="宋体" w:cs="宋体"/>
          <w:b/>
          <w:bCs/>
          <w:color w:val="auto"/>
          <w:kern w:val="0"/>
          <w:sz w:val="28"/>
          <w:szCs w:val="28"/>
          <w:highlight w:val="none"/>
        </w:rPr>
        <w:t>3. 投标人资格要求</w:t>
      </w:r>
      <w:bookmarkEnd w:id="17"/>
      <w:bookmarkEnd w:id="18"/>
      <w:bookmarkEnd w:id="19"/>
    </w:p>
    <w:p w14:paraId="4689DCFD">
      <w:pPr>
        <w:spacing w:line="360"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3.1投标人须具备建设行政主管部门颁发的</w:t>
      </w:r>
      <w:r>
        <w:rPr>
          <w:rFonts w:hint="eastAsia" w:ascii="宋体" w:hAnsi="宋体" w:eastAsia="宋体" w:cs="宋体"/>
          <w:color w:val="auto"/>
          <w:sz w:val="24"/>
          <w:szCs w:val="24"/>
          <w:highlight w:val="none"/>
          <w:u w:val="single"/>
        </w:rPr>
        <w:t>以下之一资质：</w:t>
      </w:r>
    </w:p>
    <w:p w14:paraId="39E40380">
      <w:pPr>
        <w:spacing w:line="360"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（1）工程监理综合资质；</w:t>
      </w:r>
    </w:p>
    <w:p w14:paraId="5012F061">
      <w:pPr>
        <w:spacing w:line="360"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（2）市政公用工程监理甲级资质；</w:t>
      </w:r>
    </w:p>
    <w:p w14:paraId="3FC38E18">
      <w:pPr>
        <w:spacing w:line="360"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（3）化工石油工程监理</w:t>
      </w:r>
      <w:r>
        <w:rPr>
          <w:rFonts w:hint="eastAsia" w:ascii="宋体" w:hAnsi="宋体" w:eastAsia="宋体" w:cs="宋体"/>
          <w:color w:val="auto"/>
          <w:sz w:val="24"/>
          <w:szCs w:val="24"/>
          <w:highlight w:val="none"/>
          <w:u w:val="single"/>
          <w:lang w:val="en-US" w:eastAsia="zh-CN"/>
        </w:rPr>
        <w:t>乙</w:t>
      </w:r>
      <w:r>
        <w:rPr>
          <w:rFonts w:hint="eastAsia" w:ascii="宋体" w:hAnsi="宋体" w:eastAsia="宋体" w:cs="宋体"/>
          <w:color w:val="auto"/>
          <w:sz w:val="24"/>
          <w:szCs w:val="24"/>
          <w:highlight w:val="none"/>
          <w:u w:val="single"/>
        </w:rPr>
        <w:t>级资质。</w:t>
      </w:r>
    </w:p>
    <w:p w14:paraId="1AF8E7C0">
      <w:pPr>
        <w:pStyle w:val="261"/>
        <w:snapToGrid w:val="0"/>
        <w:ind w:firstLine="480"/>
        <w:rPr>
          <w:rFonts w:ascii="宋体" w:hAnsi="宋体" w:cs="楷体"/>
          <w:b/>
          <w:bCs/>
          <w:color w:val="auto"/>
          <w:sz w:val="24"/>
          <w:szCs w:val="24"/>
          <w:highlight w:val="none"/>
          <w:u w:val="single"/>
        </w:rPr>
      </w:pPr>
      <w:r>
        <w:rPr>
          <w:rFonts w:hint="eastAsia" w:ascii="宋体" w:hAnsi="宋体" w:cs="宋体"/>
          <w:color w:val="auto"/>
          <w:szCs w:val="24"/>
          <w:highlight w:val="none"/>
        </w:rPr>
        <w:t>注：</w:t>
      </w:r>
      <w:r>
        <w:rPr>
          <w:rFonts w:hint="eastAsia" w:ascii="宋体" w:hAnsi="宋体" w:cs="宋体"/>
          <w:color w:val="auto"/>
          <w:szCs w:val="24"/>
          <w:highlight w:val="none"/>
          <w:u w:val="single"/>
          <w:lang w:val="en-US" w:eastAsia="zh-CN"/>
        </w:rPr>
        <w:t>按照</w:t>
      </w:r>
      <w:r>
        <w:rPr>
          <w:rFonts w:ascii="宋体" w:hAnsi="宋体" w:cs="楷体"/>
          <w:b/>
          <w:bCs/>
          <w:color w:val="auto"/>
          <w:sz w:val="24"/>
          <w:szCs w:val="24"/>
          <w:highlight w:val="none"/>
          <w:u w:val="single"/>
        </w:rPr>
        <w:t>《住房城乡建设部建筑市场监管司关于建设工程企业资质延续有关事项的通知》（建司局函市〔2023〕116号）、《住建部做好企业资质证书换领和延续工作的通知》（建办市〔2023〕47号）、《广东省住房和城乡建设厅关于建设工程企业资质延续有关事项的通知》（粤建许函〔2023〕820号）、《广东省住房和城乡建设厅关于做好有关建设工程企业资质证书换领工作的通知》（粤建许函〔2024〕124号）等相关规定执行</w:t>
      </w:r>
      <w:r>
        <w:rPr>
          <w:rFonts w:hint="eastAsia" w:ascii="宋体" w:hAnsi="宋体" w:cs="宋体"/>
          <w:b/>
          <w:color w:val="auto"/>
          <w:sz w:val="24"/>
          <w:szCs w:val="24"/>
          <w:highlight w:val="none"/>
          <w:lang w:bidi="ar"/>
        </w:rPr>
        <w:t>。</w:t>
      </w:r>
    </w:p>
    <w:p w14:paraId="49D57855">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 本次招标</w:t>
      </w:r>
      <w:r>
        <w:rPr>
          <w:rFonts w:hint="eastAsia" w:ascii="宋体" w:hAnsi="宋体" w:eastAsia="宋体" w:cs="宋体"/>
          <w:color w:val="auto"/>
          <w:sz w:val="24"/>
          <w:szCs w:val="24"/>
          <w:highlight w:val="none"/>
          <w:u w:val="single"/>
        </w:rPr>
        <w:t xml:space="preserve"> 不接受 </w:t>
      </w:r>
      <w:r>
        <w:rPr>
          <w:rFonts w:hint="eastAsia" w:ascii="宋体" w:hAnsi="宋体" w:eastAsia="宋体" w:cs="宋体"/>
          <w:color w:val="auto"/>
          <w:sz w:val="24"/>
          <w:szCs w:val="24"/>
          <w:highlight w:val="none"/>
        </w:rPr>
        <w:t>联合体投标。</w:t>
      </w:r>
    </w:p>
    <w:p w14:paraId="4910514B">
      <w:pPr>
        <w:pStyle w:val="261"/>
        <w:snapToGrid w:val="0"/>
        <w:ind w:firstLine="480"/>
        <w:rPr>
          <w:rFonts w:ascii="宋体" w:hAnsi="宋体" w:cs="楷体"/>
          <w:color w:val="auto"/>
          <w:szCs w:val="24"/>
          <w:highlight w:val="none"/>
          <w:u w:val="single"/>
        </w:rPr>
      </w:pPr>
      <w:r>
        <w:rPr>
          <w:rFonts w:hint="eastAsia" w:ascii="宋体" w:hAnsi="宋体" w:cs="宋体"/>
          <w:color w:val="auto"/>
          <w:szCs w:val="24"/>
          <w:highlight w:val="none"/>
        </w:rPr>
        <w:t>3.3拟派项目总监理工程师须具有建设部2006年4月1日后颁发的中华人民共和国注册监理工程师注册执业证书，且其注册专业为</w:t>
      </w:r>
      <w:r>
        <w:rPr>
          <w:rFonts w:hint="eastAsia" w:ascii="宋体" w:hAnsi="宋体" w:cs="宋体"/>
          <w:color w:val="auto"/>
          <w:szCs w:val="24"/>
          <w:highlight w:val="none"/>
          <w:u w:val="single"/>
        </w:rPr>
        <w:t>市政公用工程或石油化工工程</w:t>
      </w:r>
      <w:r>
        <w:rPr>
          <w:rFonts w:hint="eastAsia" w:ascii="宋体" w:hAnsi="宋体" w:cs="宋体"/>
          <w:color w:val="auto"/>
          <w:szCs w:val="24"/>
          <w:highlight w:val="none"/>
        </w:rPr>
        <w:t>，注册执业单位为</w:t>
      </w:r>
      <w:r>
        <w:rPr>
          <w:rFonts w:hint="eastAsia" w:ascii="宋体" w:hAnsi="宋体" w:cs="宋体"/>
          <w:color w:val="auto"/>
          <w:szCs w:val="24"/>
          <w:highlight w:val="none"/>
          <w:u w:val="single"/>
        </w:rPr>
        <w:t>本公司</w:t>
      </w:r>
      <w:r>
        <w:rPr>
          <w:rFonts w:hint="eastAsia" w:ascii="宋体" w:hAnsi="宋体" w:cs="宋体"/>
          <w:color w:val="auto"/>
          <w:szCs w:val="24"/>
          <w:highlight w:val="none"/>
        </w:rPr>
        <w:t>，并具备</w:t>
      </w:r>
      <w:r>
        <w:rPr>
          <w:rFonts w:hint="eastAsia" w:ascii="宋体" w:hAnsi="宋体" w:cs="宋体"/>
          <w:color w:val="auto"/>
          <w:szCs w:val="24"/>
          <w:highlight w:val="none"/>
          <w:u w:val="single"/>
        </w:rPr>
        <w:t>本科或以上学历</w:t>
      </w:r>
      <w:r>
        <w:rPr>
          <w:rFonts w:hint="eastAsia" w:ascii="宋体" w:hAnsi="宋体" w:cs="楷体"/>
          <w:color w:val="auto"/>
          <w:szCs w:val="24"/>
          <w:highlight w:val="none"/>
          <w:u w:val="none"/>
        </w:rPr>
        <w:t>。</w:t>
      </w:r>
    </w:p>
    <w:p w14:paraId="20FA268C">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3.4其他要求： </w:t>
      </w:r>
    </w:p>
    <w:p w14:paraId="551DEABB">
      <w:pPr>
        <w:spacing w:line="360"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①投标人参加投标的意思表达清楚，投标人代表被授权有效。</w:t>
      </w:r>
    </w:p>
    <w:p w14:paraId="5FC76D0B">
      <w:pPr>
        <w:spacing w:line="360"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②投标人均具有独立法人资格，持有工商行政管理部门核发的法人营业执照，按国家法律经营。</w:t>
      </w:r>
    </w:p>
    <w:p w14:paraId="4EFA0ABB">
      <w:pPr>
        <w:spacing w:line="360"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③投标人已按规定格式签名盖章《投标人声明》（详见附件一）。</w:t>
      </w:r>
    </w:p>
    <w:p w14:paraId="5661A2B7">
      <w:pPr>
        <w:spacing w:line="360"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④投标人未被列入拖欠农民工工资失信联合惩戒对象名单（本项评审投标人无需提供资料，按资格评审时（广州交易集团有限公司（广州公共资源交易中心）)交易系统比对的结果进行评审）。</w:t>
      </w:r>
    </w:p>
    <w:p w14:paraId="3AFCF5EE">
      <w:pPr>
        <w:spacing w:line="360" w:lineRule="auto"/>
        <w:ind w:firstLine="480" w:firstLineChars="200"/>
        <w:rPr>
          <w:rFonts w:ascii="宋体" w:hAnsi="宋体" w:eastAsia="宋体" w:cs="宋体"/>
          <w:color w:val="auto"/>
          <w:sz w:val="24"/>
          <w:highlight w:val="none"/>
          <w:u w:val="single"/>
        </w:rPr>
      </w:pPr>
      <w:r>
        <w:rPr>
          <w:rFonts w:hint="eastAsia" w:ascii="宋体" w:hAnsi="宋体" w:eastAsia="宋体" w:cs="宋体"/>
          <w:color w:val="auto"/>
          <w:sz w:val="24"/>
          <w:szCs w:val="24"/>
          <w:highlight w:val="none"/>
          <w:u w:val="single"/>
        </w:rPr>
        <w:t>⑤投标人未出现以下情形：与其它投标人的单位负责人为同一人或者存在控股、管理关系的（按投标人提供的《投标人声明》第六条内容进行评审）。如不同投标人出现单位负责人为同一人或者存在控股、管理关系的情形，则相关投标均无效。</w:t>
      </w:r>
    </w:p>
    <w:p w14:paraId="1E3508F2">
      <w:pPr>
        <w:spacing w:line="360" w:lineRule="auto"/>
        <w:ind w:firstLine="480" w:firstLineChars="200"/>
        <w:rPr>
          <w:rFonts w:ascii="宋体" w:hAnsi="宋体" w:eastAsia="宋体" w:cs="宋体"/>
          <w:color w:val="auto"/>
          <w:sz w:val="24"/>
          <w:highlight w:val="none"/>
          <w:u w:val="single"/>
        </w:rPr>
      </w:pPr>
      <w:r>
        <w:rPr>
          <w:rFonts w:hint="eastAsia" w:ascii="宋体" w:hAnsi="宋体" w:eastAsia="宋体" w:cs="宋体"/>
          <w:color w:val="auto"/>
          <w:sz w:val="24"/>
          <w:highlight w:val="none"/>
          <w:u w:val="single"/>
        </w:rPr>
        <w:t>注：参加投标之前，投标人应在广州交易集团有限公司（广州公共资源交易中心）办理企业信息登记，并查询广州交易集团有限公司（广州公共资源交易中心）企业库、拟报总监理工程师的使用状态，以免出</w:t>
      </w:r>
      <w:r>
        <w:rPr>
          <w:rFonts w:hint="eastAsia" w:ascii="宋体" w:hAnsi="宋体" w:eastAsia="宋体" w:cs="宋体"/>
          <w:color w:val="auto"/>
          <w:sz w:val="24"/>
          <w:highlight w:val="none"/>
          <w:u w:val="single"/>
          <w:lang w:val="en-US" w:eastAsia="zh-CN"/>
        </w:rPr>
        <w:t>现</w:t>
      </w:r>
      <w:r>
        <w:rPr>
          <w:rFonts w:hint="eastAsia" w:ascii="宋体" w:hAnsi="宋体" w:eastAsia="宋体" w:cs="宋体"/>
          <w:color w:val="auto"/>
          <w:sz w:val="24"/>
          <w:highlight w:val="none"/>
          <w:u w:val="single"/>
        </w:rPr>
        <w:t>广州交易集团有限公司（广州公共资源交易中心）企业库、拟报总监理工程师不能被使用的问题。上述情况有可能导致投标信息无法录入广州交易集团有限公司（广州公共资源交易中心）交易服务系统。如出现上述情况，投标人有可能失去投标机会，因其可能所引起的一切后果由投标人自行承担。有关广州交易集团有限公司（广州公共资源交易中心）企业库信息登记的办理事宜，详见广州交易集团有限公司（广州公共资源交易中心）网站服务指南。</w:t>
      </w:r>
    </w:p>
    <w:p w14:paraId="595E305B">
      <w:pPr>
        <w:pStyle w:val="261"/>
        <w:snapToGrid w:val="0"/>
        <w:ind w:firstLine="480"/>
        <w:rPr>
          <w:rFonts w:ascii="宋体" w:hAnsi="宋体" w:cs="宋体"/>
          <w:color w:val="auto"/>
          <w:kern w:val="0"/>
          <w:highlight w:val="none"/>
          <w:u w:val="single"/>
        </w:rPr>
      </w:pPr>
      <w:r>
        <w:rPr>
          <w:rFonts w:hint="eastAsia" w:ascii="宋体" w:hAnsi="宋体" w:cs="宋体"/>
          <w:color w:val="auto"/>
          <w:kern w:val="0"/>
          <w:highlight w:val="none"/>
          <w:u w:val="single"/>
        </w:rPr>
        <w:t>未在招标公告第3条单列的投标人资格要求条件，不作为资审不合格的依据。</w:t>
      </w:r>
    </w:p>
    <w:p w14:paraId="0F430A25">
      <w:pPr>
        <w:spacing w:line="360" w:lineRule="auto"/>
        <w:jc w:val="left"/>
        <w:outlineLvl w:val="1"/>
        <w:rPr>
          <w:rFonts w:ascii="宋体" w:hAnsi="宋体" w:eastAsia="宋体" w:cs="宋体"/>
          <w:b/>
          <w:bCs/>
          <w:color w:val="auto"/>
          <w:kern w:val="0"/>
          <w:sz w:val="28"/>
          <w:szCs w:val="28"/>
          <w:highlight w:val="none"/>
        </w:rPr>
      </w:pPr>
      <w:bookmarkStart w:id="20" w:name="_Toc535938699"/>
      <w:r>
        <w:rPr>
          <w:rFonts w:hint="eastAsia" w:ascii="宋体" w:hAnsi="宋体" w:eastAsia="宋体" w:cs="宋体"/>
          <w:b/>
          <w:bCs/>
          <w:color w:val="auto"/>
          <w:kern w:val="0"/>
          <w:sz w:val="28"/>
          <w:szCs w:val="28"/>
          <w:highlight w:val="none"/>
        </w:rPr>
        <w:t>4.招标文件的获取</w:t>
      </w:r>
    </w:p>
    <w:p w14:paraId="3C431FA2">
      <w:pPr>
        <w:widowControl/>
        <w:shd w:val="clear" w:color="auto" w:fill="FFFFFF"/>
        <w:spacing w:line="360" w:lineRule="auto"/>
        <w:ind w:firstLine="480" w:firstLineChars="200"/>
        <w:rPr>
          <w:rFonts w:hint="eastAsia" w:ascii="宋体" w:hAnsi="宋体" w:eastAsia="宋体" w:cs="宋体"/>
          <w:color w:val="auto"/>
          <w:sz w:val="24"/>
          <w:szCs w:val="24"/>
          <w:highlight w:val="none"/>
        </w:rPr>
      </w:pPr>
      <w:bookmarkStart w:id="21" w:name="_Toc3471142"/>
      <w:bookmarkStart w:id="22" w:name="_Toc514099628"/>
      <w:r>
        <w:rPr>
          <w:rFonts w:hint="eastAsia" w:ascii="宋体" w:hAnsi="宋体" w:eastAsia="宋体" w:cs="宋体"/>
          <w:color w:val="auto"/>
          <w:sz w:val="24"/>
          <w:szCs w:val="24"/>
          <w:highlight w:val="none"/>
        </w:rPr>
        <w:t>4.1 凡有意参加投标者，请于</w:t>
      </w:r>
      <w:r>
        <w:rPr>
          <w:rFonts w:hint="eastAsia" w:ascii="宋体" w:hAnsi="宋体" w:eastAsia="宋体" w:cs="宋体"/>
          <w:color w:val="auto"/>
          <w:sz w:val="24"/>
          <w:szCs w:val="24"/>
          <w:highlight w:val="none"/>
          <w:u w:val="single"/>
        </w:rPr>
        <w:t>2025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30</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lang w:val="en-US" w:eastAsia="zh-CN"/>
        </w:rPr>
        <w:t>00</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lang w:val="en-US" w:eastAsia="zh-CN"/>
        </w:rPr>
        <w:t>00</w:t>
      </w:r>
      <w:r>
        <w:rPr>
          <w:rFonts w:hint="eastAsia" w:ascii="宋体" w:hAnsi="宋体" w:eastAsia="宋体" w:cs="宋体"/>
          <w:color w:val="auto"/>
          <w:sz w:val="24"/>
          <w:szCs w:val="24"/>
          <w:highlight w:val="none"/>
        </w:rPr>
        <w:t>分至</w:t>
      </w:r>
      <w:r>
        <w:rPr>
          <w:rFonts w:hint="eastAsia" w:ascii="宋体" w:hAnsi="宋体" w:eastAsia="宋体" w:cs="宋体"/>
          <w:color w:val="auto"/>
          <w:sz w:val="24"/>
          <w:szCs w:val="24"/>
          <w:highlight w:val="none"/>
          <w:u w:val="single"/>
        </w:rPr>
        <w:t>2025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8</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19</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00</w:t>
      </w:r>
      <w:r>
        <w:rPr>
          <w:rFonts w:hint="eastAsia" w:ascii="宋体" w:hAnsi="宋体" w:eastAsia="宋体" w:cs="宋体"/>
          <w:color w:val="auto"/>
          <w:sz w:val="24"/>
          <w:szCs w:val="24"/>
          <w:highlight w:val="none"/>
        </w:rPr>
        <w:t>分(北京时间，下同)，登录</w:t>
      </w:r>
      <w:bookmarkStart w:id="23" w:name="_Hlk199840698"/>
      <w:r>
        <w:rPr>
          <w:rFonts w:hint="eastAsia" w:ascii="宋体" w:hAnsi="宋体" w:eastAsia="宋体" w:cs="宋体"/>
          <w:color w:val="auto"/>
          <w:sz w:val="24"/>
          <w:szCs w:val="24"/>
          <w:highlight w:val="none"/>
        </w:rPr>
        <w:t>广州交易集团有限公司（广州公共资源交易中心）</w:t>
      </w:r>
      <w:bookmarkEnd w:id="23"/>
      <w:r>
        <w:rPr>
          <w:rFonts w:hint="eastAsia" w:ascii="宋体" w:hAnsi="宋体" w:eastAsia="宋体" w:cs="宋体"/>
          <w:color w:val="auto"/>
          <w:sz w:val="24"/>
          <w:szCs w:val="24"/>
          <w:highlight w:val="none"/>
        </w:rPr>
        <w:t>官网</w:t>
      </w:r>
      <w:r>
        <w:rPr>
          <w:rFonts w:hint="eastAsia" w:ascii="宋体" w:hAnsi="宋体" w:eastAsia="宋体" w:cs="宋体"/>
          <w:color w:val="auto"/>
          <w:sz w:val="24"/>
          <w:szCs w:val="24"/>
          <w:highlight w:val="none"/>
          <w:u w:val="single"/>
        </w:rPr>
        <w:t>（网址：http://www.gzggzy.cn）下载电子招标文件</w:t>
      </w:r>
      <w:r>
        <w:rPr>
          <w:rFonts w:hint="eastAsia" w:ascii="宋体" w:hAnsi="宋体" w:eastAsia="宋体" w:cs="宋体"/>
          <w:color w:val="auto"/>
          <w:sz w:val="24"/>
          <w:szCs w:val="24"/>
          <w:highlight w:val="none"/>
        </w:rPr>
        <w:t>。</w:t>
      </w:r>
    </w:p>
    <w:p w14:paraId="7F6A946F">
      <w:pPr>
        <w:widowControl/>
        <w:shd w:val="clear" w:color="auto" w:fill="FFFFFF"/>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4.2 </w:t>
      </w:r>
      <w:r>
        <w:rPr>
          <w:rFonts w:hint="eastAsia" w:ascii="宋体" w:hAnsi="宋体" w:eastAsia="宋体" w:cs="宋体"/>
          <w:color w:val="auto"/>
          <w:sz w:val="24"/>
          <w:szCs w:val="24"/>
          <w:highlight w:val="none"/>
          <w:u w:val="single"/>
        </w:rPr>
        <w:t>本项目设立投标登记环节，采取广州公共资源交易中心网上投标登记方式进行投标登记，不接受现场投标登记（参加投标登记之前，投标人应查询本企业在广州公共资源交易中心的信息登记的状态，确保一切信息都是真实的、在有效期内的，以免出现相关信息不能被使用。上述情况有可能导致投标信息无法录入广州公共资源交易中心信息系统。如出现上述情况，投标人有可能失去投标机会，因其可能所引起的一切后果由投标人承担。电子招投标操作流程详见广州交易集团有限公司（广州公共资源交易中心）官网发布的最新版操作指引）。</w:t>
      </w:r>
    </w:p>
    <w:p w14:paraId="3BC54D54">
      <w:pPr>
        <w:widowControl/>
        <w:shd w:val="clear" w:color="auto" w:fill="FFFFFF"/>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4.2.1 投标登记时间：2025年 </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u w:val="single"/>
        </w:rPr>
        <w:t>月</w:t>
      </w:r>
      <w:r>
        <w:rPr>
          <w:rFonts w:hint="eastAsia" w:ascii="宋体" w:hAnsi="宋体" w:eastAsia="宋体"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rPr>
        <w:t>日</w:t>
      </w:r>
      <w:r>
        <w:rPr>
          <w:rFonts w:hint="eastAsia" w:ascii="宋体" w:hAnsi="宋体" w:eastAsia="宋体" w:cs="宋体"/>
          <w:color w:val="auto"/>
          <w:sz w:val="24"/>
          <w:szCs w:val="24"/>
          <w:highlight w:val="none"/>
          <w:u w:val="single"/>
          <w:lang w:val="en-US" w:eastAsia="zh-CN"/>
        </w:rPr>
        <w:t>00</w:t>
      </w:r>
      <w:r>
        <w:rPr>
          <w:rFonts w:hint="eastAsia" w:ascii="宋体" w:hAnsi="宋体" w:eastAsia="宋体" w:cs="宋体"/>
          <w:color w:val="auto"/>
          <w:sz w:val="24"/>
          <w:szCs w:val="24"/>
          <w:highlight w:val="none"/>
          <w:u w:val="single"/>
        </w:rPr>
        <w:t>时</w:t>
      </w:r>
      <w:r>
        <w:rPr>
          <w:rFonts w:hint="eastAsia" w:ascii="宋体" w:hAnsi="宋体" w:eastAsia="宋体" w:cs="宋体"/>
          <w:color w:val="auto"/>
          <w:sz w:val="24"/>
          <w:szCs w:val="24"/>
          <w:highlight w:val="none"/>
          <w:u w:val="single"/>
          <w:lang w:val="en-US" w:eastAsia="zh-CN"/>
        </w:rPr>
        <w:t>00</w:t>
      </w:r>
      <w:r>
        <w:rPr>
          <w:rFonts w:hint="eastAsia" w:ascii="宋体" w:hAnsi="宋体" w:eastAsia="宋体" w:cs="宋体"/>
          <w:color w:val="auto"/>
          <w:sz w:val="24"/>
          <w:szCs w:val="24"/>
          <w:highlight w:val="none"/>
          <w:u w:val="single"/>
        </w:rPr>
        <w:t>分至2025年</w:t>
      </w:r>
      <w:r>
        <w:rPr>
          <w:rFonts w:hint="eastAsia" w:ascii="宋体" w:hAnsi="宋体" w:eastAsia="宋体" w:cs="宋体"/>
          <w:color w:val="auto"/>
          <w:sz w:val="24"/>
          <w:szCs w:val="24"/>
          <w:highlight w:val="none"/>
          <w:u w:val="single"/>
          <w:lang w:val="en-US" w:eastAsia="zh-CN"/>
        </w:rPr>
        <w:t>8</w:t>
      </w:r>
      <w:r>
        <w:rPr>
          <w:rFonts w:hint="eastAsia" w:ascii="宋体" w:hAnsi="宋体" w:eastAsia="宋体" w:cs="宋体"/>
          <w:color w:val="auto"/>
          <w:sz w:val="24"/>
          <w:szCs w:val="24"/>
          <w:highlight w:val="none"/>
          <w:u w:val="single"/>
        </w:rPr>
        <w:t>月</w:t>
      </w:r>
      <w:r>
        <w:rPr>
          <w:rFonts w:hint="eastAsia" w:ascii="宋体" w:hAnsi="宋体" w:eastAsia="宋体" w:cs="宋体"/>
          <w:color w:val="auto"/>
          <w:sz w:val="24"/>
          <w:szCs w:val="24"/>
          <w:highlight w:val="none"/>
          <w:u w:val="single"/>
          <w:lang w:val="en-US" w:eastAsia="zh-CN"/>
        </w:rPr>
        <w:t>19</w:t>
      </w:r>
      <w:r>
        <w:rPr>
          <w:rFonts w:hint="eastAsia" w:ascii="宋体" w:hAnsi="宋体" w:eastAsia="宋体" w:cs="宋体"/>
          <w:color w:val="auto"/>
          <w:sz w:val="24"/>
          <w:szCs w:val="24"/>
          <w:highlight w:val="none"/>
          <w:u w:val="single"/>
        </w:rPr>
        <w:t>日</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rPr>
        <w:t>时</w:t>
      </w:r>
      <w:r>
        <w:rPr>
          <w:rFonts w:hint="eastAsia" w:ascii="宋体" w:hAnsi="宋体" w:eastAsia="宋体" w:cs="宋体"/>
          <w:color w:val="auto"/>
          <w:sz w:val="24"/>
          <w:szCs w:val="24"/>
          <w:highlight w:val="none"/>
          <w:u w:val="single"/>
          <w:lang w:val="en-US" w:eastAsia="zh-CN"/>
        </w:rPr>
        <w:t>00</w:t>
      </w:r>
      <w:r>
        <w:rPr>
          <w:rFonts w:hint="eastAsia" w:ascii="宋体" w:hAnsi="宋体" w:eastAsia="宋体" w:cs="宋体"/>
          <w:color w:val="auto"/>
          <w:sz w:val="24"/>
          <w:szCs w:val="24"/>
          <w:highlight w:val="none"/>
          <w:u w:val="single"/>
        </w:rPr>
        <w:t>分。</w:t>
      </w:r>
    </w:p>
    <w:p w14:paraId="6E72DA14">
      <w:pPr>
        <w:widowControl/>
        <w:shd w:val="clear" w:color="auto" w:fill="FFFFFF"/>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4.3 本项目采用</w:t>
      </w:r>
      <w:r>
        <w:rPr>
          <w:rFonts w:hint="eastAsia" w:ascii="宋体" w:hAnsi="宋体" w:eastAsia="宋体" w:cs="宋体"/>
          <w:b/>
          <w:bCs/>
          <w:color w:val="auto"/>
          <w:sz w:val="24"/>
          <w:szCs w:val="24"/>
          <w:highlight w:val="none"/>
          <w:u w:val="single"/>
        </w:rPr>
        <w:t>资格后审</w:t>
      </w:r>
      <w:r>
        <w:rPr>
          <w:rFonts w:hint="eastAsia" w:ascii="宋体" w:hAnsi="宋体" w:eastAsia="宋体" w:cs="宋体"/>
          <w:color w:val="auto"/>
          <w:sz w:val="24"/>
          <w:szCs w:val="24"/>
          <w:highlight w:val="none"/>
          <w:u w:val="single"/>
        </w:rPr>
        <w:t>方式。</w:t>
      </w:r>
    </w:p>
    <w:p w14:paraId="32BE5FB1">
      <w:pPr>
        <w:widowControl/>
        <w:shd w:val="clear" w:color="auto" w:fill="FFFFFF"/>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注：（1）电子招投标操作流程详见广州交易集团有限公司（广州公共资源交易中心）官网发布的最新版操作指引。</w:t>
      </w:r>
    </w:p>
    <w:p w14:paraId="21E2AA4E">
      <w:pPr>
        <w:widowControl/>
        <w:shd w:val="clear" w:color="auto" w:fill="FFFFFF"/>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（2）本公告发布之日起开始投标登记，并从发本公告发布之日起开始计算备标时间。</w:t>
      </w:r>
    </w:p>
    <w:p w14:paraId="2C338AAD">
      <w:pPr>
        <w:wordWrap w:val="0"/>
        <w:spacing w:line="360" w:lineRule="auto"/>
        <w:ind w:firstLine="480" w:firstLineChars="200"/>
        <w:rPr>
          <w:rFonts w:ascii="宋体" w:hAnsi="宋体" w:eastAsia="宋体" w:cs="宋体"/>
          <w:color w:val="auto"/>
          <w:sz w:val="24"/>
          <w:szCs w:val="24"/>
          <w:highlight w:val="none"/>
        </w:rPr>
      </w:pPr>
      <w:bookmarkStart w:id="24" w:name="_Toc511557030"/>
      <w:r>
        <w:rPr>
          <w:rFonts w:hint="eastAsia" w:ascii="宋体" w:hAnsi="宋体" w:eastAsia="宋体" w:cs="宋体"/>
          <w:color w:val="auto"/>
          <w:sz w:val="24"/>
          <w:szCs w:val="24"/>
          <w:highlight w:val="none"/>
        </w:rPr>
        <w:t>4.4 潜在投标人或利害关系人对本招标公告及招标文件有异议的，应当在投标截止时间10日前向招标人书面提出。</w:t>
      </w:r>
      <w:bookmarkEnd w:id="21"/>
      <w:bookmarkEnd w:id="22"/>
      <w:bookmarkEnd w:id="24"/>
    </w:p>
    <w:p w14:paraId="1CF5D3F0">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异议受理部门：</w:t>
      </w:r>
      <w:r>
        <w:rPr>
          <w:rFonts w:hint="eastAsia" w:ascii="宋体" w:hAnsi="宋体" w:eastAsia="宋体" w:cs="宋体"/>
          <w:color w:val="auto"/>
          <w:sz w:val="24"/>
          <w:szCs w:val="24"/>
          <w:highlight w:val="none"/>
          <w:u w:val="single"/>
        </w:rPr>
        <w:t>广州燃气集团有限公司</w:t>
      </w:r>
    </w:p>
    <w:p w14:paraId="57723D9C">
      <w:pPr>
        <w:wordWrap w:val="0"/>
        <w:spacing w:line="360"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异议受理电话：</w:t>
      </w:r>
      <w:r>
        <w:rPr>
          <w:rFonts w:hint="eastAsia" w:ascii="宋体" w:hAnsi="宋体" w:eastAsia="宋体" w:cs="宋体"/>
          <w:color w:val="auto"/>
          <w:sz w:val="24"/>
          <w:szCs w:val="24"/>
          <w:highlight w:val="none"/>
          <w:u w:val="single"/>
        </w:rPr>
        <w:t>020-37850186</w:t>
      </w:r>
    </w:p>
    <w:p w14:paraId="61B187EE">
      <w:pPr>
        <w:wordWrap w:val="0"/>
        <w:spacing w:line="360"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广州市天河区临江大道3号发展中心10楼</w:t>
      </w:r>
    </w:p>
    <w:p w14:paraId="269E6A5E">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46CF71E3">
      <w:pPr>
        <w:spacing w:line="360" w:lineRule="auto"/>
        <w:jc w:val="left"/>
        <w:outlineLvl w:val="1"/>
        <w:rPr>
          <w:rFonts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5.投标文件的递交</w:t>
      </w:r>
      <w:bookmarkEnd w:id="20"/>
    </w:p>
    <w:p w14:paraId="2061CBCF">
      <w:pPr>
        <w:pStyle w:val="261"/>
        <w:snapToGrid w:val="0"/>
        <w:ind w:firstLine="480"/>
        <w:rPr>
          <w:rFonts w:ascii="宋体" w:hAnsi="宋体" w:cs="宋体"/>
          <w:color w:val="auto"/>
          <w:szCs w:val="24"/>
          <w:highlight w:val="none"/>
        </w:rPr>
      </w:pPr>
      <w:r>
        <w:rPr>
          <w:rFonts w:ascii="宋体" w:hAnsi="宋体" w:cs="宋体"/>
          <w:color w:val="auto"/>
          <w:szCs w:val="24"/>
          <w:highlight w:val="none"/>
        </w:rPr>
        <w:t>5.1 投标文件递交的截止时间（投标截止时间，下同）为</w:t>
      </w:r>
      <w:r>
        <w:rPr>
          <w:rFonts w:ascii="宋体" w:hAnsi="宋体" w:cs="宋体"/>
          <w:color w:val="auto"/>
          <w:szCs w:val="24"/>
          <w:highlight w:val="none"/>
          <w:u w:val="single"/>
        </w:rPr>
        <w:t>202</w:t>
      </w:r>
      <w:r>
        <w:rPr>
          <w:rFonts w:hint="eastAsia" w:ascii="宋体" w:hAnsi="宋体" w:cs="宋体"/>
          <w:color w:val="auto"/>
          <w:szCs w:val="24"/>
          <w:highlight w:val="none"/>
          <w:u w:val="single"/>
        </w:rPr>
        <w:t>5</w:t>
      </w:r>
      <w:r>
        <w:rPr>
          <w:rFonts w:ascii="宋体" w:hAnsi="宋体" w:cs="宋体"/>
          <w:color w:val="auto"/>
          <w:szCs w:val="24"/>
          <w:highlight w:val="none"/>
        </w:rPr>
        <w:t>年</w:t>
      </w:r>
      <w:r>
        <w:rPr>
          <w:rFonts w:hint="eastAsia" w:ascii="宋体" w:hAnsi="宋体" w:cs="宋体"/>
          <w:color w:val="auto"/>
          <w:szCs w:val="24"/>
          <w:highlight w:val="none"/>
          <w:u w:val="single"/>
          <w:lang w:val="en-US" w:eastAsia="zh-CN"/>
        </w:rPr>
        <w:t>8</w:t>
      </w:r>
      <w:r>
        <w:rPr>
          <w:rFonts w:ascii="宋体" w:hAnsi="宋体" w:cs="宋体"/>
          <w:color w:val="auto"/>
          <w:szCs w:val="24"/>
          <w:highlight w:val="none"/>
        </w:rPr>
        <w:t>月</w:t>
      </w:r>
      <w:r>
        <w:rPr>
          <w:rFonts w:hint="eastAsia" w:ascii="宋体" w:hAnsi="宋体" w:cs="宋体"/>
          <w:color w:val="auto"/>
          <w:szCs w:val="24"/>
          <w:highlight w:val="none"/>
          <w:u w:val="single"/>
          <w:lang w:val="en-US" w:eastAsia="zh-CN"/>
        </w:rPr>
        <w:t>19</w:t>
      </w:r>
      <w:r>
        <w:rPr>
          <w:rFonts w:ascii="宋体" w:hAnsi="宋体" w:cs="宋体"/>
          <w:color w:val="auto"/>
          <w:szCs w:val="24"/>
          <w:highlight w:val="none"/>
        </w:rPr>
        <w:t>日</w:t>
      </w:r>
      <w:r>
        <w:rPr>
          <w:rFonts w:hint="eastAsia" w:ascii="宋体" w:hAnsi="宋体" w:cs="宋体"/>
          <w:color w:val="auto"/>
          <w:szCs w:val="24"/>
          <w:highlight w:val="none"/>
          <w:u w:val="single"/>
          <w:lang w:val="en-US" w:eastAsia="zh-CN"/>
        </w:rPr>
        <w:t>10</w:t>
      </w:r>
      <w:r>
        <w:rPr>
          <w:rFonts w:ascii="宋体" w:hAnsi="宋体" w:cs="宋体"/>
          <w:color w:val="auto"/>
          <w:szCs w:val="24"/>
          <w:highlight w:val="none"/>
        </w:rPr>
        <w:t>时</w:t>
      </w:r>
      <w:r>
        <w:rPr>
          <w:rFonts w:hint="eastAsia" w:ascii="宋体" w:hAnsi="宋体" w:cs="宋体"/>
          <w:color w:val="auto"/>
          <w:szCs w:val="24"/>
          <w:highlight w:val="none"/>
          <w:u w:val="single"/>
          <w:lang w:val="en-US" w:eastAsia="zh-CN"/>
        </w:rPr>
        <w:t>00</w:t>
      </w:r>
      <w:r>
        <w:rPr>
          <w:rFonts w:ascii="宋体" w:hAnsi="宋体" w:cs="宋体"/>
          <w:color w:val="auto"/>
          <w:szCs w:val="24"/>
          <w:highlight w:val="none"/>
        </w:rPr>
        <w:t>分，投标人应在截止时间前通过</w:t>
      </w:r>
      <w:r>
        <w:rPr>
          <w:rFonts w:ascii="宋体" w:hAnsi="宋体" w:cs="宋体"/>
          <w:color w:val="auto"/>
          <w:szCs w:val="24"/>
          <w:highlight w:val="none"/>
          <w:u w:val="single"/>
        </w:rPr>
        <w:t>广州交易集团有限公司（广州公共资源交易中心）数字交易平台（网址：http://www.gzggzy.cn）</w:t>
      </w:r>
      <w:r>
        <w:rPr>
          <w:rFonts w:ascii="宋体" w:hAnsi="宋体" w:cs="宋体"/>
          <w:color w:val="auto"/>
          <w:szCs w:val="24"/>
          <w:highlight w:val="none"/>
        </w:rPr>
        <w:t>递交电子投标文件。</w:t>
      </w:r>
    </w:p>
    <w:p w14:paraId="044BA87D">
      <w:pPr>
        <w:pStyle w:val="261"/>
        <w:snapToGrid w:val="0"/>
        <w:ind w:firstLine="480"/>
        <w:rPr>
          <w:rFonts w:ascii="宋体" w:hAnsi="宋体" w:cs="宋体"/>
          <w:color w:val="auto"/>
          <w:szCs w:val="24"/>
          <w:highlight w:val="none"/>
        </w:rPr>
      </w:pPr>
      <w:r>
        <w:rPr>
          <w:rFonts w:ascii="宋体" w:hAnsi="宋体" w:cs="宋体"/>
          <w:color w:val="auto"/>
          <w:szCs w:val="24"/>
          <w:highlight w:val="none"/>
        </w:rPr>
        <w:t>5.2 递交备用投标文件电子光盘时间为：</w:t>
      </w:r>
      <w:r>
        <w:rPr>
          <w:rFonts w:ascii="宋体" w:hAnsi="宋体" w:cs="宋体"/>
          <w:color w:val="auto"/>
          <w:szCs w:val="24"/>
          <w:highlight w:val="none"/>
          <w:u w:val="single"/>
        </w:rPr>
        <w:t>202</w:t>
      </w:r>
      <w:r>
        <w:rPr>
          <w:rFonts w:hint="eastAsia" w:ascii="宋体" w:hAnsi="宋体" w:cs="宋体"/>
          <w:color w:val="auto"/>
          <w:szCs w:val="24"/>
          <w:highlight w:val="none"/>
          <w:u w:val="single"/>
        </w:rPr>
        <w:t>5</w:t>
      </w:r>
      <w:r>
        <w:rPr>
          <w:rFonts w:ascii="宋体" w:hAnsi="宋体" w:cs="宋体"/>
          <w:color w:val="auto"/>
          <w:szCs w:val="24"/>
          <w:highlight w:val="none"/>
        </w:rPr>
        <w:t>年</w:t>
      </w:r>
      <w:r>
        <w:rPr>
          <w:rFonts w:hint="eastAsia" w:ascii="宋体" w:hAnsi="宋体" w:cs="宋体"/>
          <w:color w:val="auto"/>
          <w:szCs w:val="24"/>
          <w:highlight w:val="none"/>
          <w:u w:val="single"/>
          <w:lang w:val="en-US" w:eastAsia="zh-CN"/>
        </w:rPr>
        <w:t>8</w:t>
      </w:r>
      <w:r>
        <w:rPr>
          <w:rFonts w:ascii="宋体" w:hAnsi="宋体" w:cs="宋体"/>
          <w:color w:val="auto"/>
          <w:szCs w:val="24"/>
          <w:highlight w:val="none"/>
        </w:rPr>
        <w:t>月</w:t>
      </w:r>
      <w:r>
        <w:rPr>
          <w:rFonts w:hint="eastAsia" w:ascii="宋体" w:hAnsi="宋体" w:cs="宋体"/>
          <w:color w:val="auto"/>
          <w:szCs w:val="24"/>
          <w:highlight w:val="none"/>
          <w:u w:val="single"/>
          <w:lang w:val="en-US" w:eastAsia="zh-CN"/>
        </w:rPr>
        <w:t>19</w:t>
      </w:r>
      <w:r>
        <w:rPr>
          <w:rFonts w:ascii="宋体" w:hAnsi="宋体" w:cs="宋体"/>
          <w:color w:val="auto"/>
          <w:szCs w:val="24"/>
          <w:highlight w:val="none"/>
        </w:rPr>
        <w:t>日</w:t>
      </w:r>
      <w:r>
        <w:rPr>
          <w:rFonts w:hint="eastAsia" w:ascii="宋体" w:hAnsi="宋体" w:cs="宋体"/>
          <w:color w:val="auto"/>
          <w:szCs w:val="24"/>
          <w:highlight w:val="none"/>
          <w:u w:val="single"/>
          <w:lang w:val="en-US" w:eastAsia="zh-CN"/>
        </w:rPr>
        <w:t>9</w:t>
      </w:r>
      <w:r>
        <w:rPr>
          <w:rFonts w:ascii="宋体" w:hAnsi="宋体" w:cs="宋体"/>
          <w:color w:val="auto"/>
          <w:szCs w:val="24"/>
          <w:highlight w:val="none"/>
        </w:rPr>
        <w:t>时</w:t>
      </w:r>
      <w:r>
        <w:rPr>
          <w:rFonts w:hint="eastAsia" w:ascii="宋体" w:hAnsi="宋体" w:cs="宋体"/>
          <w:color w:val="auto"/>
          <w:szCs w:val="24"/>
          <w:highlight w:val="none"/>
          <w:u w:val="single"/>
          <w:lang w:val="en-US" w:eastAsia="zh-CN"/>
        </w:rPr>
        <w:t>45</w:t>
      </w:r>
      <w:r>
        <w:rPr>
          <w:rFonts w:ascii="宋体" w:hAnsi="宋体" w:cs="宋体"/>
          <w:color w:val="auto"/>
          <w:szCs w:val="24"/>
          <w:highlight w:val="none"/>
        </w:rPr>
        <w:t>分至</w:t>
      </w:r>
      <w:r>
        <w:rPr>
          <w:rFonts w:ascii="宋体" w:hAnsi="宋体" w:cs="宋体"/>
          <w:color w:val="auto"/>
          <w:szCs w:val="24"/>
          <w:highlight w:val="none"/>
          <w:u w:val="single"/>
        </w:rPr>
        <w:t>202</w:t>
      </w:r>
      <w:r>
        <w:rPr>
          <w:rFonts w:hint="eastAsia" w:ascii="宋体" w:hAnsi="宋体" w:cs="宋体"/>
          <w:color w:val="auto"/>
          <w:szCs w:val="24"/>
          <w:highlight w:val="none"/>
          <w:u w:val="single"/>
        </w:rPr>
        <w:t>5</w:t>
      </w:r>
      <w:r>
        <w:rPr>
          <w:rFonts w:ascii="宋体" w:hAnsi="宋体" w:cs="宋体"/>
          <w:color w:val="auto"/>
          <w:szCs w:val="24"/>
          <w:highlight w:val="none"/>
        </w:rPr>
        <w:t>年</w:t>
      </w:r>
      <w:r>
        <w:rPr>
          <w:rFonts w:hint="eastAsia" w:ascii="宋体" w:hAnsi="宋体" w:cs="宋体"/>
          <w:color w:val="auto"/>
          <w:szCs w:val="24"/>
          <w:highlight w:val="none"/>
          <w:u w:val="single"/>
          <w:lang w:val="en-US" w:eastAsia="zh-CN"/>
        </w:rPr>
        <w:t>8</w:t>
      </w:r>
      <w:r>
        <w:rPr>
          <w:rFonts w:ascii="宋体" w:hAnsi="宋体" w:cs="宋体"/>
          <w:color w:val="auto"/>
          <w:szCs w:val="24"/>
          <w:highlight w:val="none"/>
        </w:rPr>
        <w:t>月</w:t>
      </w:r>
      <w:r>
        <w:rPr>
          <w:rFonts w:hint="eastAsia" w:ascii="宋体" w:hAnsi="宋体" w:cs="宋体"/>
          <w:color w:val="auto"/>
          <w:szCs w:val="24"/>
          <w:highlight w:val="none"/>
          <w:u w:val="single"/>
          <w:lang w:val="en-US" w:eastAsia="zh-CN"/>
        </w:rPr>
        <w:t>19</w:t>
      </w:r>
      <w:r>
        <w:rPr>
          <w:rFonts w:ascii="宋体" w:hAnsi="宋体" w:cs="宋体"/>
          <w:color w:val="auto"/>
          <w:szCs w:val="24"/>
          <w:highlight w:val="none"/>
        </w:rPr>
        <w:t>日</w:t>
      </w:r>
      <w:r>
        <w:rPr>
          <w:rFonts w:hint="eastAsia" w:ascii="宋体" w:hAnsi="宋体" w:cs="宋体"/>
          <w:color w:val="auto"/>
          <w:szCs w:val="24"/>
          <w:highlight w:val="none"/>
          <w:u w:val="single"/>
          <w:lang w:val="en-US" w:eastAsia="zh-CN"/>
        </w:rPr>
        <w:t>10</w:t>
      </w:r>
      <w:r>
        <w:rPr>
          <w:rFonts w:ascii="宋体" w:hAnsi="宋体" w:cs="宋体"/>
          <w:color w:val="auto"/>
          <w:szCs w:val="24"/>
          <w:highlight w:val="none"/>
        </w:rPr>
        <w:t>时</w:t>
      </w:r>
      <w:r>
        <w:rPr>
          <w:rFonts w:hint="eastAsia" w:ascii="宋体" w:hAnsi="宋体" w:cs="宋体"/>
          <w:color w:val="auto"/>
          <w:szCs w:val="24"/>
          <w:highlight w:val="none"/>
          <w:u w:val="single"/>
          <w:lang w:val="en-US" w:eastAsia="zh-CN"/>
        </w:rPr>
        <w:t>00</w:t>
      </w:r>
      <w:r>
        <w:rPr>
          <w:rFonts w:ascii="宋体" w:hAnsi="宋体" w:cs="宋体"/>
          <w:color w:val="auto"/>
          <w:szCs w:val="24"/>
          <w:highlight w:val="none"/>
        </w:rPr>
        <w:t>分；地点：</w:t>
      </w:r>
      <w:r>
        <w:rPr>
          <w:rFonts w:ascii="宋体" w:hAnsi="宋体" w:cs="宋体"/>
          <w:color w:val="auto"/>
          <w:szCs w:val="24"/>
          <w:highlight w:val="none"/>
          <w:u w:val="single"/>
        </w:rPr>
        <w:t>广州交易集团有限公司（广州公共资源交易中心）</w:t>
      </w:r>
      <w:r>
        <w:rPr>
          <w:rFonts w:hint="eastAsia" w:ascii="宋体" w:hAnsi="宋体" w:cs="宋体"/>
          <w:color w:val="auto"/>
          <w:szCs w:val="24"/>
          <w:highlight w:val="none"/>
          <w:u w:val="single"/>
        </w:rPr>
        <w:t>指定</w:t>
      </w:r>
      <w:r>
        <w:rPr>
          <w:rFonts w:ascii="宋体" w:hAnsi="宋体" w:cs="宋体"/>
          <w:color w:val="auto"/>
          <w:szCs w:val="24"/>
          <w:highlight w:val="none"/>
          <w:u w:val="single"/>
        </w:rPr>
        <w:t>开标室</w:t>
      </w:r>
      <w:r>
        <w:rPr>
          <w:rFonts w:ascii="宋体" w:hAnsi="宋体" w:cs="宋体"/>
          <w:color w:val="auto"/>
          <w:szCs w:val="24"/>
          <w:highlight w:val="none"/>
        </w:rPr>
        <w:t>。</w:t>
      </w:r>
      <w:r>
        <w:rPr>
          <w:rFonts w:hint="eastAsia" w:ascii="宋体" w:hAnsi="宋体" w:cs="宋体"/>
          <w:b/>
          <w:bCs/>
          <w:color w:val="auto"/>
          <w:szCs w:val="24"/>
          <w:highlight w:val="none"/>
          <w:u w:val="single"/>
        </w:rPr>
        <w:t>凭法定代表人证明书原件、法定代表人授权委托证明书原件（非法定代表人办理手续时提供）、本人身份证原件递交。</w:t>
      </w:r>
      <w:r>
        <w:rPr>
          <w:rFonts w:ascii="宋体" w:hAnsi="宋体" w:cs="宋体"/>
          <w:color w:val="auto"/>
          <w:szCs w:val="24"/>
          <w:highlight w:val="none"/>
        </w:rPr>
        <w:t>电子光盘需按规定封装。投标人在将数据刻录到光盘之后，投标前自行检查文件是否可以读取）。</w:t>
      </w:r>
    </w:p>
    <w:p w14:paraId="13DAD1D2">
      <w:pPr>
        <w:pStyle w:val="261"/>
        <w:snapToGrid w:val="0"/>
        <w:ind w:firstLine="480"/>
        <w:rPr>
          <w:rFonts w:ascii="宋体" w:hAnsi="宋体" w:cs="宋体"/>
          <w:color w:val="auto"/>
          <w:szCs w:val="24"/>
          <w:highlight w:val="none"/>
        </w:rPr>
      </w:pPr>
      <w:r>
        <w:rPr>
          <w:rFonts w:ascii="宋体" w:hAnsi="宋体" w:cs="宋体"/>
          <w:color w:val="auto"/>
          <w:szCs w:val="24"/>
          <w:highlight w:val="none"/>
        </w:rPr>
        <w:t>5.3 逾期送达的投标文件，电子招标投标交易平台将予以拒收。</w:t>
      </w:r>
      <w:r>
        <w:rPr>
          <w:rFonts w:ascii="宋体" w:hAnsi="宋体"/>
          <w:color w:val="auto"/>
          <w:szCs w:val="24"/>
          <w:highlight w:val="none"/>
        </w:rPr>
        <w:t>逾期未上传成功的电子投标文件，招标人拒绝接收。逾期或未在指定地点递交投标文件光盘的,招标人拒绝接收其投标文件光盘。</w:t>
      </w:r>
    </w:p>
    <w:p w14:paraId="133870F2">
      <w:pPr>
        <w:pStyle w:val="261"/>
        <w:snapToGrid w:val="0"/>
        <w:ind w:firstLine="480"/>
        <w:rPr>
          <w:rFonts w:ascii="宋体" w:hAnsi="宋体" w:cs="宋体"/>
          <w:color w:val="auto"/>
          <w:szCs w:val="24"/>
          <w:highlight w:val="none"/>
        </w:rPr>
      </w:pPr>
      <w:r>
        <w:rPr>
          <w:rFonts w:ascii="宋体" w:hAnsi="宋体" w:cs="宋体"/>
          <w:color w:val="auto"/>
          <w:szCs w:val="24"/>
          <w:highlight w:val="none"/>
        </w:rPr>
        <w:t>5.4 开标时间：</w:t>
      </w:r>
      <w:r>
        <w:rPr>
          <w:rFonts w:ascii="宋体" w:hAnsi="宋体" w:cs="宋体"/>
          <w:color w:val="auto"/>
          <w:szCs w:val="24"/>
          <w:highlight w:val="none"/>
          <w:u w:val="single"/>
        </w:rPr>
        <w:t>202</w:t>
      </w:r>
      <w:r>
        <w:rPr>
          <w:rFonts w:hint="eastAsia" w:ascii="宋体" w:hAnsi="宋体" w:cs="宋体"/>
          <w:color w:val="auto"/>
          <w:szCs w:val="24"/>
          <w:highlight w:val="none"/>
          <w:u w:val="single"/>
        </w:rPr>
        <w:t>5</w:t>
      </w:r>
      <w:r>
        <w:rPr>
          <w:rFonts w:ascii="宋体" w:hAnsi="宋体" w:cs="宋体"/>
          <w:color w:val="auto"/>
          <w:szCs w:val="24"/>
          <w:highlight w:val="none"/>
        </w:rPr>
        <w:t>年</w:t>
      </w:r>
      <w:r>
        <w:rPr>
          <w:rFonts w:hint="eastAsia" w:ascii="宋体" w:hAnsi="宋体" w:cs="宋体"/>
          <w:color w:val="auto"/>
          <w:szCs w:val="24"/>
          <w:highlight w:val="none"/>
          <w:u w:val="single"/>
          <w:lang w:val="en-US" w:eastAsia="zh-CN"/>
        </w:rPr>
        <w:t>8</w:t>
      </w:r>
      <w:r>
        <w:rPr>
          <w:rFonts w:ascii="宋体" w:hAnsi="宋体" w:cs="宋体"/>
          <w:color w:val="auto"/>
          <w:szCs w:val="24"/>
          <w:highlight w:val="none"/>
        </w:rPr>
        <w:t>月</w:t>
      </w:r>
      <w:r>
        <w:rPr>
          <w:rFonts w:hint="eastAsia" w:ascii="宋体" w:hAnsi="宋体" w:cs="宋体"/>
          <w:color w:val="auto"/>
          <w:szCs w:val="24"/>
          <w:highlight w:val="none"/>
          <w:u w:val="single"/>
          <w:lang w:val="en-US" w:eastAsia="zh-CN"/>
        </w:rPr>
        <w:t>19</w:t>
      </w:r>
      <w:r>
        <w:rPr>
          <w:rFonts w:ascii="宋体" w:hAnsi="宋体" w:cs="宋体"/>
          <w:color w:val="auto"/>
          <w:szCs w:val="24"/>
          <w:highlight w:val="none"/>
        </w:rPr>
        <w:t>日</w:t>
      </w:r>
      <w:r>
        <w:rPr>
          <w:rFonts w:ascii="宋体" w:hAnsi="宋体" w:cs="宋体"/>
          <w:color w:val="auto"/>
          <w:szCs w:val="24"/>
          <w:highlight w:val="none"/>
          <w:u w:val="single"/>
        </w:rPr>
        <w:t xml:space="preserve"> </w:t>
      </w:r>
      <w:r>
        <w:rPr>
          <w:rFonts w:hint="eastAsia" w:ascii="宋体" w:hAnsi="宋体" w:cs="宋体"/>
          <w:color w:val="auto"/>
          <w:szCs w:val="24"/>
          <w:highlight w:val="none"/>
          <w:u w:val="single"/>
          <w:lang w:val="en-US" w:eastAsia="zh-CN"/>
        </w:rPr>
        <w:t>10</w:t>
      </w:r>
      <w:r>
        <w:rPr>
          <w:rFonts w:ascii="宋体" w:hAnsi="宋体" w:cs="宋体"/>
          <w:color w:val="auto"/>
          <w:szCs w:val="24"/>
          <w:highlight w:val="none"/>
        </w:rPr>
        <w:t>时</w:t>
      </w:r>
      <w:r>
        <w:rPr>
          <w:rFonts w:hint="eastAsia" w:ascii="宋体" w:hAnsi="宋体" w:cs="宋体"/>
          <w:color w:val="auto"/>
          <w:szCs w:val="24"/>
          <w:highlight w:val="none"/>
          <w:u w:val="single"/>
          <w:lang w:val="en-US" w:eastAsia="zh-CN"/>
        </w:rPr>
        <w:t>00</w:t>
      </w:r>
      <w:r>
        <w:rPr>
          <w:rFonts w:ascii="宋体" w:hAnsi="宋体" w:cs="宋体"/>
          <w:color w:val="auto"/>
          <w:szCs w:val="24"/>
          <w:highlight w:val="none"/>
        </w:rPr>
        <w:t>分。地点：</w:t>
      </w:r>
      <w:r>
        <w:rPr>
          <w:rFonts w:ascii="宋体" w:hAnsi="宋体" w:cs="宋体"/>
          <w:color w:val="auto"/>
          <w:szCs w:val="24"/>
          <w:highlight w:val="none"/>
          <w:u w:val="single"/>
        </w:rPr>
        <w:t>广州交易集团有限公司（广州公共资源交易中心）第  开标室</w:t>
      </w:r>
      <w:r>
        <w:rPr>
          <w:rFonts w:ascii="宋体" w:hAnsi="宋体" w:cs="宋体"/>
          <w:color w:val="auto"/>
          <w:szCs w:val="24"/>
          <w:highlight w:val="none"/>
        </w:rPr>
        <w:t>。</w:t>
      </w:r>
    </w:p>
    <w:p w14:paraId="6ABB8FC5">
      <w:pPr>
        <w:pStyle w:val="261"/>
        <w:snapToGrid w:val="0"/>
        <w:ind w:firstLine="480"/>
        <w:rPr>
          <w:rFonts w:ascii="宋体" w:hAnsi="宋体" w:cs="宋体"/>
          <w:color w:val="auto"/>
          <w:szCs w:val="24"/>
          <w:highlight w:val="none"/>
        </w:rPr>
      </w:pPr>
      <w:r>
        <w:rPr>
          <w:rFonts w:ascii="宋体" w:hAnsi="宋体" w:cs="宋体"/>
          <w:color w:val="auto"/>
          <w:szCs w:val="24"/>
          <w:highlight w:val="none"/>
        </w:rPr>
        <w:t>5.5 递交投标文件截止时间及开标时间是否有变化，请密切留意</w:t>
      </w:r>
      <w:r>
        <w:rPr>
          <w:rFonts w:ascii="宋体" w:hAnsi="宋体" w:cs="宋体"/>
          <w:color w:val="auto"/>
          <w:szCs w:val="24"/>
          <w:highlight w:val="none"/>
          <w:u w:val="single"/>
        </w:rPr>
        <w:t>广州交易集团有限公司（广州公共资源交易中心）</w:t>
      </w:r>
      <w:r>
        <w:rPr>
          <w:rFonts w:ascii="宋体" w:hAnsi="宋体" w:cs="宋体"/>
          <w:color w:val="auto"/>
          <w:szCs w:val="24"/>
          <w:highlight w:val="none"/>
        </w:rPr>
        <w:t>网站中的相关信息。递交投标文件截止时间后，投标文件评审时间因故推迟的，相关资审信息仍以原递交投标文件截止时间的信息为准。本项目各项投标活动具体可通过</w:t>
      </w:r>
      <w:r>
        <w:rPr>
          <w:rFonts w:ascii="宋体" w:hAnsi="宋体" w:cs="宋体"/>
          <w:color w:val="auto"/>
          <w:szCs w:val="24"/>
          <w:highlight w:val="none"/>
          <w:u w:val="single"/>
        </w:rPr>
        <w:t>广州交易集团有限公司（广州公共资源交易中心）</w:t>
      </w:r>
      <w:r>
        <w:rPr>
          <w:rFonts w:ascii="宋体" w:hAnsi="宋体" w:cs="宋体"/>
          <w:color w:val="auto"/>
          <w:szCs w:val="24"/>
          <w:highlight w:val="none"/>
        </w:rPr>
        <w:t>网站查询具体的时间和场地安排。</w:t>
      </w:r>
    </w:p>
    <w:p w14:paraId="1CAC0CD8">
      <w:pPr>
        <w:spacing w:line="360" w:lineRule="auto"/>
        <w:jc w:val="left"/>
        <w:outlineLvl w:val="1"/>
        <w:rPr>
          <w:rFonts w:ascii="宋体" w:hAnsi="宋体" w:eastAsia="宋体" w:cs="宋体"/>
          <w:b/>
          <w:bCs/>
          <w:color w:val="auto"/>
          <w:kern w:val="0"/>
          <w:sz w:val="28"/>
          <w:szCs w:val="28"/>
          <w:highlight w:val="none"/>
        </w:rPr>
      </w:pPr>
      <w:bookmarkStart w:id="25" w:name="_Toc535938700"/>
      <w:r>
        <w:rPr>
          <w:rFonts w:hint="eastAsia" w:ascii="宋体" w:hAnsi="宋体" w:eastAsia="宋体" w:cs="宋体"/>
          <w:b/>
          <w:bCs/>
          <w:color w:val="auto"/>
          <w:kern w:val="0"/>
          <w:sz w:val="28"/>
          <w:szCs w:val="28"/>
          <w:highlight w:val="none"/>
        </w:rPr>
        <w:t>6.</w:t>
      </w:r>
      <w:bookmarkEnd w:id="25"/>
      <w:bookmarkStart w:id="26" w:name="_Toc535938701"/>
      <w:r>
        <w:rPr>
          <w:rFonts w:hint="eastAsia" w:ascii="宋体" w:hAnsi="宋体" w:eastAsia="宋体" w:cs="宋体"/>
          <w:b/>
          <w:bCs/>
          <w:color w:val="auto"/>
          <w:kern w:val="0"/>
          <w:sz w:val="28"/>
          <w:szCs w:val="28"/>
          <w:highlight w:val="none"/>
        </w:rPr>
        <w:t>发布公告的媒介</w:t>
      </w:r>
      <w:bookmarkEnd w:id="26"/>
    </w:p>
    <w:p w14:paraId="62DCC883">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本次招标公告同时在</w:t>
      </w:r>
      <w:r>
        <w:rPr>
          <w:rFonts w:hint="eastAsia" w:ascii="宋体" w:hAnsi="宋体" w:eastAsia="宋体" w:cs="宋体"/>
          <w:color w:val="auto"/>
          <w:sz w:val="24"/>
          <w:szCs w:val="24"/>
          <w:highlight w:val="none"/>
          <w:u w:val="single"/>
        </w:rPr>
        <w:t>广州交易集团有限公司（广州公共资源交易中心）网（网址：http://www.gzggzy.cn）、广东省招标投标监管网（网址：</w:t>
      </w:r>
      <w:r>
        <w:rPr>
          <w:rFonts w:hint="eastAsia" w:ascii="宋体" w:hAnsi="宋体" w:eastAsia="宋体"/>
          <w:color w:val="auto"/>
          <w:sz w:val="24"/>
          <w:highlight w:val="none"/>
          <w:u w:val="single"/>
        </w:rPr>
        <w:t>https://www.gdzwfw.gov.cn</w:t>
      </w:r>
      <w:r>
        <w:rPr>
          <w:rFonts w:hint="eastAsia" w:ascii="宋体" w:hAnsi="宋体" w:eastAsia="宋体" w:cs="宋体"/>
          <w:color w:val="auto"/>
          <w:sz w:val="24"/>
          <w:szCs w:val="24"/>
          <w:highlight w:val="none"/>
          <w:u w:val="single"/>
        </w:rPr>
        <w:t>）、广州发展电子采购平台（网址：https://eps.gdg.com.cn）、中国招标投标公共服务平台（网址：http：//www.cebpubservice.com）以及广州国企阳光采购信息发布平台（网址：http://ygcg.gzggzy.cn）等媒体</w:t>
      </w:r>
      <w:r>
        <w:rPr>
          <w:rFonts w:hint="eastAsia" w:ascii="宋体" w:hAnsi="宋体" w:eastAsia="宋体" w:cs="宋体"/>
          <w:color w:val="auto"/>
          <w:sz w:val="24"/>
          <w:szCs w:val="24"/>
          <w:highlight w:val="none"/>
        </w:rPr>
        <w:t>上发布，本公告的修改、补充，在</w:t>
      </w:r>
      <w:r>
        <w:rPr>
          <w:rFonts w:hint="eastAsia" w:ascii="宋体" w:hAnsi="宋体" w:eastAsia="宋体" w:cs="宋体"/>
          <w:color w:val="auto"/>
          <w:sz w:val="24"/>
          <w:szCs w:val="24"/>
          <w:highlight w:val="none"/>
          <w:u w:val="single"/>
        </w:rPr>
        <w:t>广州交易集团有限公司（广州公共资源交易中心）网</w:t>
      </w:r>
      <w:r>
        <w:rPr>
          <w:rFonts w:hint="eastAsia" w:ascii="宋体" w:hAnsi="宋体" w:eastAsia="宋体" w:cs="宋体"/>
          <w:color w:val="auto"/>
          <w:sz w:val="24"/>
          <w:szCs w:val="24"/>
          <w:highlight w:val="none"/>
        </w:rPr>
        <w:t>上发布。本公告在各媒体发布的文本如有不同之处，以在广州公共资源交易网发布的文本为准。</w:t>
      </w:r>
    </w:p>
    <w:p w14:paraId="7C4EFC7C">
      <w:pPr>
        <w:spacing w:line="360" w:lineRule="auto"/>
        <w:jc w:val="left"/>
        <w:outlineLvl w:val="1"/>
        <w:rPr>
          <w:rFonts w:ascii="宋体" w:hAnsi="宋体" w:eastAsia="宋体" w:cs="宋体"/>
          <w:b/>
          <w:bCs/>
          <w:color w:val="auto"/>
          <w:kern w:val="0"/>
          <w:sz w:val="28"/>
          <w:szCs w:val="28"/>
          <w:highlight w:val="none"/>
        </w:rPr>
      </w:pPr>
      <w:bookmarkStart w:id="27" w:name="_Toc529196510"/>
      <w:bookmarkStart w:id="28" w:name="_Toc516170523"/>
      <w:bookmarkStart w:id="29" w:name="_Toc535938702"/>
      <w:bookmarkStart w:id="30" w:name="_Toc511557031"/>
      <w:bookmarkStart w:id="31" w:name="_Toc247513936"/>
      <w:bookmarkStart w:id="32" w:name="_Toc152045514"/>
      <w:bookmarkStart w:id="33" w:name="_Toc352691457"/>
      <w:bookmarkStart w:id="34" w:name="_Toc144974482"/>
      <w:bookmarkStart w:id="35" w:name="_Toc300834931"/>
      <w:bookmarkStart w:id="36" w:name="_Toc361508564"/>
      <w:bookmarkStart w:id="37" w:name="_Toc369531499"/>
      <w:bookmarkStart w:id="38" w:name="_Toc384308189"/>
      <w:bookmarkStart w:id="39" w:name="_Toc247527537"/>
      <w:bookmarkStart w:id="40" w:name="_Toc152042290"/>
      <w:bookmarkStart w:id="41" w:name="_Toc2312"/>
      <w:r>
        <w:rPr>
          <w:rFonts w:hint="eastAsia" w:ascii="宋体" w:hAnsi="宋体" w:eastAsia="宋体" w:cs="宋体"/>
          <w:b/>
          <w:bCs/>
          <w:color w:val="auto"/>
          <w:kern w:val="0"/>
          <w:sz w:val="28"/>
          <w:szCs w:val="28"/>
          <w:highlight w:val="none"/>
        </w:rPr>
        <w:t>7.联系方式</w:t>
      </w:r>
      <w:bookmarkEnd w:id="27"/>
      <w:bookmarkEnd w:id="28"/>
      <w:bookmarkEnd w:id="29"/>
      <w:bookmarkEnd w:id="30"/>
    </w:p>
    <w:bookmarkEnd w:id="31"/>
    <w:bookmarkEnd w:id="32"/>
    <w:bookmarkEnd w:id="33"/>
    <w:bookmarkEnd w:id="34"/>
    <w:bookmarkEnd w:id="35"/>
    <w:bookmarkEnd w:id="36"/>
    <w:bookmarkEnd w:id="37"/>
    <w:bookmarkEnd w:id="38"/>
    <w:bookmarkEnd w:id="39"/>
    <w:bookmarkEnd w:id="40"/>
    <w:bookmarkEnd w:id="41"/>
    <w:p w14:paraId="2FD60AAD">
      <w:pPr>
        <w:snapToGrid w:val="0"/>
        <w:spacing w:line="360" w:lineRule="auto"/>
        <w:ind w:firstLine="480" w:firstLineChars="200"/>
        <w:rPr>
          <w:rFonts w:ascii="宋体" w:hAnsi="宋体" w:eastAsia="宋体" w:cs="宋体"/>
          <w:color w:val="auto"/>
          <w:sz w:val="24"/>
          <w:highlight w:val="none"/>
          <w:u w:val="single"/>
        </w:rPr>
      </w:pPr>
      <w:r>
        <w:rPr>
          <w:rFonts w:hint="eastAsia" w:ascii="宋体" w:hAnsi="宋体" w:eastAsia="宋体" w:cs="宋体"/>
          <w:color w:val="auto"/>
          <w:sz w:val="24"/>
          <w:highlight w:val="none"/>
        </w:rPr>
        <w:t xml:space="preserve">招   标   </w:t>
      </w:r>
      <w:r>
        <w:rPr>
          <w:rFonts w:ascii="宋体" w:hAnsi="宋体" w:eastAsia="宋体" w:cs="宋体"/>
          <w:color w:val="auto"/>
          <w:sz w:val="24"/>
          <w:highlight w:val="none"/>
        </w:rPr>
        <w:t>人：</w:t>
      </w:r>
      <w:r>
        <w:rPr>
          <w:rFonts w:hint="eastAsia" w:ascii="宋体" w:hAnsi="宋体" w:eastAsia="宋体" w:cs="宋体"/>
          <w:color w:val="auto"/>
          <w:sz w:val="24"/>
          <w:highlight w:val="none"/>
          <w:u w:val="single"/>
        </w:rPr>
        <w:t>广州燃气集团有限公司</w:t>
      </w:r>
      <w:bookmarkStart w:id="690" w:name="_GoBack"/>
      <w:bookmarkEnd w:id="690"/>
    </w:p>
    <w:p w14:paraId="4716146D">
      <w:pPr>
        <w:snapToGrid w:val="0"/>
        <w:spacing w:line="360" w:lineRule="auto"/>
        <w:ind w:firstLine="480" w:firstLineChars="200"/>
        <w:rPr>
          <w:rFonts w:ascii="宋体" w:hAnsi="宋体" w:eastAsia="宋体" w:cs="宋体"/>
          <w:color w:val="auto"/>
          <w:sz w:val="24"/>
          <w:highlight w:val="none"/>
          <w:u w:val="singl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广州市天河区临江大道3号23-24楼</w:t>
      </w:r>
    </w:p>
    <w:p w14:paraId="1E0F98F5">
      <w:pPr>
        <w:snapToGrid w:val="0"/>
        <w:spacing w:line="360" w:lineRule="auto"/>
        <w:ind w:firstLine="480" w:firstLineChars="200"/>
        <w:rPr>
          <w:rFonts w:ascii="宋体" w:hAnsi="宋体" w:eastAsia="宋体" w:cs="宋体"/>
          <w:color w:val="auto"/>
          <w:sz w:val="24"/>
          <w:highlight w:val="none"/>
          <w:u w:val="single"/>
        </w:rPr>
      </w:pPr>
      <w:r>
        <w:rPr>
          <w:rFonts w:hint="eastAsia" w:ascii="宋体" w:hAnsi="宋体" w:eastAsia="宋体" w:cs="宋体"/>
          <w:color w:val="auto"/>
          <w:sz w:val="24"/>
          <w:highlight w:val="none"/>
        </w:rPr>
        <w:t>联   系   人：</w:t>
      </w:r>
      <w:r>
        <w:rPr>
          <w:rFonts w:hint="eastAsia" w:ascii="宋体" w:hAnsi="宋体" w:eastAsia="宋体" w:cs="宋体"/>
          <w:color w:val="auto"/>
          <w:sz w:val="24"/>
          <w:highlight w:val="none"/>
          <w:u w:val="single"/>
        </w:rPr>
        <w:t>石</w:t>
      </w:r>
      <w:r>
        <w:rPr>
          <w:rFonts w:hint="eastAsia" w:ascii="宋体" w:hAnsi="宋体" w:eastAsia="宋体"/>
          <w:color w:val="auto"/>
          <w:sz w:val="24"/>
          <w:highlight w:val="none"/>
          <w:u w:val="single"/>
        </w:rPr>
        <w:t>工</w:t>
      </w:r>
      <w:r>
        <w:rPr>
          <w:rFonts w:hint="eastAsia" w:ascii="宋体" w:hAnsi="宋体" w:eastAsia="宋体" w:cs="宋体"/>
          <w:color w:val="auto"/>
          <w:sz w:val="24"/>
          <w:highlight w:val="none"/>
        </w:rPr>
        <w:t xml:space="preserve">    电话：</w:t>
      </w:r>
      <w:r>
        <w:rPr>
          <w:rFonts w:hint="eastAsia" w:ascii="宋体" w:hAnsi="宋体" w:eastAsia="宋体" w:cs="宋体"/>
          <w:color w:val="auto"/>
          <w:sz w:val="24"/>
          <w:highlight w:val="none"/>
          <w:u w:val="single"/>
        </w:rPr>
        <w:t>020-37853057</w:t>
      </w:r>
    </w:p>
    <w:p w14:paraId="6A93B926">
      <w:pPr>
        <w:snapToGrid w:val="0"/>
        <w:spacing w:line="360" w:lineRule="auto"/>
        <w:ind w:firstLine="480" w:firstLineChars="200"/>
        <w:rPr>
          <w:rFonts w:ascii="宋体" w:hAnsi="宋体" w:eastAsia="宋体" w:cs="宋体"/>
          <w:color w:val="auto"/>
          <w:sz w:val="24"/>
          <w:highlight w:val="none"/>
        </w:rPr>
      </w:pPr>
    </w:p>
    <w:p w14:paraId="4A1DC5F5">
      <w:pPr>
        <w:snapToGrid w:val="0"/>
        <w:spacing w:line="360" w:lineRule="auto"/>
        <w:ind w:firstLine="480" w:firstLineChars="200"/>
        <w:rPr>
          <w:rFonts w:ascii="宋体" w:hAnsi="宋体" w:eastAsia="宋体" w:cs="宋体"/>
          <w:color w:val="auto"/>
          <w:sz w:val="24"/>
          <w:highlight w:val="none"/>
          <w:u w:val="single"/>
        </w:rPr>
      </w:pPr>
      <w:r>
        <w:rPr>
          <w:rFonts w:hint="eastAsia" w:ascii="宋体" w:hAnsi="宋体" w:eastAsia="宋体" w:cs="宋体"/>
          <w:color w:val="auto"/>
          <w:sz w:val="24"/>
          <w:highlight w:val="none"/>
        </w:rPr>
        <w:t>招标代理机构：</w:t>
      </w:r>
      <w:r>
        <w:rPr>
          <w:rFonts w:hint="eastAsia" w:ascii="宋体" w:hAnsi="宋体" w:eastAsia="宋体" w:cs="宋体"/>
          <w:color w:val="auto"/>
          <w:sz w:val="24"/>
          <w:szCs w:val="24"/>
          <w:highlight w:val="none"/>
          <w:u w:val="single"/>
        </w:rPr>
        <w:t>广东粤能工程管理有限公司</w:t>
      </w:r>
    </w:p>
    <w:p w14:paraId="32C07CCF">
      <w:pPr>
        <w:snapToGrid w:val="0"/>
        <w:spacing w:line="360" w:lineRule="auto"/>
        <w:ind w:firstLine="480" w:firstLineChars="200"/>
        <w:rPr>
          <w:rFonts w:ascii="宋体" w:hAnsi="宋体" w:eastAsia="宋体" w:cs="宋体"/>
          <w:color w:val="auto"/>
          <w:sz w:val="24"/>
          <w:highlight w:val="none"/>
          <w:u w:val="single"/>
        </w:rPr>
      </w:pPr>
      <w:r>
        <w:rPr>
          <w:rFonts w:hint="eastAsia" w:ascii="宋体" w:hAnsi="宋体" w:eastAsia="宋体" w:cs="宋体"/>
          <w:color w:val="auto"/>
          <w:sz w:val="24"/>
          <w:highlight w:val="none"/>
        </w:rPr>
        <w:t>地        址：</w:t>
      </w:r>
      <w:r>
        <w:rPr>
          <w:rFonts w:hint="eastAsia" w:ascii="宋体" w:hAnsi="宋体" w:eastAsia="宋体" w:cs="宋体"/>
          <w:color w:val="auto"/>
          <w:sz w:val="24"/>
          <w:szCs w:val="24"/>
          <w:highlight w:val="none"/>
          <w:u w:val="single"/>
        </w:rPr>
        <w:t>广州市天河区华观路明旭街1号万科智慧商业广场B1-2栋12楼</w:t>
      </w:r>
    </w:p>
    <w:p w14:paraId="649AAFAA">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联   系   人：</w:t>
      </w:r>
      <w:r>
        <w:rPr>
          <w:rFonts w:hint="eastAsia" w:ascii="宋体" w:hAnsi="宋体" w:eastAsia="宋体" w:cs="宋体"/>
          <w:color w:val="auto"/>
          <w:sz w:val="24"/>
          <w:highlight w:val="none"/>
          <w:u w:val="single"/>
        </w:rPr>
        <w:t>曾工、欧工</w:t>
      </w:r>
    </w:p>
    <w:p w14:paraId="5AFF9270">
      <w:pPr>
        <w:snapToGrid w:val="0"/>
        <w:spacing w:line="360" w:lineRule="auto"/>
        <w:ind w:firstLine="480" w:firstLineChars="200"/>
        <w:rPr>
          <w:rFonts w:ascii="宋体" w:hAnsi="宋体" w:eastAsia="宋体"/>
          <w:color w:val="auto"/>
          <w:sz w:val="24"/>
          <w:highlight w:val="none"/>
          <w:u w:val="single"/>
        </w:rPr>
      </w:pPr>
      <w:r>
        <w:rPr>
          <w:rFonts w:hint="eastAsia" w:ascii="宋体" w:hAnsi="宋体" w:eastAsia="宋体" w:cs="宋体"/>
          <w:color w:val="auto"/>
          <w:sz w:val="24"/>
          <w:highlight w:val="none"/>
        </w:rPr>
        <w:t>电       话：</w:t>
      </w:r>
      <w:r>
        <w:rPr>
          <w:rFonts w:hint="eastAsia" w:ascii="宋体" w:hAnsi="宋体" w:eastAsia="宋体" w:cs="宋体"/>
          <w:color w:val="auto"/>
          <w:sz w:val="24"/>
          <w:szCs w:val="24"/>
          <w:highlight w:val="none"/>
          <w:u w:val="single"/>
        </w:rPr>
        <w:t>020-38730932/18588707509</w:t>
      </w:r>
    </w:p>
    <w:p w14:paraId="5DC06F7F">
      <w:pPr>
        <w:spacing w:line="360" w:lineRule="auto"/>
        <w:rPr>
          <w:rFonts w:ascii="宋体" w:hAnsi="宋体" w:eastAsia="宋体"/>
          <w:color w:val="auto"/>
          <w:highlight w:val="none"/>
        </w:rPr>
      </w:pPr>
    </w:p>
    <w:p w14:paraId="60258563">
      <w:pPr>
        <w:snapToGrid w:val="0"/>
        <w:spacing w:line="360" w:lineRule="auto"/>
        <w:ind w:firstLine="480" w:firstLineChars="200"/>
        <w:rPr>
          <w:rFonts w:ascii="宋体" w:hAnsi="宋体" w:eastAsia="宋体" w:cs="宋体"/>
          <w:color w:val="auto"/>
          <w:sz w:val="24"/>
          <w:highlight w:val="none"/>
          <w:u w:val="single"/>
        </w:rPr>
      </w:pPr>
      <w:r>
        <w:rPr>
          <w:rFonts w:hint="eastAsia" w:ascii="宋体" w:hAnsi="宋体" w:eastAsia="宋体" w:cs="宋体"/>
          <w:color w:val="auto"/>
          <w:sz w:val="24"/>
          <w:highlight w:val="none"/>
        </w:rPr>
        <w:t>异议受理部门：</w:t>
      </w:r>
      <w:r>
        <w:rPr>
          <w:rFonts w:hint="eastAsia" w:ascii="宋体" w:hAnsi="宋体" w:eastAsia="宋体" w:cs="宋体"/>
          <w:color w:val="auto"/>
          <w:sz w:val="24"/>
          <w:highlight w:val="none"/>
          <w:u w:val="single"/>
        </w:rPr>
        <w:t>广州燃气集团有限公司</w:t>
      </w:r>
    </w:p>
    <w:p w14:paraId="4ED52372">
      <w:pPr>
        <w:snapToGrid w:val="0"/>
        <w:spacing w:line="360" w:lineRule="auto"/>
        <w:ind w:firstLine="480" w:firstLineChars="200"/>
        <w:rPr>
          <w:rFonts w:ascii="宋体" w:hAnsi="宋体" w:eastAsia="宋体" w:cs="宋体"/>
          <w:color w:val="auto"/>
          <w:sz w:val="24"/>
          <w:highlight w:val="none"/>
          <w:u w:val="singl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广州市天河区临江大道3号10楼</w:t>
      </w:r>
    </w:p>
    <w:p w14:paraId="264B9A5C">
      <w:pPr>
        <w:snapToGrid w:val="0"/>
        <w:spacing w:line="360" w:lineRule="auto"/>
        <w:ind w:firstLine="480" w:firstLineChars="200"/>
        <w:rPr>
          <w:rFonts w:ascii="宋体" w:hAnsi="宋体" w:eastAsia="宋体"/>
          <w:color w:val="auto"/>
          <w:sz w:val="24"/>
          <w:highlight w:val="none"/>
          <w:u w:val="single"/>
        </w:rPr>
      </w:pPr>
      <w:r>
        <w:rPr>
          <w:rFonts w:hint="eastAsia" w:ascii="宋体" w:hAnsi="宋体" w:eastAsia="宋体" w:cs="宋体"/>
          <w:color w:val="auto"/>
          <w:sz w:val="24"/>
          <w:highlight w:val="none"/>
        </w:rPr>
        <w:t>联  系 电 话：</w:t>
      </w:r>
      <w:r>
        <w:rPr>
          <w:rFonts w:hint="eastAsia" w:ascii="宋体" w:hAnsi="宋体" w:eastAsia="宋体"/>
          <w:color w:val="auto"/>
          <w:sz w:val="24"/>
          <w:highlight w:val="none"/>
          <w:u w:val="single"/>
        </w:rPr>
        <w:t>020-</w:t>
      </w:r>
      <w:r>
        <w:rPr>
          <w:rFonts w:hint="eastAsia" w:ascii="宋体" w:hAnsi="宋体" w:eastAsia="宋体" w:cs="宋体"/>
          <w:color w:val="auto"/>
          <w:sz w:val="24"/>
          <w:szCs w:val="24"/>
          <w:highlight w:val="none"/>
          <w:u w:val="single"/>
        </w:rPr>
        <w:t>37850186</w:t>
      </w:r>
    </w:p>
    <w:p w14:paraId="327D1B3D">
      <w:pPr>
        <w:spacing w:line="360" w:lineRule="auto"/>
        <w:rPr>
          <w:rFonts w:ascii="宋体" w:hAnsi="宋体" w:eastAsia="宋体"/>
          <w:color w:val="auto"/>
          <w:sz w:val="20"/>
          <w:szCs w:val="20"/>
          <w:highlight w:val="none"/>
        </w:rPr>
      </w:pPr>
    </w:p>
    <w:p w14:paraId="1799AA9F">
      <w:pPr>
        <w:snapToGrid w:val="0"/>
        <w:spacing w:line="360" w:lineRule="auto"/>
        <w:ind w:firstLine="480" w:firstLineChars="200"/>
        <w:rPr>
          <w:rFonts w:ascii="宋体" w:hAnsi="宋体" w:eastAsia="宋体" w:cs="宋体"/>
          <w:color w:val="auto"/>
          <w:sz w:val="24"/>
          <w:highlight w:val="none"/>
          <w:u w:val="single"/>
        </w:rPr>
      </w:pPr>
      <w:r>
        <w:rPr>
          <w:rFonts w:hint="eastAsia" w:ascii="宋体" w:hAnsi="宋体" w:eastAsia="宋体" w:cs="宋体"/>
          <w:color w:val="auto"/>
          <w:sz w:val="24"/>
          <w:highlight w:val="none"/>
        </w:rPr>
        <w:t>招标监督机构：</w:t>
      </w:r>
      <w:r>
        <w:rPr>
          <w:rFonts w:hint="eastAsia" w:ascii="宋体" w:hAnsi="宋体" w:eastAsia="宋体" w:cs="宋体"/>
          <w:color w:val="auto"/>
          <w:sz w:val="24"/>
          <w:highlight w:val="none"/>
          <w:u w:val="single"/>
        </w:rPr>
        <w:t>广州市城市管理和综合执法局</w:t>
      </w:r>
    </w:p>
    <w:p w14:paraId="7C2917E9">
      <w:pPr>
        <w:snapToGrid w:val="0"/>
        <w:spacing w:line="360" w:lineRule="auto"/>
        <w:ind w:firstLine="480" w:firstLineChars="200"/>
        <w:rPr>
          <w:rFonts w:ascii="宋体" w:hAnsi="宋体" w:eastAsia="宋体" w:cs="宋体"/>
          <w:color w:val="auto"/>
          <w:sz w:val="24"/>
          <w:highlight w:val="none"/>
          <w:u w:val="single"/>
        </w:rPr>
      </w:pPr>
      <w:r>
        <w:rPr>
          <w:rFonts w:hint="eastAsia" w:ascii="宋体" w:hAnsi="宋体" w:eastAsia="宋体" w:cs="宋体"/>
          <w:color w:val="auto"/>
          <w:sz w:val="24"/>
          <w:highlight w:val="none"/>
        </w:rPr>
        <w:t>监  督 电 话：</w:t>
      </w:r>
      <w:r>
        <w:rPr>
          <w:rFonts w:hint="eastAsia" w:ascii="宋体" w:hAnsi="宋体" w:eastAsia="宋体" w:cs="宋体"/>
          <w:color w:val="auto"/>
          <w:sz w:val="24"/>
          <w:highlight w:val="none"/>
          <w:u w:val="single"/>
        </w:rPr>
        <w:t>020-83639364</w:t>
      </w:r>
    </w:p>
    <w:p w14:paraId="09388093">
      <w:pPr>
        <w:widowControl/>
        <w:snapToGrid w:val="0"/>
        <w:spacing w:line="360" w:lineRule="auto"/>
        <w:ind w:firstLine="480" w:firstLineChars="200"/>
        <w:jc w:val="left"/>
        <w:rPr>
          <w:rFonts w:ascii="宋体" w:hAnsi="宋体" w:eastAsia="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广东省广州市越秀区文明路贤思路34号</w:t>
      </w:r>
      <w:r>
        <w:rPr>
          <w:rFonts w:ascii="宋体" w:hAnsi="宋体" w:eastAsia="宋体"/>
          <w:color w:val="auto"/>
          <w:sz w:val="24"/>
          <w:highlight w:val="none"/>
        </w:rPr>
        <w:br w:type="page"/>
      </w:r>
    </w:p>
    <w:p w14:paraId="582B4EF6">
      <w:pPr>
        <w:pStyle w:val="5"/>
        <w:keepNext/>
        <w:keepLines/>
        <w:pageBreakBefore w:val="0"/>
        <w:widowControl w:val="0"/>
        <w:kinsoku/>
        <w:wordWrap/>
        <w:overflowPunct/>
        <w:topLinePunct w:val="0"/>
        <w:autoSpaceDE/>
        <w:autoSpaceDN/>
        <w:bidi w:val="0"/>
        <w:adjustRightInd/>
        <w:snapToGrid/>
        <w:spacing w:before="0" w:after="0" w:line="360" w:lineRule="auto"/>
        <w:ind w:left="0" w:leftChars="0" w:right="0" w:rightChars="0" w:firstLine="0" w:firstLineChars="0"/>
        <w:textAlignment w:val="auto"/>
        <w:outlineLvl w:val="0"/>
        <w:rPr>
          <w:rFonts w:hint="eastAsia" w:ascii="宋体" w:hAnsi="宋体"/>
          <w:color w:val="auto"/>
          <w:sz w:val="24"/>
          <w:szCs w:val="24"/>
          <w:highlight w:val="none"/>
        </w:rPr>
      </w:pPr>
      <w:bookmarkStart w:id="42" w:name="_Toc17238"/>
      <w:r>
        <w:rPr>
          <w:rFonts w:hint="eastAsia" w:ascii="宋体" w:hAnsi="宋体"/>
          <w:color w:val="auto"/>
          <w:sz w:val="24"/>
          <w:szCs w:val="24"/>
          <w:highlight w:val="none"/>
        </w:rPr>
        <w:t>附件一：投标人声明</w:t>
      </w:r>
      <w:bookmarkEnd w:id="42"/>
    </w:p>
    <w:p w14:paraId="7957BCF2">
      <w:pPr>
        <w:pStyle w:val="5"/>
        <w:keepNext/>
        <w:keepLines/>
        <w:pageBreakBefore w:val="0"/>
        <w:widowControl w:val="0"/>
        <w:kinsoku/>
        <w:wordWrap/>
        <w:overflowPunct/>
        <w:topLinePunct w:val="0"/>
        <w:autoSpaceDE/>
        <w:autoSpaceDN/>
        <w:bidi w:val="0"/>
        <w:adjustRightInd/>
        <w:snapToGrid/>
        <w:spacing w:before="0" w:after="0" w:line="360" w:lineRule="auto"/>
        <w:ind w:left="0" w:leftChars="0" w:right="0" w:rightChars="0" w:firstLine="0" w:firstLineChars="0"/>
        <w:jc w:val="center"/>
        <w:textAlignment w:val="auto"/>
        <w:outlineLvl w:val="0"/>
        <w:rPr>
          <w:rFonts w:hint="eastAsia" w:ascii="宋体" w:hAnsi="宋体" w:eastAsia="宋体" w:cs="宋体"/>
          <w:color w:val="auto"/>
          <w:kern w:val="0"/>
          <w:sz w:val="32"/>
          <w:szCs w:val="32"/>
          <w:highlight w:val="none"/>
        </w:rPr>
      </w:pPr>
      <w:bookmarkStart w:id="43" w:name="_Toc27597"/>
      <w:r>
        <w:rPr>
          <w:rFonts w:hint="eastAsia" w:ascii="宋体" w:hAnsi="宋体" w:eastAsia="宋体" w:cs="宋体"/>
          <w:color w:val="auto"/>
          <w:kern w:val="0"/>
          <w:sz w:val="32"/>
          <w:szCs w:val="32"/>
          <w:highlight w:val="none"/>
        </w:rPr>
        <w:t>投标人声明</w:t>
      </w:r>
      <w:bookmarkEnd w:id="43"/>
    </w:p>
    <w:p w14:paraId="38564875">
      <w:pPr>
        <w:keepNext w:val="0"/>
        <w:keepLines w:val="0"/>
        <w:pageBreakBefore w:val="0"/>
        <w:widowControl w:val="0"/>
        <w:kinsoku/>
        <w:wordWrap/>
        <w:overflowPunct/>
        <w:topLinePunct w:val="0"/>
        <w:autoSpaceDE/>
        <w:autoSpaceDN/>
        <w:bidi w:val="0"/>
        <w:adjustRightInd/>
        <w:snapToGrid w:val="0"/>
        <w:spacing w:line="336" w:lineRule="auto"/>
        <w:ind w:left="0" w:leftChars="0" w:right="0" w:rightChars="0"/>
        <w:jc w:val="both"/>
        <w:textAlignment w:val="auto"/>
        <w:outlineLvl w:val="9"/>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本招标项目招标人及招标监管机构：</w:t>
      </w:r>
    </w:p>
    <w:p w14:paraId="10E70F8E">
      <w:pPr>
        <w:keepNext w:val="0"/>
        <w:keepLines w:val="0"/>
        <w:pageBreakBefore w:val="0"/>
        <w:widowControl w:val="0"/>
        <w:kinsoku/>
        <w:wordWrap/>
        <w:overflowPunct/>
        <w:topLinePunct w:val="0"/>
        <w:autoSpaceDE/>
        <w:autoSpaceDN/>
        <w:bidi w:val="0"/>
        <w:adjustRightInd/>
        <w:snapToGrid w:val="0"/>
        <w:spacing w:line="336" w:lineRule="auto"/>
        <w:ind w:left="0" w:leftChars="0" w:right="0" w:rightChars="0" w:firstLine="480" w:firstLineChars="200"/>
        <w:jc w:val="both"/>
        <w:textAlignment w:val="auto"/>
        <w:outlineLvl w:val="9"/>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本公司就参加</w:t>
      </w:r>
      <w:r>
        <w:rPr>
          <w:rFonts w:hint="eastAsia" w:ascii="宋体" w:hAnsi="宋体" w:eastAsia="宋体" w:cs="宋体"/>
          <w:color w:val="auto"/>
          <w:kern w:val="0"/>
          <w:sz w:val="24"/>
          <w:szCs w:val="24"/>
          <w:highlight w:val="none"/>
          <w:u w:val="single"/>
          <w:lang w:eastAsia="zh-CN"/>
        </w:rPr>
        <w:t>广州LNG应急调峰气源站配套管线工程（黄阁门站-横沥调压和气化站段）线路工程与场站工程施工监理</w:t>
      </w:r>
      <w:r>
        <w:rPr>
          <w:rFonts w:hint="eastAsia" w:ascii="宋体" w:hAnsi="宋体" w:eastAsia="宋体" w:cs="宋体"/>
          <w:color w:val="auto"/>
          <w:kern w:val="0"/>
          <w:sz w:val="24"/>
          <w:szCs w:val="24"/>
          <w:highlight w:val="none"/>
          <w:u w:val="single"/>
        </w:rPr>
        <w:t>服务</w:t>
      </w:r>
      <w:r>
        <w:rPr>
          <w:rFonts w:hint="eastAsia" w:ascii="宋体" w:hAnsi="宋体" w:eastAsia="宋体" w:cs="宋体"/>
          <w:color w:val="auto"/>
          <w:kern w:val="0"/>
          <w:sz w:val="24"/>
          <w:szCs w:val="24"/>
          <w:highlight w:val="none"/>
        </w:rPr>
        <w:t>项目投标工作，作出郑重声明：</w:t>
      </w:r>
    </w:p>
    <w:p w14:paraId="25E7FB01">
      <w:pPr>
        <w:keepNext w:val="0"/>
        <w:keepLines w:val="0"/>
        <w:pageBreakBefore w:val="0"/>
        <w:widowControl w:val="0"/>
        <w:kinsoku/>
        <w:wordWrap/>
        <w:overflowPunct/>
        <w:topLinePunct w:val="0"/>
        <w:autoSpaceDE/>
        <w:autoSpaceDN/>
        <w:bidi w:val="0"/>
        <w:adjustRightInd/>
        <w:snapToGrid w:val="0"/>
        <w:spacing w:line="336" w:lineRule="auto"/>
        <w:ind w:left="0" w:leftChars="0" w:right="0" w:rightChars="0" w:firstLine="480" w:firstLineChars="200"/>
        <w:jc w:val="both"/>
        <w:textAlignment w:val="auto"/>
        <w:outlineLvl w:val="9"/>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一、本公司保证投标</w:t>
      </w:r>
      <w:r>
        <w:rPr>
          <w:rFonts w:hint="eastAsia" w:ascii="宋体" w:hAnsi="宋体" w:eastAsia="宋体" w:cs="宋体"/>
          <w:color w:val="auto"/>
          <w:kern w:val="0"/>
          <w:sz w:val="24"/>
          <w:szCs w:val="24"/>
          <w:highlight w:val="none"/>
          <w:u w:val="none"/>
        </w:rPr>
        <w:t>登记</w:t>
      </w:r>
      <w:r>
        <w:rPr>
          <w:rFonts w:hint="eastAsia" w:ascii="宋体" w:hAnsi="宋体" w:eastAsia="宋体" w:cs="宋体"/>
          <w:color w:val="auto"/>
          <w:kern w:val="0"/>
          <w:sz w:val="24"/>
          <w:szCs w:val="24"/>
          <w:highlight w:val="none"/>
        </w:rPr>
        <w:t>材料及其后提供的一切材料都是真实的。如我司成为本项目中标候选人，我司同意并授权招标人将我司投标文件商务部分的人员、业绩、奖项等资料进行公开。</w:t>
      </w:r>
    </w:p>
    <w:p w14:paraId="77230FEF">
      <w:pPr>
        <w:keepNext w:val="0"/>
        <w:keepLines w:val="0"/>
        <w:pageBreakBefore w:val="0"/>
        <w:widowControl w:val="0"/>
        <w:kinsoku/>
        <w:wordWrap/>
        <w:overflowPunct/>
        <w:topLinePunct w:val="0"/>
        <w:autoSpaceDE/>
        <w:autoSpaceDN/>
        <w:bidi w:val="0"/>
        <w:adjustRightInd/>
        <w:snapToGrid w:val="0"/>
        <w:spacing w:line="336" w:lineRule="auto"/>
        <w:ind w:left="0" w:leftChars="0" w:right="0" w:rightChars="0" w:firstLine="482" w:firstLineChars="200"/>
        <w:jc w:val="both"/>
        <w:textAlignment w:val="auto"/>
        <w:outlineLvl w:val="9"/>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二、本公司承诺遵循公平公正、公开、诚实信用原则，如实投标，真实反映企业实力，公平竞争，不弄虚作假，不以低于监理企业成本价竞标而降低监理服务质量，不与任何建设单位订立违背监理企业成本取费标准及相关规定的“阴阳合同”进行恶性竞争，扰乱市场秩序，不与其他单位串通投标或以行贿手段谋取中标，不出借资质、转包或违法分包监理业务。</w:t>
      </w:r>
    </w:p>
    <w:p w14:paraId="6A9B4945">
      <w:pPr>
        <w:keepNext w:val="0"/>
        <w:keepLines w:val="0"/>
        <w:pageBreakBefore w:val="0"/>
        <w:widowControl w:val="0"/>
        <w:kinsoku/>
        <w:wordWrap/>
        <w:overflowPunct/>
        <w:topLinePunct w:val="0"/>
        <w:autoSpaceDE/>
        <w:autoSpaceDN/>
        <w:bidi w:val="0"/>
        <w:adjustRightInd/>
        <w:snapToGrid w:val="0"/>
        <w:spacing w:line="336" w:lineRule="auto"/>
        <w:ind w:left="0" w:leftChars="0" w:right="0" w:rightChars="0" w:firstLine="420" w:firstLineChars="175"/>
        <w:jc w:val="both"/>
        <w:textAlignment w:val="auto"/>
        <w:outlineLvl w:val="9"/>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三、本公司不存在招标文件第二章投标人须知第1.4.3项所规定的任何一种情形。</w:t>
      </w:r>
    </w:p>
    <w:p w14:paraId="723D3CFF">
      <w:pPr>
        <w:keepNext w:val="0"/>
        <w:keepLines w:val="0"/>
        <w:pageBreakBefore w:val="0"/>
        <w:widowControl w:val="0"/>
        <w:kinsoku/>
        <w:wordWrap/>
        <w:overflowPunct/>
        <w:topLinePunct w:val="0"/>
        <w:autoSpaceDE/>
        <w:autoSpaceDN/>
        <w:bidi w:val="0"/>
        <w:adjustRightInd/>
        <w:snapToGrid w:val="0"/>
        <w:spacing w:line="336" w:lineRule="auto"/>
        <w:ind w:left="0" w:leftChars="0" w:right="0" w:rightChars="0" w:firstLine="480" w:firstLineChars="200"/>
        <w:jc w:val="both"/>
        <w:textAlignment w:val="auto"/>
        <w:outlineLvl w:val="9"/>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四、本公司及其有隶属关系的机构，没有参加本项目招标文件的编写工作；本公司与本次招标的招标代理机构没有隶属关系或其他利害关系</w:t>
      </w:r>
      <w:r>
        <w:rPr>
          <w:rFonts w:hint="eastAsia" w:ascii="宋体" w:hAnsi="宋体" w:eastAsia="宋体" w:cs="宋体"/>
          <w:color w:val="auto"/>
          <w:sz w:val="24"/>
          <w:szCs w:val="24"/>
          <w:highlight w:val="none"/>
        </w:rPr>
        <w:t>；本公司与本工程的承包单位以及建筑材料、建筑构配件和设备供应单位没有隶属关系或其他利害关系。</w:t>
      </w:r>
    </w:p>
    <w:p w14:paraId="13147F48">
      <w:pPr>
        <w:keepNext w:val="0"/>
        <w:keepLines w:val="0"/>
        <w:pageBreakBefore w:val="0"/>
        <w:widowControl w:val="0"/>
        <w:kinsoku/>
        <w:wordWrap/>
        <w:overflowPunct/>
        <w:topLinePunct w:val="0"/>
        <w:autoSpaceDE/>
        <w:autoSpaceDN/>
        <w:bidi w:val="0"/>
        <w:adjustRightInd/>
        <w:snapToGrid w:val="0"/>
        <w:spacing w:line="336" w:lineRule="auto"/>
        <w:ind w:left="0" w:leftChars="0" w:right="0" w:rightChars="0" w:firstLine="480" w:firstLineChars="200"/>
        <w:jc w:val="both"/>
        <w:textAlignment w:val="auto"/>
        <w:outlineLvl w:val="9"/>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五、本公司承诺，中标后严格执行安全生产相关管理规定。</w:t>
      </w:r>
    </w:p>
    <w:p w14:paraId="1B26A3F2">
      <w:pPr>
        <w:snapToGrid w:val="0"/>
        <w:spacing w:line="336" w:lineRule="auto"/>
        <w:ind w:firstLine="480" w:firstLineChars="200"/>
        <w:outlineLvl w:val="9"/>
        <w:rPr>
          <w:rFonts w:hint="eastAsia" w:ascii="宋体" w:hAnsi="宋体" w:eastAsia="宋体" w:cs="宋体"/>
          <w:b w:val="0"/>
          <w:color w:val="auto"/>
          <w:kern w:val="0"/>
          <w:sz w:val="24"/>
          <w:szCs w:val="24"/>
          <w:highlight w:val="none"/>
        </w:rPr>
      </w:pPr>
      <w:r>
        <w:rPr>
          <w:rFonts w:hint="eastAsia" w:ascii="宋体" w:hAnsi="宋体" w:eastAsia="宋体" w:cs="宋体"/>
          <w:b w:val="0"/>
          <w:color w:val="auto"/>
          <w:kern w:val="0"/>
          <w:sz w:val="24"/>
          <w:szCs w:val="24"/>
          <w:highlight w:val="none"/>
        </w:rPr>
        <w:t>六、与本公司单位负责人为同一人或者与本公司存在控股、管理关系的其他单位包括：</w:t>
      </w:r>
      <w:r>
        <w:rPr>
          <w:rFonts w:hint="eastAsia" w:ascii="宋体" w:hAnsi="宋体" w:eastAsia="宋体" w:cs="宋体"/>
          <w:b w:val="0"/>
          <w:color w:val="auto"/>
          <w:kern w:val="0"/>
          <w:sz w:val="24"/>
          <w:szCs w:val="24"/>
          <w:highlight w:val="none"/>
          <w:u w:val="single"/>
        </w:rPr>
        <w:t xml:space="preserve">                       </w:t>
      </w:r>
      <w:r>
        <w:rPr>
          <w:rFonts w:hint="eastAsia" w:ascii="宋体" w:hAnsi="宋体" w:eastAsia="宋体" w:cs="宋体"/>
          <w:b w:val="0"/>
          <w:color w:val="auto"/>
          <w:kern w:val="0"/>
          <w:sz w:val="24"/>
          <w:szCs w:val="24"/>
          <w:highlight w:val="none"/>
        </w:rPr>
        <w:t>。（注：本条由投标人如实填写，如有，应列出全部满足招标公告资质要求的相关单位的名称；如无，则填写“无”。）</w:t>
      </w:r>
    </w:p>
    <w:p w14:paraId="45871CFC">
      <w:pPr>
        <w:keepNext w:val="0"/>
        <w:keepLines w:val="0"/>
        <w:pageBreakBefore w:val="0"/>
        <w:widowControl w:val="0"/>
        <w:kinsoku/>
        <w:wordWrap/>
        <w:overflowPunct/>
        <w:topLinePunct w:val="0"/>
        <w:autoSpaceDE/>
        <w:autoSpaceDN/>
        <w:bidi w:val="0"/>
        <w:adjustRightInd/>
        <w:snapToGrid w:val="0"/>
        <w:spacing w:line="336" w:lineRule="auto"/>
        <w:ind w:left="0" w:leftChars="0" w:right="0" w:rightChars="0" w:firstLine="482" w:firstLineChars="200"/>
        <w:jc w:val="both"/>
        <w:textAlignment w:val="auto"/>
        <w:outlineLvl w:val="9"/>
        <w:rPr>
          <w:rFonts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本公司违反上述承诺，或本声明陈述与事实不符，经查实，本公司愿意接受公开通报，愿意按照《广州市建筑市场信用管理办法》（穗建规字</w:t>
      </w:r>
      <w:r>
        <w:rPr>
          <w:rFonts w:hint="eastAsia" w:ascii="宋体" w:hAnsi="宋体" w:eastAsia="宋体" w:cs="微软雅黑"/>
          <w:b/>
          <w:color w:val="auto"/>
          <w:kern w:val="0"/>
          <w:sz w:val="24"/>
          <w:szCs w:val="24"/>
          <w:highlight w:val="none"/>
        </w:rPr>
        <w:t>﹝</w:t>
      </w:r>
      <w:r>
        <w:rPr>
          <w:rFonts w:hint="eastAsia" w:ascii="宋体" w:hAnsi="宋体" w:eastAsia="宋体" w:cs="宋体"/>
          <w:b/>
          <w:color w:val="auto"/>
          <w:kern w:val="0"/>
          <w:sz w:val="24"/>
          <w:szCs w:val="24"/>
          <w:highlight w:val="none"/>
        </w:rPr>
        <w:t>2019</w:t>
      </w:r>
      <w:r>
        <w:rPr>
          <w:rFonts w:hint="eastAsia" w:ascii="宋体" w:hAnsi="宋体" w:eastAsia="宋体" w:cs="微软雅黑"/>
          <w:b/>
          <w:color w:val="auto"/>
          <w:kern w:val="0"/>
          <w:sz w:val="24"/>
          <w:szCs w:val="24"/>
          <w:highlight w:val="none"/>
        </w:rPr>
        <w:t>﹞</w:t>
      </w:r>
      <w:r>
        <w:rPr>
          <w:rFonts w:hint="eastAsia" w:ascii="宋体" w:hAnsi="宋体" w:eastAsia="宋体" w:cs="宋体"/>
          <w:b/>
          <w:color w:val="auto"/>
          <w:kern w:val="0"/>
          <w:sz w:val="24"/>
          <w:szCs w:val="24"/>
          <w:highlight w:val="none"/>
        </w:rPr>
        <w:t>16号）的规定被记录为失信信息，</w:t>
      </w:r>
      <w:r>
        <w:rPr>
          <w:rFonts w:hint="eastAsia" w:ascii="宋体" w:hAnsi="宋体" w:eastAsia="宋体" w:cs="宋体"/>
          <w:color w:val="auto"/>
          <w:kern w:val="0"/>
          <w:sz w:val="24"/>
          <w:szCs w:val="24"/>
          <w:highlight w:val="none"/>
        </w:rPr>
        <w:t>承担由此带来的一切后果，并自愿停止参加广州市行政辖区内的招标投标活动三个月。</w:t>
      </w:r>
    </w:p>
    <w:p w14:paraId="5677E085">
      <w:pPr>
        <w:keepNext w:val="0"/>
        <w:keepLines w:val="0"/>
        <w:pageBreakBefore w:val="0"/>
        <w:widowControl w:val="0"/>
        <w:kinsoku/>
        <w:wordWrap/>
        <w:overflowPunct/>
        <w:topLinePunct w:val="0"/>
        <w:autoSpaceDE/>
        <w:autoSpaceDN/>
        <w:bidi w:val="0"/>
        <w:adjustRightInd/>
        <w:snapToGrid w:val="0"/>
        <w:spacing w:line="336" w:lineRule="auto"/>
        <w:ind w:left="0" w:leftChars="0" w:right="0" w:righ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特此声明。</w:t>
      </w:r>
    </w:p>
    <w:p w14:paraId="4B4FA115">
      <w:pPr>
        <w:keepNext w:val="0"/>
        <w:keepLines w:val="0"/>
        <w:pageBreakBefore w:val="0"/>
        <w:widowControl w:val="0"/>
        <w:kinsoku/>
        <w:wordWrap/>
        <w:overflowPunct/>
        <w:topLinePunct w:val="0"/>
        <w:autoSpaceDE/>
        <w:autoSpaceDN/>
        <w:bidi w:val="0"/>
        <w:adjustRightInd/>
        <w:snapToGrid w:val="0"/>
        <w:spacing w:line="336" w:lineRule="auto"/>
        <w:ind w:left="0" w:leftChars="0" w:right="0" w:rightChars="0" w:firstLine="4320" w:firstLineChars="1800"/>
        <w:jc w:val="both"/>
        <w:textAlignment w:val="auto"/>
        <w:outlineLvl w:val="9"/>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声明企业：</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(企业公章)</w:t>
      </w:r>
    </w:p>
    <w:p w14:paraId="03BED406">
      <w:pPr>
        <w:keepNext w:val="0"/>
        <w:keepLines w:val="0"/>
        <w:pageBreakBefore w:val="0"/>
        <w:widowControl w:val="0"/>
        <w:kinsoku/>
        <w:wordWrap/>
        <w:overflowPunct/>
        <w:topLinePunct w:val="0"/>
        <w:autoSpaceDE/>
        <w:autoSpaceDN/>
        <w:bidi w:val="0"/>
        <w:adjustRightInd/>
        <w:snapToGrid w:val="0"/>
        <w:spacing w:line="336" w:lineRule="auto"/>
        <w:ind w:left="0" w:leftChars="0" w:right="0" w:rightChars="0" w:firstLine="4320" w:firstLineChars="1800"/>
        <w:jc w:val="both"/>
        <w:textAlignment w:val="auto"/>
        <w:outlineLvl w:val="9"/>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法定代表人签字：</w:t>
      </w:r>
    </w:p>
    <w:p w14:paraId="4DE166C1">
      <w:pPr>
        <w:snapToGrid w:val="0"/>
        <w:spacing w:line="336" w:lineRule="auto"/>
        <w:ind w:firstLine="4320" w:firstLineChars="180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总监理工程师</w:t>
      </w:r>
      <w:r>
        <w:rPr>
          <w:rFonts w:hint="eastAsia" w:ascii="宋体" w:hAnsi="宋体" w:eastAsia="宋体" w:cs="宋体"/>
          <w:color w:val="auto"/>
          <w:kern w:val="0"/>
          <w:sz w:val="24"/>
          <w:szCs w:val="24"/>
          <w:highlight w:val="none"/>
          <w:lang w:val="en-US" w:eastAsia="zh-CN"/>
        </w:rPr>
        <w:t>签字</w:t>
      </w:r>
      <w:r>
        <w:rPr>
          <w:rFonts w:hint="eastAsia" w:ascii="宋体" w:hAnsi="宋体" w:eastAsia="宋体" w:cs="宋体"/>
          <w:color w:val="auto"/>
          <w:kern w:val="0"/>
          <w:sz w:val="24"/>
          <w:szCs w:val="24"/>
          <w:highlight w:val="none"/>
        </w:rPr>
        <w:t>：</w:t>
      </w:r>
    </w:p>
    <w:p w14:paraId="3BF57A4C">
      <w:pPr>
        <w:snapToGrid w:val="0"/>
        <w:spacing w:line="336" w:lineRule="auto"/>
        <w:ind w:firstLine="4320" w:firstLineChars="180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年   月   日</w:t>
      </w:r>
    </w:p>
    <w:bookmarkEnd w:id="8"/>
    <w:bookmarkEnd w:id="9"/>
    <w:bookmarkEnd w:id="10"/>
    <w:bookmarkEnd w:id="11"/>
    <w:bookmarkEnd w:id="12"/>
    <w:p w14:paraId="0FE0BC4A">
      <w:pPr>
        <w:pStyle w:val="5"/>
        <w:keepNext w:val="0"/>
        <w:keepLines w:val="0"/>
        <w:spacing w:after="0" w:line="240" w:lineRule="auto"/>
        <w:jc w:val="center"/>
        <w:outlineLvl w:val="1"/>
        <w:rPr>
          <w:rFonts w:ascii="宋体" w:hAnsi="宋体"/>
          <w:color w:val="auto"/>
          <w:sz w:val="36"/>
          <w:szCs w:val="36"/>
          <w:highlight w:val="none"/>
        </w:rPr>
      </w:pPr>
      <w:bookmarkStart w:id="44" w:name="_Toc10450"/>
      <w:r>
        <w:rPr>
          <w:rFonts w:hint="eastAsia" w:ascii="宋体" w:hAnsi="宋体"/>
          <w:color w:val="auto"/>
          <w:sz w:val="36"/>
          <w:szCs w:val="36"/>
          <w:highlight w:val="none"/>
        </w:rPr>
        <w:t>第二章 投标人须知</w:t>
      </w:r>
      <w:bookmarkEnd w:id="13"/>
      <w:bookmarkEnd w:id="44"/>
    </w:p>
    <w:p w14:paraId="3CBA94FD">
      <w:pPr>
        <w:pStyle w:val="6"/>
        <w:spacing w:before="240"/>
        <w:jc w:val="center"/>
        <w:rPr>
          <w:rFonts w:ascii="宋体" w:hAnsi="宋体" w:eastAsia="宋体"/>
          <w:color w:val="auto"/>
          <w:sz w:val="32"/>
          <w:highlight w:val="none"/>
        </w:rPr>
      </w:pPr>
      <w:bookmarkStart w:id="45" w:name="_Toc529196512"/>
      <w:bookmarkStart w:id="46" w:name="_Toc535938711"/>
      <w:bookmarkStart w:id="47" w:name="_Toc530470621"/>
      <w:r>
        <w:rPr>
          <w:rFonts w:hint="eastAsia" w:ascii="宋体" w:hAnsi="宋体" w:eastAsia="宋体"/>
          <w:color w:val="auto"/>
          <w:sz w:val="32"/>
          <w:highlight w:val="none"/>
        </w:rPr>
        <w:t>投标人须知前附表</w:t>
      </w:r>
    </w:p>
    <w:tbl>
      <w:tblPr>
        <w:tblStyle w:val="40"/>
        <w:tblW w:w="9834"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936"/>
        <w:gridCol w:w="2291"/>
        <w:gridCol w:w="6607"/>
      </w:tblGrid>
      <w:tr w14:paraId="299C389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06" w:hRule="atLeast"/>
          <w:tblHeader/>
        </w:trPr>
        <w:tc>
          <w:tcPr>
            <w:tcW w:w="936" w:type="dxa"/>
            <w:tcBorders>
              <w:top w:val="single" w:color="auto" w:sz="4" w:space="0"/>
              <w:left w:val="single" w:color="auto" w:sz="4" w:space="0"/>
              <w:bottom w:val="single" w:color="auto" w:sz="6" w:space="0"/>
              <w:right w:val="single" w:color="auto" w:sz="6" w:space="0"/>
            </w:tcBorders>
            <w:shd w:val="clear" w:color="auto" w:fill="auto"/>
            <w:vAlign w:val="center"/>
          </w:tcPr>
          <w:p w14:paraId="10E658E2">
            <w:pPr>
              <w:snapToGrid w:val="0"/>
              <w:spacing w:line="276" w:lineRule="auto"/>
              <w:jc w:val="center"/>
              <w:rPr>
                <w:rFonts w:ascii="宋体" w:hAnsi="宋体" w:eastAsia="宋体"/>
                <w:b/>
                <w:color w:val="auto"/>
                <w:sz w:val="24"/>
                <w:szCs w:val="24"/>
                <w:highlight w:val="none"/>
              </w:rPr>
            </w:pPr>
            <w:r>
              <w:rPr>
                <w:rFonts w:hint="eastAsia" w:ascii="宋体" w:hAnsi="宋体" w:eastAsia="宋体"/>
                <w:b/>
                <w:color w:val="auto"/>
                <w:sz w:val="24"/>
                <w:szCs w:val="24"/>
                <w:highlight w:val="none"/>
              </w:rPr>
              <w:t>条款号</w:t>
            </w:r>
          </w:p>
        </w:tc>
        <w:tc>
          <w:tcPr>
            <w:tcW w:w="2291" w:type="dxa"/>
            <w:tcBorders>
              <w:top w:val="single" w:color="auto" w:sz="4" w:space="0"/>
              <w:left w:val="single" w:color="auto" w:sz="6" w:space="0"/>
              <w:bottom w:val="single" w:color="auto" w:sz="6" w:space="0"/>
              <w:right w:val="single" w:color="auto" w:sz="6" w:space="0"/>
            </w:tcBorders>
            <w:shd w:val="clear" w:color="auto" w:fill="auto"/>
            <w:vAlign w:val="center"/>
          </w:tcPr>
          <w:p w14:paraId="777A5325">
            <w:pPr>
              <w:snapToGrid w:val="0"/>
              <w:spacing w:line="276" w:lineRule="auto"/>
              <w:jc w:val="center"/>
              <w:rPr>
                <w:rFonts w:ascii="宋体" w:hAnsi="宋体" w:eastAsia="宋体"/>
                <w:b/>
                <w:color w:val="auto"/>
                <w:sz w:val="24"/>
                <w:szCs w:val="24"/>
                <w:highlight w:val="none"/>
              </w:rPr>
            </w:pPr>
            <w:r>
              <w:rPr>
                <w:rFonts w:hint="eastAsia" w:ascii="宋体" w:hAnsi="宋体" w:eastAsia="宋体"/>
                <w:b/>
                <w:color w:val="auto"/>
                <w:sz w:val="24"/>
                <w:szCs w:val="24"/>
                <w:highlight w:val="none"/>
              </w:rPr>
              <w:t>条款名称</w:t>
            </w:r>
          </w:p>
        </w:tc>
        <w:tc>
          <w:tcPr>
            <w:tcW w:w="6607" w:type="dxa"/>
            <w:tcBorders>
              <w:top w:val="single" w:color="auto" w:sz="4" w:space="0"/>
              <w:left w:val="single" w:color="auto" w:sz="6" w:space="0"/>
              <w:bottom w:val="single" w:color="auto" w:sz="6" w:space="0"/>
              <w:right w:val="single" w:color="auto" w:sz="4" w:space="0"/>
            </w:tcBorders>
            <w:shd w:val="clear" w:color="auto" w:fill="auto"/>
            <w:vAlign w:val="center"/>
          </w:tcPr>
          <w:p w14:paraId="3973D561">
            <w:pPr>
              <w:snapToGrid w:val="0"/>
              <w:spacing w:line="276" w:lineRule="auto"/>
              <w:jc w:val="center"/>
              <w:rPr>
                <w:rFonts w:ascii="宋体" w:hAnsi="宋体" w:eastAsia="宋体"/>
                <w:b/>
                <w:color w:val="auto"/>
                <w:sz w:val="24"/>
                <w:szCs w:val="24"/>
                <w:highlight w:val="none"/>
              </w:rPr>
            </w:pPr>
            <w:r>
              <w:rPr>
                <w:rFonts w:hint="eastAsia" w:ascii="宋体" w:hAnsi="宋体" w:eastAsia="宋体"/>
                <w:b/>
                <w:color w:val="auto"/>
                <w:sz w:val="24"/>
                <w:szCs w:val="24"/>
                <w:highlight w:val="none"/>
              </w:rPr>
              <w:t>编列内容</w:t>
            </w:r>
          </w:p>
        </w:tc>
      </w:tr>
      <w:tr w14:paraId="5A0F2E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430" w:hRule="atLeast"/>
        </w:trPr>
        <w:tc>
          <w:tcPr>
            <w:tcW w:w="936" w:type="dxa"/>
            <w:tcBorders>
              <w:top w:val="single" w:color="auto" w:sz="6" w:space="0"/>
              <w:left w:val="single" w:color="auto" w:sz="4" w:space="0"/>
              <w:bottom w:val="single" w:color="auto" w:sz="6" w:space="0"/>
              <w:right w:val="single" w:color="auto" w:sz="6" w:space="0"/>
            </w:tcBorders>
            <w:shd w:val="clear" w:color="auto" w:fill="auto"/>
            <w:vAlign w:val="center"/>
          </w:tcPr>
          <w:p w14:paraId="13E9FAFF">
            <w:pPr>
              <w:snapToGrid w:val="0"/>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1.1.2</w:t>
            </w:r>
          </w:p>
        </w:tc>
        <w:tc>
          <w:tcPr>
            <w:tcW w:w="2291" w:type="dxa"/>
            <w:tcBorders>
              <w:top w:val="single" w:color="auto" w:sz="6" w:space="0"/>
              <w:left w:val="single" w:color="auto" w:sz="6" w:space="0"/>
              <w:bottom w:val="single" w:color="auto" w:sz="6" w:space="0"/>
              <w:right w:val="single" w:color="auto" w:sz="6" w:space="0"/>
            </w:tcBorders>
            <w:shd w:val="clear" w:color="auto" w:fill="auto"/>
            <w:vAlign w:val="center"/>
          </w:tcPr>
          <w:p w14:paraId="34B16C49">
            <w:pPr>
              <w:snapToGrid w:val="0"/>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招标人</w:t>
            </w:r>
          </w:p>
        </w:tc>
        <w:tc>
          <w:tcPr>
            <w:tcW w:w="6607" w:type="dxa"/>
            <w:tcBorders>
              <w:top w:val="single" w:color="auto" w:sz="6" w:space="0"/>
              <w:left w:val="single" w:color="auto" w:sz="6" w:space="0"/>
              <w:bottom w:val="single" w:color="auto" w:sz="6" w:space="0"/>
              <w:right w:val="single" w:color="auto" w:sz="4" w:space="0"/>
            </w:tcBorders>
            <w:shd w:val="clear" w:color="auto" w:fill="auto"/>
            <w:vAlign w:val="center"/>
          </w:tcPr>
          <w:p w14:paraId="25DFF980">
            <w:pPr>
              <w:spacing w:line="276" w:lineRule="auto"/>
              <w:ind w:left="630" w:hanging="720" w:hangingChars="300"/>
              <w:rPr>
                <w:rFonts w:ascii="宋体" w:hAnsi="宋体" w:eastAsia="宋体"/>
                <w:color w:val="auto"/>
                <w:sz w:val="24"/>
                <w:szCs w:val="24"/>
                <w:highlight w:val="none"/>
              </w:rPr>
            </w:pPr>
            <w:r>
              <w:rPr>
                <w:rFonts w:hint="eastAsia" w:ascii="宋体" w:hAnsi="宋体" w:eastAsia="宋体"/>
                <w:color w:val="auto"/>
                <w:sz w:val="24"/>
                <w:szCs w:val="24"/>
                <w:highlight w:val="none"/>
              </w:rPr>
              <w:t>名称：</w:t>
            </w:r>
            <w:r>
              <w:rPr>
                <w:rFonts w:hint="eastAsia" w:ascii="宋体" w:hAnsi="宋体" w:eastAsia="宋体"/>
                <w:color w:val="auto"/>
                <w:sz w:val="24"/>
                <w:szCs w:val="24"/>
                <w:highlight w:val="none"/>
                <w:u w:val="single"/>
              </w:rPr>
              <w:t>广州燃气集团有限公司</w:t>
            </w:r>
          </w:p>
          <w:p w14:paraId="17BB6878">
            <w:pPr>
              <w:spacing w:line="276" w:lineRule="auto"/>
              <w:rPr>
                <w:rFonts w:ascii="宋体" w:hAnsi="宋体" w:eastAsia="宋体"/>
                <w:color w:val="auto"/>
                <w:sz w:val="24"/>
                <w:szCs w:val="24"/>
                <w:highlight w:val="none"/>
              </w:rPr>
            </w:pPr>
            <w:r>
              <w:rPr>
                <w:rFonts w:hint="eastAsia" w:ascii="宋体" w:hAnsi="宋体" w:eastAsia="宋体"/>
                <w:color w:val="auto"/>
                <w:sz w:val="24"/>
                <w:szCs w:val="24"/>
                <w:highlight w:val="none"/>
              </w:rPr>
              <w:t>地址：</w:t>
            </w:r>
            <w:r>
              <w:rPr>
                <w:rFonts w:hint="eastAsia" w:ascii="宋体" w:hAnsi="宋体" w:eastAsia="宋体"/>
                <w:color w:val="auto"/>
                <w:sz w:val="24"/>
                <w:szCs w:val="24"/>
                <w:highlight w:val="none"/>
                <w:u w:val="single"/>
              </w:rPr>
              <w:t>广州市天河区临江大道3号23-24楼</w:t>
            </w:r>
          </w:p>
          <w:p w14:paraId="1B0C59DB">
            <w:pPr>
              <w:spacing w:line="276" w:lineRule="auto"/>
              <w:rPr>
                <w:rFonts w:ascii="宋体" w:hAnsi="宋体" w:eastAsia="宋体"/>
                <w:color w:val="auto"/>
                <w:sz w:val="24"/>
                <w:szCs w:val="24"/>
                <w:highlight w:val="none"/>
              </w:rPr>
            </w:pPr>
            <w:r>
              <w:rPr>
                <w:rFonts w:hint="eastAsia" w:ascii="宋体" w:hAnsi="宋体" w:eastAsia="宋体"/>
                <w:color w:val="auto"/>
                <w:sz w:val="24"/>
                <w:szCs w:val="24"/>
                <w:highlight w:val="none"/>
              </w:rPr>
              <w:t>联系人：</w:t>
            </w:r>
            <w:r>
              <w:rPr>
                <w:rFonts w:hint="eastAsia" w:ascii="宋体" w:hAnsi="宋体" w:eastAsia="宋体" w:cs="宋体"/>
                <w:color w:val="auto"/>
                <w:sz w:val="24"/>
                <w:highlight w:val="none"/>
                <w:u w:val="single"/>
                <w:lang w:val="en-US" w:eastAsia="zh-CN"/>
              </w:rPr>
              <w:t>石</w:t>
            </w:r>
            <w:r>
              <w:rPr>
                <w:rFonts w:hint="eastAsia" w:ascii="宋体" w:hAnsi="宋体" w:eastAsia="宋体"/>
                <w:color w:val="auto"/>
                <w:sz w:val="24"/>
                <w:highlight w:val="none"/>
                <w:u w:val="single"/>
              </w:rPr>
              <w:t>工</w:t>
            </w:r>
          </w:p>
          <w:p w14:paraId="25DC3D46">
            <w:pPr>
              <w:snapToGrid w:val="0"/>
              <w:spacing w:line="276" w:lineRule="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u w:val="none"/>
              </w:rPr>
              <w:t>电话：</w:t>
            </w:r>
            <w:r>
              <w:rPr>
                <w:rFonts w:hint="eastAsia" w:ascii="宋体" w:hAnsi="宋体" w:eastAsia="宋体" w:cs="宋体"/>
                <w:color w:val="auto"/>
                <w:sz w:val="24"/>
                <w:highlight w:val="none"/>
                <w:u w:val="single"/>
              </w:rPr>
              <w:t>020-378530</w:t>
            </w:r>
            <w:r>
              <w:rPr>
                <w:rFonts w:hint="eastAsia" w:ascii="宋体" w:hAnsi="宋体" w:eastAsia="宋体" w:cs="宋体"/>
                <w:color w:val="auto"/>
                <w:sz w:val="24"/>
                <w:highlight w:val="none"/>
                <w:u w:val="single"/>
                <w:lang w:val="en-US" w:eastAsia="zh-CN"/>
              </w:rPr>
              <w:t>5</w:t>
            </w:r>
            <w:r>
              <w:rPr>
                <w:rFonts w:hint="eastAsia" w:ascii="宋体" w:hAnsi="宋体" w:eastAsia="宋体" w:cs="宋体"/>
                <w:color w:val="auto"/>
                <w:sz w:val="24"/>
                <w:highlight w:val="none"/>
                <w:u w:val="single"/>
              </w:rPr>
              <w:t>7</w:t>
            </w:r>
          </w:p>
        </w:tc>
      </w:tr>
      <w:tr w14:paraId="0440BCB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1240" w:hRule="atLeast"/>
        </w:trPr>
        <w:tc>
          <w:tcPr>
            <w:tcW w:w="936" w:type="dxa"/>
            <w:tcBorders>
              <w:top w:val="single" w:color="auto" w:sz="6" w:space="0"/>
              <w:left w:val="single" w:color="auto" w:sz="4" w:space="0"/>
              <w:bottom w:val="single" w:color="auto" w:sz="6" w:space="0"/>
              <w:right w:val="single" w:color="auto" w:sz="6" w:space="0"/>
            </w:tcBorders>
            <w:shd w:val="clear" w:color="auto" w:fill="auto"/>
            <w:vAlign w:val="center"/>
          </w:tcPr>
          <w:p w14:paraId="23BC0C8D">
            <w:pPr>
              <w:snapToGrid w:val="0"/>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1.1.3</w:t>
            </w:r>
          </w:p>
        </w:tc>
        <w:tc>
          <w:tcPr>
            <w:tcW w:w="2291" w:type="dxa"/>
            <w:tcBorders>
              <w:top w:val="single" w:color="auto" w:sz="6" w:space="0"/>
              <w:left w:val="single" w:color="auto" w:sz="6" w:space="0"/>
              <w:bottom w:val="single" w:color="auto" w:sz="6" w:space="0"/>
              <w:right w:val="single" w:color="auto" w:sz="6" w:space="0"/>
            </w:tcBorders>
            <w:shd w:val="clear" w:color="auto" w:fill="auto"/>
            <w:vAlign w:val="center"/>
          </w:tcPr>
          <w:p w14:paraId="42F8A58E">
            <w:pPr>
              <w:snapToGrid w:val="0"/>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招标代理机构</w:t>
            </w:r>
          </w:p>
        </w:tc>
        <w:tc>
          <w:tcPr>
            <w:tcW w:w="6607" w:type="dxa"/>
            <w:tcBorders>
              <w:top w:val="single" w:color="auto" w:sz="6" w:space="0"/>
              <w:left w:val="single" w:color="auto" w:sz="6" w:space="0"/>
              <w:bottom w:val="single" w:color="auto" w:sz="6" w:space="0"/>
              <w:right w:val="single" w:color="auto" w:sz="4" w:space="0"/>
            </w:tcBorders>
            <w:shd w:val="clear" w:color="auto" w:fill="auto"/>
            <w:vAlign w:val="center"/>
          </w:tcPr>
          <w:p w14:paraId="57C0F9DD">
            <w:pPr>
              <w:spacing w:line="276" w:lineRule="auto"/>
              <w:rPr>
                <w:rFonts w:hint="eastAsia" w:ascii="宋体" w:hAnsi="宋体" w:eastAsia="宋体"/>
                <w:color w:val="auto"/>
                <w:sz w:val="24"/>
                <w:szCs w:val="24"/>
                <w:highlight w:val="none"/>
                <w:u w:val="single"/>
                <w:lang w:eastAsia="zh-CN"/>
              </w:rPr>
            </w:pPr>
            <w:r>
              <w:rPr>
                <w:rFonts w:hint="eastAsia" w:ascii="宋体" w:hAnsi="宋体" w:eastAsia="宋体"/>
                <w:color w:val="auto"/>
                <w:sz w:val="24"/>
                <w:szCs w:val="24"/>
                <w:highlight w:val="none"/>
              </w:rPr>
              <w:t>名称：</w:t>
            </w:r>
            <w:r>
              <w:rPr>
                <w:rFonts w:hint="eastAsia" w:ascii="宋体" w:hAnsi="宋体" w:eastAsia="宋体"/>
                <w:color w:val="auto"/>
                <w:sz w:val="24"/>
                <w:szCs w:val="24"/>
                <w:highlight w:val="none"/>
                <w:u w:val="single"/>
                <w:lang w:eastAsia="zh-CN"/>
              </w:rPr>
              <w:t>广东粤能工程管理有限公司</w:t>
            </w:r>
          </w:p>
          <w:p w14:paraId="04EC74DB">
            <w:pPr>
              <w:snapToGrid w:val="0"/>
              <w:spacing w:line="360" w:lineRule="auto"/>
              <w:rPr>
                <w:rFonts w:hint="eastAsia" w:ascii="宋体" w:hAnsi="宋体" w:eastAsia="宋体" w:cs="宋体"/>
                <w:color w:val="auto"/>
                <w:sz w:val="24"/>
                <w:highlight w:val="none"/>
                <w:u w:val="single"/>
                <w:lang w:val="en-US" w:eastAsia="zh-CN"/>
              </w:rPr>
            </w:pPr>
            <w:r>
              <w:rPr>
                <w:rFonts w:hint="eastAsia" w:ascii="宋体" w:hAnsi="宋体" w:eastAsia="宋体"/>
                <w:color w:val="auto"/>
                <w:sz w:val="24"/>
                <w:szCs w:val="24"/>
                <w:highlight w:val="none"/>
              </w:rPr>
              <w:t>地址：</w:t>
            </w:r>
            <w:r>
              <w:rPr>
                <w:rFonts w:hint="eastAsia" w:ascii="宋体" w:hAnsi="宋体" w:eastAsia="宋体" w:cs="宋体"/>
                <w:color w:val="auto"/>
                <w:sz w:val="24"/>
                <w:szCs w:val="24"/>
                <w:highlight w:val="none"/>
                <w:u w:val="single"/>
                <w:lang w:eastAsia="zh-CN"/>
              </w:rPr>
              <w:t>广州市天河区华观路明旭街1号万科智慧商业广场B1-2栋12楼</w:t>
            </w:r>
          </w:p>
          <w:p w14:paraId="1B352BFD">
            <w:pPr>
              <w:spacing w:line="276" w:lineRule="auto"/>
              <w:rPr>
                <w:rFonts w:hint="eastAsia" w:ascii="宋体" w:hAnsi="宋体" w:eastAsia="宋体"/>
                <w:color w:val="auto"/>
                <w:sz w:val="24"/>
                <w:szCs w:val="24"/>
                <w:highlight w:val="none"/>
                <w:u w:val="single"/>
                <w:lang w:eastAsia="zh-CN"/>
              </w:rPr>
            </w:pPr>
            <w:r>
              <w:rPr>
                <w:rFonts w:hint="eastAsia" w:ascii="宋体" w:hAnsi="宋体" w:eastAsia="宋体"/>
                <w:color w:val="auto"/>
                <w:sz w:val="24"/>
                <w:szCs w:val="24"/>
                <w:highlight w:val="none"/>
              </w:rPr>
              <w:t>联系人：</w:t>
            </w:r>
            <w:r>
              <w:rPr>
                <w:rFonts w:hint="eastAsia" w:ascii="宋体" w:hAnsi="宋体" w:eastAsia="宋体" w:cs="宋体"/>
                <w:color w:val="auto"/>
                <w:sz w:val="24"/>
                <w:highlight w:val="none"/>
                <w:u w:val="single"/>
                <w:lang w:val="en-US" w:eastAsia="zh-CN"/>
              </w:rPr>
              <w:t>曾</w:t>
            </w:r>
            <w:r>
              <w:rPr>
                <w:rFonts w:hint="eastAsia" w:ascii="宋体" w:hAnsi="宋体" w:eastAsia="宋体" w:cs="宋体"/>
                <w:color w:val="auto"/>
                <w:sz w:val="24"/>
                <w:highlight w:val="none"/>
                <w:u w:val="single"/>
                <w:lang w:eastAsia="zh-CN"/>
              </w:rPr>
              <w:t>工、</w:t>
            </w:r>
            <w:r>
              <w:rPr>
                <w:rFonts w:hint="eastAsia" w:ascii="宋体" w:hAnsi="宋体" w:eastAsia="宋体" w:cs="宋体"/>
                <w:color w:val="auto"/>
                <w:sz w:val="24"/>
                <w:highlight w:val="none"/>
                <w:u w:val="single"/>
                <w:lang w:val="en-US" w:eastAsia="zh-CN"/>
              </w:rPr>
              <w:t>欧工</w:t>
            </w:r>
          </w:p>
          <w:p w14:paraId="7E0DA232">
            <w:pPr>
              <w:spacing w:line="276" w:lineRule="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rPr>
              <w:t>电话：</w:t>
            </w:r>
            <w:r>
              <w:rPr>
                <w:rFonts w:hint="eastAsia" w:ascii="宋体" w:hAnsi="宋体" w:eastAsia="宋体" w:cs="宋体"/>
                <w:b w:val="0"/>
                <w:bCs w:val="0"/>
                <w:color w:val="auto"/>
                <w:sz w:val="24"/>
                <w:szCs w:val="24"/>
                <w:highlight w:val="none"/>
                <w:u w:val="single"/>
              </w:rPr>
              <w:t>020-38730932/18588707509</w:t>
            </w:r>
          </w:p>
        </w:tc>
      </w:tr>
      <w:tr w14:paraId="2D103B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86" w:hRule="atLeast"/>
        </w:trPr>
        <w:tc>
          <w:tcPr>
            <w:tcW w:w="936" w:type="dxa"/>
            <w:tcBorders>
              <w:top w:val="single" w:color="auto" w:sz="6" w:space="0"/>
              <w:left w:val="single" w:color="auto" w:sz="4" w:space="0"/>
              <w:bottom w:val="single" w:color="auto" w:sz="6" w:space="0"/>
              <w:right w:val="single" w:color="auto" w:sz="6" w:space="0"/>
            </w:tcBorders>
            <w:shd w:val="clear" w:color="auto" w:fill="auto"/>
            <w:vAlign w:val="center"/>
          </w:tcPr>
          <w:p w14:paraId="25047768">
            <w:pPr>
              <w:snapToGrid w:val="0"/>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1.1.4</w:t>
            </w:r>
          </w:p>
        </w:tc>
        <w:tc>
          <w:tcPr>
            <w:tcW w:w="2291" w:type="dxa"/>
            <w:tcBorders>
              <w:top w:val="single" w:color="auto" w:sz="6" w:space="0"/>
              <w:left w:val="single" w:color="auto" w:sz="6" w:space="0"/>
              <w:bottom w:val="single" w:color="auto" w:sz="6" w:space="0"/>
              <w:right w:val="single" w:color="auto" w:sz="6" w:space="0"/>
            </w:tcBorders>
            <w:shd w:val="clear" w:color="auto" w:fill="auto"/>
            <w:vAlign w:val="center"/>
          </w:tcPr>
          <w:p w14:paraId="1DC8A01D">
            <w:pPr>
              <w:snapToGrid w:val="0"/>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招标项目名称</w:t>
            </w:r>
          </w:p>
        </w:tc>
        <w:tc>
          <w:tcPr>
            <w:tcW w:w="6607" w:type="dxa"/>
            <w:tcBorders>
              <w:top w:val="single" w:color="auto" w:sz="6" w:space="0"/>
              <w:left w:val="single" w:color="auto" w:sz="6" w:space="0"/>
              <w:bottom w:val="single" w:color="auto" w:sz="6" w:space="0"/>
              <w:right w:val="single" w:color="auto" w:sz="4" w:space="0"/>
            </w:tcBorders>
            <w:shd w:val="clear" w:color="auto" w:fill="auto"/>
            <w:vAlign w:val="center"/>
          </w:tcPr>
          <w:p w14:paraId="75BD8049">
            <w:pPr>
              <w:snapToGrid w:val="0"/>
              <w:spacing w:line="276" w:lineRule="auto"/>
              <w:ind w:firstLine="33" w:firstLineChars="14"/>
              <w:rPr>
                <w:rFonts w:ascii="宋体" w:hAnsi="宋体" w:eastAsia="宋体"/>
                <w:color w:val="auto"/>
                <w:sz w:val="24"/>
                <w:szCs w:val="24"/>
                <w:highlight w:val="none"/>
                <w:u w:val="single"/>
              </w:rPr>
            </w:pPr>
            <w:r>
              <w:rPr>
                <w:rFonts w:hint="eastAsia" w:ascii="宋体" w:hAnsi="宋体" w:eastAsia="宋体"/>
                <w:color w:val="auto"/>
                <w:sz w:val="24"/>
                <w:szCs w:val="24"/>
                <w:highlight w:val="none"/>
                <w:u w:val="single"/>
                <w:lang w:val="en-US" w:eastAsia="zh-CN"/>
              </w:rPr>
              <w:t>广州LNG应急调峰气源站配套管线工程（黄阁门站-横沥调压和气化站段）线路工程与场站工程施工监理服务</w:t>
            </w:r>
          </w:p>
        </w:tc>
      </w:tr>
      <w:tr w14:paraId="6EA2C2F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936" w:type="dxa"/>
            <w:tcBorders>
              <w:top w:val="single" w:color="auto" w:sz="6" w:space="0"/>
              <w:left w:val="single" w:color="auto" w:sz="4" w:space="0"/>
              <w:bottom w:val="single" w:color="auto" w:sz="6" w:space="0"/>
              <w:right w:val="single" w:color="auto" w:sz="6" w:space="0"/>
            </w:tcBorders>
            <w:shd w:val="clear" w:color="auto" w:fill="auto"/>
            <w:vAlign w:val="center"/>
          </w:tcPr>
          <w:p w14:paraId="39CC70F8">
            <w:pPr>
              <w:snapToGrid w:val="0"/>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1.1.5</w:t>
            </w:r>
          </w:p>
        </w:tc>
        <w:tc>
          <w:tcPr>
            <w:tcW w:w="2291" w:type="dxa"/>
            <w:tcBorders>
              <w:top w:val="single" w:color="auto" w:sz="6" w:space="0"/>
              <w:left w:val="single" w:color="auto" w:sz="6" w:space="0"/>
              <w:bottom w:val="single" w:color="auto" w:sz="6" w:space="0"/>
              <w:right w:val="single" w:color="auto" w:sz="6" w:space="0"/>
            </w:tcBorders>
            <w:shd w:val="clear" w:color="auto" w:fill="auto"/>
            <w:vAlign w:val="center"/>
          </w:tcPr>
          <w:p w14:paraId="2C37BDB7">
            <w:pPr>
              <w:snapToGrid w:val="0"/>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项目建设地点</w:t>
            </w:r>
          </w:p>
        </w:tc>
        <w:tc>
          <w:tcPr>
            <w:tcW w:w="6607" w:type="dxa"/>
            <w:tcBorders>
              <w:top w:val="single" w:color="auto" w:sz="6" w:space="0"/>
              <w:left w:val="single" w:color="auto" w:sz="6" w:space="0"/>
              <w:bottom w:val="single" w:color="auto" w:sz="6" w:space="0"/>
              <w:right w:val="single" w:color="auto" w:sz="4" w:space="0"/>
            </w:tcBorders>
            <w:shd w:val="clear" w:color="auto" w:fill="auto"/>
            <w:vAlign w:val="center"/>
          </w:tcPr>
          <w:p w14:paraId="729AA730">
            <w:pPr>
              <w:snapToGrid w:val="0"/>
              <w:spacing w:line="276" w:lineRule="auto"/>
              <w:rPr>
                <w:rFonts w:ascii="宋体" w:hAnsi="宋体" w:eastAsia="宋体"/>
                <w:color w:val="auto"/>
                <w:sz w:val="24"/>
                <w:szCs w:val="24"/>
                <w:highlight w:val="none"/>
                <w:u w:val="single"/>
              </w:rPr>
            </w:pPr>
            <w:r>
              <w:rPr>
                <w:rFonts w:hint="eastAsia" w:ascii="宋体" w:hAnsi="宋体" w:eastAsia="宋体"/>
                <w:color w:val="auto"/>
                <w:sz w:val="24"/>
                <w:szCs w:val="24"/>
                <w:highlight w:val="none"/>
                <w:u w:val="single"/>
              </w:rPr>
              <w:t>详见招标公告</w:t>
            </w:r>
          </w:p>
        </w:tc>
      </w:tr>
      <w:tr w14:paraId="65B3169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6" w:hRule="atLeast"/>
        </w:trPr>
        <w:tc>
          <w:tcPr>
            <w:tcW w:w="936" w:type="dxa"/>
            <w:tcBorders>
              <w:top w:val="single" w:color="auto" w:sz="6" w:space="0"/>
              <w:left w:val="single" w:color="auto" w:sz="4" w:space="0"/>
              <w:bottom w:val="single" w:color="auto" w:sz="6" w:space="0"/>
              <w:right w:val="single" w:color="auto" w:sz="6" w:space="0"/>
            </w:tcBorders>
            <w:shd w:val="clear" w:color="auto" w:fill="auto"/>
            <w:vAlign w:val="center"/>
          </w:tcPr>
          <w:p w14:paraId="0FBF4490">
            <w:pPr>
              <w:snapToGrid w:val="0"/>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1.1.6</w:t>
            </w:r>
          </w:p>
        </w:tc>
        <w:tc>
          <w:tcPr>
            <w:tcW w:w="2291" w:type="dxa"/>
            <w:tcBorders>
              <w:top w:val="single" w:color="auto" w:sz="6" w:space="0"/>
              <w:left w:val="single" w:color="auto" w:sz="6" w:space="0"/>
              <w:bottom w:val="single" w:color="auto" w:sz="6" w:space="0"/>
              <w:right w:val="single" w:color="auto" w:sz="6" w:space="0"/>
            </w:tcBorders>
            <w:shd w:val="clear" w:color="auto" w:fill="auto"/>
            <w:vAlign w:val="center"/>
          </w:tcPr>
          <w:p w14:paraId="422BEFAE">
            <w:pPr>
              <w:snapToGrid w:val="0"/>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项目建设规模</w:t>
            </w:r>
          </w:p>
        </w:tc>
        <w:tc>
          <w:tcPr>
            <w:tcW w:w="6607" w:type="dxa"/>
            <w:tcBorders>
              <w:top w:val="single" w:color="auto" w:sz="6" w:space="0"/>
              <w:left w:val="single" w:color="auto" w:sz="6" w:space="0"/>
              <w:bottom w:val="single" w:color="auto" w:sz="6" w:space="0"/>
              <w:right w:val="single" w:color="auto" w:sz="4" w:space="0"/>
            </w:tcBorders>
            <w:shd w:val="clear" w:color="auto" w:fill="auto"/>
            <w:vAlign w:val="center"/>
          </w:tcPr>
          <w:p w14:paraId="355F6761">
            <w:pPr>
              <w:snapToGrid w:val="0"/>
              <w:spacing w:line="276" w:lineRule="auto"/>
              <w:ind w:right="106"/>
              <w:rPr>
                <w:rFonts w:ascii="宋体" w:hAnsi="宋体" w:eastAsia="宋体"/>
                <w:color w:val="auto"/>
                <w:sz w:val="24"/>
                <w:szCs w:val="24"/>
                <w:highlight w:val="none"/>
                <w:u w:val="single"/>
              </w:rPr>
            </w:pPr>
            <w:r>
              <w:rPr>
                <w:rFonts w:hint="eastAsia" w:ascii="宋体" w:hAnsi="宋体" w:eastAsia="宋体"/>
                <w:color w:val="auto"/>
                <w:sz w:val="24"/>
                <w:szCs w:val="24"/>
                <w:highlight w:val="none"/>
                <w:u w:val="single"/>
              </w:rPr>
              <w:t>详见招标公告</w:t>
            </w:r>
          </w:p>
        </w:tc>
      </w:tr>
      <w:tr w14:paraId="4A11412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9" w:hRule="atLeast"/>
        </w:trPr>
        <w:tc>
          <w:tcPr>
            <w:tcW w:w="936" w:type="dxa"/>
            <w:tcBorders>
              <w:top w:val="single" w:color="auto" w:sz="6" w:space="0"/>
              <w:left w:val="single" w:color="auto" w:sz="4" w:space="0"/>
              <w:bottom w:val="single" w:color="auto" w:sz="6" w:space="0"/>
              <w:right w:val="single" w:color="auto" w:sz="6" w:space="0"/>
            </w:tcBorders>
            <w:shd w:val="clear" w:color="auto" w:fill="auto"/>
            <w:vAlign w:val="center"/>
          </w:tcPr>
          <w:p w14:paraId="0FAB1BF1">
            <w:pPr>
              <w:snapToGrid w:val="0"/>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1.1.7</w:t>
            </w:r>
          </w:p>
        </w:tc>
        <w:tc>
          <w:tcPr>
            <w:tcW w:w="2291" w:type="dxa"/>
            <w:tcBorders>
              <w:top w:val="single" w:color="auto" w:sz="6" w:space="0"/>
              <w:left w:val="single" w:color="auto" w:sz="6" w:space="0"/>
              <w:bottom w:val="single" w:color="auto" w:sz="6" w:space="0"/>
              <w:right w:val="single" w:color="auto" w:sz="6" w:space="0"/>
            </w:tcBorders>
            <w:shd w:val="clear" w:color="auto" w:fill="auto"/>
            <w:vAlign w:val="bottom"/>
          </w:tcPr>
          <w:p w14:paraId="340D3C2E">
            <w:pPr>
              <w:snapToGrid w:val="0"/>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工程项目施工预计开工日期和建设周期</w:t>
            </w:r>
          </w:p>
        </w:tc>
        <w:tc>
          <w:tcPr>
            <w:tcW w:w="6607" w:type="dxa"/>
            <w:tcBorders>
              <w:top w:val="single" w:color="auto" w:sz="6" w:space="0"/>
              <w:left w:val="single" w:color="auto" w:sz="6" w:space="0"/>
              <w:bottom w:val="single" w:color="auto" w:sz="6" w:space="0"/>
              <w:right w:val="single" w:color="auto" w:sz="4" w:space="0"/>
            </w:tcBorders>
            <w:shd w:val="clear" w:color="auto" w:fill="auto"/>
            <w:vAlign w:val="center"/>
          </w:tcPr>
          <w:p w14:paraId="047AE79D">
            <w:pPr>
              <w:snapToGrid w:val="0"/>
              <w:spacing w:line="276" w:lineRule="auto"/>
              <w:ind w:left="40" w:leftChars="19" w:right="107" w:rightChars="51"/>
              <w:rPr>
                <w:rFonts w:ascii="宋体" w:hAnsi="宋体" w:eastAsia="宋体"/>
                <w:color w:val="auto"/>
                <w:sz w:val="24"/>
                <w:szCs w:val="24"/>
                <w:highlight w:val="none"/>
              </w:rPr>
            </w:pPr>
            <w:r>
              <w:rPr>
                <w:rFonts w:hint="eastAsia" w:ascii="宋体" w:hAnsi="宋体" w:eastAsia="宋体"/>
                <w:color w:val="auto"/>
                <w:sz w:val="24"/>
                <w:szCs w:val="24"/>
                <w:highlight w:val="none"/>
              </w:rPr>
              <w:t>暂定总工期约</w:t>
            </w:r>
            <w:r>
              <w:rPr>
                <w:rFonts w:hint="eastAsia" w:ascii="宋体" w:hAnsi="宋体" w:eastAsia="宋体"/>
                <w:color w:val="auto"/>
                <w:sz w:val="24"/>
                <w:szCs w:val="24"/>
                <w:highlight w:val="none"/>
                <w:u w:val="single"/>
                <w:lang w:val="en-US" w:eastAsia="zh-CN"/>
              </w:rPr>
              <w:t>36</w:t>
            </w:r>
            <w:r>
              <w:rPr>
                <w:rFonts w:hint="eastAsia" w:ascii="宋体" w:hAnsi="宋体" w:eastAsia="宋体"/>
                <w:color w:val="auto"/>
                <w:sz w:val="24"/>
                <w:szCs w:val="24"/>
                <w:highlight w:val="none"/>
              </w:rPr>
              <w:t>个月。具体开工时间以总监理工程师签署的开工令为准。</w:t>
            </w:r>
          </w:p>
        </w:tc>
      </w:tr>
      <w:tr w14:paraId="28277B9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4" w:hRule="atLeast"/>
        </w:trPr>
        <w:tc>
          <w:tcPr>
            <w:tcW w:w="936" w:type="dxa"/>
            <w:tcBorders>
              <w:top w:val="single" w:color="auto" w:sz="6" w:space="0"/>
              <w:left w:val="single" w:color="auto" w:sz="4" w:space="0"/>
              <w:bottom w:val="single" w:color="auto" w:sz="6" w:space="0"/>
              <w:right w:val="single" w:color="auto" w:sz="6" w:space="0"/>
            </w:tcBorders>
            <w:shd w:val="clear" w:color="auto" w:fill="auto"/>
            <w:vAlign w:val="center"/>
          </w:tcPr>
          <w:p w14:paraId="000C44DB">
            <w:pPr>
              <w:snapToGrid w:val="0"/>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1.1.8</w:t>
            </w:r>
          </w:p>
        </w:tc>
        <w:tc>
          <w:tcPr>
            <w:tcW w:w="2291" w:type="dxa"/>
            <w:tcBorders>
              <w:top w:val="single" w:color="auto" w:sz="6" w:space="0"/>
              <w:left w:val="single" w:color="auto" w:sz="6" w:space="0"/>
              <w:bottom w:val="single" w:color="auto" w:sz="6" w:space="0"/>
              <w:right w:val="single" w:color="auto" w:sz="6" w:space="0"/>
            </w:tcBorders>
            <w:shd w:val="clear" w:color="auto" w:fill="auto"/>
            <w:vAlign w:val="center"/>
          </w:tcPr>
          <w:p w14:paraId="571188DD">
            <w:pPr>
              <w:snapToGrid w:val="0"/>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建筑安装工程费/工程概算</w:t>
            </w:r>
          </w:p>
        </w:tc>
        <w:tc>
          <w:tcPr>
            <w:tcW w:w="6607" w:type="dxa"/>
            <w:tcBorders>
              <w:top w:val="single" w:color="auto" w:sz="6" w:space="0"/>
              <w:left w:val="single" w:color="auto" w:sz="6" w:space="0"/>
              <w:bottom w:val="single" w:color="auto" w:sz="6" w:space="0"/>
              <w:right w:val="single" w:color="auto" w:sz="4" w:space="0"/>
            </w:tcBorders>
            <w:shd w:val="clear" w:color="auto" w:fill="auto"/>
            <w:vAlign w:val="center"/>
          </w:tcPr>
          <w:p w14:paraId="78C22251">
            <w:pPr>
              <w:snapToGrid w:val="0"/>
              <w:spacing w:line="276" w:lineRule="auto"/>
              <w:jc w:val="left"/>
              <w:rPr>
                <w:rFonts w:ascii="宋体" w:hAnsi="宋体" w:eastAsia="宋体"/>
                <w:color w:val="auto"/>
                <w:sz w:val="24"/>
                <w:szCs w:val="24"/>
                <w:highlight w:val="none"/>
              </w:rPr>
            </w:pPr>
            <w:r>
              <w:rPr>
                <w:rFonts w:hint="eastAsia" w:ascii="宋体" w:hAnsi="宋体" w:eastAsia="宋体"/>
                <w:color w:val="auto"/>
                <w:sz w:val="24"/>
                <w:szCs w:val="24"/>
                <w:highlight w:val="none"/>
                <w:u w:val="single"/>
              </w:rPr>
              <w:t>详见招标公告</w:t>
            </w:r>
          </w:p>
        </w:tc>
      </w:tr>
      <w:tr w14:paraId="0703998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4" w:hRule="atLeast"/>
        </w:trPr>
        <w:tc>
          <w:tcPr>
            <w:tcW w:w="936" w:type="dxa"/>
            <w:tcBorders>
              <w:top w:val="single" w:color="auto" w:sz="6" w:space="0"/>
              <w:left w:val="single" w:color="auto" w:sz="4" w:space="0"/>
              <w:bottom w:val="single" w:color="auto" w:sz="6" w:space="0"/>
              <w:right w:val="single" w:color="auto" w:sz="6" w:space="0"/>
            </w:tcBorders>
            <w:shd w:val="clear" w:color="auto" w:fill="auto"/>
            <w:vAlign w:val="center"/>
          </w:tcPr>
          <w:p w14:paraId="65336EDF">
            <w:pPr>
              <w:snapToGrid w:val="0"/>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1.2.1</w:t>
            </w:r>
          </w:p>
        </w:tc>
        <w:tc>
          <w:tcPr>
            <w:tcW w:w="2291" w:type="dxa"/>
            <w:tcBorders>
              <w:top w:val="single" w:color="auto" w:sz="6" w:space="0"/>
              <w:left w:val="single" w:color="auto" w:sz="6" w:space="0"/>
              <w:bottom w:val="single" w:color="auto" w:sz="6" w:space="0"/>
              <w:right w:val="single" w:color="auto" w:sz="6" w:space="0"/>
            </w:tcBorders>
            <w:shd w:val="clear" w:color="auto" w:fill="auto"/>
            <w:vAlign w:val="center"/>
          </w:tcPr>
          <w:p w14:paraId="70E9515B">
            <w:pPr>
              <w:snapToGrid w:val="0"/>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资金来源及比例</w:t>
            </w:r>
          </w:p>
        </w:tc>
        <w:tc>
          <w:tcPr>
            <w:tcW w:w="6607" w:type="dxa"/>
            <w:tcBorders>
              <w:top w:val="single" w:color="auto" w:sz="6" w:space="0"/>
              <w:left w:val="single" w:color="auto" w:sz="6" w:space="0"/>
              <w:bottom w:val="single" w:color="auto" w:sz="6" w:space="0"/>
              <w:right w:val="single" w:color="auto" w:sz="4" w:space="0"/>
            </w:tcBorders>
            <w:shd w:val="clear" w:color="auto" w:fill="auto"/>
            <w:vAlign w:val="center"/>
          </w:tcPr>
          <w:p w14:paraId="504D08D6">
            <w:pPr>
              <w:spacing w:line="276" w:lineRule="auto"/>
              <w:ind w:right="107" w:rightChars="51"/>
              <w:rPr>
                <w:rFonts w:ascii="宋体" w:hAnsi="宋体" w:eastAsia="宋体"/>
                <w:color w:val="auto"/>
                <w:sz w:val="24"/>
                <w:szCs w:val="24"/>
                <w:highlight w:val="none"/>
              </w:rPr>
            </w:pPr>
            <w:r>
              <w:rPr>
                <w:rFonts w:hint="eastAsia" w:ascii="宋体" w:hAnsi="宋体" w:eastAsia="宋体"/>
                <w:color w:val="auto"/>
                <w:sz w:val="24"/>
                <w:szCs w:val="24"/>
                <w:highlight w:val="none"/>
                <w:u w:val="single"/>
              </w:rPr>
              <w:t>详见招标公告</w:t>
            </w:r>
          </w:p>
        </w:tc>
      </w:tr>
      <w:tr w14:paraId="2CADF8E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6" w:hRule="atLeast"/>
        </w:trPr>
        <w:tc>
          <w:tcPr>
            <w:tcW w:w="936" w:type="dxa"/>
            <w:tcBorders>
              <w:top w:val="single" w:color="auto" w:sz="6" w:space="0"/>
              <w:left w:val="single" w:color="auto" w:sz="4" w:space="0"/>
              <w:bottom w:val="single" w:color="auto" w:sz="6" w:space="0"/>
              <w:right w:val="single" w:color="auto" w:sz="6" w:space="0"/>
            </w:tcBorders>
            <w:shd w:val="clear" w:color="auto" w:fill="auto"/>
            <w:vAlign w:val="center"/>
          </w:tcPr>
          <w:p w14:paraId="25B1FF7F">
            <w:pPr>
              <w:snapToGrid w:val="0"/>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1.2.2</w:t>
            </w:r>
          </w:p>
        </w:tc>
        <w:tc>
          <w:tcPr>
            <w:tcW w:w="2291" w:type="dxa"/>
            <w:tcBorders>
              <w:top w:val="single" w:color="auto" w:sz="6" w:space="0"/>
              <w:left w:val="single" w:color="auto" w:sz="6" w:space="0"/>
              <w:bottom w:val="single" w:color="auto" w:sz="6" w:space="0"/>
              <w:right w:val="single" w:color="auto" w:sz="6" w:space="0"/>
            </w:tcBorders>
            <w:shd w:val="clear" w:color="auto" w:fill="auto"/>
            <w:vAlign w:val="center"/>
          </w:tcPr>
          <w:p w14:paraId="1D73A133">
            <w:pPr>
              <w:snapToGrid w:val="0"/>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资金落实情况</w:t>
            </w:r>
          </w:p>
        </w:tc>
        <w:tc>
          <w:tcPr>
            <w:tcW w:w="6607" w:type="dxa"/>
            <w:tcBorders>
              <w:top w:val="single" w:color="auto" w:sz="6" w:space="0"/>
              <w:left w:val="single" w:color="auto" w:sz="6" w:space="0"/>
              <w:bottom w:val="single" w:color="auto" w:sz="6" w:space="0"/>
              <w:right w:val="single" w:color="auto" w:sz="4" w:space="0"/>
            </w:tcBorders>
            <w:shd w:val="clear" w:color="auto" w:fill="auto"/>
            <w:vAlign w:val="center"/>
          </w:tcPr>
          <w:p w14:paraId="7611ADC7">
            <w:pPr>
              <w:snapToGrid w:val="0"/>
              <w:spacing w:line="276" w:lineRule="auto"/>
              <w:jc w:val="left"/>
              <w:rPr>
                <w:rFonts w:ascii="宋体" w:hAnsi="宋体" w:eastAsia="宋体"/>
                <w:color w:val="auto"/>
                <w:sz w:val="24"/>
                <w:szCs w:val="24"/>
                <w:highlight w:val="none"/>
              </w:rPr>
            </w:pPr>
            <w:r>
              <w:rPr>
                <w:rFonts w:hint="eastAsia" w:ascii="宋体" w:hAnsi="宋体" w:eastAsia="宋体"/>
                <w:color w:val="auto"/>
                <w:sz w:val="24"/>
                <w:szCs w:val="24"/>
                <w:highlight w:val="none"/>
                <w:u w:val="single"/>
              </w:rPr>
              <w:t>已落实</w:t>
            </w:r>
          </w:p>
        </w:tc>
      </w:tr>
      <w:tr w14:paraId="117F1AD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4" w:hRule="atLeast"/>
        </w:trPr>
        <w:tc>
          <w:tcPr>
            <w:tcW w:w="936" w:type="dxa"/>
            <w:tcBorders>
              <w:top w:val="single" w:color="auto" w:sz="6" w:space="0"/>
              <w:left w:val="single" w:color="auto" w:sz="4" w:space="0"/>
              <w:bottom w:val="single" w:color="auto" w:sz="6" w:space="0"/>
              <w:right w:val="single" w:color="auto" w:sz="6" w:space="0"/>
            </w:tcBorders>
            <w:shd w:val="clear" w:color="auto" w:fill="auto"/>
            <w:vAlign w:val="center"/>
          </w:tcPr>
          <w:p w14:paraId="3D83A8B0">
            <w:pPr>
              <w:snapToGrid w:val="0"/>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1.3.1</w:t>
            </w:r>
          </w:p>
        </w:tc>
        <w:tc>
          <w:tcPr>
            <w:tcW w:w="2291" w:type="dxa"/>
            <w:tcBorders>
              <w:top w:val="single" w:color="auto" w:sz="6" w:space="0"/>
              <w:left w:val="single" w:color="auto" w:sz="6" w:space="0"/>
              <w:bottom w:val="single" w:color="auto" w:sz="6" w:space="0"/>
              <w:right w:val="single" w:color="auto" w:sz="6" w:space="0"/>
            </w:tcBorders>
            <w:shd w:val="clear" w:color="auto" w:fill="auto"/>
            <w:vAlign w:val="center"/>
          </w:tcPr>
          <w:p w14:paraId="5FC5E995">
            <w:pPr>
              <w:snapToGrid w:val="0"/>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招标范围</w:t>
            </w:r>
          </w:p>
        </w:tc>
        <w:tc>
          <w:tcPr>
            <w:tcW w:w="6607" w:type="dxa"/>
            <w:tcBorders>
              <w:top w:val="single" w:color="auto" w:sz="6" w:space="0"/>
              <w:left w:val="single" w:color="auto" w:sz="6" w:space="0"/>
              <w:bottom w:val="single" w:color="auto" w:sz="6" w:space="0"/>
              <w:right w:val="single" w:color="auto" w:sz="4" w:space="0"/>
            </w:tcBorders>
            <w:shd w:val="clear" w:color="auto" w:fill="auto"/>
            <w:vAlign w:val="center"/>
          </w:tcPr>
          <w:p w14:paraId="7977473E">
            <w:pPr>
              <w:snapToGrid w:val="0"/>
              <w:spacing w:line="276" w:lineRule="auto"/>
              <w:ind w:right="106"/>
              <w:rPr>
                <w:rFonts w:ascii="宋体" w:hAnsi="宋体" w:eastAsia="宋体"/>
                <w:color w:val="auto"/>
                <w:sz w:val="24"/>
                <w:szCs w:val="24"/>
                <w:highlight w:val="none"/>
              </w:rPr>
            </w:pPr>
            <w:r>
              <w:rPr>
                <w:rFonts w:hint="eastAsia" w:ascii="宋体" w:hAnsi="宋体" w:eastAsia="宋体"/>
                <w:color w:val="auto"/>
                <w:sz w:val="24"/>
                <w:szCs w:val="24"/>
                <w:highlight w:val="none"/>
                <w:u w:val="single"/>
              </w:rPr>
              <w:t>详见招标公告</w:t>
            </w:r>
          </w:p>
        </w:tc>
      </w:tr>
      <w:tr w14:paraId="40DC179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6" w:hRule="atLeast"/>
        </w:trPr>
        <w:tc>
          <w:tcPr>
            <w:tcW w:w="936" w:type="dxa"/>
            <w:tcBorders>
              <w:top w:val="single" w:color="auto" w:sz="6" w:space="0"/>
              <w:left w:val="single" w:color="auto" w:sz="4" w:space="0"/>
              <w:bottom w:val="single" w:color="auto" w:sz="6" w:space="0"/>
              <w:right w:val="single" w:color="auto" w:sz="6" w:space="0"/>
            </w:tcBorders>
            <w:shd w:val="clear" w:color="auto" w:fill="auto"/>
            <w:vAlign w:val="center"/>
          </w:tcPr>
          <w:p w14:paraId="52B83CAF">
            <w:pPr>
              <w:snapToGrid w:val="0"/>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1.3.2</w:t>
            </w:r>
          </w:p>
        </w:tc>
        <w:tc>
          <w:tcPr>
            <w:tcW w:w="2291" w:type="dxa"/>
            <w:tcBorders>
              <w:top w:val="single" w:color="auto" w:sz="6" w:space="0"/>
              <w:left w:val="single" w:color="auto" w:sz="6" w:space="0"/>
              <w:bottom w:val="single" w:color="auto" w:sz="6" w:space="0"/>
              <w:right w:val="single" w:color="auto" w:sz="6" w:space="0"/>
            </w:tcBorders>
            <w:shd w:val="clear" w:color="auto" w:fill="auto"/>
            <w:vAlign w:val="center"/>
          </w:tcPr>
          <w:p w14:paraId="750644BF">
            <w:pPr>
              <w:snapToGrid w:val="0"/>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监理服务期限</w:t>
            </w:r>
          </w:p>
        </w:tc>
        <w:tc>
          <w:tcPr>
            <w:tcW w:w="6607" w:type="dxa"/>
            <w:tcBorders>
              <w:top w:val="single" w:color="auto" w:sz="6" w:space="0"/>
              <w:left w:val="single" w:color="auto" w:sz="6" w:space="0"/>
              <w:bottom w:val="single" w:color="auto" w:sz="6" w:space="0"/>
              <w:right w:val="single" w:color="auto" w:sz="4" w:space="0"/>
            </w:tcBorders>
            <w:shd w:val="clear" w:color="auto" w:fill="auto"/>
            <w:vAlign w:val="center"/>
          </w:tcPr>
          <w:p w14:paraId="03E837AC">
            <w:pPr>
              <w:spacing w:line="276" w:lineRule="auto"/>
              <w:ind w:right="107" w:rightChars="51"/>
              <w:rPr>
                <w:rFonts w:ascii="宋体" w:hAnsi="宋体" w:eastAsia="宋体"/>
                <w:color w:val="auto"/>
                <w:sz w:val="24"/>
                <w:szCs w:val="24"/>
                <w:highlight w:val="none"/>
              </w:rPr>
            </w:pPr>
            <w:r>
              <w:rPr>
                <w:rFonts w:hint="eastAsia" w:ascii="宋体" w:hAnsi="宋体" w:eastAsia="宋体"/>
                <w:color w:val="auto"/>
                <w:sz w:val="24"/>
                <w:szCs w:val="24"/>
                <w:highlight w:val="none"/>
                <w:u w:val="single"/>
              </w:rPr>
              <w:t>详见招标公告</w:t>
            </w:r>
          </w:p>
        </w:tc>
      </w:tr>
      <w:tr w14:paraId="16C3A8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trPr>
        <w:tc>
          <w:tcPr>
            <w:tcW w:w="936" w:type="dxa"/>
            <w:tcBorders>
              <w:top w:val="single" w:color="auto" w:sz="6" w:space="0"/>
              <w:left w:val="single" w:color="auto" w:sz="4" w:space="0"/>
              <w:bottom w:val="single" w:color="auto" w:sz="6" w:space="0"/>
              <w:right w:val="single" w:color="auto" w:sz="6" w:space="0"/>
            </w:tcBorders>
            <w:shd w:val="clear" w:color="auto" w:fill="auto"/>
            <w:vAlign w:val="center"/>
          </w:tcPr>
          <w:p w14:paraId="7ABDEF29">
            <w:pPr>
              <w:snapToGrid w:val="0"/>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1.3.3</w:t>
            </w:r>
          </w:p>
        </w:tc>
        <w:tc>
          <w:tcPr>
            <w:tcW w:w="2291" w:type="dxa"/>
            <w:tcBorders>
              <w:top w:val="single" w:color="auto" w:sz="6" w:space="0"/>
              <w:left w:val="single" w:color="auto" w:sz="6" w:space="0"/>
              <w:bottom w:val="single" w:color="auto" w:sz="6" w:space="0"/>
              <w:right w:val="single" w:color="auto" w:sz="6" w:space="0"/>
            </w:tcBorders>
            <w:shd w:val="clear" w:color="auto" w:fill="auto"/>
            <w:vAlign w:val="center"/>
          </w:tcPr>
          <w:p w14:paraId="3896A227">
            <w:pPr>
              <w:snapToGrid w:val="0"/>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质量标准</w:t>
            </w:r>
          </w:p>
        </w:tc>
        <w:tc>
          <w:tcPr>
            <w:tcW w:w="6607" w:type="dxa"/>
            <w:tcBorders>
              <w:top w:val="single" w:color="auto" w:sz="6" w:space="0"/>
              <w:left w:val="single" w:color="auto" w:sz="6" w:space="0"/>
              <w:bottom w:val="single" w:color="auto" w:sz="6" w:space="0"/>
              <w:right w:val="single" w:color="auto" w:sz="4" w:space="0"/>
            </w:tcBorders>
            <w:shd w:val="clear" w:color="auto" w:fill="auto"/>
            <w:vAlign w:val="center"/>
          </w:tcPr>
          <w:p w14:paraId="0CADCC6D">
            <w:pPr>
              <w:spacing w:line="276" w:lineRule="auto"/>
              <w:rPr>
                <w:rFonts w:ascii="宋体" w:hAnsi="宋体" w:eastAsia="宋体"/>
                <w:color w:val="auto"/>
                <w:sz w:val="24"/>
                <w:szCs w:val="24"/>
                <w:highlight w:val="none"/>
                <w:u w:val="single"/>
              </w:rPr>
            </w:pPr>
            <w:r>
              <w:rPr>
                <w:rFonts w:hint="eastAsia" w:ascii="宋体" w:hAnsi="宋体" w:eastAsia="宋体"/>
                <w:color w:val="auto"/>
                <w:spacing w:val="4"/>
                <w:kern w:val="0"/>
                <w:sz w:val="24"/>
                <w:szCs w:val="24"/>
                <w:highlight w:val="none"/>
                <w:u w:val="single"/>
              </w:rPr>
              <w:t>一次验收合格。</w:t>
            </w:r>
          </w:p>
        </w:tc>
      </w:tr>
      <w:tr w14:paraId="68C733D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36" w:hRule="atLeast"/>
        </w:trPr>
        <w:tc>
          <w:tcPr>
            <w:tcW w:w="936" w:type="dxa"/>
            <w:tcBorders>
              <w:top w:val="single" w:color="auto" w:sz="6" w:space="0"/>
              <w:left w:val="single" w:color="auto" w:sz="4" w:space="0"/>
              <w:bottom w:val="single" w:color="auto" w:sz="6" w:space="0"/>
              <w:right w:val="single" w:color="auto" w:sz="6" w:space="0"/>
            </w:tcBorders>
            <w:shd w:val="clear" w:color="auto" w:fill="auto"/>
            <w:vAlign w:val="center"/>
          </w:tcPr>
          <w:p w14:paraId="1E375903">
            <w:pPr>
              <w:snapToGrid w:val="0"/>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1.4.1</w:t>
            </w:r>
          </w:p>
        </w:tc>
        <w:tc>
          <w:tcPr>
            <w:tcW w:w="2291" w:type="dxa"/>
            <w:tcBorders>
              <w:top w:val="single" w:color="auto" w:sz="6" w:space="0"/>
              <w:left w:val="single" w:color="auto" w:sz="6" w:space="0"/>
              <w:bottom w:val="single" w:color="auto" w:sz="6" w:space="0"/>
              <w:right w:val="single" w:color="auto" w:sz="6" w:space="0"/>
            </w:tcBorders>
            <w:shd w:val="clear" w:color="auto" w:fill="auto"/>
            <w:vAlign w:val="center"/>
          </w:tcPr>
          <w:p w14:paraId="3E442D25">
            <w:pPr>
              <w:snapToGrid w:val="0"/>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投标人资质条件、能力、信誉</w:t>
            </w:r>
          </w:p>
        </w:tc>
        <w:tc>
          <w:tcPr>
            <w:tcW w:w="6607" w:type="dxa"/>
            <w:tcBorders>
              <w:top w:val="single" w:color="auto" w:sz="6" w:space="0"/>
              <w:left w:val="single" w:color="auto" w:sz="6" w:space="0"/>
              <w:bottom w:val="single" w:color="auto" w:sz="6" w:space="0"/>
              <w:right w:val="single" w:color="auto" w:sz="4" w:space="0"/>
            </w:tcBorders>
            <w:shd w:val="clear" w:color="auto" w:fill="auto"/>
            <w:vAlign w:val="center"/>
          </w:tcPr>
          <w:p w14:paraId="44F4F0E6">
            <w:pPr>
              <w:numPr>
                <w:ilvl w:val="0"/>
                <w:numId w:val="0"/>
              </w:numPr>
              <w:snapToGrid w:val="0"/>
              <w:spacing w:line="276" w:lineRule="auto"/>
              <w:ind w:left="480" w:leftChars="0" w:hanging="480" w:hangingChars="200"/>
              <w:rPr>
                <w:rFonts w:ascii="宋体" w:hAnsi="宋体" w:eastAsia="宋体"/>
                <w:color w:val="auto"/>
                <w:sz w:val="24"/>
                <w:szCs w:val="24"/>
                <w:highlight w:val="none"/>
              </w:rPr>
            </w:pPr>
            <w:r>
              <w:rPr>
                <w:rFonts w:ascii="宋体" w:hAnsi="宋体" w:eastAsia="宋体" w:cstheme="minorBidi"/>
                <w:color w:val="auto"/>
                <w:kern w:val="2"/>
                <w:sz w:val="24"/>
                <w:szCs w:val="24"/>
                <w:highlight w:val="none"/>
                <w:lang w:val="en-US" w:eastAsia="zh-CN" w:bidi="ar-SA"/>
              </w:rPr>
              <w:t>1)</w:t>
            </w:r>
            <w:r>
              <w:rPr>
                <w:rFonts w:hint="eastAsia" w:ascii="宋体" w:hAnsi="宋体" w:eastAsia="宋体"/>
                <w:color w:val="auto"/>
                <w:sz w:val="24"/>
                <w:szCs w:val="24"/>
                <w:highlight w:val="none"/>
              </w:rPr>
              <w:t>资质要求：</w:t>
            </w:r>
            <w:r>
              <w:rPr>
                <w:rFonts w:hint="eastAsia" w:ascii="宋体" w:hAnsi="宋体" w:eastAsia="宋体"/>
                <w:color w:val="auto"/>
                <w:sz w:val="24"/>
                <w:szCs w:val="24"/>
                <w:highlight w:val="none"/>
                <w:u w:val="single"/>
              </w:rPr>
              <w:t>见招标公告投标人资格要求；</w:t>
            </w:r>
          </w:p>
          <w:p w14:paraId="2350CE1A">
            <w:pPr>
              <w:numPr>
                <w:ilvl w:val="0"/>
                <w:numId w:val="0"/>
              </w:numPr>
              <w:snapToGrid w:val="0"/>
              <w:spacing w:line="276" w:lineRule="auto"/>
              <w:ind w:left="420" w:leftChars="0" w:hanging="420" w:firstLineChars="0"/>
              <w:rPr>
                <w:rFonts w:ascii="宋体" w:hAnsi="宋体" w:eastAsia="宋体"/>
                <w:color w:val="auto"/>
                <w:sz w:val="24"/>
                <w:szCs w:val="24"/>
                <w:highlight w:val="none"/>
              </w:rPr>
            </w:pPr>
            <w:r>
              <w:rPr>
                <w:rFonts w:ascii="宋体" w:hAnsi="宋体" w:eastAsia="宋体" w:cstheme="minorBidi"/>
                <w:color w:val="auto"/>
                <w:kern w:val="2"/>
                <w:sz w:val="24"/>
                <w:szCs w:val="24"/>
                <w:highlight w:val="none"/>
                <w:lang w:val="en-US" w:eastAsia="zh-CN" w:bidi="ar-SA"/>
              </w:rPr>
              <w:t>2)</w:t>
            </w:r>
            <w:r>
              <w:rPr>
                <w:rFonts w:hint="eastAsia" w:ascii="宋体" w:hAnsi="宋体" w:eastAsia="宋体"/>
                <w:color w:val="auto"/>
                <w:sz w:val="24"/>
                <w:szCs w:val="24"/>
                <w:highlight w:val="none"/>
              </w:rPr>
              <w:t>财务要求：</w:t>
            </w:r>
            <w:r>
              <w:rPr>
                <w:rFonts w:hint="eastAsia" w:ascii="宋体" w:hAnsi="宋体" w:eastAsia="宋体"/>
                <w:color w:val="auto"/>
                <w:sz w:val="24"/>
                <w:szCs w:val="24"/>
                <w:highlight w:val="none"/>
                <w:u w:val="single"/>
              </w:rPr>
              <w:t>/（不作为资格审查内容）</w:t>
            </w:r>
          </w:p>
          <w:p w14:paraId="042C4FC7">
            <w:pPr>
              <w:numPr>
                <w:ilvl w:val="0"/>
                <w:numId w:val="0"/>
              </w:numPr>
              <w:snapToGrid w:val="0"/>
              <w:spacing w:line="276" w:lineRule="auto"/>
              <w:ind w:left="420" w:leftChars="0" w:hanging="420" w:firstLineChars="0"/>
              <w:rPr>
                <w:rFonts w:ascii="宋体" w:hAnsi="宋体" w:eastAsia="宋体"/>
                <w:color w:val="auto"/>
                <w:sz w:val="24"/>
                <w:szCs w:val="24"/>
                <w:highlight w:val="none"/>
              </w:rPr>
            </w:pPr>
            <w:r>
              <w:rPr>
                <w:rFonts w:ascii="宋体" w:hAnsi="宋体" w:eastAsia="宋体" w:cstheme="minorBidi"/>
                <w:color w:val="auto"/>
                <w:kern w:val="2"/>
                <w:sz w:val="24"/>
                <w:szCs w:val="24"/>
                <w:highlight w:val="none"/>
                <w:lang w:val="en-US" w:eastAsia="zh-CN" w:bidi="ar-SA"/>
              </w:rPr>
              <w:t>3)</w:t>
            </w:r>
            <w:r>
              <w:rPr>
                <w:rFonts w:hint="eastAsia" w:ascii="宋体" w:hAnsi="宋体" w:eastAsia="宋体"/>
                <w:color w:val="auto"/>
                <w:sz w:val="24"/>
                <w:szCs w:val="24"/>
                <w:highlight w:val="none"/>
              </w:rPr>
              <w:t>业绩要求：</w:t>
            </w:r>
            <w:r>
              <w:rPr>
                <w:rFonts w:hint="eastAsia" w:ascii="宋体" w:hAnsi="宋体" w:eastAsia="宋体"/>
                <w:color w:val="auto"/>
                <w:sz w:val="24"/>
                <w:szCs w:val="24"/>
                <w:highlight w:val="none"/>
                <w:u w:val="single"/>
              </w:rPr>
              <w:t>/（不作为资格审查内容）</w:t>
            </w:r>
          </w:p>
          <w:p w14:paraId="6D8B474B">
            <w:pPr>
              <w:numPr>
                <w:ilvl w:val="0"/>
                <w:numId w:val="0"/>
              </w:numPr>
              <w:snapToGrid w:val="0"/>
              <w:spacing w:line="276" w:lineRule="auto"/>
              <w:ind w:left="420" w:leftChars="0" w:hanging="420" w:firstLineChars="0"/>
              <w:rPr>
                <w:rFonts w:ascii="宋体" w:hAnsi="宋体" w:eastAsia="宋体"/>
                <w:color w:val="auto"/>
                <w:sz w:val="24"/>
                <w:szCs w:val="24"/>
                <w:highlight w:val="none"/>
              </w:rPr>
            </w:pPr>
            <w:r>
              <w:rPr>
                <w:rFonts w:ascii="宋体" w:hAnsi="宋体" w:eastAsia="宋体" w:cstheme="minorBidi"/>
                <w:color w:val="auto"/>
                <w:kern w:val="2"/>
                <w:sz w:val="24"/>
                <w:szCs w:val="24"/>
                <w:highlight w:val="none"/>
                <w:lang w:val="en-US" w:eastAsia="zh-CN" w:bidi="ar-SA"/>
              </w:rPr>
              <w:t>4)</w:t>
            </w:r>
            <w:r>
              <w:rPr>
                <w:rFonts w:hint="eastAsia" w:ascii="宋体" w:hAnsi="宋体" w:eastAsia="宋体"/>
                <w:color w:val="auto"/>
                <w:sz w:val="24"/>
                <w:szCs w:val="24"/>
                <w:highlight w:val="none"/>
              </w:rPr>
              <w:t>信誉要求：</w:t>
            </w:r>
            <w:r>
              <w:rPr>
                <w:rFonts w:hint="eastAsia" w:ascii="宋体" w:hAnsi="宋体" w:eastAsia="宋体"/>
                <w:color w:val="auto"/>
                <w:sz w:val="24"/>
                <w:szCs w:val="24"/>
                <w:highlight w:val="none"/>
                <w:u w:val="single"/>
              </w:rPr>
              <w:t>/（不作为资格审查内容）</w:t>
            </w:r>
          </w:p>
          <w:p w14:paraId="0B0BA655">
            <w:pPr>
              <w:numPr>
                <w:ilvl w:val="0"/>
                <w:numId w:val="0"/>
              </w:numPr>
              <w:snapToGrid w:val="0"/>
              <w:spacing w:line="276" w:lineRule="auto"/>
              <w:ind w:left="420" w:leftChars="0" w:right="106" w:rightChars="0" w:hanging="420" w:firstLineChars="0"/>
              <w:jc w:val="left"/>
              <w:rPr>
                <w:rFonts w:ascii="宋体" w:hAnsi="宋体" w:eastAsia="宋体"/>
                <w:color w:val="auto"/>
                <w:sz w:val="24"/>
                <w:szCs w:val="24"/>
                <w:highlight w:val="none"/>
              </w:rPr>
            </w:pPr>
            <w:r>
              <w:rPr>
                <w:rFonts w:ascii="宋体" w:hAnsi="宋体" w:eastAsia="宋体" w:cstheme="minorBidi"/>
                <w:color w:val="auto"/>
                <w:kern w:val="2"/>
                <w:sz w:val="24"/>
                <w:szCs w:val="24"/>
                <w:highlight w:val="none"/>
                <w:lang w:val="en-US" w:eastAsia="zh-CN" w:bidi="ar-SA"/>
              </w:rPr>
              <w:t>5)</w:t>
            </w:r>
            <w:r>
              <w:rPr>
                <w:rFonts w:hint="eastAsia" w:ascii="宋体" w:hAnsi="宋体" w:eastAsia="宋体"/>
                <w:color w:val="auto"/>
                <w:sz w:val="24"/>
                <w:szCs w:val="24"/>
                <w:highlight w:val="none"/>
              </w:rPr>
              <w:t>总监理工程师的资格要求：</w:t>
            </w:r>
            <w:r>
              <w:rPr>
                <w:rFonts w:hint="eastAsia" w:ascii="宋体" w:hAnsi="宋体" w:eastAsia="宋体"/>
                <w:color w:val="auto"/>
                <w:sz w:val="24"/>
                <w:szCs w:val="24"/>
                <w:highlight w:val="none"/>
                <w:u w:val="single"/>
              </w:rPr>
              <w:t>见招标公告投标人资格要求；</w:t>
            </w:r>
          </w:p>
          <w:p w14:paraId="12587192">
            <w:pPr>
              <w:numPr>
                <w:ilvl w:val="0"/>
                <w:numId w:val="0"/>
              </w:numPr>
              <w:snapToGrid w:val="0"/>
              <w:spacing w:line="276" w:lineRule="auto"/>
              <w:ind w:left="420" w:leftChars="0" w:right="106" w:rightChars="0" w:hanging="420" w:firstLineChars="0"/>
              <w:rPr>
                <w:rFonts w:ascii="宋体" w:hAnsi="宋体" w:eastAsia="宋体"/>
                <w:color w:val="auto"/>
                <w:sz w:val="24"/>
                <w:szCs w:val="24"/>
                <w:highlight w:val="none"/>
              </w:rPr>
            </w:pPr>
            <w:r>
              <w:rPr>
                <w:rFonts w:ascii="宋体" w:hAnsi="宋体" w:eastAsia="宋体" w:cstheme="minorBidi"/>
                <w:color w:val="auto"/>
                <w:kern w:val="2"/>
                <w:sz w:val="24"/>
                <w:szCs w:val="24"/>
                <w:highlight w:val="none"/>
                <w:lang w:val="en-US" w:eastAsia="zh-CN" w:bidi="ar-SA"/>
              </w:rPr>
              <w:t>6)</w:t>
            </w:r>
            <w:r>
              <w:rPr>
                <w:rFonts w:hint="eastAsia" w:ascii="宋体" w:hAnsi="宋体" w:eastAsia="宋体"/>
                <w:color w:val="auto"/>
                <w:sz w:val="24"/>
                <w:szCs w:val="24"/>
                <w:highlight w:val="none"/>
              </w:rPr>
              <w:t>其他主要人员要求：</w:t>
            </w:r>
            <w:r>
              <w:rPr>
                <w:rFonts w:hint="eastAsia" w:ascii="宋体" w:hAnsi="宋体" w:eastAsia="宋体"/>
                <w:color w:val="auto"/>
                <w:sz w:val="24"/>
                <w:szCs w:val="24"/>
                <w:highlight w:val="none"/>
                <w:u w:val="single"/>
              </w:rPr>
              <w:t>/（不作为资格审查内容）</w:t>
            </w:r>
          </w:p>
          <w:p w14:paraId="4E05A4BF">
            <w:pPr>
              <w:numPr>
                <w:ilvl w:val="0"/>
                <w:numId w:val="0"/>
              </w:numPr>
              <w:snapToGrid w:val="0"/>
              <w:spacing w:line="276" w:lineRule="auto"/>
              <w:ind w:left="420" w:leftChars="0" w:hanging="420" w:firstLineChars="0"/>
              <w:rPr>
                <w:rFonts w:ascii="宋体" w:hAnsi="宋体" w:eastAsia="宋体"/>
                <w:color w:val="auto"/>
                <w:sz w:val="24"/>
                <w:szCs w:val="24"/>
                <w:highlight w:val="none"/>
              </w:rPr>
            </w:pPr>
            <w:r>
              <w:rPr>
                <w:rFonts w:ascii="宋体" w:hAnsi="宋体" w:eastAsia="宋体" w:cstheme="minorBidi"/>
                <w:color w:val="auto"/>
                <w:kern w:val="2"/>
                <w:sz w:val="24"/>
                <w:szCs w:val="24"/>
                <w:highlight w:val="none"/>
                <w:lang w:val="en-US" w:eastAsia="zh-CN" w:bidi="ar-SA"/>
              </w:rPr>
              <w:t>7)</w:t>
            </w:r>
            <w:r>
              <w:rPr>
                <w:rFonts w:hint="eastAsia" w:ascii="宋体" w:hAnsi="宋体" w:eastAsia="宋体"/>
                <w:color w:val="auto"/>
                <w:sz w:val="24"/>
                <w:szCs w:val="24"/>
                <w:highlight w:val="none"/>
              </w:rPr>
              <w:t>试验检测仪器设备要求：</w:t>
            </w:r>
            <w:r>
              <w:rPr>
                <w:rFonts w:hint="eastAsia" w:ascii="宋体" w:hAnsi="宋体" w:eastAsia="宋体"/>
                <w:color w:val="auto"/>
                <w:sz w:val="24"/>
                <w:szCs w:val="24"/>
                <w:highlight w:val="none"/>
                <w:u w:val="single"/>
              </w:rPr>
              <w:t>/（不作为资格审查内容）</w:t>
            </w:r>
          </w:p>
          <w:p w14:paraId="207C6A05">
            <w:pPr>
              <w:numPr>
                <w:ilvl w:val="0"/>
                <w:numId w:val="0"/>
              </w:numPr>
              <w:snapToGrid w:val="0"/>
              <w:spacing w:line="276" w:lineRule="auto"/>
              <w:ind w:left="420" w:leftChars="0" w:right="106" w:rightChars="0" w:hanging="420" w:firstLineChars="0"/>
              <w:rPr>
                <w:rFonts w:ascii="宋体" w:hAnsi="宋体" w:eastAsia="宋体"/>
                <w:color w:val="auto"/>
                <w:sz w:val="24"/>
                <w:szCs w:val="24"/>
                <w:highlight w:val="none"/>
              </w:rPr>
            </w:pPr>
            <w:r>
              <w:rPr>
                <w:rFonts w:ascii="宋体" w:hAnsi="宋体" w:eastAsia="宋体" w:cstheme="minorBidi"/>
                <w:color w:val="auto"/>
                <w:kern w:val="2"/>
                <w:sz w:val="24"/>
                <w:szCs w:val="24"/>
                <w:highlight w:val="none"/>
                <w:lang w:val="en-US" w:eastAsia="zh-CN" w:bidi="ar-SA"/>
              </w:rPr>
              <w:t>8)</w:t>
            </w:r>
            <w:r>
              <w:rPr>
                <w:rFonts w:hint="eastAsia" w:ascii="宋体" w:hAnsi="宋体" w:eastAsia="宋体"/>
                <w:color w:val="auto"/>
                <w:sz w:val="24"/>
                <w:szCs w:val="24"/>
                <w:highlight w:val="none"/>
              </w:rPr>
              <w:t>其他要求：</w:t>
            </w:r>
            <w:r>
              <w:rPr>
                <w:rFonts w:hint="eastAsia" w:ascii="宋体" w:hAnsi="宋体" w:eastAsia="宋体"/>
                <w:color w:val="auto"/>
                <w:sz w:val="24"/>
                <w:szCs w:val="24"/>
                <w:highlight w:val="none"/>
                <w:u w:val="single"/>
              </w:rPr>
              <w:t>见招标公告投标人资格要求。</w:t>
            </w:r>
          </w:p>
        </w:tc>
      </w:tr>
      <w:tr w14:paraId="23A5F49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9" w:hRule="atLeast"/>
        </w:trPr>
        <w:tc>
          <w:tcPr>
            <w:tcW w:w="936" w:type="dxa"/>
            <w:tcBorders>
              <w:top w:val="single" w:color="auto" w:sz="6" w:space="0"/>
              <w:left w:val="single" w:color="auto" w:sz="4" w:space="0"/>
              <w:bottom w:val="single" w:color="auto" w:sz="6" w:space="0"/>
              <w:right w:val="single" w:color="auto" w:sz="6" w:space="0"/>
            </w:tcBorders>
            <w:shd w:val="clear" w:color="auto" w:fill="auto"/>
            <w:vAlign w:val="center"/>
          </w:tcPr>
          <w:p w14:paraId="211EE0DD">
            <w:pPr>
              <w:snapToGrid w:val="0"/>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1.4.2</w:t>
            </w:r>
          </w:p>
        </w:tc>
        <w:tc>
          <w:tcPr>
            <w:tcW w:w="2291" w:type="dxa"/>
            <w:tcBorders>
              <w:top w:val="single" w:color="auto" w:sz="6" w:space="0"/>
              <w:left w:val="single" w:color="auto" w:sz="6" w:space="0"/>
              <w:bottom w:val="single" w:color="auto" w:sz="6" w:space="0"/>
              <w:right w:val="single" w:color="auto" w:sz="6" w:space="0"/>
            </w:tcBorders>
            <w:shd w:val="clear" w:color="auto" w:fill="auto"/>
            <w:vAlign w:val="center"/>
          </w:tcPr>
          <w:p w14:paraId="4CA7F5CB">
            <w:pPr>
              <w:snapToGrid w:val="0"/>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是否接受联合体投标</w:t>
            </w:r>
          </w:p>
        </w:tc>
        <w:tc>
          <w:tcPr>
            <w:tcW w:w="6607" w:type="dxa"/>
            <w:tcBorders>
              <w:top w:val="single" w:color="auto" w:sz="6" w:space="0"/>
              <w:left w:val="single" w:color="auto" w:sz="6" w:space="0"/>
              <w:bottom w:val="single" w:color="auto" w:sz="6" w:space="0"/>
              <w:right w:val="single" w:color="auto" w:sz="4" w:space="0"/>
            </w:tcBorders>
            <w:shd w:val="clear" w:color="auto" w:fill="auto"/>
            <w:vAlign w:val="center"/>
          </w:tcPr>
          <w:p w14:paraId="04E20934">
            <w:pPr>
              <w:snapToGrid w:val="0"/>
              <w:spacing w:line="276" w:lineRule="auto"/>
              <w:ind w:left="108" w:right="-238"/>
              <w:rPr>
                <w:rFonts w:ascii="宋体" w:hAnsi="宋体" w:eastAsia="宋体"/>
                <w:color w:val="auto"/>
                <w:sz w:val="24"/>
                <w:szCs w:val="24"/>
                <w:highlight w:val="none"/>
              </w:rPr>
            </w:pPr>
            <w:r>
              <w:rPr>
                <w:rFonts w:hint="eastAsia" w:ascii="宋体" w:hAnsi="宋体" w:eastAsia="宋体"/>
                <w:color w:val="auto"/>
                <w:spacing w:val="-1"/>
                <w:sz w:val="24"/>
                <w:szCs w:val="24"/>
                <w:highlight w:val="none"/>
              </w:rPr>
              <w:t>■</w:t>
            </w:r>
            <w:r>
              <w:rPr>
                <w:rFonts w:hint="eastAsia" w:ascii="宋体" w:hAnsi="宋体" w:eastAsia="宋体"/>
                <w:color w:val="auto"/>
                <w:position w:val="3"/>
                <w:sz w:val="24"/>
                <w:szCs w:val="24"/>
                <w:highlight w:val="none"/>
              </w:rPr>
              <w:t>不接受</w:t>
            </w:r>
          </w:p>
          <w:p w14:paraId="42309496">
            <w:pPr>
              <w:snapToGrid w:val="0"/>
              <w:spacing w:line="276" w:lineRule="auto"/>
              <w:ind w:firstLine="120" w:firstLineChars="50"/>
              <w:rPr>
                <w:rFonts w:ascii="宋体" w:hAnsi="宋体" w:eastAsia="宋体"/>
                <w:color w:val="auto"/>
                <w:sz w:val="24"/>
                <w:szCs w:val="24"/>
                <w:highlight w:val="none"/>
              </w:rPr>
            </w:pPr>
            <w:r>
              <w:rPr>
                <w:rFonts w:hint="eastAsia" w:ascii="宋体" w:hAnsi="宋体" w:eastAsia="宋体"/>
                <w:color w:val="auto"/>
                <w:sz w:val="24"/>
                <w:szCs w:val="24"/>
                <w:highlight w:val="none"/>
              </w:rPr>
              <w:t>□接受，应满足下列要求：</w:t>
            </w:r>
            <w:r>
              <w:rPr>
                <w:rFonts w:ascii="宋体" w:hAnsi="宋体" w:eastAsia="宋体"/>
                <w:color w:val="auto"/>
                <w:sz w:val="24"/>
                <w:szCs w:val="24"/>
                <w:highlight w:val="none"/>
                <w:u w:val="single"/>
              </w:rPr>
              <w:t>/</w:t>
            </w:r>
          </w:p>
        </w:tc>
      </w:tr>
      <w:tr w14:paraId="152F9C9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8" w:hRule="atLeast"/>
        </w:trPr>
        <w:tc>
          <w:tcPr>
            <w:tcW w:w="936" w:type="dxa"/>
            <w:tcBorders>
              <w:top w:val="single" w:color="auto" w:sz="6" w:space="0"/>
              <w:left w:val="single" w:color="auto" w:sz="4" w:space="0"/>
              <w:bottom w:val="single" w:color="auto" w:sz="6" w:space="0"/>
              <w:right w:val="single" w:color="auto" w:sz="6" w:space="0"/>
            </w:tcBorders>
            <w:shd w:val="clear" w:color="auto" w:fill="auto"/>
            <w:vAlign w:val="center"/>
          </w:tcPr>
          <w:p w14:paraId="53835E47">
            <w:pPr>
              <w:snapToGrid w:val="0"/>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1.4.3</w:t>
            </w:r>
          </w:p>
        </w:tc>
        <w:tc>
          <w:tcPr>
            <w:tcW w:w="2291" w:type="dxa"/>
            <w:tcBorders>
              <w:top w:val="single" w:color="auto" w:sz="6" w:space="0"/>
              <w:left w:val="single" w:color="auto" w:sz="6" w:space="0"/>
              <w:bottom w:val="single" w:color="auto" w:sz="6" w:space="0"/>
              <w:right w:val="single" w:color="auto" w:sz="6" w:space="0"/>
            </w:tcBorders>
            <w:shd w:val="clear" w:color="auto" w:fill="auto"/>
            <w:vAlign w:val="center"/>
          </w:tcPr>
          <w:p w14:paraId="17058F7A">
            <w:pPr>
              <w:snapToGrid w:val="0"/>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投标人不得存在的其他情形</w:t>
            </w:r>
          </w:p>
        </w:tc>
        <w:tc>
          <w:tcPr>
            <w:tcW w:w="6607" w:type="dxa"/>
            <w:tcBorders>
              <w:top w:val="single" w:color="auto" w:sz="6" w:space="0"/>
              <w:left w:val="single" w:color="auto" w:sz="6" w:space="0"/>
              <w:bottom w:val="single" w:color="auto" w:sz="6" w:space="0"/>
              <w:right w:val="single" w:color="auto" w:sz="4" w:space="0"/>
            </w:tcBorders>
            <w:shd w:val="clear" w:color="auto" w:fill="auto"/>
            <w:vAlign w:val="center"/>
          </w:tcPr>
          <w:p w14:paraId="2674F129">
            <w:pPr>
              <w:topLinePunct/>
              <w:snapToGrid w:val="0"/>
              <w:spacing w:line="276" w:lineRule="auto"/>
              <w:rPr>
                <w:rFonts w:ascii="宋体" w:hAnsi="宋体" w:eastAsia="宋体"/>
                <w:color w:val="auto"/>
                <w:sz w:val="24"/>
                <w:szCs w:val="24"/>
                <w:highlight w:val="none"/>
              </w:rPr>
            </w:pPr>
            <w:r>
              <w:rPr>
                <w:rFonts w:hint="eastAsia" w:ascii="宋体" w:hAnsi="宋体" w:eastAsia="宋体"/>
                <w:color w:val="auto"/>
                <w:sz w:val="24"/>
                <w:szCs w:val="24"/>
                <w:highlight w:val="none"/>
                <w:u w:val="single"/>
              </w:rPr>
              <w:t>（16）在近三年内投标人或其法定代表人、拟委任的总监理工程师有行贿犯罪行为的。</w:t>
            </w:r>
          </w:p>
        </w:tc>
      </w:tr>
      <w:tr w14:paraId="354912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21" w:hRule="atLeast"/>
        </w:trPr>
        <w:tc>
          <w:tcPr>
            <w:tcW w:w="936" w:type="dxa"/>
            <w:tcBorders>
              <w:top w:val="single" w:color="auto" w:sz="6" w:space="0"/>
              <w:left w:val="single" w:color="auto" w:sz="4" w:space="0"/>
              <w:bottom w:val="single" w:color="auto" w:sz="6" w:space="0"/>
              <w:right w:val="single" w:color="auto" w:sz="6" w:space="0"/>
            </w:tcBorders>
            <w:shd w:val="clear" w:color="auto" w:fill="auto"/>
            <w:vAlign w:val="center"/>
          </w:tcPr>
          <w:p w14:paraId="3EE56085">
            <w:pPr>
              <w:snapToGrid w:val="0"/>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1.9.1</w:t>
            </w:r>
          </w:p>
        </w:tc>
        <w:tc>
          <w:tcPr>
            <w:tcW w:w="2291" w:type="dxa"/>
            <w:tcBorders>
              <w:top w:val="single" w:color="auto" w:sz="6" w:space="0"/>
              <w:left w:val="single" w:color="auto" w:sz="6" w:space="0"/>
              <w:bottom w:val="single" w:color="auto" w:sz="6" w:space="0"/>
              <w:right w:val="single" w:color="auto" w:sz="6" w:space="0"/>
            </w:tcBorders>
            <w:shd w:val="clear" w:color="auto" w:fill="auto"/>
            <w:vAlign w:val="center"/>
          </w:tcPr>
          <w:p w14:paraId="65E7AD58">
            <w:pPr>
              <w:snapToGrid w:val="0"/>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踏勘现场</w:t>
            </w:r>
          </w:p>
        </w:tc>
        <w:tc>
          <w:tcPr>
            <w:tcW w:w="6607" w:type="dxa"/>
            <w:tcBorders>
              <w:top w:val="single" w:color="auto" w:sz="6" w:space="0"/>
              <w:left w:val="single" w:color="auto" w:sz="6" w:space="0"/>
              <w:bottom w:val="single" w:color="auto" w:sz="6" w:space="0"/>
              <w:right w:val="single" w:color="auto" w:sz="4" w:space="0"/>
            </w:tcBorders>
            <w:shd w:val="clear" w:color="auto" w:fill="auto"/>
            <w:vAlign w:val="center"/>
          </w:tcPr>
          <w:p w14:paraId="32F4BB3D">
            <w:pPr>
              <w:pStyle w:val="18"/>
              <w:topLinePunct/>
              <w:snapToGrid w:val="0"/>
              <w:spacing w:after="0" w:line="276" w:lineRule="auto"/>
              <w:rPr>
                <w:rFonts w:ascii="宋体" w:hAnsi="宋体" w:eastAsia="宋体"/>
                <w:color w:val="auto"/>
                <w:sz w:val="24"/>
                <w:szCs w:val="24"/>
                <w:highlight w:val="none"/>
              </w:rPr>
            </w:pPr>
            <w:r>
              <w:rPr>
                <w:rFonts w:hint="eastAsia" w:ascii="宋体" w:hAnsi="宋体" w:eastAsia="宋体"/>
                <w:color w:val="auto"/>
                <w:spacing w:val="-1"/>
                <w:sz w:val="24"/>
                <w:szCs w:val="24"/>
                <w:highlight w:val="none"/>
              </w:rPr>
              <w:t>■</w:t>
            </w:r>
            <w:r>
              <w:rPr>
                <w:rFonts w:hint="eastAsia" w:ascii="宋体" w:hAnsi="宋体" w:eastAsia="宋体"/>
                <w:color w:val="auto"/>
                <w:sz w:val="24"/>
                <w:szCs w:val="24"/>
                <w:highlight w:val="none"/>
              </w:rPr>
              <w:t>不组织。由投标人自行踏勘</w:t>
            </w:r>
          </w:p>
          <w:p w14:paraId="0FC51C59">
            <w:pPr>
              <w:pStyle w:val="18"/>
              <w:topLinePunct/>
              <w:snapToGrid w:val="0"/>
              <w:spacing w:after="0" w:line="276" w:lineRule="auto"/>
              <w:rPr>
                <w:rFonts w:ascii="宋体" w:hAnsi="宋体" w:eastAsia="宋体"/>
                <w:color w:val="auto"/>
                <w:sz w:val="24"/>
                <w:szCs w:val="24"/>
                <w:highlight w:val="none"/>
                <w:u w:val="single"/>
              </w:rPr>
            </w:pPr>
            <w:r>
              <w:rPr>
                <w:rFonts w:hint="eastAsia" w:ascii="宋体" w:hAnsi="宋体" w:eastAsia="宋体"/>
                <w:color w:val="auto"/>
                <w:sz w:val="24"/>
                <w:szCs w:val="24"/>
                <w:highlight w:val="none"/>
                <w:u w:val="single"/>
              </w:rPr>
              <w:t>1、投标人自行对工程现场和周围环境进行现场考察，投标人应充分重视和仔细地进行这种考察，以获取那些须投标人自己负责的有关编制投标和签署合同所需的所有资料。一旦中标，这种考察即被认为其结果已在中标文件中得到充分反映。考察现场的费用由投标人自己承担。</w:t>
            </w:r>
          </w:p>
          <w:p w14:paraId="43B0A168">
            <w:pPr>
              <w:pStyle w:val="18"/>
              <w:topLinePunct/>
              <w:snapToGrid w:val="0"/>
              <w:spacing w:after="0" w:line="276" w:lineRule="auto"/>
              <w:rPr>
                <w:rFonts w:ascii="宋体" w:hAnsi="宋体" w:eastAsia="宋体"/>
                <w:color w:val="auto"/>
                <w:sz w:val="24"/>
                <w:szCs w:val="24"/>
                <w:highlight w:val="none"/>
                <w:u w:val="single"/>
              </w:rPr>
            </w:pPr>
            <w:r>
              <w:rPr>
                <w:rFonts w:hint="eastAsia" w:ascii="宋体" w:hAnsi="宋体" w:eastAsia="宋体"/>
                <w:color w:val="auto"/>
                <w:sz w:val="24"/>
                <w:szCs w:val="24"/>
                <w:highlight w:val="none"/>
                <w:u w:val="single"/>
              </w:rPr>
              <w:t>2、投标人及其代表必须承担那些进入现场后，由于他们的行为所造成的人身伤害（不管是否致命）、财产损失或损坏，以及其他任何原因造成的损失、损坏或费用。</w:t>
            </w:r>
            <w:r>
              <w:rPr>
                <w:rFonts w:hint="eastAsia" w:ascii="宋体" w:hAnsi="宋体" w:eastAsia="宋体"/>
                <w:color w:val="auto"/>
                <w:sz w:val="24"/>
                <w:szCs w:val="24"/>
                <w:highlight w:val="none"/>
                <w:u w:val="single"/>
                <w:lang w:val="en-US" w:eastAsia="zh-CN"/>
              </w:rPr>
              <w:t>招标人</w:t>
            </w:r>
            <w:r>
              <w:rPr>
                <w:rFonts w:hint="eastAsia" w:ascii="宋体" w:hAnsi="宋体" w:eastAsia="宋体"/>
                <w:color w:val="auto"/>
                <w:sz w:val="24"/>
                <w:szCs w:val="24"/>
                <w:highlight w:val="none"/>
                <w:u w:val="single"/>
              </w:rPr>
              <w:t>在投标人及其代表考察过程中不负任何责任。</w:t>
            </w:r>
          </w:p>
          <w:p w14:paraId="6EAB7ACB">
            <w:pPr>
              <w:pStyle w:val="18"/>
              <w:topLinePunct/>
              <w:snapToGrid w:val="0"/>
              <w:spacing w:after="0" w:line="276" w:lineRule="auto"/>
              <w:rPr>
                <w:rFonts w:ascii="宋体" w:hAnsi="宋体" w:eastAsia="宋体"/>
                <w:color w:val="auto"/>
                <w:sz w:val="24"/>
                <w:szCs w:val="24"/>
                <w:highlight w:val="none"/>
                <w:u w:val="single"/>
              </w:rPr>
            </w:pPr>
            <w:r>
              <w:rPr>
                <w:rFonts w:hint="eastAsia" w:ascii="宋体" w:hAnsi="宋体" w:eastAsia="宋体"/>
                <w:color w:val="auto"/>
                <w:sz w:val="24"/>
                <w:szCs w:val="24"/>
                <w:highlight w:val="none"/>
                <w:u w:val="single"/>
              </w:rPr>
              <w:t>3、由</w:t>
            </w:r>
            <w:r>
              <w:rPr>
                <w:rFonts w:hint="eastAsia" w:ascii="宋体" w:hAnsi="宋体" w:eastAsia="宋体"/>
                <w:color w:val="auto"/>
                <w:sz w:val="24"/>
                <w:szCs w:val="24"/>
                <w:highlight w:val="none"/>
                <w:u w:val="single"/>
                <w:lang w:val="en-US" w:eastAsia="zh-CN"/>
              </w:rPr>
              <w:t>招标人</w:t>
            </w:r>
            <w:r>
              <w:rPr>
                <w:rFonts w:hint="eastAsia" w:ascii="宋体" w:hAnsi="宋体" w:eastAsia="宋体"/>
                <w:color w:val="auto"/>
                <w:sz w:val="24"/>
                <w:szCs w:val="24"/>
                <w:highlight w:val="none"/>
                <w:u w:val="single"/>
              </w:rPr>
              <w:t>提供的资料和数据，只是为了使投标人能够利用</w:t>
            </w:r>
            <w:r>
              <w:rPr>
                <w:rFonts w:hint="eastAsia" w:ascii="宋体" w:hAnsi="宋体" w:eastAsia="宋体"/>
                <w:color w:val="auto"/>
                <w:sz w:val="24"/>
                <w:szCs w:val="24"/>
                <w:highlight w:val="none"/>
                <w:u w:val="single"/>
                <w:lang w:val="en-US" w:eastAsia="zh-CN"/>
              </w:rPr>
              <w:t>招标人</w:t>
            </w:r>
            <w:r>
              <w:rPr>
                <w:rFonts w:hint="eastAsia" w:ascii="宋体" w:hAnsi="宋体" w:eastAsia="宋体"/>
                <w:color w:val="auto"/>
                <w:sz w:val="24"/>
                <w:szCs w:val="24"/>
                <w:highlight w:val="none"/>
                <w:u w:val="single"/>
              </w:rPr>
              <w:t>现有的资料。</w:t>
            </w:r>
            <w:r>
              <w:rPr>
                <w:rFonts w:hint="eastAsia" w:ascii="宋体" w:hAnsi="宋体" w:eastAsia="宋体"/>
                <w:color w:val="auto"/>
                <w:sz w:val="24"/>
                <w:szCs w:val="24"/>
                <w:highlight w:val="none"/>
                <w:u w:val="single"/>
                <w:lang w:val="en-US" w:eastAsia="zh-CN"/>
              </w:rPr>
              <w:t>招标人</w:t>
            </w:r>
            <w:r>
              <w:rPr>
                <w:rFonts w:hint="eastAsia" w:ascii="宋体" w:hAnsi="宋体" w:eastAsia="宋体"/>
                <w:color w:val="auto"/>
                <w:sz w:val="24"/>
                <w:szCs w:val="24"/>
                <w:highlight w:val="none"/>
                <w:u w:val="single"/>
              </w:rPr>
              <w:t>对投标人由此而作出的推论、解释和结论概不负责。</w:t>
            </w:r>
          </w:p>
          <w:p w14:paraId="0D0B2653">
            <w:pPr>
              <w:pStyle w:val="18"/>
              <w:topLinePunct/>
              <w:snapToGrid w:val="0"/>
              <w:spacing w:after="0" w:line="276" w:lineRule="auto"/>
              <w:rPr>
                <w:rFonts w:ascii="宋体" w:hAnsi="宋体" w:eastAsia="宋体"/>
                <w:color w:val="auto"/>
                <w:sz w:val="24"/>
                <w:szCs w:val="24"/>
                <w:highlight w:val="none"/>
              </w:rPr>
            </w:pPr>
            <w:r>
              <w:rPr>
                <w:rFonts w:hint="eastAsia" w:ascii="宋体" w:hAnsi="宋体" w:eastAsia="宋体"/>
                <w:color w:val="auto"/>
                <w:sz w:val="24"/>
                <w:szCs w:val="24"/>
                <w:highlight w:val="none"/>
                <w:u w:val="single"/>
              </w:rPr>
              <w:t>4、不论投标结果如何，投标人应承担其投标文件编制与递交所涉及的一切费用，</w:t>
            </w:r>
            <w:r>
              <w:rPr>
                <w:rFonts w:hint="eastAsia" w:ascii="宋体" w:hAnsi="宋体" w:eastAsia="宋体"/>
                <w:color w:val="auto"/>
                <w:sz w:val="24"/>
                <w:szCs w:val="24"/>
                <w:highlight w:val="none"/>
                <w:u w:val="single"/>
                <w:lang w:val="en-US" w:eastAsia="zh-CN"/>
              </w:rPr>
              <w:t>招标人</w:t>
            </w:r>
            <w:r>
              <w:rPr>
                <w:rFonts w:hint="eastAsia" w:ascii="宋体" w:hAnsi="宋体" w:eastAsia="宋体"/>
                <w:color w:val="auto"/>
                <w:sz w:val="24"/>
                <w:szCs w:val="24"/>
                <w:highlight w:val="none"/>
                <w:u w:val="single"/>
              </w:rPr>
              <w:t>对上述费用不负任何责任。</w:t>
            </w:r>
          </w:p>
          <w:p w14:paraId="1A0A48C7">
            <w:pPr>
              <w:pStyle w:val="18"/>
              <w:topLinePunct/>
              <w:snapToGrid w:val="0"/>
              <w:spacing w:after="0" w:line="276" w:lineRule="auto"/>
              <w:rPr>
                <w:rFonts w:ascii="宋体" w:hAnsi="宋体" w:eastAsia="宋体"/>
                <w:color w:val="auto"/>
                <w:sz w:val="24"/>
                <w:szCs w:val="24"/>
                <w:highlight w:val="none"/>
              </w:rPr>
            </w:pPr>
            <w:r>
              <w:rPr>
                <w:rFonts w:hint="eastAsia" w:ascii="宋体" w:hAnsi="宋体" w:eastAsia="宋体"/>
                <w:color w:val="auto"/>
                <w:sz w:val="24"/>
                <w:szCs w:val="24"/>
                <w:highlight w:val="none"/>
              </w:rPr>
              <w:t>□组织，踏勘时间：</w:t>
            </w:r>
            <w:r>
              <w:rPr>
                <w:rFonts w:hint="eastAsia" w:ascii="宋体" w:hAnsi="宋体" w:eastAsia="宋体"/>
                <w:color w:val="auto"/>
                <w:sz w:val="24"/>
                <w:szCs w:val="24"/>
                <w:highlight w:val="none"/>
                <w:u w:val="single"/>
              </w:rPr>
              <w:t>/</w:t>
            </w:r>
          </w:p>
          <w:p w14:paraId="36E47480">
            <w:pPr>
              <w:pStyle w:val="18"/>
              <w:topLinePunct/>
              <w:snapToGrid w:val="0"/>
              <w:spacing w:after="0" w:line="276" w:lineRule="auto"/>
              <w:ind w:firstLine="1010" w:firstLineChars="421"/>
              <w:rPr>
                <w:rFonts w:ascii="宋体" w:hAnsi="宋体" w:eastAsia="宋体"/>
                <w:color w:val="auto"/>
                <w:sz w:val="24"/>
                <w:szCs w:val="24"/>
                <w:highlight w:val="none"/>
              </w:rPr>
            </w:pPr>
            <w:r>
              <w:rPr>
                <w:rFonts w:hint="eastAsia" w:ascii="宋体" w:hAnsi="宋体" w:eastAsia="宋体"/>
                <w:color w:val="auto"/>
                <w:sz w:val="24"/>
                <w:szCs w:val="24"/>
                <w:highlight w:val="none"/>
              </w:rPr>
              <w:t>踏勘集中地点：</w:t>
            </w:r>
            <w:r>
              <w:rPr>
                <w:rFonts w:hint="eastAsia" w:ascii="宋体" w:hAnsi="宋体" w:eastAsia="宋体"/>
                <w:color w:val="auto"/>
                <w:sz w:val="24"/>
                <w:szCs w:val="24"/>
                <w:highlight w:val="none"/>
                <w:u w:val="single"/>
              </w:rPr>
              <w:t>/</w:t>
            </w:r>
          </w:p>
        </w:tc>
      </w:tr>
      <w:tr w14:paraId="3F2620C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684" w:hRule="atLeast"/>
        </w:trPr>
        <w:tc>
          <w:tcPr>
            <w:tcW w:w="936" w:type="dxa"/>
            <w:tcBorders>
              <w:top w:val="single" w:color="auto" w:sz="6" w:space="0"/>
              <w:left w:val="single" w:color="auto" w:sz="4" w:space="0"/>
              <w:bottom w:val="single" w:color="auto" w:sz="6" w:space="0"/>
              <w:right w:val="single" w:color="auto" w:sz="6" w:space="0"/>
            </w:tcBorders>
            <w:shd w:val="clear" w:color="auto" w:fill="auto"/>
            <w:vAlign w:val="center"/>
          </w:tcPr>
          <w:p w14:paraId="79205376">
            <w:pPr>
              <w:snapToGrid w:val="0"/>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1.10.1</w:t>
            </w:r>
          </w:p>
        </w:tc>
        <w:tc>
          <w:tcPr>
            <w:tcW w:w="2291" w:type="dxa"/>
            <w:tcBorders>
              <w:top w:val="single" w:color="auto" w:sz="6" w:space="0"/>
              <w:left w:val="single" w:color="auto" w:sz="6" w:space="0"/>
              <w:bottom w:val="single" w:color="auto" w:sz="6" w:space="0"/>
              <w:right w:val="single" w:color="auto" w:sz="6" w:space="0"/>
            </w:tcBorders>
            <w:shd w:val="clear" w:color="auto" w:fill="auto"/>
            <w:vAlign w:val="center"/>
          </w:tcPr>
          <w:p w14:paraId="2E3C9C48">
            <w:pPr>
              <w:snapToGrid w:val="0"/>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投标预备会</w:t>
            </w:r>
          </w:p>
        </w:tc>
        <w:tc>
          <w:tcPr>
            <w:tcW w:w="6607" w:type="dxa"/>
            <w:tcBorders>
              <w:top w:val="single" w:color="auto" w:sz="6" w:space="0"/>
              <w:left w:val="single" w:color="auto" w:sz="6" w:space="0"/>
              <w:bottom w:val="single" w:color="auto" w:sz="6" w:space="0"/>
              <w:right w:val="single" w:color="auto" w:sz="4" w:space="0"/>
            </w:tcBorders>
            <w:shd w:val="clear" w:color="auto" w:fill="auto"/>
            <w:vAlign w:val="center"/>
          </w:tcPr>
          <w:p w14:paraId="0C912D65">
            <w:pPr>
              <w:pStyle w:val="18"/>
              <w:topLinePunct/>
              <w:spacing w:after="0" w:line="276" w:lineRule="auto"/>
              <w:ind w:left="40" w:leftChars="19" w:right="107" w:rightChars="51"/>
              <w:rPr>
                <w:rFonts w:ascii="宋体" w:hAnsi="宋体" w:eastAsia="宋体"/>
                <w:color w:val="auto"/>
                <w:sz w:val="24"/>
                <w:szCs w:val="24"/>
                <w:highlight w:val="none"/>
              </w:rPr>
            </w:pPr>
            <w:r>
              <w:rPr>
                <w:rFonts w:hint="eastAsia" w:ascii="宋体" w:hAnsi="宋体" w:eastAsia="宋体"/>
                <w:color w:val="auto"/>
                <w:sz w:val="24"/>
                <w:szCs w:val="24"/>
                <w:highlight w:val="none"/>
              </w:rPr>
              <w:t>■不召开</w:t>
            </w:r>
          </w:p>
          <w:p w14:paraId="7C779DD0">
            <w:pPr>
              <w:spacing w:line="276" w:lineRule="auto"/>
              <w:ind w:left="40" w:leftChars="19" w:right="107" w:rightChars="51"/>
              <w:rPr>
                <w:rFonts w:ascii="宋体" w:hAnsi="宋体" w:eastAsia="宋体"/>
                <w:color w:val="auto"/>
                <w:sz w:val="24"/>
                <w:szCs w:val="24"/>
                <w:highlight w:val="none"/>
              </w:rPr>
            </w:pPr>
            <w:r>
              <w:rPr>
                <w:rFonts w:hint="eastAsia" w:ascii="宋体" w:hAnsi="宋体" w:eastAsia="宋体"/>
                <w:color w:val="auto"/>
                <w:sz w:val="24"/>
                <w:szCs w:val="24"/>
                <w:highlight w:val="none"/>
              </w:rPr>
              <w:t>□召开，召开时间：</w:t>
            </w:r>
            <w:r>
              <w:rPr>
                <w:rFonts w:hint="eastAsia" w:ascii="宋体" w:hAnsi="宋体" w:eastAsia="宋体"/>
                <w:color w:val="auto"/>
                <w:sz w:val="24"/>
                <w:szCs w:val="24"/>
                <w:highlight w:val="none"/>
                <w:u w:val="single"/>
              </w:rPr>
              <w:t>/</w:t>
            </w:r>
          </w:p>
          <w:p w14:paraId="6A34F57A">
            <w:pPr>
              <w:snapToGrid w:val="0"/>
              <w:spacing w:line="276" w:lineRule="auto"/>
              <w:ind w:firstLine="1010" w:firstLineChars="421"/>
              <w:rPr>
                <w:rFonts w:ascii="宋体" w:hAnsi="宋体" w:eastAsia="宋体"/>
                <w:color w:val="auto"/>
                <w:sz w:val="24"/>
                <w:szCs w:val="24"/>
                <w:highlight w:val="none"/>
              </w:rPr>
            </w:pPr>
            <w:r>
              <w:rPr>
                <w:rFonts w:hint="eastAsia" w:ascii="宋体" w:hAnsi="宋体" w:eastAsia="宋体"/>
                <w:color w:val="auto"/>
                <w:sz w:val="24"/>
                <w:szCs w:val="24"/>
                <w:highlight w:val="none"/>
              </w:rPr>
              <w:t>召开地点：</w:t>
            </w:r>
            <w:r>
              <w:rPr>
                <w:rFonts w:hint="eastAsia" w:ascii="宋体" w:hAnsi="宋体" w:eastAsia="宋体"/>
                <w:color w:val="auto"/>
                <w:sz w:val="24"/>
                <w:szCs w:val="24"/>
                <w:highlight w:val="none"/>
                <w:u w:val="single"/>
              </w:rPr>
              <w:t>/</w:t>
            </w:r>
          </w:p>
        </w:tc>
      </w:tr>
      <w:tr w14:paraId="569C1C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4" w:hRule="atLeast"/>
        </w:trPr>
        <w:tc>
          <w:tcPr>
            <w:tcW w:w="936" w:type="dxa"/>
            <w:vMerge w:val="restart"/>
            <w:tcBorders>
              <w:top w:val="single" w:color="auto" w:sz="6" w:space="0"/>
              <w:left w:val="single" w:color="auto" w:sz="4" w:space="0"/>
              <w:bottom w:val="single" w:color="auto" w:sz="6" w:space="0"/>
              <w:right w:val="single" w:color="auto" w:sz="6" w:space="0"/>
            </w:tcBorders>
            <w:shd w:val="clear" w:color="auto" w:fill="auto"/>
            <w:vAlign w:val="center"/>
          </w:tcPr>
          <w:p w14:paraId="3B6EC207">
            <w:pPr>
              <w:snapToGrid w:val="0"/>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1.10.2</w:t>
            </w:r>
          </w:p>
        </w:tc>
        <w:tc>
          <w:tcPr>
            <w:tcW w:w="2291" w:type="dxa"/>
            <w:vMerge w:val="restart"/>
            <w:tcBorders>
              <w:top w:val="single" w:color="auto" w:sz="6" w:space="0"/>
              <w:left w:val="single" w:color="auto" w:sz="6" w:space="0"/>
              <w:bottom w:val="single" w:color="auto" w:sz="6" w:space="0"/>
              <w:right w:val="single" w:color="auto" w:sz="6" w:space="0"/>
            </w:tcBorders>
            <w:shd w:val="clear" w:color="auto" w:fill="auto"/>
            <w:vAlign w:val="center"/>
          </w:tcPr>
          <w:p w14:paraId="4B5B2250">
            <w:pPr>
              <w:snapToGrid w:val="0"/>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投标人在投标预备会前提出问题</w:t>
            </w:r>
          </w:p>
        </w:tc>
        <w:tc>
          <w:tcPr>
            <w:tcW w:w="6607" w:type="dxa"/>
            <w:tcBorders>
              <w:top w:val="single" w:color="auto" w:sz="6" w:space="0"/>
              <w:left w:val="single" w:color="auto" w:sz="6" w:space="0"/>
              <w:bottom w:val="single" w:color="auto" w:sz="6" w:space="0"/>
              <w:right w:val="single" w:color="auto" w:sz="4" w:space="0"/>
            </w:tcBorders>
            <w:shd w:val="clear" w:color="auto" w:fill="auto"/>
            <w:vAlign w:val="center"/>
          </w:tcPr>
          <w:p w14:paraId="475B719E">
            <w:pPr>
              <w:spacing w:line="276" w:lineRule="auto"/>
              <w:rPr>
                <w:rFonts w:ascii="宋体" w:hAnsi="宋体" w:eastAsia="宋体"/>
                <w:color w:val="auto"/>
                <w:sz w:val="24"/>
                <w:szCs w:val="24"/>
                <w:highlight w:val="none"/>
              </w:rPr>
            </w:pPr>
            <w:r>
              <w:rPr>
                <w:rFonts w:hint="eastAsia" w:ascii="宋体" w:hAnsi="宋体" w:eastAsia="宋体"/>
                <w:color w:val="auto"/>
                <w:sz w:val="24"/>
                <w:szCs w:val="24"/>
                <w:highlight w:val="none"/>
              </w:rPr>
              <w:t>时间：</w:t>
            </w:r>
            <w:r>
              <w:rPr>
                <w:rFonts w:hint="eastAsia" w:ascii="宋体" w:hAnsi="宋体" w:eastAsia="宋体"/>
                <w:color w:val="auto"/>
                <w:sz w:val="24"/>
                <w:szCs w:val="24"/>
                <w:highlight w:val="none"/>
                <w:u w:val="single"/>
              </w:rPr>
              <w:t>/</w:t>
            </w:r>
          </w:p>
        </w:tc>
      </w:tr>
      <w:tr w14:paraId="7CEEB2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trPr>
        <w:tc>
          <w:tcPr>
            <w:tcW w:w="936" w:type="dxa"/>
            <w:vMerge w:val="continue"/>
            <w:tcBorders>
              <w:top w:val="single" w:color="auto" w:sz="6" w:space="0"/>
              <w:left w:val="single" w:color="auto" w:sz="4" w:space="0"/>
              <w:bottom w:val="single" w:color="auto" w:sz="6" w:space="0"/>
              <w:right w:val="single" w:color="auto" w:sz="6" w:space="0"/>
            </w:tcBorders>
            <w:shd w:val="clear" w:color="auto" w:fill="auto"/>
            <w:vAlign w:val="center"/>
          </w:tcPr>
          <w:p w14:paraId="3E73D07D">
            <w:pPr>
              <w:widowControl/>
              <w:spacing w:line="276" w:lineRule="auto"/>
              <w:jc w:val="left"/>
              <w:rPr>
                <w:rFonts w:ascii="宋体" w:hAnsi="宋体" w:eastAsia="宋体"/>
                <w:color w:val="auto"/>
                <w:sz w:val="24"/>
                <w:szCs w:val="24"/>
                <w:highlight w:val="none"/>
              </w:rPr>
            </w:pPr>
          </w:p>
        </w:tc>
        <w:tc>
          <w:tcPr>
            <w:tcW w:w="2291"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0636539E">
            <w:pPr>
              <w:widowControl/>
              <w:spacing w:line="276" w:lineRule="auto"/>
              <w:jc w:val="left"/>
              <w:rPr>
                <w:rFonts w:ascii="宋体" w:hAnsi="宋体" w:eastAsia="宋体"/>
                <w:color w:val="auto"/>
                <w:sz w:val="24"/>
                <w:szCs w:val="24"/>
                <w:highlight w:val="none"/>
              </w:rPr>
            </w:pPr>
          </w:p>
        </w:tc>
        <w:tc>
          <w:tcPr>
            <w:tcW w:w="6607" w:type="dxa"/>
            <w:tcBorders>
              <w:top w:val="single" w:color="auto" w:sz="6" w:space="0"/>
              <w:left w:val="single" w:color="auto" w:sz="6" w:space="0"/>
              <w:bottom w:val="single" w:color="auto" w:sz="6" w:space="0"/>
              <w:right w:val="single" w:color="auto" w:sz="4" w:space="0"/>
            </w:tcBorders>
            <w:shd w:val="clear" w:color="auto" w:fill="auto"/>
            <w:vAlign w:val="center"/>
          </w:tcPr>
          <w:p w14:paraId="6D7E288B">
            <w:pPr>
              <w:spacing w:line="276" w:lineRule="auto"/>
              <w:rPr>
                <w:rFonts w:ascii="宋体" w:hAnsi="宋体" w:eastAsia="宋体"/>
                <w:color w:val="auto"/>
                <w:sz w:val="24"/>
                <w:szCs w:val="24"/>
                <w:highlight w:val="none"/>
              </w:rPr>
            </w:pPr>
            <w:r>
              <w:rPr>
                <w:rFonts w:hint="eastAsia" w:ascii="宋体" w:hAnsi="宋体" w:eastAsia="宋体"/>
                <w:color w:val="auto"/>
                <w:sz w:val="24"/>
                <w:szCs w:val="24"/>
                <w:highlight w:val="none"/>
              </w:rPr>
              <w:t>形式：</w:t>
            </w:r>
            <w:r>
              <w:rPr>
                <w:rFonts w:hint="eastAsia" w:ascii="宋体" w:hAnsi="宋体" w:eastAsia="宋体"/>
                <w:color w:val="auto"/>
                <w:sz w:val="24"/>
                <w:szCs w:val="24"/>
                <w:highlight w:val="none"/>
                <w:u w:val="single"/>
              </w:rPr>
              <w:t>/</w:t>
            </w:r>
          </w:p>
        </w:tc>
      </w:tr>
      <w:tr w14:paraId="42A1A17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1" w:hRule="atLeast"/>
        </w:trPr>
        <w:tc>
          <w:tcPr>
            <w:tcW w:w="936" w:type="dxa"/>
            <w:tcBorders>
              <w:top w:val="single" w:color="auto" w:sz="6" w:space="0"/>
              <w:left w:val="single" w:color="auto" w:sz="4" w:space="0"/>
              <w:bottom w:val="single" w:color="auto" w:sz="6" w:space="0"/>
              <w:right w:val="single" w:color="auto" w:sz="6" w:space="0"/>
            </w:tcBorders>
            <w:shd w:val="clear" w:color="auto" w:fill="auto"/>
            <w:vAlign w:val="center"/>
          </w:tcPr>
          <w:p w14:paraId="756C4452">
            <w:pPr>
              <w:snapToGrid w:val="0"/>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1.10.3</w:t>
            </w:r>
          </w:p>
        </w:tc>
        <w:tc>
          <w:tcPr>
            <w:tcW w:w="2291" w:type="dxa"/>
            <w:tcBorders>
              <w:top w:val="single" w:color="auto" w:sz="6" w:space="0"/>
              <w:left w:val="single" w:color="auto" w:sz="6" w:space="0"/>
              <w:bottom w:val="single" w:color="auto" w:sz="6" w:space="0"/>
              <w:right w:val="single" w:color="auto" w:sz="6" w:space="0"/>
            </w:tcBorders>
            <w:shd w:val="clear" w:color="auto" w:fill="auto"/>
            <w:vAlign w:val="center"/>
          </w:tcPr>
          <w:p w14:paraId="3C99EDA2">
            <w:pPr>
              <w:snapToGrid w:val="0"/>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招标文件澄清发出的形式</w:t>
            </w:r>
          </w:p>
        </w:tc>
        <w:tc>
          <w:tcPr>
            <w:tcW w:w="6607" w:type="dxa"/>
            <w:tcBorders>
              <w:top w:val="single" w:color="auto" w:sz="6" w:space="0"/>
              <w:left w:val="single" w:color="auto" w:sz="6" w:space="0"/>
              <w:bottom w:val="single" w:color="auto" w:sz="6" w:space="0"/>
              <w:right w:val="single" w:color="auto" w:sz="4" w:space="0"/>
            </w:tcBorders>
            <w:shd w:val="clear" w:color="auto" w:fill="auto"/>
            <w:vAlign w:val="center"/>
          </w:tcPr>
          <w:p w14:paraId="62DB595E">
            <w:pPr>
              <w:spacing w:line="276" w:lineRule="auto"/>
              <w:rPr>
                <w:rFonts w:hint="eastAsia" w:ascii="宋体" w:hAnsi="宋体" w:eastAsia="宋体" w:cstheme="minorBidi"/>
                <w:color w:val="auto"/>
                <w:sz w:val="24"/>
                <w:szCs w:val="24"/>
                <w:highlight w:val="none"/>
                <w:u w:val="single"/>
              </w:rPr>
            </w:pPr>
            <w:r>
              <w:rPr>
                <w:rFonts w:hint="eastAsia" w:ascii="宋体" w:hAnsi="宋体" w:eastAsia="宋体" w:cstheme="minorBidi"/>
                <w:color w:val="auto"/>
                <w:sz w:val="24"/>
                <w:szCs w:val="24"/>
                <w:highlight w:val="none"/>
                <w:u w:val="single"/>
              </w:rPr>
              <w:t>时间：在递交投标文件截止日期15日</w:t>
            </w:r>
            <w:r>
              <w:rPr>
                <w:rFonts w:hint="eastAsia" w:ascii="宋体" w:hAnsi="宋体" w:eastAsia="宋体" w:cstheme="minorBidi"/>
                <w:color w:val="auto"/>
                <w:sz w:val="24"/>
                <w:szCs w:val="24"/>
                <w:highlight w:val="none"/>
                <w:u w:val="single"/>
                <w:lang w:val="en-US" w:eastAsia="zh-CN"/>
              </w:rPr>
              <w:t>前</w:t>
            </w:r>
            <w:r>
              <w:rPr>
                <w:rFonts w:hint="eastAsia" w:ascii="宋体" w:hAnsi="宋体" w:eastAsia="宋体" w:cstheme="minorBidi"/>
                <w:color w:val="auto"/>
                <w:sz w:val="24"/>
                <w:szCs w:val="24"/>
                <w:highlight w:val="none"/>
                <w:u w:val="single"/>
              </w:rPr>
              <w:t>。</w:t>
            </w:r>
          </w:p>
          <w:p w14:paraId="0BE59997">
            <w:pPr>
              <w:spacing w:line="276" w:lineRule="auto"/>
              <w:rPr>
                <w:rFonts w:hint="eastAsia" w:ascii="宋体" w:hAnsi="宋体" w:eastAsia="宋体" w:cstheme="minorBidi"/>
                <w:color w:val="auto"/>
                <w:sz w:val="24"/>
                <w:szCs w:val="24"/>
                <w:highlight w:val="none"/>
                <w:u w:val="single"/>
              </w:rPr>
            </w:pPr>
            <w:r>
              <w:rPr>
                <w:rFonts w:hint="eastAsia" w:ascii="宋体" w:hAnsi="宋体" w:eastAsia="宋体" w:cstheme="minorBidi"/>
                <w:color w:val="auto"/>
                <w:sz w:val="24"/>
                <w:szCs w:val="24"/>
                <w:highlight w:val="none"/>
                <w:u w:val="single"/>
              </w:rPr>
              <w:t>形式：网上答疑具体如下：</w:t>
            </w:r>
          </w:p>
          <w:p w14:paraId="12527EB4">
            <w:pPr>
              <w:spacing w:line="276" w:lineRule="auto"/>
              <w:rPr>
                <w:rFonts w:hint="eastAsia" w:ascii="宋体" w:hAnsi="宋体" w:eastAsia="宋体" w:cstheme="minorBidi"/>
                <w:color w:val="auto"/>
                <w:sz w:val="24"/>
                <w:szCs w:val="24"/>
                <w:highlight w:val="none"/>
                <w:u w:val="single"/>
              </w:rPr>
            </w:pPr>
            <w:r>
              <w:rPr>
                <w:rFonts w:hint="eastAsia" w:ascii="宋体" w:hAnsi="宋体" w:eastAsia="宋体" w:cstheme="minorBidi"/>
                <w:color w:val="auto"/>
                <w:sz w:val="24"/>
                <w:szCs w:val="24"/>
                <w:highlight w:val="none"/>
                <w:u w:val="single"/>
              </w:rPr>
              <w:t>1.招标人答疑时间：在递交投标文件截止日期15日</w:t>
            </w:r>
            <w:r>
              <w:rPr>
                <w:rFonts w:hint="eastAsia" w:ascii="宋体" w:hAnsi="宋体" w:eastAsia="宋体" w:cstheme="minorBidi"/>
                <w:color w:val="auto"/>
                <w:sz w:val="24"/>
                <w:szCs w:val="24"/>
                <w:highlight w:val="none"/>
                <w:u w:val="single"/>
                <w:lang w:val="en-US" w:eastAsia="zh-CN"/>
              </w:rPr>
              <w:t>前</w:t>
            </w:r>
            <w:r>
              <w:rPr>
                <w:rFonts w:hint="eastAsia" w:ascii="宋体" w:hAnsi="宋体" w:eastAsia="宋体" w:cstheme="minorBidi"/>
                <w:color w:val="auto"/>
                <w:sz w:val="24"/>
                <w:szCs w:val="24"/>
                <w:highlight w:val="none"/>
                <w:u w:val="single"/>
              </w:rPr>
              <w:t>（在</w:t>
            </w:r>
            <w:r>
              <w:rPr>
                <w:rFonts w:hint="eastAsia" w:ascii="宋体" w:hAnsi="宋体" w:eastAsia="宋体" w:cstheme="minorBidi"/>
                <w:color w:val="auto"/>
                <w:sz w:val="24"/>
                <w:szCs w:val="24"/>
                <w:highlight w:val="none"/>
                <w:u w:val="single"/>
                <w:lang w:eastAsia="zh-CN"/>
              </w:rPr>
              <w:t>广州交易集团有限公司（广州公共资源交易中心）</w:t>
            </w:r>
            <w:r>
              <w:rPr>
                <w:rFonts w:hint="eastAsia" w:ascii="宋体" w:hAnsi="宋体" w:eastAsia="宋体" w:cstheme="minorBidi"/>
                <w:color w:val="auto"/>
                <w:sz w:val="24"/>
                <w:szCs w:val="24"/>
                <w:highlight w:val="none"/>
                <w:u w:val="single"/>
              </w:rPr>
              <w:t>网“项目查询(日程安排、答疑纪要)”专区进行答复）。</w:t>
            </w:r>
          </w:p>
          <w:p w14:paraId="61EB02A3">
            <w:pPr>
              <w:snapToGrid w:val="0"/>
              <w:spacing w:line="276" w:lineRule="auto"/>
              <w:rPr>
                <w:rFonts w:hint="eastAsia" w:ascii="宋体" w:hAnsi="宋体" w:eastAsia="宋体"/>
                <w:color w:val="auto"/>
                <w:sz w:val="24"/>
                <w:szCs w:val="24"/>
                <w:highlight w:val="none"/>
                <w:u w:val="single"/>
              </w:rPr>
            </w:pPr>
            <w:r>
              <w:rPr>
                <w:rFonts w:hint="eastAsia" w:ascii="宋体" w:hAnsi="宋体" w:eastAsia="宋体" w:cstheme="minorBidi"/>
                <w:color w:val="auto"/>
                <w:sz w:val="24"/>
                <w:szCs w:val="24"/>
                <w:highlight w:val="none"/>
                <w:u w:val="single"/>
              </w:rPr>
              <w:t>2.答疑纪要（澄清文件或修改文件）一经在</w:t>
            </w:r>
            <w:r>
              <w:rPr>
                <w:rFonts w:hint="eastAsia" w:ascii="宋体" w:hAnsi="宋体" w:eastAsia="宋体" w:cstheme="minorBidi"/>
                <w:color w:val="auto"/>
                <w:sz w:val="24"/>
                <w:szCs w:val="24"/>
                <w:highlight w:val="none"/>
                <w:u w:val="single"/>
                <w:lang w:eastAsia="zh-CN"/>
              </w:rPr>
              <w:t>广州交易集团有限公司（广州公共资源交易中心）</w:t>
            </w:r>
            <w:r>
              <w:rPr>
                <w:rFonts w:hint="eastAsia" w:ascii="宋体" w:hAnsi="宋体" w:eastAsia="宋体" w:cstheme="minorBidi"/>
                <w:color w:val="auto"/>
                <w:sz w:val="24"/>
                <w:szCs w:val="24"/>
                <w:highlight w:val="none"/>
                <w:u w:val="single"/>
              </w:rPr>
              <w:t>网站“项目答疑纪要”专区发布（如有），即视为投标人收到了上述文件，请投标人随时留意</w:t>
            </w:r>
            <w:r>
              <w:rPr>
                <w:rFonts w:hint="eastAsia" w:ascii="宋体" w:hAnsi="宋体" w:eastAsia="宋体" w:cstheme="minorBidi"/>
                <w:color w:val="auto"/>
                <w:sz w:val="24"/>
                <w:szCs w:val="24"/>
                <w:highlight w:val="none"/>
                <w:u w:val="single"/>
                <w:lang w:eastAsia="zh-CN"/>
              </w:rPr>
              <w:t>广州交易集团有限公司（广州公共资源交易中心）</w:t>
            </w:r>
            <w:r>
              <w:rPr>
                <w:rFonts w:hint="eastAsia" w:ascii="宋体" w:hAnsi="宋体" w:eastAsia="宋体" w:cstheme="minorBidi"/>
                <w:color w:val="auto"/>
                <w:sz w:val="24"/>
                <w:szCs w:val="24"/>
                <w:highlight w:val="none"/>
                <w:u w:val="single"/>
              </w:rPr>
              <w:t>网站“项目查询(日程安排、答疑纪要)”专区本项目的答疑（或招标文件澄清或修改）的发布情况。</w:t>
            </w:r>
          </w:p>
        </w:tc>
      </w:tr>
      <w:tr w14:paraId="55FB5B4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242" w:hRule="atLeast"/>
        </w:trPr>
        <w:tc>
          <w:tcPr>
            <w:tcW w:w="936" w:type="dxa"/>
            <w:tcBorders>
              <w:top w:val="single" w:color="auto" w:sz="6" w:space="0"/>
              <w:left w:val="single" w:color="auto" w:sz="4" w:space="0"/>
              <w:bottom w:val="single" w:color="auto" w:sz="6" w:space="0"/>
              <w:right w:val="single" w:color="auto" w:sz="6" w:space="0"/>
            </w:tcBorders>
            <w:shd w:val="clear" w:color="auto" w:fill="auto"/>
            <w:vAlign w:val="center"/>
          </w:tcPr>
          <w:p w14:paraId="6D935478">
            <w:pPr>
              <w:snapToGrid w:val="0"/>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1.12.1</w:t>
            </w:r>
          </w:p>
        </w:tc>
        <w:tc>
          <w:tcPr>
            <w:tcW w:w="2291" w:type="dxa"/>
            <w:tcBorders>
              <w:top w:val="single" w:color="auto" w:sz="6" w:space="0"/>
              <w:left w:val="single" w:color="auto" w:sz="6" w:space="0"/>
              <w:bottom w:val="single" w:color="auto" w:sz="6" w:space="0"/>
              <w:right w:val="single" w:color="auto" w:sz="6" w:space="0"/>
            </w:tcBorders>
            <w:shd w:val="clear" w:color="auto" w:fill="auto"/>
            <w:vAlign w:val="center"/>
          </w:tcPr>
          <w:p w14:paraId="464CEFAD">
            <w:pPr>
              <w:snapToGrid w:val="0"/>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实质性要求和条件</w:t>
            </w:r>
          </w:p>
        </w:tc>
        <w:tc>
          <w:tcPr>
            <w:tcW w:w="6607" w:type="dxa"/>
            <w:tcBorders>
              <w:top w:val="single" w:color="auto" w:sz="6" w:space="0"/>
              <w:left w:val="single" w:color="auto" w:sz="6" w:space="0"/>
              <w:bottom w:val="single" w:color="auto" w:sz="6" w:space="0"/>
              <w:right w:val="single" w:color="auto" w:sz="4" w:space="0"/>
            </w:tcBorders>
            <w:shd w:val="clear" w:color="auto" w:fill="auto"/>
            <w:vAlign w:val="center"/>
          </w:tcPr>
          <w:p w14:paraId="45918121">
            <w:pPr>
              <w:pStyle w:val="18"/>
              <w:topLinePunct/>
              <w:snapToGrid w:val="0"/>
              <w:spacing w:after="0" w:line="276" w:lineRule="auto"/>
              <w:rPr>
                <w:rFonts w:ascii="宋体" w:hAnsi="宋体" w:eastAsia="宋体"/>
                <w:color w:val="auto"/>
                <w:sz w:val="24"/>
                <w:szCs w:val="24"/>
                <w:highlight w:val="none"/>
              </w:rPr>
            </w:pPr>
            <w:r>
              <w:rPr>
                <w:rFonts w:hint="eastAsia" w:ascii="宋体" w:hAnsi="宋体" w:eastAsia="宋体" w:cstheme="minorBidi"/>
                <w:color w:val="auto"/>
                <w:sz w:val="24"/>
                <w:szCs w:val="24"/>
                <w:highlight w:val="none"/>
                <w:u w:val="single"/>
                <w:lang w:val="en-US" w:eastAsia="zh-CN"/>
              </w:rPr>
              <w:t>见第三章评审标准。</w:t>
            </w:r>
          </w:p>
        </w:tc>
      </w:tr>
      <w:tr w14:paraId="0C8C043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57" w:hRule="atLeast"/>
        </w:trPr>
        <w:tc>
          <w:tcPr>
            <w:tcW w:w="936" w:type="dxa"/>
            <w:tcBorders>
              <w:top w:val="single" w:color="auto" w:sz="6" w:space="0"/>
              <w:left w:val="single" w:color="auto" w:sz="4" w:space="0"/>
              <w:bottom w:val="single" w:color="auto" w:sz="6" w:space="0"/>
              <w:right w:val="single" w:color="auto" w:sz="6" w:space="0"/>
            </w:tcBorders>
            <w:shd w:val="clear" w:color="auto" w:fill="auto"/>
            <w:vAlign w:val="center"/>
          </w:tcPr>
          <w:p w14:paraId="159BC531">
            <w:pPr>
              <w:snapToGrid w:val="0"/>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1.12.3</w:t>
            </w:r>
          </w:p>
        </w:tc>
        <w:tc>
          <w:tcPr>
            <w:tcW w:w="2291" w:type="dxa"/>
            <w:tcBorders>
              <w:top w:val="single" w:color="auto" w:sz="6" w:space="0"/>
              <w:left w:val="single" w:color="auto" w:sz="6" w:space="0"/>
              <w:bottom w:val="single" w:color="auto" w:sz="6" w:space="0"/>
              <w:right w:val="single" w:color="auto" w:sz="6" w:space="0"/>
            </w:tcBorders>
            <w:shd w:val="clear" w:color="auto" w:fill="auto"/>
            <w:vAlign w:val="center"/>
          </w:tcPr>
          <w:p w14:paraId="7E79B8DC">
            <w:pPr>
              <w:snapToGrid w:val="0"/>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偏差</w:t>
            </w:r>
          </w:p>
        </w:tc>
        <w:tc>
          <w:tcPr>
            <w:tcW w:w="6607" w:type="dxa"/>
            <w:tcBorders>
              <w:top w:val="single" w:color="auto" w:sz="6" w:space="0"/>
              <w:left w:val="single" w:color="auto" w:sz="6" w:space="0"/>
              <w:bottom w:val="single" w:color="auto" w:sz="6" w:space="0"/>
              <w:right w:val="single" w:color="auto" w:sz="4" w:space="0"/>
            </w:tcBorders>
            <w:shd w:val="clear" w:color="auto" w:fill="auto"/>
          </w:tcPr>
          <w:p w14:paraId="6A17B6F2">
            <w:pPr>
              <w:spacing w:line="276" w:lineRule="auto"/>
              <w:ind w:left="40" w:leftChars="19" w:right="107" w:rightChars="51"/>
              <w:rPr>
                <w:rFonts w:ascii="宋体" w:hAnsi="宋体" w:eastAsia="宋体"/>
                <w:color w:val="auto"/>
                <w:sz w:val="24"/>
                <w:szCs w:val="24"/>
                <w:highlight w:val="none"/>
              </w:rPr>
            </w:pPr>
            <w:r>
              <w:rPr>
                <w:rFonts w:hint="eastAsia" w:ascii="宋体" w:hAnsi="宋体" w:eastAsia="宋体"/>
                <w:color w:val="auto"/>
                <w:sz w:val="24"/>
                <w:szCs w:val="24"/>
                <w:highlight w:val="none"/>
              </w:rPr>
              <w:t>■不允许</w:t>
            </w:r>
          </w:p>
          <w:p w14:paraId="6095BE09">
            <w:pPr>
              <w:pStyle w:val="18"/>
              <w:topLinePunct/>
              <w:spacing w:after="0" w:line="276" w:lineRule="auto"/>
              <w:ind w:left="40" w:leftChars="19" w:right="107" w:rightChars="51"/>
              <w:rPr>
                <w:rFonts w:ascii="宋体" w:hAnsi="宋体" w:eastAsia="宋体"/>
                <w:color w:val="auto"/>
                <w:sz w:val="24"/>
                <w:szCs w:val="24"/>
                <w:highlight w:val="none"/>
              </w:rPr>
            </w:pPr>
            <w:r>
              <w:rPr>
                <w:rFonts w:hint="eastAsia" w:ascii="宋体" w:hAnsi="宋体" w:eastAsia="宋体"/>
                <w:color w:val="auto"/>
                <w:sz w:val="24"/>
                <w:szCs w:val="24"/>
                <w:highlight w:val="none"/>
              </w:rPr>
              <w:t>□允许，偏差范围：</w:t>
            </w:r>
            <w:r>
              <w:rPr>
                <w:rFonts w:hint="eastAsia" w:ascii="宋体" w:hAnsi="宋体" w:eastAsia="宋体"/>
                <w:color w:val="auto"/>
                <w:sz w:val="24"/>
                <w:szCs w:val="24"/>
                <w:highlight w:val="none"/>
                <w:u w:val="single"/>
              </w:rPr>
              <w:t>/</w:t>
            </w:r>
          </w:p>
          <w:p w14:paraId="2DA80E5C">
            <w:pPr>
              <w:topLinePunct/>
              <w:snapToGrid w:val="0"/>
              <w:spacing w:line="276" w:lineRule="auto"/>
              <w:ind w:firstLine="1010" w:firstLineChars="421"/>
              <w:jc w:val="left"/>
              <w:rPr>
                <w:rFonts w:ascii="宋体" w:hAnsi="宋体" w:eastAsia="宋体"/>
                <w:color w:val="auto"/>
                <w:sz w:val="24"/>
                <w:szCs w:val="24"/>
                <w:highlight w:val="none"/>
              </w:rPr>
            </w:pPr>
            <w:r>
              <w:rPr>
                <w:rFonts w:hint="eastAsia" w:ascii="宋体" w:hAnsi="宋体" w:eastAsia="宋体"/>
                <w:color w:val="auto"/>
                <w:sz w:val="24"/>
                <w:szCs w:val="24"/>
                <w:highlight w:val="none"/>
              </w:rPr>
              <w:t>偏差幅度：</w:t>
            </w:r>
            <w:r>
              <w:rPr>
                <w:rFonts w:hint="eastAsia" w:ascii="宋体" w:hAnsi="宋体" w:eastAsia="宋体"/>
                <w:color w:val="auto"/>
                <w:sz w:val="24"/>
                <w:szCs w:val="24"/>
                <w:highlight w:val="none"/>
                <w:u w:val="single"/>
              </w:rPr>
              <w:t>/</w:t>
            </w:r>
          </w:p>
        </w:tc>
      </w:tr>
      <w:tr w14:paraId="679249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94" w:hRule="atLeast"/>
        </w:trPr>
        <w:tc>
          <w:tcPr>
            <w:tcW w:w="936" w:type="dxa"/>
            <w:tcBorders>
              <w:top w:val="single" w:color="auto" w:sz="6" w:space="0"/>
              <w:left w:val="single" w:color="auto" w:sz="4" w:space="0"/>
              <w:bottom w:val="single" w:color="auto" w:sz="6" w:space="0"/>
              <w:right w:val="single" w:color="auto" w:sz="6" w:space="0"/>
            </w:tcBorders>
            <w:shd w:val="clear" w:color="auto" w:fill="auto"/>
            <w:vAlign w:val="center"/>
          </w:tcPr>
          <w:p w14:paraId="466ADC36">
            <w:pPr>
              <w:snapToGrid w:val="0"/>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2.1</w:t>
            </w:r>
          </w:p>
        </w:tc>
        <w:tc>
          <w:tcPr>
            <w:tcW w:w="2291" w:type="dxa"/>
            <w:tcBorders>
              <w:top w:val="single" w:color="auto" w:sz="6" w:space="0"/>
              <w:left w:val="single" w:color="auto" w:sz="6" w:space="0"/>
              <w:bottom w:val="single" w:color="auto" w:sz="6" w:space="0"/>
              <w:right w:val="single" w:color="auto" w:sz="6" w:space="0"/>
            </w:tcBorders>
            <w:shd w:val="clear" w:color="auto" w:fill="auto"/>
            <w:vAlign w:val="center"/>
          </w:tcPr>
          <w:p w14:paraId="088BDD29">
            <w:pPr>
              <w:snapToGrid w:val="0"/>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构成招标文件的其他资料</w:t>
            </w:r>
          </w:p>
        </w:tc>
        <w:tc>
          <w:tcPr>
            <w:tcW w:w="6607" w:type="dxa"/>
            <w:tcBorders>
              <w:top w:val="single" w:color="auto" w:sz="6" w:space="0"/>
              <w:left w:val="single" w:color="auto" w:sz="6" w:space="0"/>
              <w:bottom w:val="single" w:color="auto" w:sz="6" w:space="0"/>
              <w:right w:val="single" w:color="auto" w:sz="4" w:space="0"/>
            </w:tcBorders>
            <w:shd w:val="clear" w:color="auto" w:fill="auto"/>
            <w:vAlign w:val="center"/>
          </w:tcPr>
          <w:p w14:paraId="7296D22F">
            <w:pPr>
              <w:snapToGrid w:val="0"/>
              <w:spacing w:line="276" w:lineRule="auto"/>
              <w:rPr>
                <w:rFonts w:ascii="宋体" w:hAnsi="宋体" w:eastAsia="宋体"/>
                <w:color w:val="auto"/>
                <w:sz w:val="24"/>
                <w:szCs w:val="24"/>
                <w:highlight w:val="none"/>
              </w:rPr>
            </w:pPr>
            <w:r>
              <w:rPr>
                <w:rFonts w:hint="eastAsia" w:ascii="宋体" w:hAnsi="宋体" w:eastAsia="宋体" w:cstheme="minorBidi"/>
                <w:color w:val="auto"/>
                <w:sz w:val="24"/>
                <w:szCs w:val="24"/>
                <w:highlight w:val="none"/>
                <w:u w:val="single"/>
              </w:rPr>
              <w:t>补充公告（如有）、招标文件澄清答疑纪要（如有）、合同</w:t>
            </w:r>
          </w:p>
        </w:tc>
      </w:tr>
      <w:tr w14:paraId="2BC4591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6" w:hRule="atLeast"/>
        </w:trPr>
        <w:tc>
          <w:tcPr>
            <w:tcW w:w="936" w:type="dxa"/>
            <w:vMerge w:val="restart"/>
            <w:tcBorders>
              <w:top w:val="single" w:color="auto" w:sz="6" w:space="0"/>
              <w:left w:val="single" w:color="auto" w:sz="4" w:space="0"/>
              <w:bottom w:val="single" w:color="auto" w:sz="6" w:space="0"/>
              <w:right w:val="single" w:color="auto" w:sz="6" w:space="0"/>
            </w:tcBorders>
            <w:shd w:val="clear" w:color="auto" w:fill="auto"/>
            <w:vAlign w:val="center"/>
          </w:tcPr>
          <w:p w14:paraId="37539655">
            <w:pPr>
              <w:snapToGrid w:val="0"/>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2.2.1</w:t>
            </w:r>
          </w:p>
        </w:tc>
        <w:tc>
          <w:tcPr>
            <w:tcW w:w="2291" w:type="dxa"/>
            <w:vMerge w:val="restart"/>
            <w:tcBorders>
              <w:top w:val="single" w:color="auto" w:sz="6" w:space="0"/>
              <w:left w:val="single" w:color="auto" w:sz="6" w:space="0"/>
              <w:bottom w:val="single" w:color="auto" w:sz="6" w:space="0"/>
              <w:right w:val="single" w:color="auto" w:sz="6" w:space="0"/>
            </w:tcBorders>
            <w:shd w:val="clear" w:color="auto" w:fill="auto"/>
            <w:vAlign w:val="center"/>
          </w:tcPr>
          <w:p w14:paraId="55F18043">
            <w:pPr>
              <w:snapToGrid w:val="0"/>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投标人要求澄清招标文件</w:t>
            </w:r>
          </w:p>
        </w:tc>
        <w:tc>
          <w:tcPr>
            <w:tcW w:w="6607" w:type="dxa"/>
            <w:tcBorders>
              <w:top w:val="single" w:color="auto" w:sz="6" w:space="0"/>
              <w:left w:val="single" w:color="auto" w:sz="6" w:space="0"/>
              <w:bottom w:val="single" w:color="auto" w:sz="6" w:space="0"/>
              <w:right w:val="single" w:color="auto" w:sz="4" w:space="0"/>
            </w:tcBorders>
            <w:shd w:val="clear" w:color="auto" w:fill="auto"/>
            <w:vAlign w:val="center"/>
          </w:tcPr>
          <w:p w14:paraId="22E12C1E">
            <w:pPr>
              <w:snapToGrid w:val="0"/>
              <w:spacing w:line="276" w:lineRule="auto"/>
              <w:rPr>
                <w:rFonts w:ascii="宋体" w:hAnsi="宋体" w:eastAsia="宋体"/>
                <w:color w:val="auto"/>
                <w:sz w:val="24"/>
                <w:szCs w:val="24"/>
                <w:highlight w:val="none"/>
              </w:rPr>
            </w:pPr>
            <w:r>
              <w:rPr>
                <w:rFonts w:hint="eastAsia" w:ascii="宋体" w:hAnsi="宋体" w:eastAsia="宋体"/>
                <w:color w:val="auto"/>
                <w:sz w:val="24"/>
                <w:szCs w:val="24"/>
                <w:highlight w:val="none"/>
              </w:rPr>
              <w:t>时间：</w:t>
            </w:r>
            <w:r>
              <w:rPr>
                <w:rFonts w:hint="eastAsia" w:ascii="宋体" w:hAnsi="宋体" w:eastAsia="宋体"/>
                <w:color w:val="auto"/>
                <w:sz w:val="24"/>
                <w:szCs w:val="24"/>
                <w:highlight w:val="none"/>
                <w:u w:val="single"/>
              </w:rPr>
              <w:t>在提交投标文件截止时间18天前提出。</w:t>
            </w:r>
          </w:p>
        </w:tc>
      </w:tr>
      <w:tr w14:paraId="3721078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36" w:type="dxa"/>
            <w:vMerge w:val="continue"/>
            <w:tcBorders>
              <w:top w:val="single" w:color="auto" w:sz="6" w:space="0"/>
              <w:left w:val="single" w:color="auto" w:sz="4" w:space="0"/>
              <w:bottom w:val="single" w:color="auto" w:sz="6" w:space="0"/>
              <w:right w:val="single" w:color="auto" w:sz="6" w:space="0"/>
            </w:tcBorders>
            <w:shd w:val="clear" w:color="auto" w:fill="auto"/>
            <w:vAlign w:val="center"/>
          </w:tcPr>
          <w:p w14:paraId="73B79C7A">
            <w:pPr>
              <w:widowControl/>
              <w:spacing w:line="276" w:lineRule="auto"/>
              <w:jc w:val="left"/>
              <w:rPr>
                <w:rFonts w:ascii="宋体" w:hAnsi="宋体" w:eastAsia="宋体"/>
                <w:color w:val="auto"/>
                <w:sz w:val="24"/>
                <w:szCs w:val="24"/>
                <w:highlight w:val="none"/>
              </w:rPr>
            </w:pPr>
          </w:p>
        </w:tc>
        <w:tc>
          <w:tcPr>
            <w:tcW w:w="2291"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23188F2B">
            <w:pPr>
              <w:widowControl/>
              <w:spacing w:line="276" w:lineRule="auto"/>
              <w:jc w:val="left"/>
              <w:rPr>
                <w:rFonts w:ascii="宋体" w:hAnsi="宋体" w:eastAsia="宋体"/>
                <w:color w:val="auto"/>
                <w:sz w:val="24"/>
                <w:szCs w:val="24"/>
                <w:highlight w:val="none"/>
              </w:rPr>
            </w:pPr>
          </w:p>
        </w:tc>
        <w:tc>
          <w:tcPr>
            <w:tcW w:w="6607" w:type="dxa"/>
            <w:tcBorders>
              <w:top w:val="single" w:color="auto" w:sz="6" w:space="0"/>
              <w:left w:val="single" w:color="auto" w:sz="6" w:space="0"/>
              <w:bottom w:val="single" w:color="auto" w:sz="6" w:space="0"/>
              <w:right w:val="single" w:color="auto" w:sz="4" w:space="0"/>
            </w:tcBorders>
            <w:shd w:val="clear" w:color="auto" w:fill="auto"/>
            <w:vAlign w:val="center"/>
          </w:tcPr>
          <w:p w14:paraId="4B40A4F9">
            <w:pPr>
              <w:pStyle w:val="39"/>
              <w:snapToGrid w:val="0"/>
              <w:spacing w:after="0" w:line="276" w:lineRule="auto"/>
              <w:ind w:right="174" w:rightChars="83" w:firstLine="0"/>
              <w:rPr>
                <w:rFonts w:ascii="宋体" w:hAnsi="宋体"/>
                <w:color w:val="auto"/>
                <w:sz w:val="24"/>
                <w:szCs w:val="24"/>
                <w:highlight w:val="none"/>
                <w:u w:val="single"/>
              </w:rPr>
            </w:pPr>
            <w:r>
              <w:rPr>
                <w:rFonts w:hint="eastAsia" w:ascii="宋体" w:hAnsi="宋体" w:cs="宋体"/>
                <w:color w:val="auto"/>
                <w:sz w:val="24"/>
                <w:szCs w:val="24"/>
                <w:highlight w:val="none"/>
              </w:rPr>
              <w:t>形式：</w:t>
            </w:r>
            <w:r>
              <w:rPr>
                <w:rFonts w:hint="eastAsia" w:ascii="宋体" w:hAnsi="宋体" w:cs="宋体"/>
                <w:color w:val="auto"/>
                <w:sz w:val="24"/>
                <w:szCs w:val="24"/>
                <w:highlight w:val="none"/>
                <w:u w:val="single"/>
              </w:rPr>
              <w:t>1</w:t>
            </w:r>
            <w:r>
              <w:rPr>
                <w:rFonts w:hint="eastAsia" w:ascii="宋体" w:hAnsi="宋体"/>
                <w:color w:val="auto"/>
                <w:sz w:val="24"/>
                <w:szCs w:val="24"/>
                <w:highlight w:val="none"/>
                <w:u w:val="single"/>
              </w:rPr>
              <w:t>、招标答疑采用网上答疑方式进行。投标人若对招标文件（包括招标图纸、合同、招标控制价(</w:t>
            </w:r>
            <w:r>
              <w:rPr>
                <w:rFonts w:hint="eastAsia" w:ascii="宋体" w:hAnsi="宋体" w:cs="宋体"/>
                <w:color w:val="auto"/>
                <w:sz w:val="24"/>
                <w:szCs w:val="24"/>
                <w:highlight w:val="none"/>
                <w:u w:val="single"/>
              </w:rPr>
              <w:t>最高投标限价）</w:t>
            </w:r>
            <w:r>
              <w:rPr>
                <w:rFonts w:hint="eastAsia" w:ascii="宋体" w:hAnsi="宋体"/>
                <w:color w:val="auto"/>
                <w:sz w:val="24"/>
                <w:szCs w:val="24"/>
                <w:highlight w:val="none"/>
                <w:u w:val="single"/>
              </w:rPr>
              <w:t>)</w:t>
            </w:r>
            <w:r>
              <w:rPr>
                <w:rFonts w:hint="eastAsia" w:ascii="宋体" w:hAnsi="宋体" w:cs="宋体"/>
                <w:color w:val="auto"/>
                <w:sz w:val="24"/>
                <w:szCs w:val="24"/>
                <w:highlight w:val="none"/>
                <w:u w:val="single"/>
              </w:rPr>
              <w:t>有疑问的，可在规定的时间内通过</w:t>
            </w:r>
            <w:r>
              <w:rPr>
                <w:rFonts w:hint="eastAsia" w:ascii="宋体" w:hAnsi="宋体" w:cs="宋体"/>
                <w:color w:val="auto"/>
                <w:sz w:val="24"/>
                <w:szCs w:val="24"/>
                <w:highlight w:val="none"/>
                <w:u w:val="single"/>
                <w:lang w:eastAsia="zh-CN"/>
              </w:rPr>
              <w:t>广州交易集团有限公司（广州公共资源交易中心）</w:t>
            </w:r>
            <w:r>
              <w:rPr>
                <w:rFonts w:hint="eastAsia" w:ascii="宋体" w:hAnsi="宋体" w:cs="宋体"/>
                <w:color w:val="auto"/>
                <w:sz w:val="24"/>
                <w:szCs w:val="24"/>
                <w:highlight w:val="none"/>
                <w:u w:val="single"/>
              </w:rPr>
              <w:t>网站将问题提交给招标人或招标代理人，提交问题时一律不得署名。</w:t>
            </w:r>
          </w:p>
          <w:p w14:paraId="6060D3B4">
            <w:pPr>
              <w:pStyle w:val="39"/>
              <w:snapToGrid w:val="0"/>
              <w:spacing w:after="0" w:line="276" w:lineRule="auto"/>
              <w:ind w:right="174" w:rightChars="83" w:firstLine="210"/>
              <w:rPr>
                <w:rFonts w:ascii="宋体" w:hAnsi="宋体"/>
                <w:color w:val="auto"/>
                <w:sz w:val="24"/>
                <w:szCs w:val="24"/>
                <w:highlight w:val="none"/>
                <w:u w:val="single"/>
              </w:rPr>
            </w:pPr>
            <w:r>
              <w:rPr>
                <w:rFonts w:hint="eastAsia" w:ascii="宋体" w:hAnsi="宋体" w:cs="宋体"/>
                <w:color w:val="auto"/>
                <w:sz w:val="24"/>
                <w:szCs w:val="24"/>
                <w:highlight w:val="none"/>
                <w:u w:val="single"/>
              </w:rPr>
              <w:t>网上答疑的操作指南为：登陆</w:t>
            </w:r>
            <w:r>
              <w:rPr>
                <w:rFonts w:hint="eastAsia" w:ascii="宋体" w:hAnsi="宋体" w:cs="宋体"/>
                <w:color w:val="auto"/>
                <w:sz w:val="24"/>
                <w:szCs w:val="24"/>
                <w:highlight w:val="none"/>
                <w:u w:val="single"/>
                <w:lang w:eastAsia="zh-CN"/>
              </w:rPr>
              <w:t>广州交易集团有限公司（广州公共资源交易中心）</w:t>
            </w:r>
            <w:r>
              <w:rPr>
                <w:rFonts w:hint="eastAsia" w:ascii="宋体" w:hAnsi="宋体" w:cs="宋体"/>
                <w:color w:val="auto"/>
                <w:sz w:val="24"/>
                <w:szCs w:val="24"/>
                <w:highlight w:val="none"/>
                <w:u w:val="single"/>
              </w:rPr>
              <w:t>网站-&gt;进入“我是投标人（供应商）”-&gt;“我的投标”-&gt;“招标答疑提问”查询项目并提问。</w:t>
            </w:r>
          </w:p>
          <w:p w14:paraId="5DBD9549">
            <w:pPr>
              <w:pStyle w:val="39"/>
              <w:snapToGrid w:val="0"/>
              <w:spacing w:after="0" w:line="276" w:lineRule="auto"/>
              <w:ind w:right="174" w:rightChars="83" w:firstLine="0"/>
              <w:rPr>
                <w:rFonts w:ascii="宋体" w:hAnsi="宋体"/>
                <w:color w:val="auto"/>
                <w:sz w:val="24"/>
                <w:szCs w:val="24"/>
                <w:highlight w:val="none"/>
                <w:u w:val="single"/>
              </w:rPr>
            </w:pPr>
            <w:r>
              <w:rPr>
                <w:rFonts w:hint="eastAsia" w:ascii="宋体" w:hAnsi="宋体" w:cs="宋体"/>
                <w:color w:val="auto"/>
                <w:sz w:val="24"/>
                <w:szCs w:val="24"/>
                <w:highlight w:val="none"/>
                <w:u w:val="single"/>
              </w:rPr>
              <w:t>2</w:t>
            </w:r>
            <w:r>
              <w:rPr>
                <w:rFonts w:hint="eastAsia" w:ascii="宋体" w:hAnsi="宋体"/>
                <w:color w:val="auto"/>
                <w:sz w:val="24"/>
                <w:szCs w:val="24"/>
                <w:highlight w:val="none"/>
                <w:u w:val="single"/>
              </w:rPr>
              <w:t>、投标人应在投标截止时间</w:t>
            </w:r>
            <w:r>
              <w:rPr>
                <w:rFonts w:hint="eastAsia" w:ascii="宋体" w:hAnsi="宋体" w:cs="宋体"/>
                <w:color w:val="auto"/>
                <w:sz w:val="24"/>
                <w:szCs w:val="24"/>
                <w:highlight w:val="none"/>
                <w:u w:val="single"/>
              </w:rPr>
              <w:t>18</w:t>
            </w:r>
            <w:r>
              <w:rPr>
                <w:rFonts w:hint="eastAsia" w:ascii="宋体" w:hAnsi="宋体"/>
                <w:color w:val="auto"/>
                <w:sz w:val="24"/>
                <w:szCs w:val="24"/>
                <w:highlight w:val="none"/>
                <w:u w:val="single"/>
              </w:rPr>
              <w:t>日前停止质疑。招标人应在投标截止时间</w:t>
            </w:r>
            <w:r>
              <w:rPr>
                <w:rFonts w:hint="eastAsia" w:ascii="宋体" w:hAnsi="宋体" w:cs="宋体"/>
                <w:color w:val="auto"/>
                <w:sz w:val="24"/>
                <w:szCs w:val="24"/>
                <w:highlight w:val="none"/>
                <w:u w:val="single"/>
              </w:rPr>
              <w:t>15</w:t>
            </w:r>
            <w:r>
              <w:rPr>
                <w:rFonts w:hint="eastAsia" w:ascii="宋体" w:hAnsi="宋体"/>
                <w:color w:val="auto"/>
                <w:sz w:val="24"/>
                <w:szCs w:val="24"/>
                <w:highlight w:val="none"/>
                <w:u w:val="single"/>
              </w:rPr>
              <w:t>日前解答投标人对招标文件提出的疑问，形成答疑纪要，方可在</w:t>
            </w:r>
            <w:r>
              <w:rPr>
                <w:rFonts w:hint="eastAsia" w:ascii="宋体" w:hAnsi="宋体"/>
                <w:color w:val="auto"/>
                <w:sz w:val="24"/>
                <w:szCs w:val="24"/>
                <w:highlight w:val="none"/>
                <w:u w:val="single"/>
                <w:lang w:eastAsia="zh-CN"/>
              </w:rPr>
              <w:t>广州交易集团有限公司（广州公共资源交易中心）</w:t>
            </w:r>
            <w:r>
              <w:rPr>
                <w:rFonts w:hint="eastAsia" w:ascii="宋体" w:hAnsi="宋体"/>
                <w:color w:val="auto"/>
                <w:sz w:val="24"/>
                <w:szCs w:val="24"/>
                <w:highlight w:val="none"/>
                <w:u w:val="single"/>
              </w:rPr>
              <w:t>网站项目答疑专区发布。</w:t>
            </w:r>
          </w:p>
          <w:p w14:paraId="13339E48">
            <w:pPr>
              <w:pStyle w:val="39"/>
              <w:snapToGrid w:val="0"/>
              <w:spacing w:after="0" w:line="276" w:lineRule="auto"/>
              <w:ind w:right="174" w:rightChars="83" w:firstLine="0"/>
              <w:rPr>
                <w:rFonts w:ascii="宋体" w:hAnsi="宋体"/>
                <w:color w:val="auto"/>
                <w:sz w:val="24"/>
                <w:szCs w:val="24"/>
                <w:highlight w:val="none"/>
                <w:u w:val="single"/>
              </w:rPr>
            </w:pPr>
            <w:r>
              <w:rPr>
                <w:rFonts w:hint="eastAsia" w:ascii="宋体" w:hAnsi="宋体" w:cs="宋体"/>
                <w:color w:val="auto"/>
                <w:sz w:val="24"/>
                <w:szCs w:val="24"/>
                <w:highlight w:val="none"/>
                <w:u w:val="single"/>
              </w:rPr>
              <w:t>3</w:t>
            </w:r>
            <w:r>
              <w:rPr>
                <w:rFonts w:hint="eastAsia" w:ascii="宋体" w:hAnsi="宋体"/>
                <w:color w:val="auto"/>
                <w:sz w:val="24"/>
                <w:szCs w:val="24"/>
                <w:highlight w:val="none"/>
                <w:u w:val="single"/>
              </w:rPr>
              <w:t>、招标答疑纪要一经在</w:t>
            </w:r>
            <w:r>
              <w:rPr>
                <w:rFonts w:hint="eastAsia" w:ascii="宋体" w:hAnsi="宋体"/>
                <w:color w:val="auto"/>
                <w:sz w:val="24"/>
                <w:szCs w:val="24"/>
                <w:highlight w:val="none"/>
                <w:u w:val="single"/>
                <w:lang w:eastAsia="zh-CN"/>
              </w:rPr>
              <w:t>广州交易集团有限公司（广州公共资源交易中心）</w:t>
            </w:r>
            <w:r>
              <w:rPr>
                <w:rFonts w:hint="eastAsia" w:ascii="宋体" w:hAnsi="宋体"/>
                <w:color w:val="auto"/>
                <w:sz w:val="24"/>
                <w:szCs w:val="24"/>
                <w:highlight w:val="none"/>
                <w:u w:val="single"/>
              </w:rPr>
              <w:t>网站发布，视作已发放给所有投标人。</w:t>
            </w:r>
          </w:p>
          <w:p w14:paraId="2D4791C4">
            <w:pPr>
              <w:snapToGrid w:val="0"/>
              <w:spacing w:line="276" w:lineRule="auto"/>
              <w:rPr>
                <w:rFonts w:ascii="宋体" w:hAnsi="宋体" w:eastAsia="宋体"/>
                <w:color w:val="auto"/>
                <w:sz w:val="24"/>
                <w:szCs w:val="24"/>
                <w:highlight w:val="none"/>
                <w:u w:val="single"/>
              </w:rPr>
            </w:pPr>
            <w:r>
              <w:rPr>
                <w:rFonts w:hint="eastAsia" w:ascii="宋体" w:hAnsi="宋体" w:eastAsia="宋体" w:cs="宋体"/>
                <w:color w:val="auto"/>
                <w:kern w:val="0"/>
                <w:sz w:val="24"/>
                <w:szCs w:val="24"/>
                <w:highlight w:val="none"/>
                <w:u w:val="single"/>
              </w:rPr>
              <w:t>4</w:t>
            </w:r>
            <w:r>
              <w:rPr>
                <w:rFonts w:hint="eastAsia" w:ascii="宋体" w:hAnsi="宋体" w:eastAsia="宋体"/>
                <w:color w:val="auto"/>
                <w:kern w:val="0"/>
                <w:sz w:val="24"/>
                <w:szCs w:val="24"/>
                <w:highlight w:val="none"/>
                <w:u w:val="single"/>
              </w:rPr>
              <w:t>、招标答疑纪要为招标文件的一部分。投标人可在</w:t>
            </w:r>
            <w:r>
              <w:rPr>
                <w:rFonts w:hint="eastAsia" w:ascii="宋体" w:hAnsi="宋体" w:eastAsia="宋体"/>
                <w:color w:val="auto"/>
                <w:kern w:val="0"/>
                <w:sz w:val="24"/>
                <w:szCs w:val="24"/>
                <w:highlight w:val="none"/>
                <w:u w:val="single"/>
                <w:lang w:eastAsia="zh-CN"/>
              </w:rPr>
              <w:t>广州交易集团有限公司（广州公共资源交易中心）</w:t>
            </w:r>
            <w:r>
              <w:rPr>
                <w:rFonts w:hint="eastAsia" w:ascii="宋体" w:hAnsi="宋体" w:eastAsia="宋体"/>
                <w:color w:val="auto"/>
                <w:kern w:val="0"/>
                <w:sz w:val="24"/>
                <w:szCs w:val="24"/>
                <w:highlight w:val="none"/>
                <w:u w:val="single"/>
              </w:rPr>
              <w:t>网站浏览、下载招标答疑纪要。</w:t>
            </w:r>
          </w:p>
        </w:tc>
      </w:tr>
      <w:tr w14:paraId="70310A1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564" w:hRule="atLeast"/>
        </w:trPr>
        <w:tc>
          <w:tcPr>
            <w:tcW w:w="936" w:type="dxa"/>
            <w:tcBorders>
              <w:top w:val="single" w:color="auto" w:sz="6" w:space="0"/>
              <w:left w:val="single" w:color="auto" w:sz="4" w:space="0"/>
              <w:bottom w:val="single" w:color="auto" w:sz="6" w:space="0"/>
              <w:right w:val="single" w:color="auto" w:sz="6" w:space="0"/>
            </w:tcBorders>
            <w:shd w:val="clear" w:color="auto" w:fill="auto"/>
            <w:vAlign w:val="center"/>
          </w:tcPr>
          <w:p w14:paraId="6A34F842">
            <w:pPr>
              <w:snapToGrid w:val="0"/>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2.2.2</w:t>
            </w:r>
          </w:p>
        </w:tc>
        <w:tc>
          <w:tcPr>
            <w:tcW w:w="2291" w:type="dxa"/>
            <w:tcBorders>
              <w:top w:val="single" w:color="auto" w:sz="6" w:space="0"/>
              <w:left w:val="single" w:color="auto" w:sz="6" w:space="0"/>
              <w:bottom w:val="single" w:color="auto" w:sz="6" w:space="0"/>
              <w:right w:val="single" w:color="auto" w:sz="6" w:space="0"/>
            </w:tcBorders>
            <w:shd w:val="clear" w:color="auto" w:fill="auto"/>
            <w:vAlign w:val="center"/>
          </w:tcPr>
          <w:p w14:paraId="5B383E37">
            <w:pPr>
              <w:snapToGrid w:val="0"/>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招标文件澄清发出的形式</w:t>
            </w:r>
          </w:p>
        </w:tc>
        <w:tc>
          <w:tcPr>
            <w:tcW w:w="6607" w:type="dxa"/>
            <w:tcBorders>
              <w:top w:val="single" w:color="auto" w:sz="6" w:space="0"/>
              <w:left w:val="single" w:color="auto" w:sz="6" w:space="0"/>
              <w:bottom w:val="single" w:color="auto" w:sz="6" w:space="0"/>
              <w:right w:val="single" w:color="auto" w:sz="4" w:space="0"/>
            </w:tcBorders>
            <w:shd w:val="clear" w:color="auto" w:fill="auto"/>
            <w:vAlign w:val="center"/>
          </w:tcPr>
          <w:p w14:paraId="4E02C674">
            <w:pPr>
              <w:snapToGrid w:val="0"/>
              <w:spacing w:line="276" w:lineRule="auto"/>
              <w:rPr>
                <w:rFonts w:ascii="宋体" w:hAnsi="宋体" w:eastAsia="宋体"/>
                <w:color w:val="auto"/>
                <w:sz w:val="24"/>
                <w:szCs w:val="24"/>
                <w:highlight w:val="none"/>
                <w:u w:val="single"/>
              </w:rPr>
            </w:pPr>
            <w:r>
              <w:rPr>
                <w:rFonts w:hint="eastAsia" w:ascii="宋体" w:hAnsi="宋体" w:eastAsia="宋体"/>
                <w:color w:val="auto"/>
                <w:sz w:val="24"/>
                <w:szCs w:val="24"/>
                <w:highlight w:val="none"/>
                <w:u w:val="single"/>
              </w:rPr>
              <w:t>在递交投标文件截止时间15天前；在</w:t>
            </w:r>
            <w:r>
              <w:rPr>
                <w:rFonts w:hint="eastAsia" w:ascii="宋体" w:hAnsi="宋体" w:eastAsia="宋体"/>
                <w:color w:val="auto"/>
                <w:sz w:val="24"/>
                <w:szCs w:val="24"/>
                <w:highlight w:val="none"/>
                <w:u w:val="single"/>
                <w:lang w:eastAsia="zh-CN"/>
              </w:rPr>
              <w:t>广州交易集团有限公司（广州公共资源交易中心）</w:t>
            </w:r>
            <w:r>
              <w:rPr>
                <w:rFonts w:hint="eastAsia" w:ascii="宋体" w:hAnsi="宋体" w:eastAsia="宋体"/>
                <w:color w:val="auto"/>
                <w:sz w:val="24"/>
                <w:szCs w:val="24"/>
                <w:highlight w:val="none"/>
                <w:u w:val="single"/>
              </w:rPr>
              <w:t>网站通过项目答疑专区网上公开发布。</w:t>
            </w:r>
          </w:p>
        </w:tc>
      </w:tr>
      <w:tr w14:paraId="3FF3003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47" w:hRule="atLeast"/>
        </w:trPr>
        <w:tc>
          <w:tcPr>
            <w:tcW w:w="936" w:type="dxa"/>
            <w:vMerge w:val="restart"/>
            <w:tcBorders>
              <w:top w:val="single" w:color="auto" w:sz="6" w:space="0"/>
              <w:left w:val="single" w:color="auto" w:sz="4" w:space="0"/>
              <w:bottom w:val="single" w:color="auto" w:sz="6" w:space="0"/>
              <w:right w:val="single" w:color="auto" w:sz="6" w:space="0"/>
            </w:tcBorders>
            <w:shd w:val="clear" w:color="auto" w:fill="auto"/>
            <w:vAlign w:val="center"/>
          </w:tcPr>
          <w:p w14:paraId="60A560B2">
            <w:pPr>
              <w:snapToGrid w:val="0"/>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2.2.3</w:t>
            </w:r>
          </w:p>
        </w:tc>
        <w:tc>
          <w:tcPr>
            <w:tcW w:w="2291" w:type="dxa"/>
            <w:vMerge w:val="restart"/>
            <w:tcBorders>
              <w:top w:val="single" w:color="auto" w:sz="6" w:space="0"/>
              <w:left w:val="single" w:color="auto" w:sz="6" w:space="0"/>
              <w:bottom w:val="single" w:color="auto" w:sz="6" w:space="0"/>
              <w:right w:val="single" w:color="auto" w:sz="6" w:space="0"/>
            </w:tcBorders>
            <w:shd w:val="clear" w:color="auto" w:fill="auto"/>
            <w:vAlign w:val="center"/>
          </w:tcPr>
          <w:p w14:paraId="53C9F853">
            <w:pPr>
              <w:snapToGrid w:val="0"/>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投标人确认收到招标文件澄清</w:t>
            </w:r>
          </w:p>
        </w:tc>
        <w:tc>
          <w:tcPr>
            <w:tcW w:w="6607" w:type="dxa"/>
            <w:tcBorders>
              <w:top w:val="single" w:color="auto" w:sz="6" w:space="0"/>
              <w:left w:val="single" w:color="auto" w:sz="6" w:space="0"/>
              <w:bottom w:val="single" w:color="auto" w:sz="6" w:space="0"/>
              <w:right w:val="single" w:color="auto" w:sz="4" w:space="0"/>
            </w:tcBorders>
            <w:shd w:val="clear" w:color="auto" w:fill="auto"/>
            <w:vAlign w:val="center"/>
          </w:tcPr>
          <w:p w14:paraId="0B1680F0">
            <w:pPr>
              <w:snapToGrid w:val="0"/>
              <w:spacing w:line="276" w:lineRule="auto"/>
              <w:rPr>
                <w:rFonts w:ascii="宋体" w:hAnsi="宋体" w:eastAsia="宋体"/>
                <w:color w:val="auto"/>
                <w:sz w:val="24"/>
                <w:szCs w:val="24"/>
                <w:highlight w:val="none"/>
              </w:rPr>
            </w:pPr>
            <w:r>
              <w:rPr>
                <w:rFonts w:hint="eastAsia" w:ascii="宋体" w:hAnsi="宋体" w:eastAsia="宋体"/>
                <w:color w:val="auto"/>
                <w:sz w:val="24"/>
                <w:szCs w:val="24"/>
                <w:highlight w:val="none"/>
              </w:rPr>
              <w:t>时间：</w:t>
            </w:r>
            <w:r>
              <w:rPr>
                <w:rFonts w:hint="eastAsia" w:ascii="宋体" w:hAnsi="宋体" w:eastAsia="宋体" w:cs="宋体"/>
                <w:color w:val="auto"/>
                <w:sz w:val="24"/>
                <w:szCs w:val="24"/>
                <w:highlight w:val="none"/>
                <w:u w:val="single"/>
              </w:rPr>
              <w:t>招标文件澄清</w:t>
            </w:r>
            <w:r>
              <w:rPr>
                <w:rFonts w:hint="eastAsia" w:ascii="宋体" w:hAnsi="宋体" w:eastAsia="宋体"/>
                <w:color w:val="auto"/>
                <w:sz w:val="24"/>
                <w:szCs w:val="24"/>
                <w:highlight w:val="none"/>
                <w:u w:val="single"/>
              </w:rPr>
              <w:t>（招标答疑纪要）</w:t>
            </w:r>
            <w:r>
              <w:rPr>
                <w:rFonts w:hint="eastAsia" w:ascii="宋体" w:hAnsi="宋体" w:eastAsia="宋体" w:cs="宋体"/>
                <w:color w:val="auto"/>
                <w:sz w:val="24"/>
                <w:szCs w:val="24"/>
                <w:highlight w:val="none"/>
                <w:u w:val="single"/>
              </w:rPr>
              <w:t>一经在</w:t>
            </w:r>
            <w:r>
              <w:rPr>
                <w:rFonts w:hint="eastAsia" w:ascii="宋体" w:hAnsi="宋体" w:eastAsia="宋体" w:cs="宋体"/>
                <w:color w:val="auto"/>
                <w:sz w:val="24"/>
                <w:szCs w:val="24"/>
                <w:highlight w:val="none"/>
                <w:u w:val="single"/>
                <w:lang w:eastAsia="zh-CN"/>
              </w:rPr>
              <w:t>广州交易集团有限公司（广州公共资源交易中心）</w:t>
            </w:r>
            <w:r>
              <w:rPr>
                <w:rFonts w:hint="eastAsia" w:ascii="宋体" w:hAnsi="宋体" w:eastAsia="宋体" w:cs="宋体"/>
                <w:color w:val="auto"/>
                <w:sz w:val="24"/>
                <w:szCs w:val="24"/>
                <w:highlight w:val="none"/>
                <w:u w:val="single"/>
              </w:rPr>
              <w:t>网站发布，视作已发放给所有投标人。</w:t>
            </w:r>
          </w:p>
        </w:tc>
      </w:tr>
      <w:tr w14:paraId="0E1DD17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2" w:hRule="atLeast"/>
        </w:trPr>
        <w:tc>
          <w:tcPr>
            <w:tcW w:w="936" w:type="dxa"/>
            <w:vMerge w:val="continue"/>
            <w:tcBorders>
              <w:top w:val="single" w:color="auto" w:sz="6" w:space="0"/>
              <w:left w:val="single" w:color="auto" w:sz="4" w:space="0"/>
              <w:bottom w:val="single" w:color="auto" w:sz="6" w:space="0"/>
              <w:right w:val="single" w:color="auto" w:sz="6" w:space="0"/>
            </w:tcBorders>
            <w:shd w:val="clear" w:color="auto" w:fill="auto"/>
            <w:vAlign w:val="center"/>
          </w:tcPr>
          <w:p w14:paraId="0879FF53">
            <w:pPr>
              <w:widowControl/>
              <w:spacing w:line="276" w:lineRule="auto"/>
              <w:jc w:val="left"/>
              <w:rPr>
                <w:rFonts w:ascii="宋体" w:hAnsi="宋体" w:eastAsia="宋体"/>
                <w:color w:val="auto"/>
                <w:sz w:val="24"/>
                <w:szCs w:val="24"/>
                <w:highlight w:val="none"/>
              </w:rPr>
            </w:pPr>
          </w:p>
        </w:tc>
        <w:tc>
          <w:tcPr>
            <w:tcW w:w="2291"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096CDBF8">
            <w:pPr>
              <w:widowControl/>
              <w:spacing w:line="276" w:lineRule="auto"/>
              <w:jc w:val="left"/>
              <w:rPr>
                <w:rFonts w:ascii="宋体" w:hAnsi="宋体" w:eastAsia="宋体"/>
                <w:color w:val="auto"/>
                <w:sz w:val="24"/>
                <w:szCs w:val="24"/>
                <w:highlight w:val="none"/>
              </w:rPr>
            </w:pPr>
          </w:p>
        </w:tc>
        <w:tc>
          <w:tcPr>
            <w:tcW w:w="6607" w:type="dxa"/>
            <w:tcBorders>
              <w:top w:val="single" w:color="auto" w:sz="6" w:space="0"/>
              <w:left w:val="single" w:color="auto" w:sz="6" w:space="0"/>
              <w:bottom w:val="single" w:color="auto" w:sz="6" w:space="0"/>
              <w:right w:val="single" w:color="auto" w:sz="4" w:space="0"/>
            </w:tcBorders>
            <w:shd w:val="clear" w:color="auto" w:fill="auto"/>
            <w:vAlign w:val="center"/>
          </w:tcPr>
          <w:p w14:paraId="5107E3BA">
            <w:pPr>
              <w:snapToGrid w:val="0"/>
              <w:spacing w:line="276" w:lineRule="auto"/>
              <w:rPr>
                <w:rFonts w:ascii="宋体" w:hAnsi="宋体" w:eastAsia="宋体"/>
                <w:color w:val="auto"/>
                <w:sz w:val="24"/>
                <w:szCs w:val="24"/>
                <w:highlight w:val="none"/>
              </w:rPr>
            </w:pPr>
            <w:r>
              <w:rPr>
                <w:rFonts w:hint="eastAsia" w:ascii="宋体" w:hAnsi="宋体" w:eastAsia="宋体" w:cs="宋体"/>
                <w:color w:val="auto"/>
                <w:sz w:val="24"/>
                <w:szCs w:val="24"/>
                <w:highlight w:val="none"/>
              </w:rPr>
              <w:t>形式：</w:t>
            </w:r>
            <w:r>
              <w:rPr>
                <w:rFonts w:hint="eastAsia" w:ascii="宋体" w:hAnsi="宋体" w:eastAsia="宋体" w:cs="宋体"/>
                <w:color w:val="auto"/>
                <w:sz w:val="24"/>
                <w:szCs w:val="24"/>
                <w:highlight w:val="none"/>
                <w:u w:val="single"/>
              </w:rPr>
              <w:t>网上答疑</w:t>
            </w:r>
          </w:p>
        </w:tc>
      </w:tr>
      <w:tr w14:paraId="43816E1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10" w:hRule="atLeast"/>
        </w:trPr>
        <w:tc>
          <w:tcPr>
            <w:tcW w:w="936" w:type="dxa"/>
            <w:tcBorders>
              <w:top w:val="single" w:color="auto" w:sz="6" w:space="0"/>
              <w:left w:val="single" w:color="auto" w:sz="4" w:space="0"/>
              <w:bottom w:val="single" w:color="auto" w:sz="6" w:space="0"/>
              <w:right w:val="single" w:color="auto" w:sz="6" w:space="0"/>
            </w:tcBorders>
            <w:shd w:val="clear" w:color="auto" w:fill="auto"/>
            <w:vAlign w:val="center"/>
          </w:tcPr>
          <w:p w14:paraId="50EA9521">
            <w:pPr>
              <w:snapToGrid w:val="0"/>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2.3.1</w:t>
            </w:r>
          </w:p>
        </w:tc>
        <w:tc>
          <w:tcPr>
            <w:tcW w:w="2291" w:type="dxa"/>
            <w:tcBorders>
              <w:top w:val="single" w:color="auto" w:sz="6" w:space="0"/>
              <w:left w:val="single" w:color="auto" w:sz="6" w:space="0"/>
              <w:bottom w:val="single" w:color="auto" w:sz="6" w:space="0"/>
              <w:right w:val="single" w:color="auto" w:sz="6" w:space="0"/>
            </w:tcBorders>
            <w:shd w:val="clear" w:color="auto" w:fill="auto"/>
            <w:vAlign w:val="center"/>
          </w:tcPr>
          <w:p w14:paraId="034D3303">
            <w:pPr>
              <w:snapToGrid w:val="0"/>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招标文件修改发出的形式</w:t>
            </w:r>
          </w:p>
        </w:tc>
        <w:tc>
          <w:tcPr>
            <w:tcW w:w="6607" w:type="dxa"/>
            <w:tcBorders>
              <w:top w:val="single" w:color="auto" w:sz="6" w:space="0"/>
              <w:left w:val="single" w:color="auto" w:sz="6" w:space="0"/>
              <w:bottom w:val="single" w:color="auto" w:sz="6" w:space="0"/>
              <w:right w:val="single" w:color="auto" w:sz="4" w:space="0"/>
            </w:tcBorders>
            <w:shd w:val="clear" w:color="auto" w:fill="auto"/>
            <w:vAlign w:val="center"/>
          </w:tcPr>
          <w:p w14:paraId="790CF262">
            <w:pPr>
              <w:snapToGrid w:val="0"/>
              <w:spacing w:line="276" w:lineRule="auto"/>
              <w:rPr>
                <w:rFonts w:ascii="宋体" w:hAnsi="宋体" w:eastAsia="宋体"/>
                <w:color w:val="auto"/>
                <w:sz w:val="24"/>
                <w:szCs w:val="24"/>
                <w:highlight w:val="none"/>
                <w:u w:val="single"/>
              </w:rPr>
            </w:pPr>
            <w:r>
              <w:rPr>
                <w:rFonts w:hint="eastAsia" w:ascii="宋体" w:hAnsi="宋体" w:eastAsia="宋体"/>
                <w:color w:val="auto"/>
                <w:sz w:val="24"/>
                <w:szCs w:val="24"/>
                <w:highlight w:val="none"/>
                <w:u w:val="single"/>
              </w:rPr>
              <w:t>以补充公告或项目答疑澄清的方式在</w:t>
            </w:r>
            <w:r>
              <w:rPr>
                <w:rFonts w:hint="eastAsia" w:ascii="宋体" w:hAnsi="宋体" w:eastAsia="宋体"/>
                <w:color w:val="auto"/>
                <w:sz w:val="24"/>
                <w:szCs w:val="24"/>
                <w:highlight w:val="none"/>
                <w:u w:val="single"/>
                <w:lang w:eastAsia="zh-CN"/>
              </w:rPr>
              <w:t>广州交易集团有限公司（广州公共资源交易中心）</w:t>
            </w:r>
            <w:r>
              <w:rPr>
                <w:rFonts w:hint="eastAsia" w:ascii="宋体" w:hAnsi="宋体" w:eastAsia="宋体"/>
                <w:color w:val="auto"/>
                <w:sz w:val="24"/>
                <w:szCs w:val="24"/>
                <w:highlight w:val="none"/>
                <w:u w:val="single"/>
              </w:rPr>
              <w:t>网站发布。</w:t>
            </w:r>
          </w:p>
        </w:tc>
      </w:tr>
      <w:tr w14:paraId="527B827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8" w:hRule="atLeast"/>
        </w:trPr>
        <w:tc>
          <w:tcPr>
            <w:tcW w:w="936" w:type="dxa"/>
            <w:vMerge w:val="restart"/>
            <w:tcBorders>
              <w:top w:val="single" w:color="auto" w:sz="6" w:space="0"/>
              <w:left w:val="single" w:color="auto" w:sz="4" w:space="0"/>
              <w:bottom w:val="single" w:color="auto" w:sz="6" w:space="0"/>
              <w:right w:val="single" w:color="auto" w:sz="6" w:space="0"/>
            </w:tcBorders>
            <w:shd w:val="clear" w:color="auto" w:fill="auto"/>
            <w:vAlign w:val="center"/>
          </w:tcPr>
          <w:p w14:paraId="3923658F">
            <w:pPr>
              <w:snapToGrid w:val="0"/>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2.3.2</w:t>
            </w:r>
          </w:p>
        </w:tc>
        <w:tc>
          <w:tcPr>
            <w:tcW w:w="2291" w:type="dxa"/>
            <w:vMerge w:val="restart"/>
            <w:tcBorders>
              <w:top w:val="single" w:color="auto" w:sz="6" w:space="0"/>
              <w:left w:val="single" w:color="auto" w:sz="6" w:space="0"/>
              <w:bottom w:val="single" w:color="auto" w:sz="6" w:space="0"/>
              <w:right w:val="single" w:color="auto" w:sz="6" w:space="0"/>
            </w:tcBorders>
            <w:shd w:val="clear" w:color="auto" w:fill="auto"/>
            <w:vAlign w:val="center"/>
          </w:tcPr>
          <w:p w14:paraId="7304570E">
            <w:pPr>
              <w:snapToGrid w:val="0"/>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投标人确认收到招标文件修改</w:t>
            </w:r>
          </w:p>
        </w:tc>
        <w:tc>
          <w:tcPr>
            <w:tcW w:w="6607" w:type="dxa"/>
            <w:tcBorders>
              <w:top w:val="single" w:color="auto" w:sz="6" w:space="0"/>
              <w:left w:val="single" w:color="auto" w:sz="6" w:space="0"/>
              <w:bottom w:val="single" w:color="auto" w:sz="6" w:space="0"/>
              <w:right w:val="single" w:color="auto" w:sz="4" w:space="0"/>
            </w:tcBorders>
            <w:shd w:val="clear" w:color="auto" w:fill="auto"/>
            <w:vAlign w:val="center"/>
          </w:tcPr>
          <w:p w14:paraId="7DC8DE9F">
            <w:pPr>
              <w:snapToGrid w:val="0"/>
              <w:spacing w:line="276"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olor w:val="auto"/>
                <w:sz w:val="24"/>
                <w:szCs w:val="24"/>
                <w:highlight w:val="none"/>
                <w:u w:val="single"/>
              </w:rPr>
              <w:t>发出即视作收到。</w:t>
            </w:r>
          </w:p>
        </w:tc>
      </w:tr>
      <w:tr w14:paraId="6C1F5A2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9" w:hRule="atLeast"/>
        </w:trPr>
        <w:tc>
          <w:tcPr>
            <w:tcW w:w="936" w:type="dxa"/>
            <w:vMerge w:val="continue"/>
            <w:tcBorders>
              <w:top w:val="single" w:color="auto" w:sz="6" w:space="0"/>
              <w:left w:val="single" w:color="auto" w:sz="4" w:space="0"/>
              <w:bottom w:val="single" w:color="auto" w:sz="6" w:space="0"/>
              <w:right w:val="single" w:color="auto" w:sz="6" w:space="0"/>
            </w:tcBorders>
            <w:shd w:val="clear" w:color="auto" w:fill="auto"/>
            <w:vAlign w:val="center"/>
          </w:tcPr>
          <w:p w14:paraId="441A055E">
            <w:pPr>
              <w:widowControl/>
              <w:spacing w:line="276" w:lineRule="auto"/>
              <w:jc w:val="left"/>
              <w:rPr>
                <w:rFonts w:ascii="宋体" w:hAnsi="宋体" w:eastAsia="宋体"/>
                <w:color w:val="auto"/>
                <w:sz w:val="24"/>
                <w:szCs w:val="24"/>
                <w:highlight w:val="none"/>
              </w:rPr>
            </w:pPr>
          </w:p>
        </w:tc>
        <w:tc>
          <w:tcPr>
            <w:tcW w:w="2291"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4A41F820">
            <w:pPr>
              <w:widowControl/>
              <w:spacing w:line="276" w:lineRule="auto"/>
              <w:jc w:val="left"/>
              <w:rPr>
                <w:rFonts w:ascii="宋体" w:hAnsi="宋体" w:eastAsia="宋体"/>
                <w:color w:val="auto"/>
                <w:sz w:val="24"/>
                <w:szCs w:val="24"/>
                <w:highlight w:val="none"/>
              </w:rPr>
            </w:pPr>
          </w:p>
        </w:tc>
        <w:tc>
          <w:tcPr>
            <w:tcW w:w="6607" w:type="dxa"/>
            <w:tcBorders>
              <w:top w:val="single" w:color="auto" w:sz="6" w:space="0"/>
              <w:left w:val="single" w:color="auto" w:sz="6" w:space="0"/>
              <w:bottom w:val="single" w:color="auto" w:sz="6" w:space="0"/>
              <w:right w:val="single" w:color="auto" w:sz="4" w:space="0"/>
            </w:tcBorders>
            <w:shd w:val="clear" w:color="auto" w:fill="auto"/>
            <w:vAlign w:val="center"/>
          </w:tcPr>
          <w:p w14:paraId="50D07B2C">
            <w:pPr>
              <w:snapToGrid w:val="0"/>
              <w:spacing w:line="276" w:lineRule="auto"/>
              <w:rPr>
                <w:rFonts w:ascii="宋体" w:hAnsi="宋体" w:eastAsia="宋体"/>
                <w:color w:val="auto"/>
                <w:sz w:val="24"/>
                <w:szCs w:val="24"/>
                <w:highlight w:val="none"/>
              </w:rPr>
            </w:pPr>
            <w:r>
              <w:rPr>
                <w:rFonts w:hint="eastAsia" w:ascii="宋体" w:hAnsi="宋体" w:eastAsia="宋体" w:cs="宋体"/>
                <w:color w:val="auto"/>
                <w:sz w:val="24"/>
                <w:szCs w:val="24"/>
                <w:highlight w:val="none"/>
              </w:rPr>
              <w:t>形式：</w:t>
            </w:r>
            <w:r>
              <w:rPr>
                <w:rFonts w:hint="eastAsia" w:ascii="宋体" w:hAnsi="宋体" w:eastAsia="宋体" w:cs="宋体"/>
                <w:color w:val="auto"/>
                <w:sz w:val="24"/>
                <w:szCs w:val="24"/>
                <w:highlight w:val="none"/>
                <w:u w:val="single"/>
              </w:rPr>
              <w:t>招标文件修改一经在</w:t>
            </w:r>
            <w:r>
              <w:rPr>
                <w:rFonts w:hint="eastAsia" w:ascii="宋体" w:hAnsi="宋体" w:eastAsia="宋体" w:cs="宋体"/>
                <w:color w:val="auto"/>
                <w:sz w:val="24"/>
                <w:szCs w:val="24"/>
                <w:highlight w:val="none"/>
                <w:u w:val="single"/>
                <w:lang w:eastAsia="zh-CN"/>
              </w:rPr>
              <w:t>广州交易集团有限公司（广州公共资源交易中心）</w:t>
            </w:r>
            <w:r>
              <w:rPr>
                <w:rFonts w:hint="eastAsia" w:ascii="宋体" w:hAnsi="宋体" w:eastAsia="宋体" w:cs="宋体"/>
                <w:color w:val="auto"/>
                <w:sz w:val="24"/>
                <w:szCs w:val="24"/>
                <w:highlight w:val="none"/>
                <w:u w:val="single"/>
              </w:rPr>
              <w:t>网站发布，视作已发放给所有投标人，无需确认。潜在投标人应自行关注招标公告公布的网站公告，投标人因自身贻误行为导致投标失败的，责任自负。</w:t>
            </w:r>
          </w:p>
        </w:tc>
      </w:tr>
      <w:tr w14:paraId="2952DF6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936" w:type="dxa"/>
            <w:tcBorders>
              <w:top w:val="single" w:color="auto" w:sz="6" w:space="0"/>
              <w:left w:val="single" w:color="auto" w:sz="4" w:space="0"/>
              <w:bottom w:val="single" w:color="auto" w:sz="6" w:space="0"/>
              <w:right w:val="single" w:color="auto" w:sz="6" w:space="0"/>
            </w:tcBorders>
            <w:shd w:val="clear" w:color="auto" w:fill="auto"/>
            <w:vAlign w:val="center"/>
          </w:tcPr>
          <w:p w14:paraId="25479A9D">
            <w:pPr>
              <w:snapToGrid w:val="0"/>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3.1.1</w:t>
            </w:r>
          </w:p>
        </w:tc>
        <w:tc>
          <w:tcPr>
            <w:tcW w:w="2291" w:type="dxa"/>
            <w:tcBorders>
              <w:top w:val="single" w:color="auto" w:sz="6" w:space="0"/>
              <w:left w:val="single" w:color="auto" w:sz="6" w:space="0"/>
              <w:bottom w:val="single" w:color="auto" w:sz="6" w:space="0"/>
              <w:right w:val="single" w:color="auto" w:sz="6" w:space="0"/>
            </w:tcBorders>
            <w:shd w:val="clear" w:color="auto" w:fill="auto"/>
            <w:vAlign w:val="center"/>
          </w:tcPr>
          <w:p w14:paraId="28FFF83B">
            <w:pPr>
              <w:snapToGrid w:val="0"/>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构成投标文件的其他资料</w:t>
            </w:r>
          </w:p>
        </w:tc>
        <w:tc>
          <w:tcPr>
            <w:tcW w:w="6607" w:type="dxa"/>
            <w:tcBorders>
              <w:top w:val="single" w:color="auto" w:sz="6" w:space="0"/>
              <w:left w:val="single" w:color="auto" w:sz="6" w:space="0"/>
              <w:bottom w:val="single" w:color="auto" w:sz="6" w:space="0"/>
              <w:right w:val="single" w:color="auto" w:sz="4" w:space="0"/>
            </w:tcBorders>
            <w:shd w:val="clear" w:color="auto" w:fill="auto"/>
            <w:vAlign w:val="center"/>
          </w:tcPr>
          <w:p w14:paraId="2778DA07">
            <w:pPr>
              <w:snapToGrid w:val="0"/>
              <w:spacing w:line="276" w:lineRule="auto"/>
              <w:rPr>
                <w:rFonts w:ascii="宋体" w:hAnsi="宋体" w:eastAsia="宋体"/>
                <w:color w:val="auto"/>
                <w:sz w:val="24"/>
                <w:szCs w:val="24"/>
                <w:highlight w:val="none"/>
              </w:rPr>
            </w:pPr>
            <w:r>
              <w:rPr>
                <w:rFonts w:hint="eastAsia" w:ascii="宋体" w:hAnsi="宋体" w:eastAsia="宋体" w:cs="宋体"/>
                <w:color w:val="auto"/>
                <w:sz w:val="24"/>
                <w:szCs w:val="24"/>
                <w:highlight w:val="none"/>
                <w:u w:val="single"/>
              </w:rPr>
              <w:t>满足本项目评审要求的其他资料</w:t>
            </w:r>
          </w:p>
        </w:tc>
      </w:tr>
      <w:tr w14:paraId="718DA18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14" w:hRule="atLeast"/>
        </w:trPr>
        <w:tc>
          <w:tcPr>
            <w:tcW w:w="936" w:type="dxa"/>
            <w:tcBorders>
              <w:top w:val="single" w:color="auto" w:sz="6" w:space="0"/>
              <w:left w:val="single" w:color="auto" w:sz="4" w:space="0"/>
              <w:bottom w:val="single" w:color="auto" w:sz="6" w:space="0"/>
              <w:right w:val="single" w:color="auto" w:sz="6" w:space="0"/>
            </w:tcBorders>
            <w:shd w:val="clear" w:color="auto" w:fill="auto"/>
            <w:vAlign w:val="center"/>
          </w:tcPr>
          <w:p w14:paraId="2ECD2104">
            <w:pPr>
              <w:snapToGrid w:val="0"/>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3.2.1</w:t>
            </w:r>
          </w:p>
        </w:tc>
        <w:tc>
          <w:tcPr>
            <w:tcW w:w="2291" w:type="dxa"/>
            <w:tcBorders>
              <w:top w:val="single" w:color="auto" w:sz="6" w:space="0"/>
              <w:left w:val="single" w:color="auto" w:sz="6" w:space="0"/>
              <w:bottom w:val="single" w:color="auto" w:sz="6" w:space="0"/>
              <w:right w:val="single" w:color="auto" w:sz="6" w:space="0"/>
            </w:tcBorders>
            <w:shd w:val="clear" w:color="auto" w:fill="auto"/>
            <w:vAlign w:val="center"/>
          </w:tcPr>
          <w:p w14:paraId="545851E2">
            <w:pPr>
              <w:snapToGrid w:val="0"/>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增值税税金的计算方法</w:t>
            </w:r>
          </w:p>
        </w:tc>
        <w:tc>
          <w:tcPr>
            <w:tcW w:w="6607" w:type="dxa"/>
            <w:tcBorders>
              <w:top w:val="single" w:color="auto" w:sz="6" w:space="0"/>
              <w:left w:val="single" w:color="auto" w:sz="6" w:space="0"/>
              <w:bottom w:val="single" w:color="auto" w:sz="6" w:space="0"/>
              <w:right w:val="single" w:color="auto" w:sz="4" w:space="0"/>
            </w:tcBorders>
            <w:shd w:val="clear" w:color="auto" w:fill="auto"/>
            <w:vAlign w:val="center"/>
          </w:tcPr>
          <w:p w14:paraId="236D7914">
            <w:pPr>
              <w:snapToGrid w:val="0"/>
              <w:spacing w:line="276" w:lineRule="auto"/>
              <w:rPr>
                <w:rFonts w:ascii="宋体" w:hAnsi="宋体" w:eastAsia="宋体"/>
                <w:color w:val="auto"/>
                <w:sz w:val="24"/>
                <w:szCs w:val="24"/>
                <w:highlight w:val="none"/>
                <w:u w:val="single"/>
              </w:rPr>
            </w:pPr>
            <w:r>
              <w:rPr>
                <w:rFonts w:hint="eastAsia" w:ascii="宋体" w:hAnsi="宋体" w:eastAsia="宋体" w:cs="宋体"/>
                <w:color w:val="auto"/>
                <w:sz w:val="24"/>
                <w:szCs w:val="24"/>
                <w:highlight w:val="none"/>
                <w:u w:val="single"/>
              </w:rPr>
              <w:t>按国家税局相关规定。</w:t>
            </w:r>
          </w:p>
        </w:tc>
      </w:tr>
      <w:tr w14:paraId="2C7E25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37" w:hRule="atLeast"/>
        </w:trPr>
        <w:tc>
          <w:tcPr>
            <w:tcW w:w="936" w:type="dxa"/>
            <w:tcBorders>
              <w:top w:val="single" w:color="auto" w:sz="6" w:space="0"/>
              <w:left w:val="single" w:color="auto" w:sz="4" w:space="0"/>
              <w:bottom w:val="single" w:color="auto" w:sz="6" w:space="0"/>
              <w:right w:val="single" w:color="auto" w:sz="6" w:space="0"/>
            </w:tcBorders>
            <w:shd w:val="clear" w:color="auto" w:fill="auto"/>
            <w:vAlign w:val="center"/>
          </w:tcPr>
          <w:p w14:paraId="372C3429">
            <w:pPr>
              <w:snapToGrid w:val="0"/>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3.2.3</w:t>
            </w:r>
          </w:p>
        </w:tc>
        <w:tc>
          <w:tcPr>
            <w:tcW w:w="2291" w:type="dxa"/>
            <w:tcBorders>
              <w:top w:val="single" w:color="auto" w:sz="6" w:space="0"/>
              <w:left w:val="single" w:color="auto" w:sz="6" w:space="0"/>
              <w:bottom w:val="single" w:color="auto" w:sz="6" w:space="0"/>
              <w:right w:val="single" w:color="auto" w:sz="6" w:space="0"/>
            </w:tcBorders>
            <w:shd w:val="clear" w:color="auto" w:fill="auto"/>
            <w:vAlign w:val="center"/>
          </w:tcPr>
          <w:p w14:paraId="3C30DF48">
            <w:pPr>
              <w:snapToGrid w:val="0"/>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报价方式</w:t>
            </w:r>
          </w:p>
        </w:tc>
        <w:tc>
          <w:tcPr>
            <w:tcW w:w="6607" w:type="dxa"/>
            <w:tcBorders>
              <w:top w:val="single" w:color="auto" w:sz="6" w:space="0"/>
              <w:left w:val="single" w:color="auto" w:sz="6" w:space="0"/>
              <w:bottom w:val="single" w:color="auto" w:sz="6" w:space="0"/>
              <w:right w:val="single" w:color="auto" w:sz="4" w:space="0"/>
            </w:tcBorders>
            <w:shd w:val="clear" w:color="auto" w:fill="auto"/>
            <w:vAlign w:val="center"/>
          </w:tcPr>
          <w:p w14:paraId="541514E6">
            <w:pPr>
              <w:snapToGrid w:val="0"/>
              <w:spacing w:line="276" w:lineRule="auto"/>
              <w:rPr>
                <w:rFonts w:ascii="宋体" w:hAnsi="宋体" w:eastAsia="宋体"/>
                <w:color w:val="auto"/>
                <w:sz w:val="24"/>
                <w:szCs w:val="24"/>
                <w:highlight w:val="none"/>
                <w:u w:val="single"/>
              </w:rPr>
            </w:pPr>
            <w:r>
              <w:rPr>
                <w:rFonts w:hint="eastAsia" w:ascii="宋体" w:hAnsi="宋体" w:eastAsia="宋体" w:cs="宋体"/>
                <w:color w:val="auto"/>
                <w:sz w:val="24"/>
                <w:szCs w:val="24"/>
                <w:highlight w:val="none"/>
                <w:u w:val="single"/>
              </w:rPr>
              <w:t>自行报价（以元为单位，精确到小数位后2位）。投标报价不得高于</w:t>
            </w:r>
            <w:r>
              <w:rPr>
                <w:rFonts w:hint="eastAsia" w:ascii="宋体" w:hAnsi="宋体" w:eastAsia="宋体" w:cs="宋体"/>
                <w:color w:val="auto"/>
                <w:sz w:val="24"/>
                <w:szCs w:val="24"/>
                <w:highlight w:val="none"/>
                <w:u w:val="single"/>
                <w:lang w:eastAsia="zh-CN"/>
              </w:rPr>
              <w:t>最高投标限价</w:t>
            </w:r>
            <w:r>
              <w:rPr>
                <w:rFonts w:hint="eastAsia" w:ascii="宋体" w:hAnsi="宋体" w:eastAsia="宋体" w:cs="宋体"/>
                <w:color w:val="auto"/>
                <w:sz w:val="24"/>
                <w:szCs w:val="24"/>
                <w:highlight w:val="none"/>
                <w:u w:val="single"/>
              </w:rPr>
              <w:t>，由投标人根据招标文件要求以及企业自身情况填写报价。结算方式：按合同约定执行。</w:t>
            </w:r>
          </w:p>
        </w:tc>
      </w:tr>
      <w:tr w14:paraId="7A7C71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36" w:type="dxa"/>
            <w:tcBorders>
              <w:top w:val="single" w:color="auto" w:sz="6" w:space="0"/>
              <w:left w:val="single" w:color="auto" w:sz="4" w:space="0"/>
              <w:bottom w:val="single" w:color="auto" w:sz="6" w:space="0"/>
              <w:right w:val="single" w:color="auto" w:sz="6" w:space="0"/>
            </w:tcBorders>
            <w:shd w:val="clear" w:color="auto" w:fill="auto"/>
            <w:vAlign w:val="center"/>
          </w:tcPr>
          <w:p w14:paraId="3F319A3A">
            <w:pPr>
              <w:snapToGrid w:val="0"/>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3.2.4</w:t>
            </w:r>
          </w:p>
        </w:tc>
        <w:tc>
          <w:tcPr>
            <w:tcW w:w="2291" w:type="dxa"/>
            <w:tcBorders>
              <w:top w:val="single" w:color="auto" w:sz="6" w:space="0"/>
              <w:left w:val="single" w:color="auto" w:sz="6" w:space="0"/>
              <w:bottom w:val="single" w:color="auto" w:sz="6" w:space="0"/>
              <w:right w:val="single" w:color="auto" w:sz="6" w:space="0"/>
            </w:tcBorders>
            <w:shd w:val="clear" w:color="auto" w:fill="auto"/>
            <w:vAlign w:val="center"/>
          </w:tcPr>
          <w:p w14:paraId="1C279473">
            <w:pPr>
              <w:snapToGrid w:val="0"/>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最高投标限价</w:t>
            </w:r>
          </w:p>
        </w:tc>
        <w:tc>
          <w:tcPr>
            <w:tcW w:w="6607" w:type="dxa"/>
            <w:tcBorders>
              <w:top w:val="single" w:color="auto" w:sz="6" w:space="0"/>
              <w:left w:val="single" w:color="auto" w:sz="6" w:space="0"/>
              <w:bottom w:val="single" w:color="auto" w:sz="6" w:space="0"/>
              <w:right w:val="single" w:color="auto" w:sz="4" w:space="0"/>
            </w:tcBorders>
            <w:shd w:val="clear" w:color="auto" w:fill="auto"/>
            <w:vAlign w:val="center"/>
          </w:tcPr>
          <w:p w14:paraId="299032FF">
            <w:pPr>
              <w:snapToGrid w:val="0"/>
              <w:spacing w:line="276" w:lineRule="auto"/>
              <w:rPr>
                <w:rFonts w:ascii="宋体" w:hAnsi="宋体" w:eastAsia="宋体"/>
                <w:color w:val="auto"/>
                <w:sz w:val="24"/>
                <w:szCs w:val="24"/>
                <w:highlight w:val="none"/>
              </w:rPr>
            </w:pPr>
            <w:r>
              <w:rPr>
                <w:rFonts w:hint="eastAsia" w:ascii="宋体" w:hAnsi="宋体" w:eastAsia="宋体"/>
                <w:color w:val="auto"/>
                <w:sz w:val="24"/>
                <w:szCs w:val="24"/>
                <w:highlight w:val="none"/>
              </w:rPr>
              <w:t>□无</w:t>
            </w:r>
          </w:p>
          <w:p w14:paraId="21974EF0">
            <w:pPr>
              <w:tabs>
                <w:tab w:val="left" w:pos="7513"/>
              </w:tabs>
              <w:adjustRightInd w:val="0"/>
              <w:snapToGrid w:val="0"/>
              <w:spacing w:line="276" w:lineRule="auto"/>
              <w:rPr>
                <w:rFonts w:ascii="宋体" w:hAnsi="宋体" w:eastAsia="宋体"/>
                <w:color w:val="auto"/>
                <w:sz w:val="24"/>
                <w:szCs w:val="24"/>
                <w:highlight w:val="none"/>
                <w:u w:val="single"/>
              </w:rPr>
            </w:pPr>
            <w:r>
              <w:rPr>
                <w:rFonts w:hint="eastAsia" w:ascii="宋体" w:hAnsi="宋体" w:eastAsia="宋体"/>
                <w:color w:val="auto"/>
                <w:spacing w:val="-1"/>
                <w:sz w:val="24"/>
                <w:szCs w:val="24"/>
                <w:highlight w:val="none"/>
              </w:rPr>
              <w:t>■</w:t>
            </w:r>
            <w:r>
              <w:rPr>
                <w:rFonts w:hint="eastAsia" w:ascii="宋体" w:hAnsi="宋体" w:eastAsia="宋体"/>
                <w:color w:val="auto"/>
                <w:sz w:val="24"/>
                <w:szCs w:val="24"/>
                <w:highlight w:val="none"/>
              </w:rPr>
              <w:t>有，监理费最高投标限价：</w:t>
            </w:r>
            <w:r>
              <w:rPr>
                <w:rFonts w:hint="eastAsia" w:ascii="宋体" w:hAnsi="宋体" w:eastAsia="宋体" w:cs="宋体"/>
                <w:b/>
                <w:color w:val="auto"/>
                <w:sz w:val="24"/>
                <w:szCs w:val="24"/>
                <w:highlight w:val="none"/>
                <w:u w:val="single"/>
              </w:rPr>
              <w:t>人币</w:t>
            </w:r>
            <w:r>
              <w:rPr>
                <w:rFonts w:hint="eastAsia" w:ascii="宋体" w:hAnsi="宋体" w:eastAsia="宋体" w:cs="宋体"/>
                <w:b/>
                <w:color w:val="auto"/>
                <w:sz w:val="24"/>
                <w:szCs w:val="24"/>
                <w:highlight w:val="none"/>
                <w:u w:val="single"/>
                <w:lang w:val="en-US" w:eastAsia="zh-CN"/>
              </w:rPr>
              <w:t>698.13</w:t>
            </w:r>
            <w:r>
              <w:rPr>
                <w:rFonts w:hint="eastAsia" w:ascii="宋体" w:hAnsi="宋体" w:eastAsia="宋体" w:cs="宋体"/>
                <w:b/>
                <w:color w:val="auto"/>
                <w:sz w:val="24"/>
                <w:szCs w:val="24"/>
                <w:highlight w:val="none"/>
                <w:u w:val="single"/>
              </w:rPr>
              <w:t>万元</w:t>
            </w:r>
          </w:p>
          <w:p w14:paraId="7C9887B6">
            <w:pPr>
              <w:tabs>
                <w:tab w:val="left" w:pos="7513"/>
              </w:tabs>
              <w:adjustRightInd w:val="0"/>
              <w:snapToGrid w:val="0"/>
              <w:spacing w:line="276" w:lineRule="auto"/>
              <w:rPr>
                <w:rFonts w:ascii="宋体" w:hAnsi="宋体" w:eastAsia="宋体"/>
                <w:b/>
                <w:bCs/>
                <w:snapToGrid w:val="0"/>
                <w:color w:val="auto"/>
                <w:spacing w:val="4"/>
                <w:kern w:val="0"/>
                <w:sz w:val="24"/>
                <w:szCs w:val="24"/>
                <w:highlight w:val="none"/>
              </w:rPr>
            </w:pPr>
            <w:r>
              <w:rPr>
                <w:rFonts w:hint="eastAsia" w:ascii="宋体" w:hAnsi="宋体" w:eastAsia="宋体"/>
                <w:b/>
                <w:bCs/>
                <w:snapToGrid w:val="0"/>
                <w:color w:val="auto"/>
                <w:spacing w:val="4"/>
                <w:kern w:val="0"/>
                <w:sz w:val="24"/>
                <w:szCs w:val="24"/>
                <w:highlight w:val="none"/>
              </w:rPr>
              <w:t>注：投标报价不得超过项目的最高投标限价。</w:t>
            </w:r>
          </w:p>
        </w:tc>
      </w:tr>
      <w:tr w14:paraId="4538B45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39" w:hRule="atLeast"/>
        </w:trPr>
        <w:tc>
          <w:tcPr>
            <w:tcW w:w="936" w:type="dxa"/>
            <w:tcBorders>
              <w:top w:val="single" w:color="auto" w:sz="6" w:space="0"/>
              <w:left w:val="single" w:color="auto" w:sz="4" w:space="0"/>
              <w:bottom w:val="single" w:color="auto" w:sz="6" w:space="0"/>
              <w:right w:val="single" w:color="auto" w:sz="6" w:space="0"/>
            </w:tcBorders>
            <w:shd w:val="clear" w:color="auto" w:fill="auto"/>
            <w:vAlign w:val="center"/>
          </w:tcPr>
          <w:p w14:paraId="630FE64E">
            <w:pPr>
              <w:snapToGrid w:val="0"/>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3.2.5</w:t>
            </w:r>
          </w:p>
        </w:tc>
        <w:tc>
          <w:tcPr>
            <w:tcW w:w="2291" w:type="dxa"/>
            <w:tcBorders>
              <w:top w:val="single" w:color="auto" w:sz="6" w:space="0"/>
              <w:left w:val="single" w:color="auto" w:sz="6" w:space="0"/>
              <w:bottom w:val="single" w:color="auto" w:sz="6" w:space="0"/>
              <w:right w:val="single" w:color="auto" w:sz="6" w:space="0"/>
            </w:tcBorders>
            <w:shd w:val="clear" w:color="auto" w:fill="auto"/>
            <w:vAlign w:val="center"/>
          </w:tcPr>
          <w:p w14:paraId="1080BB59">
            <w:pPr>
              <w:snapToGrid w:val="0"/>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投标报价的其他</w:t>
            </w:r>
          </w:p>
          <w:p w14:paraId="00CD1C25">
            <w:pPr>
              <w:snapToGrid w:val="0"/>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要求</w:t>
            </w:r>
          </w:p>
        </w:tc>
        <w:tc>
          <w:tcPr>
            <w:tcW w:w="6607" w:type="dxa"/>
            <w:tcBorders>
              <w:top w:val="single" w:color="auto" w:sz="6" w:space="0"/>
              <w:left w:val="single" w:color="auto" w:sz="6" w:space="0"/>
              <w:bottom w:val="single" w:color="auto" w:sz="6" w:space="0"/>
              <w:right w:val="single" w:color="auto" w:sz="4" w:space="0"/>
            </w:tcBorders>
            <w:shd w:val="clear" w:color="auto" w:fill="auto"/>
            <w:vAlign w:val="center"/>
          </w:tcPr>
          <w:p w14:paraId="64A9AFD1">
            <w:pPr>
              <w:snapToGrid w:val="0"/>
              <w:spacing w:line="276" w:lineRule="auto"/>
              <w:rPr>
                <w:rFonts w:ascii="宋体" w:hAnsi="宋体" w:eastAsia="宋体"/>
                <w:color w:val="auto"/>
                <w:sz w:val="24"/>
                <w:szCs w:val="24"/>
                <w:highlight w:val="none"/>
              </w:rPr>
            </w:pPr>
            <w:r>
              <w:rPr>
                <w:rFonts w:hint="eastAsia" w:ascii="宋体" w:hAnsi="宋体" w:eastAsia="宋体"/>
                <w:snapToGrid w:val="0"/>
                <w:color w:val="auto"/>
                <w:spacing w:val="4"/>
                <w:kern w:val="0"/>
                <w:sz w:val="24"/>
                <w:szCs w:val="24"/>
                <w:highlight w:val="none"/>
                <w:u w:val="single"/>
              </w:rPr>
              <w:t>正常报价范围为</w:t>
            </w:r>
            <w:r>
              <w:rPr>
                <w:rFonts w:hint="eastAsia" w:ascii="宋体" w:hAnsi="宋体" w:eastAsia="宋体"/>
                <w:b/>
                <w:bCs/>
                <w:snapToGrid w:val="0"/>
                <w:color w:val="auto"/>
                <w:spacing w:val="4"/>
                <w:kern w:val="0"/>
                <w:sz w:val="24"/>
                <w:szCs w:val="24"/>
                <w:highlight w:val="none"/>
                <w:u w:val="single"/>
              </w:rPr>
              <w:t>[最高投标限价×80%，最高投标限价]</w:t>
            </w:r>
            <w:r>
              <w:rPr>
                <w:rFonts w:hint="eastAsia" w:ascii="宋体" w:hAnsi="宋体" w:eastAsia="宋体"/>
                <w:snapToGrid w:val="0"/>
                <w:color w:val="auto"/>
                <w:spacing w:val="4"/>
                <w:kern w:val="0"/>
                <w:sz w:val="24"/>
                <w:szCs w:val="24"/>
                <w:highlight w:val="none"/>
                <w:u w:val="single"/>
              </w:rPr>
              <w:t>，超过此范围的报价不参与评标基准价的计算</w:t>
            </w:r>
          </w:p>
        </w:tc>
      </w:tr>
      <w:tr w14:paraId="4B3911B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36" w:type="dxa"/>
            <w:tcBorders>
              <w:top w:val="single" w:color="auto" w:sz="6" w:space="0"/>
              <w:left w:val="single" w:color="auto" w:sz="4" w:space="0"/>
              <w:bottom w:val="single" w:color="auto" w:sz="6" w:space="0"/>
              <w:right w:val="single" w:color="auto" w:sz="6" w:space="0"/>
            </w:tcBorders>
            <w:shd w:val="clear" w:color="auto" w:fill="auto"/>
            <w:vAlign w:val="center"/>
          </w:tcPr>
          <w:p w14:paraId="11791014">
            <w:pPr>
              <w:snapToGrid w:val="0"/>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3.3.1</w:t>
            </w:r>
          </w:p>
        </w:tc>
        <w:tc>
          <w:tcPr>
            <w:tcW w:w="2291" w:type="dxa"/>
            <w:tcBorders>
              <w:top w:val="single" w:color="auto" w:sz="6" w:space="0"/>
              <w:left w:val="single" w:color="auto" w:sz="6" w:space="0"/>
              <w:bottom w:val="single" w:color="auto" w:sz="6" w:space="0"/>
              <w:right w:val="single" w:color="auto" w:sz="6" w:space="0"/>
            </w:tcBorders>
            <w:shd w:val="clear" w:color="auto" w:fill="auto"/>
            <w:vAlign w:val="center"/>
          </w:tcPr>
          <w:p w14:paraId="18E59E90">
            <w:pPr>
              <w:snapToGrid w:val="0"/>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投标有效期</w:t>
            </w:r>
          </w:p>
        </w:tc>
        <w:tc>
          <w:tcPr>
            <w:tcW w:w="6607" w:type="dxa"/>
            <w:tcBorders>
              <w:top w:val="single" w:color="auto" w:sz="6" w:space="0"/>
              <w:left w:val="single" w:color="auto" w:sz="6" w:space="0"/>
              <w:bottom w:val="single" w:color="auto" w:sz="6" w:space="0"/>
              <w:right w:val="single" w:color="auto" w:sz="4" w:space="0"/>
            </w:tcBorders>
            <w:shd w:val="clear" w:color="auto" w:fill="auto"/>
            <w:vAlign w:val="center"/>
          </w:tcPr>
          <w:p w14:paraId="00AF2728">
            <w:pPr>
              <w:snapToGrid w:val="0"/>
              <w:spacing w:line="276" w:lineRule="auto"/>
              <w:rPr>
                <w:rFonts w:ascii="宋体" w:hAnsi="宋体" w:eastAsia="宋体"/>
                <w:color w:val="auto"/>
                <w:sz w:val="24"/>
                <w:szCs w:val="24"/>
                <w:highlight w:val="none"/>
                <w:u w:val="single"/>
              </w:rPr>
            </w:pPr>
            <w:r>
              <w:rPr>
                <w:rFonts w:hint="eastAsia" w:ascii="宋体" w:hAnsi="宋体" w:eastAsia="宋体"/>
                <w:color w:val="auto"/>
                <w:sz w:val="24"/>
                <w:szCs w:val="24"/>
                <w:highlight w:val="none"/>
                <w:u w:val="single"/>
              </w:rPr>
              <w:t>90日历天（从投标截止之日算起）。</w:t>
            </w:r>
          </w:p>
        </w:tc>
      </w:tr>
      <w:tr w14:paraId="1BA9552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9" w:hRule="atLeast"/>
        </w:trPr>
        <w:tc>
          <w:tcPr>
            <w:tcW w:w="936" w:type="dxa"/>
            <w:tcBorders>
              <w:top w:val="single" w:color="auto" w:sz="6" w:space="0"/>
              <w:left w:val="single" w:color="auto" w:sz="4" w:space="0"/>
              <w:bottom w:val="single" w:color="auto" w:sz="6" w:space="0"/>
              <w:right w:val="single" w:color="auto" w:sz="6" w:space="0"/>
            </w:tcBorders>
            <w:shd w:val="clear" w:color="auto" w:fill="auto"/>
            <w:vAlign w:val="center"/>
          </w:tcPr>
          <w:p w14:paraId="2A72F63A">
            <w:pPr>
              <w:snapToGrid w:val="0"/>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3.4.1</w:t>
            </w:r>
          </w:p>
        </w:tc>
        <w:tc>
          <w:tcPr>
            <w:tcW w:w="2291" w:type="dxa"/>
            <w:tcBorders>
              <w:top w:val="single" w:color="auto" w:sz="6" w:space="0"/>
              <w:left w:val="single" w:color="auto" w:sz="6" w:space="0"/>
              <w:bottom w:val="single" w:color="auto" w:sz="6" w:space="0"/>
              <w:right w:val="single" w:color="auto" w:sz="6" w:space="0"/>
            </w:tcBorders>
            <w:shd w:val="clear" w:color="auto" w:fill="auto"/>
            <w:vAlign w:val="center"/>
          </w:tcPr>
          <w:p w14:paraId="3B7CBDEA">
            <w:pPr>
              <w:snapToGrid w:val="0"/>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投标保证金</w:t>
            </w:r>
          </w:p>
        </w:tc>
        <w:tc>
          <w:tcPr>
            <w:tcW w:w="6607" w:type="dxa"/>
            <w:tcBorders>
              <w:top w:val="single" w:color="auto" w:sz="6" w:space="0"/>
              <w:left w:val="single" w:color="auto" w:sz="6" w:space="0"/>
              <w:bottom w:val="single" w:color="auto" w:sz="6" w:space="0"/>
              <w:right w:val="single" w:color="auto" w:sz="4" w:space="0"/>
            </w:tcBorders>
            <w:shd w:val="clear" w:color="auto" w:fill="auto"/>
            <w:vAlign w:val="center"/>
          </w:tcPr>
          <w:p w14:paraId="14FA8A1D">
            <w:pPr>
              <w:pStyle w:val="18"/>
              <w:topLinePunct/>
              <w:snapToGrid w:val="0"/>
              <w:spacing w:after="0" w:line="276" w:lineRule="auto"/>
              <w:rPr>
                <w:rFonts w:ascii="宋体" w:hAnsi="宋体" w:eastAsia="宋体"/>
                <w:color w:val="auto"/>
                <w:sz w:val="24"/>
                <w:szCs w:val="24"/>
                <w:highlight w:val="none"/>
                <w:u w:val="single"/>
              </w:rPr>
            </w:pPr>
            <w:r>
              <w:rPr>
                <w:rFonts w:hint="eastAsia" w:ascii="宋体" w:hAnsi="宋体" w:eastAsia="宋体"/>
                <w:color w:val="auto"/>
                <w:sz w:val="24"/>
                <w:szCs w:val="24"/>
                <w:highlight w:val="none"/>
                <w:u w:val="single"/>
              </w:rPr>
              <w:t>是否要求投标人递交投标保证金：</w:t>
            </w:r>
          </w:p>
          <w:p w14:paraId="44E78F0E">
            <w:pPr>
              <w:pStyle w:val="18"/>
              <w:topLinePunct/>
              <w:snapToGrid w:val="0"/>
              <w:spacing w:after="0" w:line="276" w:lineRule="auto"/>
              <w:ind w:left="40" w:leftChars="19" w:right="107" w:rightChars="51"/>
              <w:rPr>
                <w:rFonts w:ascii="宋体" w:hAnsi="宋体" w:eastAsia="宋体"/>
                <w:color w:val="auto"/>
                <w:sz w:val="24"/>
                <w:szCs w:val="24"/>
                <w:highlight w:val="none"/>
              </w:rPr>
            </w:pPr>
            <w:r>
              <w:rPr>
                <w:rFonts w:hint="eastAsia" w:ascii="宋体" w:hAnsi="宋体" w:eastAsia="宋体"/>
                <w:color w:val="auto"/>
                <w:spacing w:val="-1"/>
                <w:sz w:val="24"/>
                <w:szCs w:val="24"/>
                <w:highlight w:val="none"/>
              </w:rPr>
              <w:t>■</w:t>
            </w:r>
            <w:r>
              <w:rPr>
                <w:rFonts w:hint="eastAsia" w:ascii="宋体" w:hAnsi="宋体" w:eastAsia="宋体"/>
                <w:color w:val="auto"/>
                <w:sz w:val="24"/>
                <w:szCs w:val="24"/>
                <w:highlight w:val="none"/>
              </w:rPr>
              <w:t>要求，</w:t>
            </w:r>
            <w:r>
              <w:rPr>
                <w:rFonts w:hint="eastAsia" w:ascii="宋体" w:hAnsi="宋体" w:eastAsia="宋体"/>
                <w:b/>
                <w:color w:val="auto"/>
                <w:sz w:val="24"/>
                <w:szCs w:val="24"/>
                <w:highlight w:val="none"/>
              </w:rPr>
              <w:t>投标保证金的形式：</w:t>
            </w:r>
            <w:r>
              <w:rPr>
                <w:rFonts w:hint="eastAsia" w:ascii="宋体" w:hAnsi="宋体" w:eastAsia="宋体"/>
                <w:color w:val="auto"/>
                <w:sz w:val="24"/>
                <w:szCs w:val="24"/>
                <w:highlight w:val="none"/>
              </w:rPr>
              <w:t>投标保证金可采用现金、支票、投标保函、投标保证保险等形式。</w:t>
            </w:r>
          </w:p>
          <w:p w14:paraId="06BDD702">
            <w:pPr>
              <w:pStyle w:val="18"/>
              <w:numPr>
                <w:ilvl w:val="0"/>
                <w:numId w:val="2"/>
              </w:numPr>
              <w:topLinePunct/>
              <w:snapToGrid w:val="0"/>
              <w:spacing w:after="0" w:line="276" w:lineRule="auto"/>
              <w:ind w:right="107" w:rightChars="51"/>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收取方式：</w:t>
            </w:r>
          </w:p>
          <w:p w14:paraId="3ADF69A7">
            <w:pPr>
              <w:spacing w:line="276" w:lineRule="auto"/>
              <w:ind w:left="41" w:right="107" w:rightChars="51"/>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（1）如采用现金或者支票形式提交的，投标保证金从投标人基本账户递交，由</w:t>
            </w:r>
            <w:r>
              <w:rPr>
                <w:rFonts w:hint="eastAsia" w:ascii="宋体" w:hAnsi="宋体" w:eastAsia="宋体" w:cs="宋体"/>
                <w:color w:val="auto"/>
                <w:sz w:val="24"/>
                <w:szCs w:val="24"/>
                <w:highlight w:val="none"/>
                <w:u w:val="single"/>
                <w:lang w:eastAsia="zh-CN"/>
              </w:rPr>
              <w:t>广州交易集团有限公司（广州公共资源交易中心）</w:t>
            </w:r>
            <w:r>
              <w:rPr>
                <w:rFonts w:hint="eastAsia" w:ascii="宋体" w:hAnsi="宋体" w:eastAsia="宋体" w:cs="宋体"/>
                <w:color w:val="auto"/>
                <w:sz w:val="24"/>
                <w:szCs w:val="24"/>
                <w:highlight w:val="none"/>
                <w:u w:val="single"/>
              </w:rPr>
              <w:t>代收。具体操作要求详见</w:t>
            </w:r>
            <w:r>
              <w:rPr>
                <w:rFonts w:hint="eastAsia" w:ascii="宋体" w:hAnsi="宋体" w:eastAsia="宋体" w:cs="宋体"/>
                <w:color w:val="auto"/>
                <w:sz w:val="24"/>
                <w:szCs w:val="24"/>
                <w:highlight w:val="none"/>
                <w:u w:val="single"/>
                <w:lang w:eastAsia="zh-CN"/>
              </w:rPr>
              <w:t>广州交易集团有限公司（广州公共资源交易中心）</w:t>
            </w:r>
            <w:r>
              <w:rPr>
                <w:rFonts w:hint="eastAsia" w:ascii="宋体" w:hAnsi="宋体" w:eastAsia="宋体" w:cs="宋体"/>
                <w:color w:val="auto"/>
                <w:sz w:val="24"/>
                <w:szCs w:val="24"/>
                <w:highlight w:val="none"/>
                <w:u w:val="single"/>
              </w:rPr>
              <w:t>有关指引，递交事宜请自行咨询交易中心；请各投标人在投标文件递交截止时间前按上述金额递交至</w:t>
            </w:r>
            <w:r>
              <w:rPr>
                <w:rFonts w:hint="eastAsia" w:ascii="宋体" w:hAnsi="宋体" w:eastAsia="宋体" w:cs="宋体"/>
                <w:color w:val="auto"/>
                <w:sz w:val="24"/>
                <w:szCs w:val="24"/>
                <w:highlight w:val="none"/>
                <w:u w:val="single"/>
                <w:lang w:eastAsia="zh-CN"/>
              </w:rPr>
              <w:t>广州交易集团有限公司（广州公共资源交易中心）</w:t>
            </w:r>
            <w:r>
              <w:rPr>
                <w:rFonts w:hint="eastAsia" w:ascii="宋体" w:hAnsi="宋体" w:eastAsia="宋体" w:cs="宋体"/>
                <w:color w:val="auto"/>
                <w:sz w:val="24"/>
                <w:szCs w:val="24"/>
                <w:highlight w:val="none"/>
                <w:u w:val="single"/>
              </w:rPr>
              <w:t>，到账情况以开标时</w:t>
            </w:r>
            <w:r>
              <w:rPr>
                <w:rFonts w:hint="eastAsia" w:ascii="宋体" w:hAnsi="宋体" w:eastAsia="宋体" w:cs="宋体"/>
                <w:color w:val="auto"/>
                <w:sz w:val="24"/>
                <w:szCs w:val="24"/>
                <w:highlight w:val="none"/>
                <w:u w:val="single"/>
                <w:lang w:eastAsia="zh-CN"/>
              </w:rPr>
              <w:t>广州交易集团有限公司（广州公共资源交易中心）</w:t>
            </w:r>
            <w:r>
              <w:rPr>
                <w:rFonts w:hint="eastAsia" w:ascii="宋体" w:hAnsi="宋体" w:eastAsia="宋体" w:cs="宋体"/>
                <w:color w:val="auto"/>
                <w:sz w:val="24"/>
                <w:szCs w:val="24"/>
                <w:highlight w:val="none"/>
                <w:u w:val="single"/>
              </w:rPr>
              <w:t>数据库查询的信息为准。</w:t>
            </w:r>
          </w:p>
          <w:p w14:paraId="53D9AF27">
            <w:pPr>
              <w:spacing w:line="276" w:lineRule="auto"/>
              <w:ind w:left="42" w:leftChars="20" w:right="107" w:rightChars="51"/>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（2）投标人采用投标保函或投标保证保险</w:t>
            </w:r>
            <w:r>
              <w:rPr>
                <w:rFonts w:hint="eastAsia" w:ascii="宋体" w:hAnsi="宋体" w:eastAsia="宋体"/>
                <w:color w:val="auto"/>
                <w:sz w:val="24"/>
                <w:szCs w:val="24"/>
                <w:highlight w:val="none"/>
                <w:u w:val="single"/>
              </w:rPr>
              <w:t>或专业担保公司担保的</w:t>
            </w:r>
            <w:r>
              <w:rPr>
                <w:rFonts w:hint="eastAsia" w:ascii="宋体" w:hAnsi="宋体" w:eastAsia="宋体" w:cs="宋体"/>
                <w:color w:val="auto"/>
                <w:sz w:val="24"/>
                <w:szCs w:val="24"/>
                <w:highlight w:val="none"/>
                <w:u w:val="single"/>
              </w:rPr>
              <w:t>形式提交投标保证金的，在开标前不强制要求提交相关文本原件，但投标人应在投标文件中提交投标保函或投标保证保险文本</w:t>
            </w:r>
            <w:r>
              <w:rPr>
                <w:rFonts w:hint="eastAsia" w:ascii="宋体" w:hAnsi="宋体" w:eastAsia="宋体"/>
                <w:color w:val="auto"/>
                <w:sz w:val="24"/>
                <w:szCs w:val="24"/>
                <w:highlight w:val="none"/>
                <w:u w:val="single"/>
              </w:rPr>
              <w:t>或专业担保公司担保的</w:t>
            </w:r>
            <w:r>
              <w:rPr>
                <w:rFonts w:hint="eastAsia" w:ascii="宋体" w:hAnsi="宋体" w:eastAsia="宋体" w:cs="宋体"/>
                <w:color w:val="auto"/>
                <w:sz w:val="24"/>
                <w:szCs w:val="24"/>
                <w:highlight w:val="none"/>
                <w:u w:val="single"/>
              </w:rPr>
              <w:t>的复印件并加盖投标人电子印章。评审结束后，中标候选人应在中标候选人公示前提交其办理的投标保函或投标保证保险扫描件并在网上予以公示。</w:t>
            </w:r>
          </w:p>
          <w:p w14:paraId="0480021D">
            <w:pPr>
              <w:spacing w:line="276" w:lineRule="auto"/>
              <w:ind w:left="41" w:right="107" w:rightChars="51"/>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（3）本项目允许递交电子保函，具体操作详见</w:t>
            </w:r>
            <w:r>
              <w:rPr>
                <w:rFonts w:hint="eastAsia" w:ascii="宋体" w:hAnsi="宋体" w:eastAsia="宋体" w:cs="宋体"/>
                <w:color w:val="auto"/>
                <w:sz w:val="24"/>
                <w:szCs w:val="24"/>
                <w:highlight w:val="none"/>
                <w:u w:val="single"/>
                <w:lang w:eastAsia="zh-CN"/>
              </w:rPr>
              <w:t>广州交易集团有限公司（广州公共资源交易中心）</w:t>
            </w:r>
            <w:r>
              <w:rPr>
                <w:rFonts w:hint="eastAsia" w:ascii="宋体" w:hAnsi="宋体" w:eastAsia="宋体" w:cs="宋体"/>
                <w:color w:val="auto"/>
                <w:sz w:val="24"/>
                <w:szCs w:val="24"/>
                <w:highlight w:val="none"/>
                <w:u w:val="single"/>
              </w:rPr>
              <w:t>电子保函操作指引。</w:t>
            </w:r>
          </w:p>
          <w:p w14:paraId="08A17E07">
            <w:pPr>
              <w:spacing w:line="276" w:lineRule="auto"/>
              <w:ind w:left="41" w:right="107" w:rightChars="51"/>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如采用投标保函、投标保证保险形式提交投标保证金的，投标保函或投标保证保险须开具给招标人（保险受益人须为招标人）。银行投标保函有效期应长于或等于投标有效期，若投标有效期延长的，银行投标保函有效期应相应延长，且延长后的有效期应满足前述要求。投标人提供的银行投标保函应为银行出具的无条件、见索即付、不可撤销的保函。</w:t>
            </w:r>
          </w:p>
          <w:p w14:paraId="1A85E3BA">
            <w:pPr>
              <w:spacing w:line="276" w:lineRule="auto"/>
              <w:ind w:left="41" w:right="107" w:rightChars="51"/>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如采用非电子形式的投标保证保险或投标保函（银行或专业担保公司出具）的形式提交的，在开标前不强制要求投标人提交纸质原件，但投标人应在投标文件中提交投标保证保险、投标保函（银行或专业担保公司出具）扫描件并加盖投标人电子印章，完成评标后，由中标候选人在中标候选人公示前向招标代理单位提交纸质原件并在网上公示。如投标人选择在开标前提交纸质原件的，可在投标截止时间前15分钟单独密封递交至开标室。</w:t>
            </w:r>
          </w:p>
          <w:p w14:paraId="7353FCFF">
            <w:pPr>
              <w:spacing w:line="276" w:lineRule="auto"/>
              <w:ind w:right="107" w:rightChars="51"/>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2、缴纳时间：必须在投标截止时间前缴纳。</w:t>
            </w:r>
          </w:p>
          <w:p w14:paraId="63DED7FE">
            <w:pPr>
              <w:pStyle w:val="18"/>
              <w:topLinePunct/>
              <w:spacing w:after="0" w:line="276" w:lineRule="auto"/>
              <w:ind w:left="40" w:leftChars="19" w:right="107" w:rightChars="51"/>
              <w:rPr>
                <w:rFonts w:ascii="宋体" w:hAnsi="宋体" w:eastAsia="宋体" w:cs="宋体"/>
                <w:b/>
                <w:color w:val="auto"/>
                <w:sz w:val="24"/>
                <w:szCs w:val="24"/>
                <w:highlight w:val="none"/>
                <w:u w:val="single"/>
              </w:rPr>
            </w:pPr>
            <w:r>
              <w:rPr>
                <w:rFonts w:hint="eastAsia" w:ascii="宋体" w:hAnsi="宋体" w:eastAsia="宋体"/>
                <w:b/>
                <w:color w:val="auto"/>
                <w:sz w:val="24"/>
                <w:szCs w:val="24"/>
                <w:highlight w:val="none"/>
              </w:rPr>
              <w:t>投标保证金的金额：</w:t>
            </w:r>
            <w:r>
              <w:rPr>
                <w:rFonts w:hint="eastAsia" w:ascii="宋体" w:hAnsi="宋体" w:eastAsia="宋体" w:cs="宋体"/>
                <w:b/>
                <w:color w:val="auto"/>
                <w:sz w:val="24"/>
                <w:szCs w:val="24"/>
                <w:highlight w:val="none"/>
                <w:u w:val="single"/>
              </w:rPr>
              <w:t>人民币</w:t>
            </w:r>
            <w:r>
              <w:rPr>
                <w:rFonts w:hint="eastAsia" w:ascii="宋体" w:hAnsi="宋体" w:eastAsia="宋体" w:cs="宋体"/>
                <w:b/>
                <w:color w:val="auto"/>
                <w:sz w:val="24"/>
                <w:szCs w:val="24"/>
                <w:highlight w:val="none"/>
                <w:u w:val="single"/>
                <w:lang w:val="en-US" w:eastAsia="zh-CN"/>
              </w:rPr>
              <w:t>8</w:t>
            </w:r>
            <w:r>
              <w:rPr>
                <w:rFonts w:hint="eastAsia" w:ascii="宋体" w:hAnsi="宋体" w:eastAsia="宋体" w:cs="宋体"/>
                <w:b/>
                <w:color w:val="auto"/>
                <w:sz w:val="24"/>
                <w:szCs w:val="24"/>
                <w:highlight w:val="none"/>
                <w:u w:val="single"/>
              </w:rPr>
              <w:t>万元</w:t>
            </w:r>
          </w:p>
          <w:p w14:paraId="668DE9F5">
            <w:pPr>
              <w:pStyle w:val="18"/>
              <w:topLinePunct/>
              <w:snapToGrid w:val="0"/>
              <w:spacing w:after="0" w:line="276" w:lineRule="auto"/>
              <w:rPr>
                <w:rFonts w:ascii="宋体" w:hAnsi="宋体" w:eastAsia="宋体"/>
                <w:color w:val="auto"/>
                <w:sz w:val="24"/>
                <w:szCs w:val="24"/>
                <w:highlight w:val="none"/>
              </w:rPr>
            </w:pPr>
            <w:r>
              <w:rPr>
                <w:rFonts w:hint="eastAsia" w:ascii="宋体" w:hAnsi="宋体" w:eastAsia="宋体"/>
                <w:color w:val="auto"/>
                <w:sz w:val="24"/>
                <w:szCs w:val="24"/>
                <w:highlight w:val="none"/>
              </w:rPr>
              <w:t>□不要求</w:t>
            </w:r>
          </w:p>
        </w:tc>
      </w:tr>
      <w:tr w14:paraId="5F89D2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2186" w:hRule="atLeast"/>
        </w:trPr>
        <w:tc>
          <w:tcPr>
            <w:tcW w:w="936" w:type="dxa"/>
            <w:tcBorders>
              <w:top w:val="single" w:color="auto" w:sz="6" w:space="0"/>
              <w:left w:val="single" w:color="auto" w:sz="4" w:space="0"/>
              <w:bottom w:val="single" w:color="auto" w:sz="6" w:space="0"/>
              <w:right w:val="single" w:color="auto" w:sz="6" w:space="0"/>
            </w:tcBorders>
            <w:shd w:val="clear" w:color="auto" w:fill="auto"/>
            <w:vAlign w:val="center"/>
          </w:tcPr>
          <w:p w14:paraId="108CDDF3">
            <w:pPr>
              <w:snapToGrid w:val="0"/>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3.4.4</w:t>
            </w:r>
          </w:p>
        </w:tc>
        <w:tc>
          <w:tcPr>
            <w:tcW w:w="2291" w:type="dxa"/>
            <w:tcBorders>
              <w:top w:val="single" w:color="auto" w:sz="6" w:space="0"/>
              <w:left w:val="single" w:color="auto" w:sz="6" w:space="0"/>
              <w:bottom w:val="single" w:color="auto" w:sz="6" w:space="0"/>
              <w:right w:val="single" w:color="auto" w:sz="6" w:space="0"/>
            </w:tcBorders>
            <w:shd w:val="clear" w:color="auto" w:fill="auto"/>
            <w:vAlign w:val="center"/>
          </w:tcPr>
          <w:p w14:paraId="0C745823">
            <w:pPr>
              <w:snapToGrid w:val="0"/>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其他可以不予退还投标保证金的情形</w:t>
            </w:r>
          </w:p>
        </w:tc>
        <w:tc>
          <w:tcPr>
            <w:tcW w:w="6607" w:type="dxa"/>
            <w:tcBorders>
              <w:top w:val="single" w:color="auto" w:sz="6" w:space="0"/>
              <w:left w:val="single" w:color="auto" w:sz="6" w:space="0"/>
              <w:bottom w:val="single" w:color="auto" w:sz="6" w:space="0"/>
              <w:right w:val="single" w:color="auto" w:sz="4" w:space="0"/>
            </w:tcBorders>
            <w:shd w:val="clear" w:color="auto" w:fill="auto"/>
            <w:vAlign w:val="center"/>
          </w:tcPr>
          <w:p w14:paraId="0E247A80">
            <w:pPr>
              <w:spacing w:line="276" w:lineRule="auto"/>
              <w:rPr>
                <w:rFonts w:ascii="宋体" w:hAnsi="宋体" w:eastAsia="宋体"/>
                <w:color w:val="auto"/>
                <w:sz w:val="24"/>
                <w:szCs w:val="24"/>
                <w:highlight w:val="none"/>
                <w:u w:val="single"/>
              </w:rPr>
            </w:pPr>
            <w:r>
              <w:rPr>
                <w:rFonts w:hint="eastAsia" w:ascii="宋体" w:hAnsi="宋体" w:eastAsia="宋体"/>
                <w:color w:val="auto"/>
                <w:sz w:val="24"/>
                <w:szCs w:val="24"/>
                <w:highlight w:val="none"/>
                <w:u w:val="single"/>
              </w:rPr>
              <w:t>（</w:t>
            </w:r>
            <w:r>
              <w:rPr>
                <w:rFonts w:hint="eastAsia" w:ascii="宋体" w:hAnsi="宋体" w:eastAsia="宋体"/>
                <w:color w:val="auto"/>
                <w:sz w:val="24"/>
                <w:szCs w:val="24"/>
                <w:highlight w:val="none"/>
                <w:u w:val="single"/>
                <w:lang w:val="en-US" w:eastAsia="zh-CN"/>
              </w:rPr>
              <w:t>1</w:t>
            </w:r>
            <w:r>
              <w:rPr>
                <w:rFonts w:hint="eastAsia" w:ascii="宋体" w:hAnsi="宋体" w:eastAsia="宋体"/>
                <w:color w:val="auto"/>
                <w:sz w:val="24"/>
                <w:szCs w:val="24"/>
                <w:highlight w:val="none"/>
                <w:u w:val="single"/>
              </w:rPr>
              <w:t>）存在串通投标、围标情况的；</w:t>
            </w:r>
          </w:p>
          <w:p w14:paraId="48C81472">
            <w:pPr>
              <w:spacing w:line="276" w:lineRule="auto"/>
              <w:rPr>
                <w:rFonts w:ascii="宋体" w:hAnsi="宋体" w:eastAsia="宋体"/>
                <w:color w:val="auto"/>
                <w:sz w:val="24"/>
                <w:szCs w:val="24"/>
                <w:highlight w:val="none"/>
                <w:u w:val="single"/>
              </w:rPr>
            </w:pPr>
            <w:r>
              <w:rPr>
                <w:rFonts w:hint="eastAsia" w:ascii="宋体" w:hAnsi="宋体" w:eastAsia="宋体"/>
                <w:color w:val="auto"/>
                <w:sz w:val="24"/>
                <w:szCs w:val="24"/>
                <w:highlight w:val="none"/>
                <w:u w:val="single"/>
              </w:rPr>
              <w:t>（</w:t>
            </w:r>
            <w:r>
              <w:rPr>
                <w:rFonts w:hint="eastAsia" w:ascii="宋体" w:hAnsi="宋体" w:eastAsia="宋体"/>
                <w:color w:val="auto"/>
                <w:sz w:val="24"/>
                <w:szCs w:val="24"/>
                <w:highlight w:val="none"/>
                <w:u w:val="single"/>
                <w:lang w:val="en-US" w:eastAsia="zh-CN"/>
              </w:rPr>
              <w:t>2</w:t>
            </w:r>
            <w:r>
              <w:rPr>
                <w:rFonts w:hint="eastAsia" w:ascii="宋体" w:hAnsi="宋体" w:eastAsia="宋体"/>
                <w:color w:val="auto"/>
                <w:sz w:val="24"/>
                <w:szCs w:val="24"/>
                <w:highlight w:val="none"/>
                <w:u w:val="single"/>
              </w:rPr>
              <w:t>）投标人以他人名义投标或者允许他人挂靠投标或借用本公司名义投标的；</w:t>
            </w:r>
          </w:p>
          <w:p w14:paraId="74BDC10E">
            <w:pPr>
              <w:spacing w:line="276" w:lineRule="auto"/>
              <w:rPr>
                <w:rFonts w:ascii="宋体" w:hAnsi="宋体" w:eastAsia="宋体"/>
                <w:color w:val="auto"/>
                <w:sz w:val="24"/>
                <w:szCs w:val="24"/>
                <w:highlight w:val="none"/>
                <w:u w:val="single"/>
              </w:rPr>
            </w:pPr>
            <w:r>
              <w:rPr>
                <w:rFonts w:hint="eastAsia" w:ascii="宋体" w:hAnsi="宋体" w:eastAsia="宋体"/>
                <w:color w:val="auto"/>
                <w:sz w:val="24"/>
                <w:szCs w:val="24"/>
                <w:highlight w:val="none"/>
                <w:u w:val="single"/>
              </w:rPr>
              <w:t>（</w:t>
            </w:r>
            <w:r>
              <w:rPr>
                <w:rFonts w:hint="eastAsia" w:ascii="宋体" w:hAnsi="宋体" w:eastAsia="宋体"/>
                <w:color w:val="auto"/>
                <w:sz w:val="24"/>
                <w:szCs w:val="24"/>
                <w:highlight w:val="none"/>
                <w:u w:val="single"/>
                <w:lang w:val="en-US" w:eastAsia="zh-CN"/>
              </w:rPr>
              <w:t>3</w:t>
            </w:r>
            <w:r>
              <w:rPr>
                <w:rFonts w:hint="eastAsia" w:ascii="宋体" w:hAnsi="宋体" w:eastAsia="宋体"/>
                <w:color w:val="auto"/>
                <w:sz w:val="24"/>
                <w:szCs w:val="24"/>
                <w:highlight w:val="none"/>
                <w:u w:val="single"/>
              </w:rPr>
              <w:t>）提供虚假投标文件、虚假证明、虚假承诺/声明/保证或者以其他方式弄虚作假的；</w:t>
            </w:r>
          </w:p>
          <w:p w14:paraId="6E435521">
            <w:pPr>
              <w:snapToGrid w:val="0"/>
              <w:spacing w:line="276" w:lineRule="auto"/>
              <w:rPr>
                <w:rFonts w:ascii="宋体" w:hAnsi="宋体" w:eastAsia="宋体"/>
                <w:color w:val="auto"/>
                <w:sz w:val="24"/>
                <w:szCs w:val="24"/>
                <w:highlight w:val="none"/>
              </w:rPr>
            </w:pPr>
            <w:r>
              <w:rPr>
                <w:rFonts w:hint="eastAsia" w:ascii="宋体" w:hAnsi="宋体" w:eastAsia="宋体"/>
                <w:color w:val="auto"/>
                <w:sz w:val="24"/>
                <w:szCs w:val="24"/>
                <w:highlight w:val="none"/>
                <w:u w:val="single"/>
              </w:rPr>
              <w:t>（</w:t>
            </w:r>
            <w:r>
              <w:rPr>
                <w:rFonts w:hint="eastAsia" w:ascii="宋体" w:hAnsi="宋体" w:eastAsia="宋体"/>
                <w:color w:val="auto"/>
                <w:sz w:val="24"/>
                <w:szCs w:val="24"/>
                <w:highlight w:val="none"/>
                <w:u w:val="single"/>
                <w:lang w:val="en-US" w:eastAsia="zh-CN"/>
              </w:rPr>
              <w:t>4</w:t>
            </w:r>
            <w:r>
              <w:rPr>
                <w:rFonts w:hint="eastAsia" w:ascii="宋体" w:hAnsi="宋体" w:eastAsia="宋体"/>
                <w:color w:val="auto"/>
                <w:sz w:val="24"/>
                <w:szCs w:val="24"/>
                <w:highlight w:val="none"/>
                <w:u w:val="single"/>
              </w:rPr>
              <w:t>）法律</w:t>
            </w:r>
            <w:r>
              <w:rPr>
                <w:rFonts w:hint="eastAsia" w:ascii="宋体" w:hAnsi="宋体" w:eastAsia="宋体"/>
                <w:color w:val="auto"/>
                <w:sz w:val="24"/>
                <w:szCs w:val="24"/>
                <w:highlight w:val="none"/>
                <w:u w:val="single"/>
                <w:lang w:val="en-US" w:eastAsia="zh-CN"/>
              </w:rPr>
              <w:t>法规</w:t>
            </w:r>
            <w:r>
              <w:rPr>
                <w:rFonts w:hint="eastAsia" w:ascii="宋体" w:hAnsi="宋体" w:eastAsia="宋体"/>
                <w:color w:val="auto"/>
                <w:sz w:val="24"/>
                <w:szCs w:val="24"/>
                <w:highlight w:val="none"/>
                <w:u w:val="single"/>
              </w:rPr>
              <w:t>或者本招标文件规定的其他情形。</w:t>
            </w:r>
          </w:p>
        </w:tc>
      </w:tr>
      <w:tr w14:paraId="727E4B2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59" w:hRule="atLeast"/>
        </w:trPr>
        <w:tc>
          <w:tcPr>
            <w:tcW w:w="936" w:type="dxa"/>
            <w:tcBorders>
              <w:top w:val="single" w:color="auto" w:sz="6" w:space="0"/>
              <w:left w:val="single" w:color="auto" w:sz="4" w:space="0"/>
              <w:bottom w:val="single" w:color="auto" w:sz="6" w:space="0"/>
              <w:right w:val="single" w:color="auto" w:sz="6" w:space="0"/>
            </w:tcBorders>
            <w:shd w:val="clear" w:color="auto" w:fill="auto"/>
            <w:vAlign w:val="center"/>
          </w:tcPr>
          <w:p w14:paraId="3BC9A058">
            <w:pPr>
              <w:snapToGrid w:val="0"/>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3.5</w:t>
            </w:r>
          </w:p>
        </w:tc>
        <w:tc>
          <w:tcPr>
            <w:tcW w:w="2291" w:type="dxa"/>
            <w:tcBorders>
              <w:top w:val="single" w:color="auto" w:sz="6" w:space="0"/>
              <w:left w:val="single" w:color="auto" w:sz="6" w:space="0"/>
              <w:bottom w:val="single" w:color="auto" w:sz="6" w:space="0"/>
              <w:right w:val="single" w:color="auto" w:sz="6" w:space="0"/>
            </w:tcBorders>
            <w:shd w:val="clear" w:color="auto" w:fill="auto"/>
            <w:vAlign w:val="center"/>
          </w:tcPr>
          <w:p w14:paraId="0305EBD1">
            <w:pPr>
              <w:snapToGrid w:val="0"/>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资格审查资料的特殊要求</w:t>
            </w:r>
          </w:p>
        </w:tc>
        <w:tc>
          <w:tcPr>
            <w:tcW w:w="6607" w:type="dxa"/>
            <w:tcBorders>
              <w:top w:val="single" w:color="auto" w:sz="6" w:space="0"/>
              <w:left w:val="single" w:color="auto" w:sz="6" w:space="0"/>
              <w:bottom w:val="single" w:color="auto" w:sz="6" w:space="0"/>
              <w:right w:val="single" w:color="auto" w:sz="4" w:space="0"/>
            </w:tcBorders>
            <w:shd w:val="clear" w:color="auto" w:fill="auto"/>
            <w:vAlign w:val="center"/>
          </w:tcPr>
          <w:p w14:paraId="3A260240">
            <w:pPr>
              <w:pStyle w:val="18"/>
              <w:topLinePunct/>
              <w:snapToGrid w:val="0"/>
              <w:spacing w:after="0" w:line="276" w:lineRule="auto"/>
              <w:ind w:right="174" w:rightChars="83"/>
              <w:rPr>
                <w:rFonts w:ascii="宋体" w:hAnsi="宋体" w:eastAsia="宋体"/>
                <w:color w:val="auto"/>
                <w:sz w:val="24"/>
                <w:szCs w:val="24"/>
                <w:highlight w:val="none"/>
              </w:rPr>
            </w:pPr>
            <w:r>
              <w:rPr>
                <w:rFonts w:hint="eastAsia" w:ascii="宋体" w:hAnsi="宋体" w:eastAsia="宋体" w:cs="MS Mincho"/>
                <w:color w:val="auto"/>
                <w:sz w:val="24"/>
                <w:szCs w:val="24"/>
                <w:highlight w:val="none"/>
              </w:rPr>
              <w:t>■</w:t>
            </w:r>
            <w:r>
              <w:rPr>
                <w:rFonts w:hint="eastAsia" w:ascii="宋体" w:hAnsi="宋体" w:eastAsia="宋体" w:cs="宋体"/>
                <w:color w:val="auto"/>
                <w:sz w:val="24"/>
                <w:szCs w:val="24"/>
                <w:highlight w:val="none"/>
              </w:rPr>
              <w:t>无</w:t>
            </w:r>
          </w:p>
          <w:p w14:paraId="30949106">
            <w:pPr>
              <w:pStyle w:val="18"/>
              <w:topLinePunct/>
              <w:snapToGrid w:val="0"/>
              <w:spacing w:after="0" w:line="276" w:lineRule="auto"/>
              <w:rPr>
                <w:rFonts w:ascii="宋体" w:hAnsi="宋体" w:eastAsia="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olor w:val="auto"/>
                <w:sz w:val="24"/>
                <w:szCs w:val="24"/>
                <w:highlight w:val="none"/>
              </w:rPr>
              <w:t>有</w:t>
            </w:r>
          </w:p>
        </w:tc>
      </w:tr>
      <w:tr w14:paraId="6839FCC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48" w:hRule="atLeast"/>
        </w:trPr>
        <w:tc>
          <w:tcPr>
            <w:tcW w:w="936" w:type="dxa"/>
            <w:tcBorders>
              <w:top w:val="single" w:color="auto" w:sz="6" w:space="0"/>
              <w:left w:val="single" w:color="auto" w:sz="4" w:space="0"/>
              <w:bottom w:val="single" w:color="auto" w:sz="6" w:space="0"/>
              <w:right w:val="single" w:color="auto" w:sz="6" w:space="0"/>
            </w:tcBorders>
            <w:shd w:val="clear" w:color="auto" w:fill="auto"/>
            <w:vAlign w:val="center"/>
          </w:tcPr>
          <w:p w14:paraId="06635693">
            <w:pPr>
              <w:snapToGrid w:val="0"/>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3.5.2</w:t>
            </w:r>
          </w:p>
        </w:tc>
        <w:tc>
          <w:tcPr>
            <w:tcW w:w="2291" w:type="dxa"/>
            <w:tcBorders>
              <w:top w:val="single" w:color="auto" w:sz="6" w:space="0"/>
              <w:left w:val="single" w:color="auto" w:sz="6" w:space="0"/>
              <w:bottom w:val="single" w:color="auto" w:sz="6" w:space="0"/>
              <w:right w:val="single" w:color="auto" w:sz="6" w:space="0"/>
            </w:tcBorders>
            <w:shd w:val="clear" w:color="auto" w:fill="auto"/>
            <w:vAlign w:val="center"/>
          </w:tcPr>
          <w:p w14:paraId="67C9DCA0">
            <w:pPr>
              <w:snapToGrid w:val="0"/>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近年财务状况的年份要求</w:t>
            </w:r>
          </w:p>
        </w:tc>
        <w:tc>
          <w:tcPr>
            <w:tcW w:w="6607" w:type="dxa"/>
            <w:tcBorders>
              <w:top w:val="single" w:color="auto" w:sz="6" w:space="0"/>
              <w:left w:val="single" w:color="auto" w:sz="6" w:space="0"/>
              <w:bottom w:val="single" w:color="auto" w:sz="6" w:space="0"/>
              <w:right w:val="single" w:color="auto" w:sz="4" w:space="0"/>
            </w:tcBorders>
            <w:shd w:val="clear" w:color="auto" w:fill="auto"/>
            <w:vAlign w:val="center"/>
          </w:tcPr>
          <w:p w14:paraId="7D4568E7">
            <w:pPr>
              <w:snapToGrid w:val="0"/>
              <w:spacing w:line="276" w:lineRule="auto"/>
              <w:rPr>
                <w:rFonts w:ascii="宋体" w:hAnsi="宋体" w:eastAsia="宋体"/>
                <w:color w:val="auto"/>
                <w:sz w:val="24"/>
                <w:szCs w:val="24"/>
                <w:highlight w:val="none"/>
                <w:u w:val="single"/>
              </w:rPr>
            </w:pPr>
            <w:r>
              <w:rPr>
                <w:rFonts w:hint="eastAsia" w:ascii="宋体" w:hAnsi="宋体" w:eastAsia="宋体"/>
                <w:color w:val="auto"/>
                <w:sz w:val="24"/>
                <w:szCs w:val="24"/>
                <w:highlight w:val="none"/>
                <w:u w:val="single"/>
              </w:rPr>
              <w:t>本项目资格审查不要求。</w:t>
            </w:r>
          </w:p>
        </w:tc>
      </w:tr>
      <w:tr w14:paraId="0A1E040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06" w:hRule="atLeast"/>
        </w:trPr>
        <w:tc>
          <w:tcPr>
            <w:tcW w:w="936" w:type="dxa"/>
            <w:tcBorders>
              <w:top w:val="single" w:color="auto" w:sz="6" w:space="0"/>
              <w:left w:val="single" w:color="auto" w:sz="4" w:space="0"/>
              <w:bottom w:val="single" w:color="auto" w:sz="6" w:space="0"/>
              <w:right w:val="single" w:color="auto" w:sz="6" w:space="0"/>
            </w:tcBorders>
            <w:shd w:val="clear" w:color="auto" w:fill="auto"/>
            <w:vAlign w:val="center"/>
          </w:tcPr>
          <w:p w14:paraId="3833AFAA">
            <w:pPr>
              <w:snapToGrid w:val="0"/>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3.5.3</w:t>
            </w:r>
          </w:p>
        </w:tc>
        <w:tc>
          <w:tcPr>
            <w:tcW w:w="2291" w:type="dxa"/>
            <w:tcBorders>
              <w:top w:val="single" w:color="auto" w:sz="6" w:space="0"/>
              <w:left w:val="single" w:color="auto" w:sz="6" w:space="0"/>
              <w:bottom w:val="single" w:color="auto" w:sz="6" w:space="0"/>
              <w:right w:val="single" w:color="auto" w:sz="6" w:space="0"/>
            </w:tcBorders>
            <w:shd w:val="clear" w:color="auto" w:fill="auto"/>
            <w:vAlign w:val="center"/>
          </w:tcPr>
          <w:p w14:paraId="74F7742B">
            <w:pPr>
              <w:snapToGrid w:val="0"/>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近年完成的类似项目情况的时间要求</w:t>
            </w:r>
          </w:p>
        </w:tc>
        <w:tc>
          <w:tcPr>
            <w:tcW w:w="6607" w:type="dxa"/>
            <w:tcBorders>
              <w:top w:val="single" w:color="auto" w:sz="6" w:space="0"/>
              <w:left w:val="single" w:color="auto" w:sz="6" w:space="0"/>
              <w:bottom w:val="single" w:color="auto" w:sz="6" w:space="0"/>
              <w:right w:val="single" w:color="auto" w:sz="4" w:space="0"/>
            </w:tcBorders>
            <w:shd w:val="clear" w:color="auto" w:fill="auto"/>
            <w:vAlign w:val="center"/>
          </w:tcPr>
          <w:p w14:paraId="3E7F79B2">
            <w:pPr>
              <w:snapToGrid w:val="0"/>
              <w:spacing w:line="276" w:lineRule="auto"/>
              <w:rPr>
                <w:rFonts w:ascii="宋体" w:hAnsi="宋体" w:eastAsia="宋体"/>
                <w:color w:val="auto"/>
                <w:sz w:val="24"/>
                <w:szCs w:val="24"/>
                <w:highlight w:val="none"/>
              </w:rPr>
            </w:pPr>
            <w:r>
              <w:rPr>
                <w:rFonts w:hint="eastAsia" w:ascii="宋体" w:hAnsi="宋体" w:eastAsia="宋体"/>
                <w:color w:val="auto"/>
                <w:sz w:val="24"/>
                <w:szCs w:val="24"/>
                <w:highlight w:val="none"/>
                <w:u w:val="single"/>
              </w:rPr>
              <w:t>本项目资格审查不要求。</w:t>
            </w:r>
          </w:p>
        </w:tc>
      </w:tr>
      <w:tr w14:paraId="720725A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36" w:type="dxa"/>
            <w:tcBorders>
              <w:top w:val="single" w:color="auto" w:sz="6" w:space="0"/>
              <w:left w:val="single" w:color="auto" w:sz="4" w:space="0"/>
              <w:bottom w:val="single" w:color="auto" w:sz="6" w:space="0"/>
              <w:right w:val="single" w:color="auto" w:sz="6" w:space="0"/>
            </w:tcBorders>
            <w:shd w:val="clear" w:color="auto" w:fill="auto"/>
            <w:vAlign w:val="center"/>
          </w:tcPr>
          <w:p w14:paraId="52729612">
            <w:pPr>
              <w:snapToGrid w:val="0"/>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3.5.5</w:t>
            </w:r>
          </w:p>
        </w:tc>
        <w:tc>
          <w:tcPr>
            <w:tcW w:w="2291" w:type="dxa"/>
            <w:tcBorders>
              <w:top w:val="single" w:color="auto" w:sz="6" w:space="0"/>
              <w:left w:val="single" w:color="auto" w:sz="6" w:space="0"/>
              <w:bottom w:val="single" w:color="auto" w:sz="6" w:space="0"/>
              <w:right w:val="single" w:color="auto" w:sz="6" w:space="0"/>
            </w:tcBorders>
            <w:shd w:val="clear" w:color="auto" w:fill="auto"/>
            <w:vAlign w:val="center"/>
          </w:tcPr>
          <w:p w14:paraId="0BCE388E">
            <w:pPr>
              <w:snapToGrid w:val="0"/>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近年发生的诉讼</w:t>
            </w:r>
          </w:p>
          <w:p w14:paraId="3B25B78E">
            <w:pPr>
              <w:snapToGrid w:val="0"/>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及仲裁情况的时间要求</w:t>
            </w:r>
          </w:p>
        </w:tc>
        <w:tc>
          <w:tcPr>
            <w:tcW w:w="6607" w:type="dxa"/>
            <w:tcBorders>
              <w:top w:val="single" w:color="auto" w:sz="6" w:space="0"/>
              <w:left w:val="single" w:color="auto" w:sz="6" w:space="0"/>
              <w:bottom w:val="single" w:color="auto" w:sz="6" w:space="0"/>
              <w:right w:val="single" w:color="auto" w:sz="4" w:space="0"/>
            </w:tcBorders>
            <w:shd w:val="clear" w:color="auto" w:fill="auto"/>
            <w:vAlign w:val="center"/>
          </w:tcPr>
          <w:p w14:paraId="5DA76978">
            <w:pPr>
              <w:snapToGrid w:val="0"/>
              <w:spacing w:line="276" w:lineRule="auto"/>
              <w:rPr>
                <w:rFonts w:ascii="宋体" w:hAnsi="宋体" w:eastAsia="宋体"/>
                <w:color w:val="auto"/>
                <w:sz w:val="24"/>
                <w:szCs w:val="24"/>
                <w:highlight w:val="none"/>
              </w:rPr>
            </w:pPr>
            <w:r>
              <w:rPr>
                <w:rFonts w:hint="eastAsia" w:ascii="宋体" w:hAnsi="宋体" w:eastAsia="宋体"/>
                <w:color w:val="auto"/>
                <w:sz w:val="24"/>
                <w:szCs w:val="24"/>
                <w:highlight w:val="none"/>
                <w:u w:val="single"/>
              </w:rPr>
              <w:t>本项目资格审查不要求。</w:t>
            </w:r>
          </w:p>
        </w:tc>
      </w:tr>
      <w:tr w14:paraId="088CB9A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8" w:hRule="atLeast"/>
        </w:trPr>
        <w:tc>
          <w:tcPr>
            <w:tcW w:w="936" w:type="dxa"/>
            <w:tcBorders>
              <w:top w:val="single" w:color="auto" w:sz="6" w:space="0"/>
              <w:left w:val="single" w:color="auto" w:sz="4" w:space="0"/>
              <w:bottom w:val="single" w:color="auto" w:sz="6" w:space="0"/>
              <w:right w:val="single" w:color="auto" w:sz="6" w:space="0"/>
            </w:tcBorders>
            <w:shd w:val="clear" w:color="auto" w:fill="auto"/>
            <w:vAlign w:val="center"/>
          </w:tcPr>
          <w:p w14:paraId="2F1CE487">
            <w:pPr>
              <w:snapToGrid w:val="0"/>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3.6.1</w:t>
            </w:r>
          </w:p>
        </w:tc>
        <w:tc>
          <w:tcPr>
            <w:tcW w:w="2291" w:type="dxa"/>
            <w:tcBorders>
              <w:top w:val="single" w:color="auto" w:sz="6" w:space="0"/>
              <w:left w:val="single" w:color="auto" w:sz="6" w:space="0"/>
              <w:bottom w:val="single" w:color="auto" w:sz="6" w:space="0"/>
              <w:right w:val="single" w:color="auto" w:sz="6" w:space="0"/>
            </w:tcBorders>
            <w:shd w:val="clear" w:color="auto" w:fill="auto"/>
            <w:vAlign w:val="center"/>
          </w:tcPr>
          <w:p w14:paraId="35094CE4">
            <w:pPr>
              <w:snapToGrid w:val="0"/>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是否允许递交备选投标方案</w:t>
            </w:r>
          </w:p>
        </w:tc>
        <w:tc>
          <w:tcPr>
            <w:tcW w:w="6607" w:type="dxa"/>
            <w:tcBorders>
              <w:top w:val="single" w:color="auto" w:sz="6" w:space="0"/>
              <w:left w:val="single" w:color="auto" w:sz="6" w:space="0"/>
              <w:bottom w:val="single" w:color="auto" w:sz="6" w:space="0"/>
              <w:right w:val="single" w:color="auto" w:sz="4" w:space="0"/>
            </w:tcBorders>
            <w:shd w:val="clear" w:color="auto" w:fill="auto"/>
            <w:vAlign w:val="center"/>
          </w:tcPr>
          <w:p w14:paraId="68115C66">
            <w:pPr>
              <w:pStyle w:val="18"/>
              <w:topLinePunct/>
              <w:snapToGrid w:val="0"/>
              <w:spacing w:after="0" w:line="276" w:lineRule="auto"/>
              <w:rPr>
                <w:rFonts w:ascii="宋体" w:hAnsi="宋体" w:eastAsia="宋体"/>
                <w:color w:val="auto"/>
                <w:sz w:val="24"/>
                <w:szCs w:val="24"/>
                <w:highlight w:val="none"/>
              </w:rPr>
            </w:pPr>
            <w:r>
              <w:rPr>
                <w:rFonts w:hint="eastAsia" w:ascii="宋体" w:hAnsi="宋体" w:eastAsia="宋体"/>
                <w:color w:val="auto"/>
                <w:spacing w:val="-1"/>
                <w:sz w:val="24"/>
                <w:szCs w:val="24"/>
                <w:highlight w:val="none"/>
              </w:rPr>
              <w:t>■</w:t>
            </w:r>
            <w:r>
              <w:rPr>
                <w:rFonts w:hint="eastAsia" w:ascii="宋体" w:hAnsi="宋体" w:eastAsia="宋体"/>
                <w:color w:val="auto"/>
                <w:sz w:val="24"/>
                <w:szCs w:val="24"/>
                <w:highlight w:val="none"/>
              </w:rPr>
              <w:t>不允许</w:t>
            </w:r>
          </w:p>
          <w:p w14:paraId="2CA1437A">
            <w:pPr>
              <w:snapToGrid w:val="0"/>
              <w:spacing w:line="276" w:lineRule="auto"/>
              <w:rPr>
                <w:rFonts w:ascii="宋体" w:hAnsi="宋体" w:eastAsia="宋体"/>
                <w:color w:val="auto"/>
                <w:sz w:val="24"/>
                <w:szCs w:val="24"/>
                <w:highlight w:val="none"/>
              </w:rPr>
            </w:pPr>
            <w:r>
              <w:rPr>
                <w:rFonts w:hint="eastAsia" w:ascii="宋体" w:hAnsi="宋体" w:eastAsia="宋体"/>
                <w:color w:val="auto"/>
                <w:sz w:val="24"/>
                <w:szCs w:val="24"/>
                <w:highlight w:val="none"/>
              </w:rPr>
              <w:t>□允许</w:t>
            </w:r>
          </w:p>
        </w:tc>
      </w:tr>
      <w:tr w14:paraId="0E8C4D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6" w:hRule="atLeast"/>
        </w:trPr>
        <w:tc>
          <w:tcPr>
            <w:tcW w:w="936" w:type="dxa"/>
            <w:tcBorders>
              <w:top w:val="single" w:color="auto" w:sz="6" w:space="0"/>
              <w:left w:val="single" w:color="auto" w:sz="4" w:space="0"/>
              <w:bottom w:val="single" w:color="auto" w:sz="6" w:space="0"/>
              <w:right w:val="single" w:color="auto" w:sz="6" w:space="0"/>
            </w:tcBorders>
            <w:shd w:val="clear" w:color="auto" w:fill="auto"/>
            <w:vAlign w:val="center"/>
          </w:tcPr>
          <w:p w14:paraId="214D3330">
            <w:pPr>
              <w:snapToGrid w:val="0"/>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3.7.3A（2）</w:t>
            </w:r>
          </w:p>
        </w:tc>
        <w:tc>
          <w:tcPr>
            <w:tcW w:w="2291" w:type="dxa"/>
            <w:tcBorders>
              <w:top w:val="single" w:color="auto" w:sz="6" w:space="0"/>
              <w:left w:val="single" w:color="auto" w:sz="6" w:space="0"/>
              <w:bottom w:val="single" w:color="auto" w:sz="6" w:space="0"/>
              <w:right w:val="single" w:color="auto" w:sz="6" w:space="0"/>
            </w:tcBorders>
            <w:shd w:val="clear" w:color="auto" w:fill="auto"/>
            <w:vAlign w:val="center"/>
          </w:tcPr>
          <w:p w14:paraId="1D6FB443">
            <w:pPr>
              <w:snapToGrid w:val="0"/>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投标文件副本份数及其他要求</w:t>
            </w:r>
          </w:p>
        </w:tc>
        <w:tc>
          <w:tcPr>
            <w:tcW w:w="6607" w:type="dxa"/>
            <w:tcBorders>
              <w:top w:val="single" w:color="auto" w:sz="6" w:space="0"/>
              <w:left w:val="single" w:color="auto" w:sz="6" w:space="0"/>
              <w:bottom w:val="single" w:color="auto" w:sz="6" w:space="0"/>
              <w:right w:val="single" w:color="auto" w:sz="4" w:space="0"/>
            </w:tcBorders>
            <w:shd w:val="clear" w:color="auto" w:fill="auto"/>
            <w:vAlign w:val="center"/>
          </w:tcPr>
          <w:p w14:paraId="0ECCB17B">
            <w:pPr>
              <w:snapToGrid w:val="0"/>
              <w:spacing w:line="276" w:lineRule="auto"/>
              <w:rPr>
                <w:rFonts w:ascii="宋体" w:hAnsi="宋体" w:eastAsia="宋体"/>
                <w:color w:val="auto"/>
                <w:sz w:val="24"/>
                <w:szCs w:val="24"/>
                <w:highlight w:val="none"/>
              </w:rPr>
            </w:pPr>
            <w:r>
              <w:rPr>
                <w:rFonts w:hint="eastAsia" w:ascii="宋体" w:hAnsi="宋体" w:eastAsia="宋体"/>
                <w:color w:val="auto"/>
                <w:sz w:val="24"/>
                <w:szCs w:val="24"/>
                <w:highlight w:val="none"/>
                <w:u w:val="single"/>
              </w:rPr>
              <w:t>/</w:t>
            </w:r>
          </w:p>
        </w:tc>
      </w:tr>
      <w:tr w14:paraId="3251F52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36" w:type="dxa"/>
            <w:tcBorders>
              <w:top w:val="single" w:color="auto" w:sz="6" w:space="0"/>
              <w:left w:val="single" w:color="auto" w:sz="4" w:space="0"/>
              <w:bottom w:val="single" w:color="auto" w:sz="6" w:space="0"/>
              <w:right w:val="single" w:color="auto" w:sz="6" w:space="0"/>
            </w:tcBorders>
            <w:shd w:val="clear" w:color="auto" w:fill="auto"/>
            <w:vAlign w:val="center"/>
          </w:tcPr>
          <w:p w14:paraId="19C1D20F">
            <w:pPr>
              <w:snapToGrid w:val="0"/>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3.7.3A（3）</w:t>
            </w:r>
          </w:p>
        </w:tc>
        <w:tc>
          <w:tcPr>
            <w:tcW w:w="2291" w:type="dxa"/>
            <w:tcBorders>
              <w:top w:val="single" w:color="auto" w:sz="6" w:space="0"/>
              <w:left w:val="single" w:color="auto" w:sz="6" w:space="0"/>
              <w:bottom w:val="single" w:color="auto" w:sz="6" w:space="0"/>
              <w:right w:val="single" w:color="auto" w:sz="6" w:space="0"/>
            </w:tcBorders>
            <w:shd w:val="clear" w:color="auto" w:fill="auto"/>
            <w:vAlign w:val="center"/>
          </w:tcPr>
          <w:p w14:paraId="2E1680A5">
            <w:pPr>
              <w:snapToGrid w:val="0"/>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投标文件是否需分册装订</w:t>
            </w:r>
          </w:p>
        </w:tc>
        <w:tc>
          <w:tcPr>
            <w:tcW w:w="6607" w:type="dxa"/>
            <w:tcBorders>
              <w:top w:val="single" w:color="auto" w:sz="6" w:space="0"/>
              <w:left w:val="single" w:color="auto" w:sz="6" w:space="0"/>
              <w:bottom w:val="single" w:color="auto" w:sz="6" w:space="0"/>
              <w:right w:val="single" w:color="auto" w:sz="4" w:space="0"/>
            </w:tcBorders>
            <w:shd w:val="clear" w:color="auto" w:fill="auto"/>
            <w:vAlign w:val="center"/>
          </w:tcPr>
          <w:p w14:paraId="6B0081EC">
            <w:pPr>
              <w:snapToGrid w:val="0"/>
              <w:spacing w:line="276" w:lineRule="auto"/>
              <w:rPr>
                <w:rFonts w:ascii="宋体" w:hAnsi="宋体" w:eastAsia="宋体"/>
                <w:color w:val="auto"/>
                <w:sz w:val="24"/>
                <w:szCs w:val="24"/>
                <w:highlight w:val="none"/>
              </w:rPr>
            </w:pPr>
            <w:r>
              <w:rPr>
                <w:rFonts w:hint="eastAsia" w:ascii="宋体" w:hAnsi="宋体" w:eastAsia="宋体"/>
                <w:color w:val="auto"/>
                <w:sz w:val="24"/>
                <w:szCs w:val="24"/>
                <w:highlight w:val="none"/>
                <w:u w:val="single"/>
              </w:rPr>
              <w:t>/</w:t>
            </w:r>
          </w:p>
        </w:tc>
      </w:tr>
      <w:tr w14:paraId="5174A5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5" w:hRule="atLeast"/>
        </w:trPr>
        <w:tc>
          <w:tcPr>
            <w:tcW w:w="936" w:type="dxa"/>
            <w:tcBorders>
              <w:top w:val="single" w:color="auto" w:sz="6" w:space="0"/>
              <w:left w:val="single" w:color="auto" w:sz="4" w:space="0"/>
              <w:bottom w:val="single" w:color="auto" w:sz="6" w:space="0"/>
              <w:right w:val="single" w:color="auto" w:sz="6" w:space="0"/>
            </w:tcBorders>
            <w:shd w:val="clear" w:color="auto" w:fill="auto"/>
            <w:vAlign w:val="center"/>
          </w:tcPr>
          <w:p w14:paraId="4257C2D7">
            <w:pPr>
              <w:snapToGrid w:val="0"/>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3.7.3（B）</w:t>
            </w:r>
          </w:p>
        </w:tc>
        <w:tc>
          <w:tcPr>
            <w:tcW w:w="2291" w:type="dxa"/>
            <w:tcBorders>
              <w:top w:val="single" w:color="auto" w:sz="6" w:space="0"/>
              <w:left w:val="single" w:color="auto" w:sz="6" w:space="0"/>
              <w:bottom w:val="single" w:color="auto" w:sz="6" w:space="0"/>
              <w:right w:val="single" w:color="auto" w:sz="6" w:space="0"/>
            </w:tcBorders>
            <w:shd w:val="clear" w:color="auto" w:fill="auto"/>
            <w:vAlign w:val="center"/>
          </w:tcPr>
          <w:p w14:paraId="720FB8D2">
            <w:pPr>
              <w:snapToGrid w:val="0"/>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投标文件所附证书证件要求</w:t>
            </w:r>
          </w:p>
        </w:tc>
        <w:tc>
          <w:tcPr>
            <w:tcW w:w="6607" w:type="dxa"/>
            <w:tcBorders>
              <w:top w:val="single" w:color="auto" w:sz="6" w:space="0"/>
              <w:left w:val="single" w:color="auto" w:sz="6" w:space="0"/>
              <w:bottom w:val="single" w:color="auto" w:sz="6" w:space="0"/>
              <w:right w:val="single" w:color="auto" w:sz="4" w:space="0"/>
            </w:tcBorders>
            <w:shd w:val="clear" w:color="auto" w:fill="auto"/>
            <w:vAlign w:val="center"/>
          </w:tcPr>
          <w:p w14:paraId="4768F476">
            <w:pPr>
              <w:pStyle w:val="18"/>
              <w:topLinePunct/>
              <w:snapToGrid w:val="0"/>
              <w:spacing w:after="0" w:line="276" w:lineRule="auto"/>
              <w:rPr>
                <w:rFonts w:ascii="宋体" w:hAnsi="宋体" w:eastAsia="宋体"/>
                <w:color w:val="auto"/>
                <w:sz w:val="24"/>
                <w:szCs w:val="24"/>
                <w:highlight w:val="none"/>
                <w:u w:val="single"/>
              </w:rPr>
            </w:pPr>
            <w:r>
              <w:rPr>
                <w:rFonts w:hint="eastAsia" w:ascii="宋体" w:hAnsi="宋体" w:eastAsia="宋体"/>
                <w:color w:val="auto"/>
                <w:sz w:val="24"/>
                <w:szCs w:val="24"/>
                <w:highlight w:val="none"/>
                <w:u w:val="single"/>
              </w:rPr>
              <w:t>证书证件需为原件清晰扫描件，并采用单位数字证书，按照招标文件要求在相应位置加盖电子印章。</w:t>
            </w:r>
            <w:r>
              <w:rPr>
                <w:rFonts w:hint="eastAsia" w:ascii="宋体" w:hAnsi="宋体" w:eastAsia="宋体" w:cs="Times New Roman"/>
                <w:color w:val="auto"/>
                <w:kern w:val="2"/>
                <w:sz w:val="24"/>
                <w:szCs w:val="24"/>
                <w:highlight w:val="none"/>
                <w:u w:val="single"/>
                <w:lang w:val="en-US" w:eastAsia="zh-CN"/>
              </w:rPr>
              <w:t>投标文件中需个人签字或盖章的，应加盖个人电子印章或在线下完成后扫描上传。</w:t>
            </w:r>
          </w:p>
        </w:tc>
      </w:tr>
      <w:tr w14:paraId="3B8C3B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36" w:type="dxa"/>
            <w:tcBorders>
              <w:top w:val="single" w:color="auto" w:sz="6" w:space="0"/>
              <w:left w:val="single" w:color="auto" w:sz="4" w:space="0"/>
              <w:bottom w:val="single" w:color="auto" w:sz="6" w:space="0"/>
              <w:right w:val="single" w:color="auto" w:sz="6" w:space="0"/>
            </w:tcBorders>
            <w:shd w:val="clear" w:color="auto" w:fill="auto"/>
            <w:vAlign w:val="center"/>
          </w:tcPr>
          <w:p w14:paraId="07574F1C">
            <w:pPr>
              <w:snapToGrid w:val="0"/>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3.7.3（B）</w:t>
            </w:r>
          </w:p>
        </w:tc>
        <w:tc>
          <w:tcPr>
            <w:tcW w:w="2291" w:type="dxa"/>
            <w:tcBorders>
              <w:top w:val="single" w:color="auto" w:sz="6" w:space="0"/>
              <w:left w:val="single" w:color="auto" w:sz="6" w:space="0"/>
              <w:bottom w:val="single" w:color="auto" w:sz="6" w:space="0"/>
              <w:right w:val="single" w:color="auto" w:sz="6" w:space="0"/>
            </w:tcBorders>
            <w:shd w:val="clear" w:color="auto" w:fill="auto"/>
            <w:vAlign w:val="center"/>
          </w:tcPr>
          <w:p w14:paraId="3CFBAFDB">
            <w:pPr>
              <w:snapToGrid w:val="0"/>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投标文件签字或盖章要求</w:t>
            </w:r>
          </w:p>
        </w:tc>
        <w:tc>
          <w:tcPr>
            <w:tcW w:w="6607" w:type="dxa"/>
            <w:tcBorders>
              <w:top w:val="single" w:color="auto" w:sz="6" w:space="0"/>
              <w:left w:val="single" w:color="auto" w:sz="6" w:space="0"/>
              <w:bottom w:val="single" w:color="auto" w:sz="6" w:space="0"/>
              <w:right w:val="single" w:color="auto" w:sz="4" w:space="0"/>
            </w:tcBorders>
            <w:shd w:val="clear" w:color="auto" w:fill="auto"/>
            <w:vAlign w:val="center"/>
          </w:tcPr>
          <w:p w14:paraId="53CE0838">
            <w:pPr>
              <w:pStyle w:val="18"/>
              <w:topLinePunct/>
              <w:adjustRightInd w:val="0"/>
              <w:snapToGrid w:val="0"/>
              <w:spacing w:after="0" w:line="276" w:lineRule="auto"/>
              <w:textAlignment w:val="baseline"/>
              <w:outlineLvl w:val="1"/>
              <w:rPr>
                <w:rFonts w:ascii="宋体" w:hAnsi="宋体" w:eastAsia="宋体"/>
                <w:color w:val="auto"/>
                <w:sz w:val="24"/>
                <w:szCs w:val="24"/>
                <w:highlight w:val="none"/>
                <w:u w:val="single"/>
              </w:rPr>
            </w:pPr>
            <w:r>
              <w:rPr>
                <w:rFonts w:hint="eastAsia" w:ascii="宋体" w:hAnsi="宋体" w:eastAsia="宋体"/>
                <w:color w:val="auto"/>
                <w:sz w:val="24"/>
                <w:szCs w:val="24"/>
                <w:highlight w:val="none"/>
                <w:u w:val="single"/>
              </w:rPr>
              <w:t>投标文件全部采用电子文档，投标文件所附证书证件均为原件扫描件，并采用单位数字证书，按招标文件要求在相应位置加盖电子印章。投标文件中需个人签字或盖章的，应</w:t>
            </w:r>
            <w:r>
              <w:rPr>
                <w:rFonts w:hint="eastAsia" w:hAnsi="宋体" w:eastAsia="宋体" w:cs="宋体"/>
                <w:color w:val="auto"/>
                <w:kern w:val="2"/>
                <w:sz w:val="24"/>
                <w:szCs w:val="24"/>
                <w:highlight w:val="none"/>
                <w:lang w:val="en-US" w:eastAsia="zh-CN"/>
              </w:rPr>
              <w:t>加盖个人电子印章或在线下完成后</w:t>
            </w:r>
            <w:r>
              <w:rPr>
                <w:rFonts w:hint="eastAsia" w:ascii="宋体" w:hAnsi="宋体" w:eastAsia="宋体"/>
                <w:color w:val="auto"/>
                <w:sz w:val="24"/>
                <w:szCs w:val="24"/>
                <w:highlight w:val="none"/>
                <w:u w:val="single"/>
              </w:rPr>
              <w:t>扫描上传。具体操作详见</w:t>
            </w:r>
            <w:r>
              <w:rPr>
                <w:rFonts w:hint="eastAsia" w:ascii="宋体" w:hAnsi="宋体" w:eastAsia="宋体"/>
                <w:color w:val="auto"/>
                <w:sz w:val="24"/>
                <w:szCs w:val="24"/>
                <w:highlight w:val="none"/>
                <w:u w:val="single"/>
                <w:lang w:eastAsia="zh-CN"/>
              </w:rPr>
              <w:t>广州交易集团有限公司（广州公共资源交易中心）</w:t>
            </w:r>
            <w:r>
              <w:rPr>
                <w:rFonts w:hint="eastAsia" w:ascii="宋体" w:hAnsi="宋体" w:eastAsia="宋体"/>
                <w:color w:val="auto"/>
                <w:sz w:val="24"/>
                <w:szCs w:val="24"/>
                <w:highlight w:val="none"/>
                <w:u w:val="single"/>
              </w:rPr>
              <w:t>最新指引。</w:t>
            </w:r>
          </w:p>
        </w:tc>
      </w:tr>
      <w:tr w14:paraId="7C19E2A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36" w:type="dxa"/>
            <w:tcBorders>
              <w:top w:val="single" w:color="auto" w:sz="6" w:space="0"/>
              <w:left w:val="single" w:color="auto" w:sz="4" w:space="0"/>
              <w:bottom w:val="single" w:color="auto" w:sz="6" w:space="0"/>
              <w:right w:val="single" w:color="auto" w:sz="6" w:space="0"/>
            </w:tcBorders>
            <w:shd w:val="clear" w:color="auto" w:fill="auto"/>
            <w:vAlign w:val="center"/>
          </w:tcPr>
          <w:p w14:paraId="7FE11ED2">
            <w:pPr>
              <w:snapToGrid w:val="0"/>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4.1.1（B）</w:t>
            </w:r>
          </w:p>
        </w:tc>
        <w:tc>
          <w:tcPr>
            <w:tcW w:w="2291" w:type="dxa"/>
            <w:tcBorders>
              <w:top w:val="single" w:color="auto" w:sz="6" w:space="0"/>
              <w:left w:val="single" w:color="auto" w:sz="6" w:space="0"/>
              <w:bottom w:val="single" w:color="auto" w:sz="6" w:space="0"/>
              <w:right w:val="single" w:color="auto" w:sz="6" w:space="0"/>
            </w:tcBorders>
            <w:shd w:val="clear" w:color="auto" w:fill="auto"/>
            <w:vAlign w:val="center"/>
          </w:tcPr>
          <w:p w14:paraId="638E1050">
            <w:pPr>
              <w:snapToGrid w:val="0"/>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投标文件加密要求</w:t>
            </w:r>
          </w:p>
        </w:tc>
        <w:tc>
          <w:tcPr>
            <w:tcW w:w="6607" w:type="dxa"/>
            <w:tcBorders>
              <w:top w:val="single" w:color="auto" w:sz="6" w:space="0"/>
              <w:left w:val="single" w:color="auto" w:sz="6" w:space="0"/>
              <w:bottom w:val="single" w:color="auto" w:sz="6" w:space="0"/>
              <w:right w:val="single" w:color="auto" w:sz="4" w:space="0"/>
            </w:tcBorders>
            <w:shd w:val="clear" w:color="auto" w:fill="auto"/>
            <w:vAlign w:val="center"/>
          </w:tcPr>
          <w:p w14:paraId="4151E6BF">
            <w:pPr>
              <w:pStyle w:val="18"/>
              <w:topLinePunct/>
              <w:adjustRightInd w:val="0"/>
              <w:snapToGrid w:val="0"/>
              <w:spacing w:after="0" w:line="276" w:lineRule="auto"/>
              <w:textAlignment w:val="baseline"/>
              <w:outlineLvl w:val="1"/>
              <w:rPr>
                <w:rFonts w:ascii="宋体" w:hAnsi="宋体" w:eastAsia="宋体"/>
                <w:color w:val="auto"/>
                <w:sz w:val="24"/>
                <w:szCs w:val="24"/>
                <w:highlight w:val="none"/>
                <w:u w:val="single"/>
              </w:rPr>
            </w:pPr>
            <w:r>
              <w:rPr>
                <w:rFonts w:hint="eastAsia" w:ascii="宋体" w:hAnsi="宋体" w:eastAsia="宋体"/>
                <w:color w:val="auto"/>
                <w:sz w:val="24"/>
                <w:szCs w:val="24"/>
                <w:highlight w:val="none"/>
                <w:u w:val="single"/>
              </w:rPr>
              <w:t>网上递交的电子投标文件须进行加密。具体操作详见</w:t>
            </w:r>
            <w:r>
              <w:rPr>
                <w:rFonts w:hint="eastAsia" w:ascii="宋体" w:hAnsi="宋体" w:eastAsia="宋体"/>
                <w:color w:val="auto"/>
                <w:sz w:val="24"/>
                <w:szCs w:val="24"/>
                <w:highlight w:val="none"/>
                <w:u w:val="single"/>
                <w:lang w:eastAsia="zh-CN"/>
              </w:rPr>
              <w:t>广州交易集团有限公司（广州公共资源交易中心）</w:t>
            </w:r>
            <w:r>
              <w:rPr>
                <w:rFonts w:hint="eastAsia" w:ascii="宋体" w:hAnsi="宋体" w:eastAsia="宋体"/>
                <w:color w:val="auto"/>
                <w:sz w:val="24"/>
                <w:szCs w:val="24"/>
                <w:highlight w:val="none"/>
                <w:u w:val="single"/>
              </w:rPr>
              <w:t>最新指引。</w:t>
            </w:r>
          </w:p>
        </w:tc>
      </w:tr>
      <w:tr w14:paraId="26203F9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526" w:hRule="atLeast"/>
        </w:trPr>
        <w:tc>
          <w:tcPr>
            <w:tcW w:w="936" w:type="dxa"/>
            <w:tcBorders>
              <w:top w:val="single" w:color="auto" w:sz="6" w:space="0"/>
              <w:left w:val="single" w:color="auto" w:sz="4" w:space="0"/>
              <w:bottom w:val="single" w:color="auto" w:sz="6" w:space="0"/>
              <w:right w:val="single" w:color="auto" w:sz="6" w:space="0"/>
            </w:tcBorders>
            <w:shd w:val="clear" w:color="auto" w:fill="auto"/>
            <w:vAlign w:val="center"/>
          </w:tcPr>
          <w:p w14:paraId="2482F2E2">
            <w:pPr>
              <w:snapToGrid w:val="0"/>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4.1.2</w:t>
            </w:r>
          </w:p>
        </w:tc>
        <w:tc>
          <w:tcPr>
            <w:tcW w:w="2291" w:type="dxa"/>
            <w:tcBorders>
              <w:top w:val="single" w:color="auto" w:sz="6" w:space="0"/>
              <w:left w:val="single" w:color="auto" w:sz="6" w:space="0"/>
              <w:bottom w:val="single" w:color="auto" w:sz="6" w:space="0"/>
              <w:right w:val="single" w:color="auto" w:sz="6" w:space="0"/>
            </w:tcBorders>
            <w:shd w:val="clear" w:color="auto" w:fill="auto"/>
            <w:vAlign w:val="center"/>
          </w:tcPr>
          <w:p w14:paraId="660130FC">
            <w:pPr>
              <w:snapToGrid w:val="0"/>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封套上应载明</w:t>
            </w:r>
          </w:p>
          <w:p w14:paraId="79E1E41C">
            <w:pPr>
              <w:snapToGrid w:val="0"/>
              <w:spacing w:line="276" w:lineRule="auto"/>
              <w:jc w:val="center"/>
              <w:rPr>
                <w:rFonts w:ascii="宋体" w:hAnsi="宋体" w:eastAsia="宋体"/>
                <w:color w:val="auto"/>
                <w:sz w:val="24"/>
                <w:szCs w:val="24"/>
                <w:highlight w:val="none"/>
                <w:shd w:val="clear" w:color="auto" w:fill="D9D9D9"/>
              </w:rPr>
            </w:pPr>
            <w:r>
              <w:rPr>
                <w:rFonts w:hint="eastAsia" w:ascii="宋体" w:hAnsi="宋体" w:eastAsia="宋体"/>
                <w:color w:val="auto"/>
                <w:sz w:val="24"/>
                <w:szCs w:val="24"/>
                <w:highlight w:val="none"/>
              </w:rPr>
              <w:t>的信息</w:t>
            </w:r>
          </w:p>
        </w:tc>
        <w:tc>
          <w:tcPr>
            <w:tcW w:w="6607" w:type="dxa"/>
            <w:tcBorders>
              <w:top w:val="single" w:color="auto" w:sz="6" w:space="0"/>
              <w:left w:val="single" w:color="auto" w:sz="6" w:space="0"/>
              <w:bottom w:val="single" w:color="auto" w:sz="6" w:space="0"/>
              <w:right w:val="single" w:color="auto" w:sz="4" w:space="0"/>
            </w:tcBorders>
            <w:shd w:val="clear" w:color="auto" w:fill="auto"/>
            <w:vAlign w:val="center"/>
          </w:tcPr>
          <w:p w14:paraId="4D525819">
            <w:pPr>
              <w:pStyle w:val="18"/>
              <w:topLinePunct/>
              <w:snapToGrid w:val="0"/>
              <w:spacing w:after="0" w:line="276" w:lineRule="auto"/>
              <w:ind w:right="174" w:rightChars="83"/>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如有提交投标文件光盘备用，封套上应注明如下信息：</w:t>
            </w:r>
          </w:p>
          <w:p w14:paraId="62465CC6">
            <w:pPr>
              <w:pStyle w:val="18"/>
              <w:topLinePunct/>
              <w:snapToGrid w:val="0"/>
              <w:spacing w:after="0" w:line="276" w:lineRule="auto"/>
              <w:ind w:right="174" w:rightChars="83"/>
              <w:rPr>
                <w:rFonts w:ascii="宋体" w:hAnsi="宋体" w:eastAsia="宋体"/>
                <w:color w:val="auto"/>
                <w:sz w:val="24"/>
                <w:szCs w:val="24"/>
                <w:highlight w:val="none"/>
                <w:u w:val="single"/>
              </w:rPr>
            </w:pPr>
            <w:r>
              <w:rPr>
                <w:rFonts w:hint="eastAsia" w:ascii="宋体" w:hAnsi="宋体" w:eastAsia="宋体"/>
                <w:color w:val="auto"/>
                <w:sz w:val="24"/>
                <w:szCs w:val="24"/>
                <w:highlight w:val="none"/>
              </w:rPr>
              <w:t>招标人名称：</w:t>
            </w:r>
            <w:r>
              <w:rPr>
                <w:rFonts w:hint="eastAsia" w:ascii="宋体" w:hAnsi="宋体" w:eastAsia="宋体"/>
                <w:color w:val="auto"/>
                <w:sz w:val="24"/>
                <w:szCs w:val="24"/>
                <w:highlight w:val="none"/>
                <w:u w:val="single"/>
              </w:rPr>
              <w:t>广州燃气集团有限公司</w:t>
            </w:r>
          </w:p>
          <w:p w14:paraId="5665A96E">
            <w:pPr>
              <w:snapToGrid w:val="0"/>
              <w:spacing w:line="276" w:lineRule="auto"/>
              <w:ind w:right="174" w:rightChars="83"/>
              <w:rPr>
                <w:rFonts w:ascii="宋体" w:hAnsi="宋体" w:eastAsia="宋体"/>
                <w:color w:val="auto"/>
                <w:sz w:val="24"/>
                <w:szCs w:val="24"/>
                <w:highlight w:val="none"/>
                <w:u w:val="single"/>
              </w:rPr>
            </w:pPr>
            <w:r>
              <w:rPr>
                <w:rFonts w:hint="eastAsia" w:ascii="宋体" w:hAnsi="宋体" w:eastAsia="宋体"/>
                <w:color w:val="auto"/>
                <w:sz w:val="24"/>
                <w:szCs w:val="24"/>
                <w:highlight w:val="none"/>
              </w:rPr>
              <w:t>招标人地址：</w:t>
            </w:r>
            <w:r>
              <w:rPr>
                <w:rFonts w:hint="eastAsia" w:ascii="宋体" w:hAnsi="宋体" w:eastAsia="宋体"/>
                <w:color w:val="auto"/>
                <w:sz w:val="24"/>
                <w:szCs w:val="24"/>
                <w:highlight w:val="none"/>
                <w:u w:val="single"/>
              </w:rPr>
              <w:t>广州市天河区临江大道3号23-24楼</w:t>
            </w:r>
          </w:p>
          <w:p w14:paraId="150505DD">
            <w:pPr>
              <w:pStyle w:val="18"/>
              <w:topLinePunct/>
              <w:snapToGrid w:val="0"/>
              <w:spacing w:after="0" w:line="276" w:lineRule="auto"/>
              <w:ind w:right="174" w:rightChars="83"/>
              <w:rPr>
                <w:rFonts w:ascii="宋体" w:hAnsi="宋体" w:eastAsia="宋体"/>
                <w:color w:val="auto"/>
                <w:sz w:val="24"/>
                <w:szCs w:val="24"/>
                <w:highlight w:val="none"/>
              </w:rPr>
            </w:pPr>
            <w:r>
              <w:rPr>
                <w:rFonts w:hint="eastAsia" w:ascii="宋体" w:hAnsi="宋体" w:eastAsia="宋体"/>
                <w:color w:val="auto"/>
                <w:sz w:val="24"/>
                <w:szCs w:val="24"/>
                <w:highlight w:val="none"/>
                <w:u w:val="single"/>
                <w:lang w:val="en-US" w:eastAsia="zh-CN"/>
              </w:rPr>
              <w:t>广州LNG应急调峰气源站配套管线工程（黄阁门站-横沥调压和气化站段）线路工程与场站工程施工监理服务</w:t>
            </w:r>
            <w:r>
              <w:rPr>
                <w:rFonts w:hint="eastAsia" w:ascii="宋体" w:hAnsi="宋体" w:eastAsia="宋体"/>
                <w:color w:val="auto"/>
                <w:sz w:val="24"/>
                <w:szCs w:val="24"/>
                <w:highlight w:val="none"/>
              </w:rPr>
              <w:t>投标文件</w:t>
            </w:r>
          </w:p>
          <w:p w14:paraId="0EC3CB5E">
            <w:pPr>
              <w:pStyle w:val="18"/>
              <w:topLinePunct/>
              <w:snapToGrid w:val="0"/>
              <w:spacing w:after="0" w:line="276" w:lineRule="auto"/>
              <w:ind w:right="174" w:rightChars="83"/>
              <w:rPr>
                <w:rFonts w:ascii="宋体" w:hAnsi="宋体" w:eastAsia="宋体"/>
                <w:color w:val="auto"/>
                <w:sz w:val="24"/>
                <w:szCs w:val="24"/>
                <w:highlight w:val="none"/>
                <w:u w:val="single"/>
              </w:rPr>
            </w:pPr>
            <w:r>
              <w:rPr>
                <w:rFonts w:hint="eastAsia" w:ascii="宋体" w:hAnsi="宋体" w:eastAsia="宋体"/>
                <w:color w:val="auto"/>
                <w:sz w:val="24"/>
                <w:szCs w:val="24"/>
                <w:highlight w:val="none"/>
              </w:rPr>
              <w:t>招标项目编号：</w:t>
            </w:r>
          </w:p>
          <w:p w14:paraId="4BBCD4E1">
            <w:pPr>
              <w:pStyle w:val="18"/>
              <w:topLinePunct/>
              <w:snapToGrid w:val="0"/>
              <w:spacing w:after="0" w:line="276" w:lineRule="auto"/>
              <w:rPr>
                <w:rFonts w:ascii="宋体" w:hAnsi="宋体" w:eastAsia="宋体"/>
                <w:color w:val="auto"/>
                <w:sz w:val="24"/>
                <w:szCs w:val="24"/>
                <w:highlight w:val="none"/>
              </w:rPr>
            </w:pPr>
            <w:r>
              <w:rPr>
                <w:rFonts w:hint="eastAsia" w:ascii="宋体" w:hAnsi="宋体" w:eastAsia="宋体"/>
                <w:color w:val="auto"/>
                <w:sz w:val="24"/>
                <w:szCs w:val="24"/>
                <w:highlight w:val="none"/>
                <w:u w:val="single"/>
              </w:rPr>
              <w:t>在   年   月   日时</w:t>
            </w:r>
            <w:r>
              <w:rPr>
                <w:rFonts w:hint="eastAsia" w:ascii="宋体" w:hAnsi="宋体" w:eastAsia="宋体"/>
                <w:color w:val="auto"/>
                <w:sz w:val="24"/>
                <w:szCs w:val="24"/>
                <w:highlight w:val="none"/>
              </w:rPr>
              <w:t>前不得开启</w:t>
            </w:r>
          </w:p>
        </w:tc>
      </w:tr>
      <w:tr w14:paraId="316655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36" w:type="dxa"/>
            <w:tcBorders>
              <w:top w:val="single" w:color="auto" w:sz="6" w:space="0"/>
              <w:left w:val="single" w:color="auto" w:sz="4" w:space="0"/>
              <w:bottom w:val="single" w:color="auto" w:sz="6" w:space="0"/>
              <w:right w:val="single" w:color="auto" w:sz="6" w:space="0"/>
            </w:tcBorders>
            <w:shd w:val="clear" w:color="auto" w:fill="auto"/>
            <w:vAlign w:val="center"/>
          </w:tcPr>
          <w:p w14:paraId="7435644C">
            <w:pPr>
              <w:snapToGrid w:val="0"/>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4.2.1</w:t>
            </w:r>
          </w:p>
        </w:tc>
        <w:tc>
          <w:tcPr>
            <w:tcW w:w="2291" w:type="dxa"/>
            <w:tcBorders>
              <w:top w:val="single" w:color="auto" w:sz="6" w:space="0"/>
              <w:left w:val="single" w:color="auto" w:sz="6" w:space="0"/>
              <w:bottom w:val="single" w:color="auto" w:sz="6" w:space="0"/>
              <w:right w:val="single" w:color="auto" w:sz="6" w:space="0"/>
            </w:tcBorders>
            <w:shd w:val="clear" w:color="auto" w:fill="auto"/>
            <w:vAlign w:val="center"/>
          </w:tcPr>
          <w:p w14:paraId="62341444">
            <w:pPr>
              <w:snapToGrid w:val="0"/>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投标截止时间</w:t>
            </w:r>
          </w:p>
        </w:tc>
        <w:tc>
          <w:tcPr>
            <w:tcW w:w="6607" w:type="dxa"/>
            <w:tcBorders>
              <w:top w:val="single" w:color="auto" w:sz="6" w:space="0"/>
              <w:left w:val="single" w:color="auto" w:sz="6" w:space="0"/>
              <w:bottom w:val="single" w:color="auto" w:sz="6" w:space="0"/>
              <w:right w:val="single" w:color="auto" w:sz="4" w:space="0"/>
            </w:tcBorders>
            <w:shd w:val="clear" w:color="auto" w:fill="auto"/>
            <w:vAlign w:val="center"/>
          </w:tcPr>
          <w:p w14:paraId="12290287">
            <w:pPr>
              <w:snapToGrid w:val="0"/>
              <w:spacing w:line="276" w:lineRule="auto"/>
              <w:rPr>
                <w:rFonts w:ascii="宋体" w:hAnsi="宋体" w:eastAsia="宋体"/>
                <w:color w:val="auto"/>
                <w:sz w:val="24"/>
                <w:szCs w:val="24"/>
                <w:highlight w:val="none"/>
              </w:rPr>
            </w:pPr>
            <w:r>
              <w:rPr>
                <w:rFonts w:hint="eastAsia" w:ascii="宋体" w:hAnsi="宋体" w:eastAsia="宋体" w:cs="宋体"/>
                <w:color w:val="auto"/>
                <w:sz w:val="24"/>
                <w:szCs w:val="24"/>
                <w:highlight w:val="none"/>
                <w:u w:val="single"/>
              </w:rPr>
              <w:t>详见招标公告（具体交易活动安排详见</w:t>
            </w:r>
            <w:r>
              <w:rPr>
                <w:rFonts w:hint="eastAsia" w:ascii="宋体" w:hAnsi="宋体" w:eastAsia="宋体" w:cs="宋体"/>
                <w:color w:val="auto"/>
                <w:sz w:val="24"/>
                <w:szCs w:val="24"/>
                <w:highlight w:val="none"/>
                <w:u w:val="single"/>
                <w:lang w:eastAsia="zh-CN"/>
              </w:rPr>
              <w:t>广州交易集团有限公司（广州公共资源交易中心）</w:t>
            </w:r>
            <w:r>
              <w:rPr>
                <w:rFonts w:hint="eastAsia" w:ascii="宋体" w:hAnsi="宋体" w:eastAsia="宋体" w:cs="宋体"/>
                <w:color w:val="auto"/>
                <w:sz w:val="24"/>
                <w:szCs w:val="24"/>
                <w:highlight w:val="none"/>
                <w:u w:val="single"/>
              </w:rPr>
              <w:t>网站进入“建设工程”专区→“项目查询(日程安排、答疑纪要)”栏目→输入项目编号或项目名称查询）</w:t>
            </w:r>
          </w:p>
        </w:tc>
      </w:tr>
      <w:tr w14:paraId="41AAC48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1" w:hRule="atLeast"/>
        </w:trPr>
        <w:tc>
          <w:tcPr>
            <w:tcW w:w="936" w:type="dxa"/>
            <w:tcBorders>
              <w:top w:val="single" w:color="auto" w:sz="6" w:space="0"/>
              <w:left w:val="single" w:color="auto" w:sz="4" w:space="0"/>
              <w:bottom w:val="single" w:color="auto" w:sz="6" w:space="0"/>
              <w:right w:val="single" w:color="auto" w:sz="6" w:space="0"/>
            </w:tcBorders>
            <w:shd w:val="clear" w:color="auto" w:fill="auto"/>
            <w:vAlign w:val="center"/>
          </w:tcPr>
          <w:p w14:paraId="7442C47C">
            <w:pPr>
              <w:snapToGrid w:val="0"/>
              <w:spacing w:line="276" w:lineRule="auto"/>
              <w:jc w:val="center"/>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4.2.2（A)</w:t>
            </w:r>
          </w:p>
        </w:tc>
        <w:tc>
          <w:tcPr>
            <w:tcW w:w="2291" w:type="dxa"/>
            <w:tcBorders>
              <w:top w:val="single" w:color="auto" w:sz="6" w:space="0"/>
              <w:left w:val="single" w:color="auto" w:sz="6" w:space="0"/>
              <w:bottom w:val="single" w:color="auto" w:sz="6" w:space="0"/>
              <w:right w:val="single" w:color="auto" w:sz="6" w:space="0"/>
            </w:tcBorders>
            <w:shd w:val="clear" w:color="auto" w:fill="auto"/>
            <w:vAlign w:val="center"/>
          </w:tcPr>
          <w:p w14:paraId="239029AF">
            <w:pPr>
              <w:snapToGrid w:val="0"/>
              <w:spacing w:line="276" w:lineRule="auto"/>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rPr>
              <w:t>递交投标文件地点</w:t>
            </w:r>
          </w:p>
        </w:tc>
        <w:tc>
          <w:tcPr>
            <w:tcW w:w="6607" w:type="dxa"/>
            <w:tcBorders>
              <w:top w:val="single" w:color="auto" w:sz="6" w:space="0"/>
              <w:left w:val="single" w:color="auto" w:sz="6" w:space="0"/>
              <w:bottom w:val="single" w:color="auto" w:sz="6" w:space="0"/>
              <w:right w:val="single" w:color="auto" w:sz="4" w:space="0"/>
            </w:tcBorders>
            <w:shd w:val="clear" w:color="auto" w:fill="auto"/>
            <w:vAlign w:val="center"/>
          </w:tcPr>
          <w:p w14:paraId="241032E2">
            <w:pPr>
              <w:spacing w:line="24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1.递交方式：网上递交投标文件 </w:t>
            </w:r>
          </w:p>
          <w:p w14:paraId="5DE11355">
            <w:pPr>
              <w:spacing w:line="24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2.递交投标文件的起始时间：见招标公告（具体交易活动安排详见</w:t>
            </w:r>
            <w:r>
              <w:rPr>
                <w:rFonts w:hint="eastAsia" w:ascii="宋体" w:hAnsi="宋体" w:eastAsia="宋体" w:cs="宋体"/>
                <w:color w:val="auto"/>
                <w:sz w:val="24"/>
                <w:szCs w:val="24"/>
                <w:highlight w:val="none"/>
                <w:u w:val="single"/>
                <w:lang w:eastAsia="zh-CN"/>
              </w:rPr>
              <w:t>广州交易集团有限公司（广州公共资源交易中心）</w:t>
            </w:r>
            <w:r>
              <w:rPr>
                <w:rFonts w:hint="eastAsia" w:ascii="宋体" w:hAnsi="宋体" w:eastAsia="宋体" w:cs="宋体"/>
                <w:color w:val="auto"/>
                <w:sz w:val="24"/>
                <w:szCs w:val="24"/>
                <w:highlight w:val="none"/>
                <w:u w:val="single"/>
              </w:rPr>
              <w:t>网站进入“建设工程”专区→“项目查询(日程安排、答疑纪要)”栏目→输入项目编号或项目名称查询）</w:t>
            </w:r>
          </w:p>
          <w:p w14:paraId="074EEC0A">
            <w:pPr>
              <w:spacing w:line="24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截止时间：见招标公告（具体交易活动安排详见</w:t>
            </w:r>
            <w:r>
              <w:rPr>
                <w:rFonts w:hint="eastAsia" w:ascii="宋体" w:hAnsi="宋体" w:eastAsia="宋体" w:cs="宋体"/>
                <w:color w:val="auto"/>
                <w:sz w:val="24"/>
                <w:szCs w:val="24"/>
                <w:highlight w:val="none"/>
                <w:u w:val="single"/>
                <w:lang w:eastAsia="zh-CN"/>
              </w:rPr>
              <w:t>广州交易集团有限公司（广州公共资源交易中心）</w:t>
            </w:r>
            <w:r>
              <w:rPr>
                <w:rFonts w:hint="eastAsia" w:ascii="宋体" w:hAnsi="宋体" w:eastAsia="宋体" w:cs="宋体"/>
                <w:color w:val="auto"/>
                <w:sz w:val="24"/>
                <w:szCs w:val="24"/>
                <w:highlight w:val="none"/>
                <w:u w:val="single"/>
              </w:rPr>
              <w:t>网站进入“建设工程”专区→“项目查询(日程安排、答疑纪要)”栏目→输入项目编号或项目名称查询）</w:t>
            </w:r>
          </w:p>
          <w:p w14:paraId="45FC8D7D">
            <w:pPr>
              <w:spacing w:line="24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3.地点：</w:t>
            </w:r>
            <w:r>
              <w:rPr>
                <w:rFonts w:hint="eastAsia" w:ascii="宋体" w:hAnsi="宋体" w:eastAsia="宋体" w:cs="宋体"/>
                <w:color w:val="auto"/>
                <w:sz w:val="24"/>
                <w:szCs w:val="24"/>
                <w:highlight w:val="none"/>
                <w:u w:val="single"/>
                <w:lang w:eastAsia="zh-CN"/>
              </w:rPr>
              <w:t>广州交易集团有限公司（广州公共资源交易中心）</w:t>
            </w:r>
            <w:r>
              <w:rPr>
                <w:rFonts w:hint="eastAsia" w:ascii="宋体" w:hAnsi="宋体" w:eastAsia="宋体" w:cs="宋体"/>
                <w:color w:val="auto"/>
                <w:sz w:val="24"/>
                <w:szCs w:val="24"/>
                <w:highlight w:val="none"/>
                <w:u w:val="single"/>
              </w:rPr>
              <w:t xml:space="preserve">网站。 </w:t>
            </w:r>
          </w:p>
          <w:p w14:paraId="60B81BF0">
            <w:pPr>
              <w:pStyle w:val="18"/>
              <w:topLinePunct/>
              <w:snapToGrid w:val="0"/>
              <w:spacing w:after="0" w:line="240" w:lineRule="auto"/>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u w:val="single"/>
              </w:rPr>
              <w:t>4.上述时间及地点是否有改变，请密切留意招标答疑纪要的相关信息。</w:t>
            </w:r>
          </w:p>
        </w:tc>
      </w:tr>
      <w:tr w14:paraId="59A661A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701" w:hRule="atLeast"/>
        </w:trPr>
        <w:tc>
          <w:tcPr>
            <w:tcW w:w="936" w:type="dxa"/>
            <w:tcBorders>
              <w:top w:val="single" w:color="auto" w:sz="6" w:space="0"/>
              <w:left w:val="single" w:color="auto" w:sz="4" w:space="0"/>
              <w:bottom w:val="single" w:color="auto" w:sz="6" w:space="0"/>
              <w:right w:val="single" w:color="auto" w:sz="6" w:space="0"/>
            </w:tcBorders>
            <w:shd w:val="clear" w:color="auto" w:fill="auto"/>
            <w:vAlign w:val="center"/>
          </w:tcPr>
          <w:p w14:paraId="413E967D">
            <w:pPr>
              <w:snapToGrid w:val="0"/>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4.2.3</w:t>
            </w:r>
          </w:p>
        </w:tc>
        <w:tc>
          <w:tcPr>
            <w:tcW w:w="2291" w:type="dxa"/>
            <w:tcBorders>
              <w:top w:val="single" w:color="auto" w:sz="6" w:space="0"/>
              <w:left w:val="single" w:color="auto" w:sz="6" w:space="0"/>
              <w:bottom w:val="single" w:color="auto" w:sz="6" w:space="0"/>
              <w:right w:val="single" w:color="auto" w:sz="6" w:space="0"/>
            </w:tcBorders>
            <w:shd w:val="clear" w:color="auto" w:fill="auto"/>
            <w:vAlign w:val="center"/>
          </w:tcPr>
          <w:p w14:paraId="32034E6C">
            <w:pPr>
              <w:snapToGrid w:val="0"/>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投标文件是否退还</w:t>
            </w:r>
          </w:p>
        </w:tc>
        <w:tc>
          <w:tcPr>
            <w:tcW w:w="6607" w:type="dxa"/>
            <w:tcBorders>
              <w:top w:val="single" w:color="auto" w:sz="6" w:space="0"/>
              <w:left w:val="single" w:color="auto" w:sz="6" w:space="0"/>
              <w:bottom w:val="single" w:color="auto" w:sz="6" w:space="0"/>
              <w:right w:val="single" w:color="auto" w:sz="4" w:space="0"/>
            </w:tcBorders>
            <w:shd w:val="clear" w:color="auto" w:fill="auto"/>
            <w:vAlign w:val="center"/>
          </w:tcPr>
          <w:p w14:paraId="08348345">
            <w:pPr>
              <w:pStyle w:val="18"/>
              <w:topLinePunct/>
              <w:snapToGrid w:val="0"/>
              <w:spacing w:after="0" w:line="276" w:lineRule="auto"/>
              <w:rPr>
                <w:rFonts w:ascii="宋体" w:hAnsi="宋体" w:eastAsia="宋体"/>
                <w:color w:val="auto"/>
                <w:sz w:val="24"/>
                <w:szCs w:val="24"/>
                <w:highlight w:val="none"/>
              </w:rPr>
            </w:pPr>
            <w:r>
              <w:rPr>
                <w:rFonts w:hint="eastAsia" w:ascii="宋体" w:hAnsi="宋体" w:eastAsia="宋体"/>
                <w:color w:val="auto"/>
                <w:spacing w:val="-1"/>
                <w:sz w:val="24"/>
                <w:szCs w:val="24"/>
                <w:highlight w:val="none"/>
              </w:rPr>
              <w:t>■</w:t>
            </w:r>
            <w:r>
              <w:rPr>
                <w:rFonts w:hint="eastAsia" w:ascii="宋体" w:hAnsi="宋体" w:eastAsia="宋体"/>
                <w:color w:val="auto"/>
                <w:sz w:val="24"/>
                <w:szCs w:val="24"/>
                <w:highlight w:val="none"/>
              </w:rPr>
              <w:t>否</w:t>
            </w:r>
          </w:p>
          <w:p w14:paraId="17D6698E">
            <w:pPr>
              <w:pStyle w:val="18"/>
              <w:topLinePunct/>
              <w:snapToGrid w:val="0"/>
              <w:spacing w:after="0" w:line="276" w:lineRule="auto"/>
              <w:rPr>
                <w:rFonts w:ascii="宋体" w:hAnsi="宋体" w:eastAsia="宋体"/>
                <w:color w:val="auto"/>
                <w:sz w:val="24"/>
                <w:szCs w:val="24"/>
                <w:highlight w:val="none"/>
              </w:rPr>
            </w:pPr>
            <w:r>
              <w:rPr>
                <w:rFonts w:hint="eastAsia" w:ascii="宋体" w:hAnsi="宋体" w:eastAsia="宋体"/>
                <w:color w:val="auto"/>
                <w:sz w:val="24"/>
                <w:szCs w:val="24"/>
                <w:highlight w:val="none"/>
              </w:rPr>
              <w:t>□是，退还时间：</w:t>
            </w:r>
          </w:p>
        </w:tc>
      </w:tr>
      <w:tr w14:paraId="1BD5DD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36" w:type="dxa"/>
            <w:tcBorders>
              <w:top w:val="single" w:color="auto" w:sz="6" w:space="0"/>
              <w:left w:val="single" w:color="auto" w:sz="4" w:space="0"/>
              <w:bottom w:val="single" w:color="auto" w:sz="6" w:space="0"/>
              <w:right w:val="single" w:color="auto" w:sz="6" w:space="0"/>
            </w:tcBorders>
            <w:shd w:val="clear" w:color="auto" w:fill="auto"/>
            <w:vAlign w:val="center"/>
          </w:tcPr>
          <w:p w14:paraId="109D290B">
            <w:pPr>
              <w:snapToGrid w:val="0"/>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5.1（B）</w:t>
            </w:r>
          </w:p>
        </w:tc>
        <w:tc>
          <w:tcPr>
            <w:tcW w:w="2291" w:type="dxa"/>
            <w:tcBorders>
              <w:top w:val="single" w:color="auto" w:sz="6" w:space="0"/>
              <w:left w:val="single" w:color="auto" w:sz="6" w:space="0"/>
              <w:bottom w:val="single" w:color="auto" w:sz="6" w:space="0"/>
              <w:right w:val="single" w:color="auto" w:sz="6" w:space="0"/>
            </w:tcBorders>
            <w:shd w:val="clear" w:color="auto" w:fill="auto"/>
            <w:vAlign w:val="center"/>
          </w:tcPr>
          <w:p w14:paraId="473D867F">
            <w:pPr>
              <w:snapToGrid w:val="0"/>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开标时间和地点</w:t>
            </w:r>
          </w:p>
        </w:tc>
        <w:tc>
          <w:tcPr>
            <w:tcW w:w="6607" w:type="dxa"/>
            <w:tcBorders>
              <w:top w:val="single" w:color="auto" w:sz="6" w:space="0"/>
              <w:left w:val="single" w:color="auto" w:sz="6" w:space="0"/>
              <w:bottom w:val="single" w:color="auto" w:sz="6" w:space="0"/>
              <w:right w:val="single" w:color="auto" w:sz="4" w:space="0"/>
            </w:tcBorders>
            <w:shd w:val="clear" w:color="auto" w:fill="auto"/>
            <w:vAlign w:val="center"/>
          </w:tcPr>
          <w:p w14:paraId="20EB8A21">
            <w:pPr>
              <w:spacing w:line="276" w:lineRule="auto"/>
              <w:rPr>
                <w:rFonts w:ascii="宋体" w:hAnsi="宋体" w:eastAsia="宋体"/>
                <w:color w:val="auto"/>
                <w:sz w:val="24"/>
                <w:szCs w:val="24"/>
                <w:highlight w:val="none"/>
              </w:rPr>
            </w:pPr>
            <w:r>
              <w:rPr>
                <w:rFonts w:hint="eastAsia" w:ascii="宋体" w:hAnsi="宋体" w:eastAsia="宋体"/>
                <w:color w:val="auto"/>
                <w:sz w:val="24"/>
                <w:szCs w:val="24"/>
                <w:highlight w:val="none"/>
              </w:rPr>
              <w:t>开标时间：同投标截止时间</w:t>
            </w:r>
          </w:p>
          <w:p w14:paraId="07E4C0E9">
            <w:pPr>
              <w:spacing w:line="276" w:lineRule="auto"/>
              <w:rPr>
                <w:rFonts w:ascii="宋体" w:hAnsi="宋体" w:eastAsia="宋体"/>
                <w:color w:val="auto"/>
                <w:sz w:val="24"/>
                <w:szCs w:val="24"/>
                <w:highlight w:val="none"/>
              </w:rPr>
            </w:pPr>
            <w:r>
              <w:rPr>
                <w:rFonts w:hint="eastAsia" w:ascii="宋体" w:hAnsi="宋体" w:eastAsia="宋体"/>
                <w:color w:val="auto"/>
                <w:sz w:val="24"/>
                <w:szCs w:val="24"/>
                <w:highlight w:val="none"/>
              </w:rPr>
              <w:t>开标地点：</w:t>
            </w:r>
            <w:r>
              <w:rPr>
                <w:rFonts w:hint="eastAsia" w:ascii="宋体" w:hAnsi="宋体" w:eastAsia="宋体"/>
                <w:color w:val="auto"/>
                <w:sz w:val="24"/>
                <w:szCs w:val="24"/>
                <w:highlight w:val="none"/>
                <w:u w:val="single"/>
                <w:lang w:eastAsia="zh-CN"/>
              </w:rPr>
              <w:t>广州交易集团有限公司（广州公共资源交易中心）</w:t>
            </w:r>
            <w:r>
              <w:rPr>
                <w:rFonts w:hint="eastAsia" w:ascii="宋体" w:hAnsi="宋体" w:eastAsia="宋体" w:cs="宋体"/>
                <w:color w:val="auto"/>
                <w:sz w:val="24"/>
                <w:szCs w:val="24"/>
                <w:highlight w:val="none"/>
                <w:u w:val="single"/>
                <w:lang w:val="en-US" w:eastAsia="zh-CN"/>
              </w:rPr>
              <w:t xml:space="preserve">第  </w:t>
            </w:r>
            <w:r>
              <w:rPr>
                <w:rFonts w:hint="eastAsia" w:ascii="宋体" w:hAnsi="宋体" w:eastAsia="宋体" w:cs="宋体"/>
                <w:color w:val="auto"/>
                <w:sz w:val="24"/>
                <w:szCs w:val="24"/>
                <w:highlight w:val="none"/>
                <w:u w:val="single"/>
              </w:rPr>
              <w:t>开标室（</w:t>
            </w:r>
            <w:r>
              <w:rPr>
                <w:rFonts w:hint="eastAsia" w:ascii="宋体" w:hAnsi="宋体" w:eastAsia="宋体"/>
                <w:color w:val="auto"/>
                <w:sz w:val="24"/>
                <w:szCs w:val="24"/>
                <w:highlight w:val="none"/>
                <w:u w:val="single"/>
              </w:rPr>
              <w:t>（广州市天河区天润路333号）</w:t>
            </w:r>
          </w:p>
          <w:p w14:paraId="60ECD788">
            <w:pPr>
              <w:snapToGrid w:val="0"/>
              <w:spacing w:line="276" w:lineRule="auto"/>
              <w:rPr>
                <w:rFonts w:ascii="宋体" w:hAnsi="宋体" w:eastAsia="宋体"/>
                <w:color w:val="auto"/>
                <w:sz w:val="24"/>
                <w:szCs w:val="24"/>
                <w:highlight w:val="none"/>
              </w:rPr>
            </w:pPr>
            <w:r>
              <w:rPr>
                <w:rFonts w:hint="eastAsia" w:ascii="宋体" w:hAnsi="宋体" w:eastAsia="宋体" w:cs="宋体"/>
                <w:color w:val="auto"/>
                <w:sz w:val="24"/>
                <w:szCs w:val="24"/>
                <w:highlight w:val="none"/>
                <w:u w:val="single"/>
              </w:rPr>
              <w:t>具体交易活动安排详见</w:t>
            </w:r>
            <w:r>
              <w:rPr>
                <w:rFonts w:hint="eastAsia" w:ascii="宋体" w:hAnsi="宋体" w:eastAsia="宋体" w:cs="宋体"/>
                <w:color w:val="auto"/>
                <w:sz w:val="24"/>
                <w:szCs w:val="24"/>
                <w:highlight w:val="none"/>
                <w:u w:val="single"/>
                <w:lang w:eastAsia="zh-CN"/>
              </w:rPr>
              <w:t>广州交易集团有限公司（广州公共资源交易中心）</w:t>
            </w:r>
            <w:r>
              <w:rPr>
                <w:rFonts w:hint="eastAsia" w:ascii="宋体" w:hAnsi="宋体" w:eastAsia="宋体" w:cs="宋体"/>
                <w:color w:val="auto"/>
                <w:sz w:val="24"/>
                <w:szCs w:val="24"/>
                <w:highlight w:val="none"/>
                <w:u w:val="single"/>
              </w:rPr>
              <w:t>网站进入“建设工程”专区→“项目查询(日程安排、答疑纪要)”栏目→输入项目编号或项目名称查询</w:t>
            </w:r>
          </w:p>
        </w:tc>
      </w:tr>
      <w:tr w14:paraId="6916211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86" w:hRule="atLeast"/>
        </w:trPr>
        <w:tc>
          <w:tcPr>
            <w:tcW w:w="936" w:type="dxa"/>
            <w:vMerge w:val="restart"/>
            <w:tcBorders>
              <w:top w:val="single" w:color="auto" w:sz="6" w:space="0"/>
              <w:left w:val="single" w:color="auto" w:sz="4" w:space="0"/>
              <w:bottom w:val="single" w:color="auto" w:sz="6" w:space="0"/>
              <w:right w:val="single" w:color="auto" w:sz="6" w:space="0"/>
            </w:tcBorders>
            <w:shd w:val="clear" w:color="auto" w:fill="auto"/>
            <w:vAlign w:val="center"/>
          </w:tcPr>
          <w:p w14:paraId="6B102F65">
            <w:pPr>
              <w:snapToGrid w:val="0"/>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5.2（B）</w:t>
            </w:r>
          </w:p>
          <w:p w14:paraId="62710CB0">
            <w:pPr>
              <w:snapToGrid w:val="0"/>
              <w:spacing w:line="276" w:lineRule="auto"/>
              <w:jc w:val="center"/>
              <w:rPr>
                <w:rFonts w:ascii="宋体" w:hAnsi="宋体" w:eastAsia="宋体"/>
                <w:color w:val="auto"/>
                <w:sz w:val="24"/>
                <w:szCs w:val="24"/>
                <w:highlight w:val="none"/>
              </w:rPr>
            </w:pPr>
          </w:p>
        </w:tc>
        <w:tc>
          <w:tcPr>
            <w:tcW w:w="2291" w:type="dxa"/>
            <w:vMerge w:val="restart"/>
            <w:tcBorders>
              <w:top w:val="single" w:color="auto" w:sz="6" w:space="0"/>
              <w:left w:val="single" w:color="auto" w:sz="6" w:space="0"/>
              <w:bottom w:val="single" w:color="auto" w:sz="6" w:space="0"/>
              <w:right w:val="single" w:color="auto" w:sz="6" w:space="0"/>
            </w:tcBorders>
            <w:shd w:val="clear" w:color="auto" w:fill="auto"/>
            <w:vAlign w:val="center"/>
          </w:tcPr>
          <w:p w14:paraId="600905DF">
            <w:pPr>
              <w:snapToGrid w:val="0"/>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开标程序</w:t>
            </w:r>
          </w:p>
        </w:tc>
        <w:tc>
          <w:tcPr>
            <w:tcW w:w="6607" w:type="dxa"/>
            <w:tcBorders>
              <w:top w:val="single" w:color="auto" w:sz="6" w:space="0"/>
              <w:left w:val="single" w:color="auto" w:sz="6" w:space="0"/>
              <w:bottom w:val="single" w:color="auto" w:sz="6" w:space="0"/>
              <w:right w:val="single" w:color="auto" w:sz="4" w:space="0"/>
            </w:tcBorders>
            <w:shd w:val="clear" w:color="auto" w:fill="auto"/>
            <w:vAlign w:val="center"/>
          </w:tcPr>
          <w:p w14:paraId="33933B46">
            <w:pPr>
              <w:snapToGrid w:val="0"/>
              <w:spacing w:line="276" w:lineRule="auto"/>
              <w:rPr>
                <w:rFonts w:ascii="宋体" w:hAnsi="宋体" w:eastAsia="宋体"/>
                <w:color w:val="auto"/>
                <w:sz w:val="24"/>
                <w:szCs w:val="24"/>
                <w:highlight w:val="none"/>
              </w:rPr>
            </w:pPr>
            <w:r>
              <w:rPr>
                <w:rFonts w:hint="eastAsia" w:ascii="宋体" w:hAnsi="宋体" w:eastAsia="宋体"/>
                <w:color w:val="auto"/>
                <w:sz w:val="24"/>
                <w:szCs w:val="24"/>
                <w:highlight w:val="none"/>
              </w:rPr>
              <w:t>电子招投标项目开标按下列程序进行：</w:t>
            </w:r>
          </w:p>
          <w:p w14:paraId="5703652C">
            <w:pPr>
              <w:snapToGrid w:val="0"/>
              <w:spacing w:line="276" w:lineRule="auto"/>
              <w:rPr>
                <w:rFonts w:ascii="宋体" w:hAnsi="宋体" w:eastAsia="宋体"/>
                <w:color w:val="auto"/>
                <w:sz w:val="24"/>
                <w:szCs w:val="24"/>
                <w:highlight w:val="none"/>
              </w:rPr>
            </w:pPr>
            <w:r>
              <w:rPr>
                <w:rFonts w:hint="eastAsia" w:ascii="宋体" w:hAnsi="宋体" w:eastAsia="宋体"/>
                <w:color w:val="auto"/>
                <w:sz w:val="24"/>
                <w:szCs w:val="24"/>
                <w:highlight w:val="none"/>
              </w:rPr>
              <w:t>5.2.1主持人按下列程序进行开标：</w:t>
            </w:r>
          </w:p>
          <w:p w14:paraId="2ED77A7A">
            <w:pPr>
              <w:snapToGrid w:val="0"/>
              <w:spacing w:line="276" w:lineRule="auto"/>
              <w:rPr>
                <w:rFonts w:ascii="宋体" w:hAnsi="宋体" w:eastAsia="宋体"/>
                <w:color w:val="auto"/>
                <w:sz w:val="24"/>
                <w:szCs w:val="24"/>
                <w:highlight w:val="none"/>
              </w:rPr>
            </w:pPr>
            <w:r>
              <w:rPr>
                <w:rFonts w:hint="eastAsia" w:ascii="宋体" w:hAnsi="宋体" w:eastAsia="宋体"/>
                <w:color w:val="auto"/>
                <w:sz w:val="24"/>
                <w:szCs w:val="24"/>
                <w:highlight w:val="none"/>
              </w:rPr>
              <w:t>（1）宣布开标纪律；</w:t>
            </w:r>
          </w:p>
          <w:p w14:paraId="24E2FC95">
            <w:pPr>
              <w:snapToGrid w:val="0"/>
              <w:spacing w:line="276" w:lineRule="auto"/>
              <w:rPr>
                <w:rFonts w:ascii="宋体" w:hAnsi="宋体" w:eastAsia="宋体"/>
                <w:color w:val="auto"/>
                <w:sz w:val="24"/>
                <w:szCs w:val="24"/>
                <w:highlight w:val="none"/>
              </w:rPr>
            </w:pPr>
            <w:r>
              <w:rPr>
                <w:rFonts w:hint="eastAsia" w:ascii="宋体" w:hAnsi="宋体" w:eastAsia="宋体"/>
                <w:color w:val="auto"/>
                <w:sz w:val="24"/>
                <w:szCs w:val="24"/>
                <w:highlight w:val="none"/>
              </w:rPr>
              <w:t>（2）公布在投标截止时间前递交投标文件的投标人名称；</w:t>
            </w:r>
          </w:p>
          <w:p w14:paraId="10A8E31B">
            <w:pPr>
              <w:snapToGrid w:val="0"/>
              <w:spacing w:line="276" w:lineRule="auto"/>
              <w:rPr>
                <w:rFonts w:ascii="宋体" w:hAnsi="宋体" w:eastAsia="宋体"/>
                <w:color w:val="auto"/>
                <w:sz w:val="24"/>
                <w:szCs w:val="24"/>
                <w:highlight w:val="none"/>
              </w:rPr>
            </w:pPr>
            <w:r>
              <w:rPr>
                <w:rFonts w:hint="eastAsia" w:ascii="宋体" w:hAnsi="宋体" w:eastAsia="宋体"/>
                <w:color w:val="auto"/>
                <w:sz w:val="24"/>
                <w:szCs w:val="24"/>
                <w:highlight w:val="none"/>
              </w:rPr>
              <w:t>（3）宣布开标人、唱标人、记录人、监标人等有关人员姓名；</w:t>
            </w:r>
          </w:p>
          <w:p w14:paraId="09ACA7F4">
            <w:pPr>
              <w:snapToGrid w:val="0"/>
              <w:spacing w:line="276" w:lineRule="auto"/>
              <w:rPr>
                <w:rFonts w:ascii="宋体" w:hAnsi="宋体" w:eastAsia="宋体"/>
                <w:color w:val="auto"/>
                <w:sz w:val="24"/>
                <w:szCs w:val="24"/>
                <w:highlight w:val="none"/>
              </w:rPr>
            </w:pPr>
            <w:r>
              <w:rPr>
                <w:rFonts w:hint="eastAsia" w:ascii="宋体" w:hAnsi="宋体" w:eastAsia="宋体"/>
                <w:color w:val="auto"/>
                <w:sz w:val="24"/>
                <w:szCs w:val="24"/>
                <w:highlight w:val="none"/>
              </w:rPr>
              <w:t>（4）</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B</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投标人通过电子招标投标交易平台对已递交的电子投标文件进行解密，公布招标项目名称、投标人名称、投标保证金的递交情况、</w:t>
            </w:r>
            <w:r>
              <w:rPr>
                <w:rFonts w:hint="eastAsia" w:ascii="宋体" w:hAnsi="宋体" w:eastAsia="宋体" w:cs="楷体"/>
                <w:color w:val="auto"/>
                <w:kern w:val="0"/>
                <w:sz w:val="24"/>
                <w:szCs w:val="24"/>
                <w:highlight w:val="none"/>
              </w:rPr>
              <w:t>投标报价</w:t>
            </w:r>
            <w:r>
              <w:rPr>
                <w:rFonts w:hint="eastAsia" w:ascii="宋体" w:hAnsi="宋体" w:eastAsia="宋体"/>
                <w:color w:val="auto"/>
                <w:sz w:val="24"/>
                <w:szCs w:val="24"/>
                <w:highlight w:val="none"/>
              </w:rPr>
              <w:t>、监理服务期限及其他内容，并记录在案；</w:t>
            </w:r>
          </w:p>
          <w:p w14:paraId="4308DEAF">
            <w:pPr>
              <w:snapToGrid w:val="0"/>
              <w:spacing w:line="276" w:lineRule="auto"/>
              <w:rPr>
                <w:rFonts w:ascii="宋体" w:hAnsi="宋体" w:eastAsia="宋体"/>
                <w:color w:val="auto"/>
                <w:sz w:val="24"/>
                <w:szCs w:val="24"/>
                <w:highlight w:val="none"/>
              </w:rPr>
            </w:pPr>
            <w:r>
              <w:rPr>
                <w:rFonts w:hint="eastAsia" w:ascii="宋体" w:hAnsi="宋体" w:eastAsia="宋体"/>
                <w:color w:val="auto"/>
                <w:sz w:val="24"/>
                <w:szCs w:val="24"/>
                <w:highlight w:val="none"/>
              </w:rPr>
              <w:t>（5）</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A</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投标人代表、招标人代表、监标人、记录人等有关人员在开标记录上签字确认；若有关人员不签字的，不影响开标程序；</w:t>
            </w:r>
          </w:p>
          <w:p w14:paraId="5E3E736F">
            <w:pPr>
              <w:snapToGrid w:val="0"/>
              <w:spacing w:line="276" w:lineRule="auto"/>
              <w:rPr>
                <w:rFonts w:ascii="宋体" w:hAnsi="宋体" w:eastAsia="宋体"/>
                <w:color w:val="auto"/>
                <w:sz w:val="24"/>
                <w:szCs w:val="24"/>
                <w:highlight w:val="none"/>
                <w:u w:val="single"/>
              </w:rPr>
            </w:pPr>
            <w:r>
              <w:rPr>
                <w:rFonts w:hint="eastAsia" w:ascii="宋体" w:hAnsi="宋体" w:eastAsia="宋体"/>
                <w:color w:val="auto"/>
                <w:sz w:val="24"/>
                <w:szCs w:val="24"/>
                <w:highlight w:val="none"/>
              </w:rPr>
              <w:t>（6）开标结束。</w:t>
            </w:r>
          </w:p>
        </w:tc>
      </w:tr>
      <w:tr w14:paraId="646E997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3" w:hRule="atLeast"/>
        </w:trPr>
        <w:tc>
          <w:tcPr>
            <w:tcW w:w="936" w:type="dxa"/>
            <w:vMerge w:val="continue"/>
            <w:tcBorders>
              <w:top w:val="single" w:color="auto" w:sz="6" w:space="0"/>
              <w:left w:val="single" w:color="auto" w:sz="4" w:space="0"/>
              <w:bottom w:val="single" w:color="auto" w:sz="6" w:space="0"/>
              <w:right w:val="single" w:color="auto" w:sz="6" w:space="0"/>
            </w:tcBorders>
            <w:shd w:val="clear" w:color="auto" w:fill="auto"/>
            <w:vAlign w:val="center"/>
          </w:tcPr>
          <w:p w14:paraId="2142B716">
            <w:pPr>
              <w:widowControl/>
              <w:spacing w:line="276" w:lineRule="auto"/>
              <w:jc w:val="left"/>
              <w:rPr>
                <w:rFonts w:ascii="宋体" w:hAnsi="宋体" w:eastAsia="宋体"/>
                <w:color w:val="auto"/>
                <w:sz w:val="24"/>
                <w:szCs w:val="24"/>
                <w:highlight w:val="none"/>
              </w:rPr>
            </w:pPr>
          </w:p>
        </w:tc>
        <w:tc>
          <w:tcPr>
            <w:tcW w:w="2291"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758FC588">
            <w:pPr>
              <w:widowControl/>
              <w:spacing w:line="276" w:lineRule="auto"/>
              <w:jc w:val="left"/>
              <w:rPr>
                <w:rFonts w:ascii="宋体" w:hAnsi="宋体" w:eastAsia="宋体"/>
                <w:color w:val="auto"/>
                <w:sz w:val="24"/>
                <w:szCs w:val="24"/>
                <w:highlight w:val="none"/>
              </w:rPr>
            </w:pPr>
          </w:p>
        </w:tc>
        <w:tc>
          <w:tcPr>
            <w:tcW w:w="6607" w:type="dxa"/>
            <w:tcBorders>
              <w:top w:val="single" w:color="auto" w:sz="6" w:space="0"/>
              <w:left w:val="single" w:color="auto" w:sz="6" w:space="0"/>
              <w:bottom w:val="single" w:color="auto" w:sz="6" w:space="0"/>
              <w:right w:val="single" w:color="auto" w:sz="4" w:space="0"/>
            </w:tcBorders>
            <w:shd w:val="clear" w:color="auto" w:fill="auto"/>
            <w:vAlign w:val="center"/>
          </w:tcPr>
          <w:p w14:paraId="2224B69D">
            <w:pPr>
              <w:snapToGrid w:val="0"/>
              <w:spacing w:line="276"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5.2.2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tc>
      </w:tr>
      <w:tr w14:paraId="41DE29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8" w:hRule="atLeast"/>
        </w:trPr>
        <w:tc>
          <w:tcPr>
            <w:tcW w:w="936" w:type="dxa"/>
            <w:vMerge w:val="continue"/>
            <w:tcBorders>
              <w:top w:val="single" w:color="auto" w:sz="6" w:space="0"/>
              <w:left w:val="single" w:color="auto" w:sz="4" w:space="0"/>
              <w:bottom w:val="single" w:color="auto" w:sz="6" w:space="0"/>
              <w:right w:val="single" w:color="auto" w:sz="6" w:space="0"/>
            </w:tcBorders>
            <w:shd w:val="clear" w:color="auto" w:fill="auto"/>
            <w:vAlign w:val="center"/>
          </w:tcPr>
          <w:p w14:paraId="3A9CD6D0">
            <w:pPr>
              <w:widowControl/>
              <w:spacing w:line="276" w:lineRule="auto"/>
              <w:jc w:val="left"/>
              <w:rPr>
                <w:rFonts w:ascii="宋体" w:hAnsi="宋体" w:eastAsia="宋体"/>
                <w:color w:val="auto"/>
                <w:sz w:val="24"/>
                <w:szCs w:val="24"/>
                <w:highlight w:val="none"/>
              </w:rPr>
            </w:pPr>
          </w:p>
        </w:tc>
        <w:tc>
          <w:tcPr>
            <w:tcW w:w="2291"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5B5C477B">
            <w:pPr>
              <w:widowControl/>
              <w:spacing w:line="276" w:lineRule="auto"/>
              <w:jc w:val="left"/>
              <w:rPr>
                <w:rFonts w:ascii="宋体" w:hAnsi="宋体" w:eastAsia="宋体"/>
                <w:color w:val="auto"/>
                <w:sz w:val="24"/>
                <w:szCs w:val="24"/>
                <w:highlight w:val="none"/>
              </w:rPr>
            </w:pPr>
          </w:p>
        </w:tc>
        <w:tc>
          <w:tcPr>
            <w:tcW w:w="6607" w:type="dxa"/>
            <w:tcBorders>
              <w:top w:val="single" w:color="auto" w:sz="6" w:space="0"/>
              <w:left w:val="single" w:color="auto" w:sz="6" w:space="0"/>
              <w:bottom w:val="single" w:color="auto" w:sz="6" w:space="0"/>
              <w:right w:val="single" w:color="auto" w:sz="4" w:space="0"/>
            </w:tcBorders>
            <w:shd w:val="clear" w:color="auto" w:fill="auto"/>
            <w:vAlign w:val="center"/>
          </w:tcPr>
          <w:p w14:paraId="436128D7">
            <w:pPr>
              <w:snapToGrid w:val="0"/>
              <w:spacing w:line="276"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5.2.3开标时，两个（含两个）以上的投标人加密打包投标文件电脑机器特征码一致的，不参与下一程序，并由评标委员会否决其投标。</w:t>
            </w:r>
          </w:p>
        </w:tc>
      </w:tr>
      <w:tr w14:paraId="625BD59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3" w:hRule="atLeast"/>
        </w:trPr>
        <w:tc>
          <w:tcPr>
            <w:tcW w:w="936" w:type="dxa"/>
            <w:tcBorders>
              <w:top w:val="single" w:color="auto" w:sz="6" w:space="0"/>
              <w:left w:val="single" w:color="auto" w:sz="4" w:space="0"/>
              <w:bottom w:val="single" w:color="auto" w:sz="6" w:space="0"/>
              <w:right w:val="single" w:color="auto" w:sz="6" w:space="0"/>
            </w:tcBorders>
            <w:shd w:val="clear" w:color="auto" w:fill="auto"/>
            <w:vAlign w:val="center"/>
          </w:tcPr>
          <w:p w14:paraId="1C709A6C">
            <w:pPr>
              <w:snapToGrid w:val="0"/>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6.1.1</w:t>
            </w:r>
          </w:p>
        </w:tc>
        <w:tc>
          <w:tcPr>
            <w:tcW w:w="2291" w:type="dxa"/>
            <w:tcBorders>
              <w:top w:val="single" w:color="auto" w:sz="6" w:space="0"/>
              <w:left w:val="single" w:color="auto" w:sz="6" w:space="0"/>
              <w:bottom w:val="single" w:color="auto" w:sz="6" w:space="0"/>
              <w:right w:val="single" w:color="auto" w:sz="6" w:space="0"/>
            </w:tcBorders>
            <w:shd w:val="clear" w:color="auto" w:fill="auto"/>
            <w:vAlign w:val="center"/>
          </w:tcPr>
          <w:p w14:paraId="68E1D5F4">
            <w:pPr>
              <w:snapToGrid w:val="0"/>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评标委员会的组建</w:t>
            </w:r>
          </w:p>
        </w:tc>
        <w:tc>
          <w:tcPr>
            <w:tcW w:w="6607" w:type="dxa"/>
            <w:tcBorders>
              <w:top w:val="single" w:color="auto" w:sz="6" w:space="0"/>
              <w:left w:val="single" w:color="auto" w:sz="6" w:space="0"/>
              <w:bottom w:val="single" w:color="auto" w:sz="6" w:space="0"/>
              <w:right w:val="single" w:color="auto" w:sz="4" w:space="0"/>
            </w:tcBorders>
            <w:shd w:val="clear" w:color="auto" w:fill="auto"/>
            <w:vAlign w:val="center"/>
          </w:tcPr>
          <w:p w14:paraId="579A776F">
            <w:pPr>
              <w:snapToGrid w:val="0"/>
              <w:spacing w:line="276" w:lineRule="auto"/>
              <w:rPr>
                <w:rFonts w:ascii="宋体" w:hAnsi="宋体" w:eastAsia="宋体"/>
                <w:color w:val="auto"/>
                <w:sz w:val="24"/>
                <w:szCs w:val="24"/>
                <w:highlight w:val="none"/>
              </w:rPr>
            </w:pPr>
            <w:r>
              <w:rPr>
                <w:rFonts w:hint="eastAsia" w:ascii="宋体" w:hAnsi="宋体" w:eastAsia="宋体" w:cs="宋体"/>
                <w:color w:val="auto"/>
                <w:sz w:val="24"/>
                <w:szCs w:val="24"/>
                <w:highlight w:val="none"/>
                <w:u w:val="single"/>
              </w:rPr>
              <w:t>由招标人依法组建。</w:t>
            </w:r>
          </w:p>
        </w:tc>
      </w:tr>
      <w:tr w14:paraId="7C345C9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1" w:hRule="atLeast"/>
        </w:trPr>
        <w:tc>
          <w:tcPr>
            <w:tcW w:w="936" w:type="dxa"/>
            <w:tcBorders>
              <w:top w:val="single" w:color="auto" w:sz="6" w:space="0"/>
              <w:left w:val="single" w:color="auto" w:sz="4" w:space="0"/>
              <w:bottom w:val="single" w:color="auto" w:sz="6" w:space="0"/>
              <w:right w:val="single" w:color="auto" w:sz="6" w:space="0"/>
            </w:tcBorders>
            <w:shd w:val="clear" w:color="auto" w:fill="auto"/>
            <w:vAlign w:val="center"/>
          </w:tcPr>
          <w:p w14:paraId="354B05DD">
            <w:pPr>
              <w:snapToGrid w:val="0"/>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6.3.2</w:t>
            </w:r>
          </w:p>
        </w:tc>
        <w:tc>
          <w:tcPr>
            <w:tcW w:w="2291" w:type="dxa"/>
            <w:tcBorders>
              <w:top w:val="single" w:color="auto" w:sz="6" w:space="0"/>
              <w:left w:val="single" w:color="auto" w:sz="6" w:space="0"/>
              <w:bottom w:val="single" w:color="auto" w:sz="6" w:space="0"/>
              <w:right w:val="single" w:color="auto" w:sz="6" w:space="0"/>
            </w:tcBorders>
            <w:shd w:val="clear" w:color="auto" w:fill="auto"/>
            <w:vAlign w:val="center"/>
          </w:tcPr>
          <w:p w14:paraId="20D74373">
            <w:pPr>
              <w:snapToGrid w:val="0"/>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评标委员会推荐中标候选人的人数</w:t>
            </w:r>
          </w:p>
        </w:tc>
        <w:tc>
          <w:tcPr>
            <w:tcW w:w="6607" w:type="dxa"/>
            <w:tcBorders>
              <w:top w:val="single" w:color="auto" w:sz="6" w:space="0"/>
              <w:left w:val="single" w:color="auto" w:sz="6" w:space="0"/>
              <w:bottom w:val="single" w:color="auto" w:sz="6" w:space="0"/>
              <w:right w:val="single" w:color="auto" w:sz="4" w:space="0"/>
            </w:tcBorders>
            <w:shd w:val="clear" w:color="auto" w:fill="auto"/>
            <w:vAlign w:val="center"/>
          </w:tcPr>
          <w:p w14:paraId="321FF031">
            <w:pPr>
              <w:snapToGrid w:val="0"/>
              <w:spacing w:line="276" w:lineRule="auto"/>
              <w:rPr>
                <w:rFonts w:ascii="宋体" w:hAnsi="宋体" w:eastAsia="宋体"/>
                <w:color w:val="auto"/>
                <w:sz w:val="24"/>
                <w:szCs w:val="24"/>
                <w:highlight w:val="none"/>
                <w:u w:val="single"/>
              </w:rPr>
            </w:pPr>
            <w:r>
              <w:rPr>
                <w:rFonts w:hint="eastAsia" w:ascii="宋体" w:hAnsi="宋体" w:eastAsia="宋体"/>
                <w:color w:val="auto"/>
                <w:sz w:val="24"/>
                <w:szCs w:val="24"/>
                <w:highlight w:val="none"/>
              </w:rPr>
              <w:t>推荐中标候选人：</w:t>
            </w:r>
            <w:r>
              <w:rPr>
                <w:rFonts w:hint="eastAsia" w:ascii="宋体" w:hAnsi="宋体" w:eastAsia="宋体"/>
                <w:color w:val="auto"/>
                <w:sz w:val="24"/>
                <w:szCs w:val="24"/>
                <w:highlight w:val="none"/>
                <w:u w:val="single"/>
              </w:rPr>
              <w:t>3名</w:t>
            </w:r>
          </w:p>
        </w:tc>
      </w:tr>
      <w:tr w14:paraId="47DB0F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36" w:type="dxa"/>
            <w:tcBorders>
              <w:top w:val="single" w:color="auto" w:sz="6" w:space="0"/>
              <w:left w:val="single" w:color="auto" w:sz="4" w:space="0"/>
              <w:bottom w:val="single" w:color="auto" w:sz="6" w:space="0"/>
              <w:right w:val="single" w:color="auto" w:sz="6" w:space="0"/>
            </w:tcBorders>
            <w:shd w:val="clear" w:color="auto" w:fill="auto"/>
            <w:vAlign w:val="center"/>
          </w:tcPr>
          <w:p w14:paraId="6478412E">
            <w:pPr>
              <w:snapToGrid w:val="0"/>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7.1</w:t>
            </w:r>
          </w:p>
        </w:tc>
        <w:tc>
          <w:tcPr>
            <w:tcW w:w="2291" w:type="dxa"/>
            <w:tcBorders>
              <w:top w:val="single" w:color="auto" w:sz="6" w:space="0"/>
              <w:left w:val="single" w:color="auto" w:sz="6" w:space="0"/>
              <w:bottom w:val="single" w:color="auto" w:sz="6" w:space="0"/>
              <w:right w:val="single" w:color="auto" w:sz="6" w:space="0"/>
            </w:tcBorders>
            <w:shd w:val="clear" w:color="auto" w:fill="auto"/>
            <w:vAlign w:val="center"/>
          </w:tcPr>
          <w:p w14:paraId="1041953F">
            <w:pPr>
              <w:snapToGrid w:val="0"/>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中标候选人公示媒介及期限</w:t>
            </w:r>
          </w:p>
        </w:tc>
        <w:tc>
          <w:tcPr>
            <w:tcW w:w="6607" w:type="dxa"/>
            <w:tcBorders>
              <w:top w:val="single" w:color="auto" w:sz="6" w:space="0"/>
              <w:left w:val="single" w:color="auto" w:sz="6" w:space="0"/>
              <w:bottom w:val="single" w:color="auto" w:sz="6" w:space="0"/>
              <w:right w:val="single" w:color="auto" w:sz="4" w:space="0"/>
            </w:tcBorders>
            <w:shd w:val="clear" w:color="auto" w:fill="auto"/>
            <w:vAlign w:val="center"/>
          </w:tcPr>
          <w:p w14:paraId="59AEF951">
            <w:pPr>
              <w:snapToGrid w:val="0"/>
              <w:spacing w:line="276" w:lineRule="auto"/>
              <w:ind w:left="34" w:right="108"/>
              <w:rPr>
                <w:rFonts w:hint="eastAsia" w:ascii="宋体" w:hAnsi="宋体" w:eastAsia="宋体"/>
                <w:color w:val="auto"/>
                <w:sz w:val="24"/>
                <w:szCs w:val="24"/>
                <w:highlight w:val="none"/>
                <w:u w:val="single"/>
                <w:lang w:eastAsia="zh-CN"/>
              </w:rPr>
            </w:pPr>
            <w:r>
              <w:rPr>
                <w:rFonts w:hint="eastAsia" w:ascii="宋体" w:hAnsi="宋体" w:eastAsia="宋体"/>
                <w:color w:val="auto"/>
                <w:sz w:val="24"/>
                <w:szCs w:val="24"/>
                <w:highlight w:val="none"/>
              </w:rPr>
              <w:t>公示媒介：</w:t>
            </w:r>
            <w:r>
              <w:rPr>
                <w:rFonts w:hint="eastAsia" w:ascii="宋体" w:hAnsi="宋体" w:eastAsia="宋体"/>
                <w:bCs/>
                <w:color w:val="auto"/>
                <w:sz w:val="24"/>
                <w:szCs w:val="24"/>
                <w:highlight w:val="none"/>
                <w:u w:val="single"/>
              </w:rPr>
              <w:t>中国招标投标公共服务平台、广东省招标投标监管网、</w:t>
            </w:r>
            <w:r>
              <w:rPr>
                <w:rFonts w:hint="eastAsia" w:ascii="宋体" w:hAnsi="宋体" w:eastAsia="宋体"/>
                <w:bCs/>
                <w:color w:val="auto"/>
                <w:sz w:val="24"/>
                <w:szCs w:val="24"/>
                <w:highlight w:val="none"/>
                <w:u w:val="single"/>
                <w:lang w:eastAsia="zh-CN"/>
              </w:rPr>
              <w:t>广州交易集团有限公司（广州公共资源交易中心）</w:t>
            </w:r>
            <w:r>
              <w:rPr>
                <w:rFonts w:hint="eastAsia" w:ascii="宋体" w:hAnsi="宋体" w:eastAsia="宋体"/>
                <w:bCs/>
                <w:color w:val="auto"/>
                <w:sz w:val="24"/>
                <w:szCs w:val="24"/>
                <w:highlight w:val="none"/>
                <w:u w:val="single"/>
              </w:rPr>
              <w:t>网、</w:t>
            </w:r>
            <w:r>
              <w:rPr>
                <w:rFonts w:hint="eastAsia" w:ascii="宋体" w:hAnsi="宋体" w:eastAsia="宋体"/>
                <w:color w:val="auto"/>
                <w:sz w:val="24"/>
                <w:szCs w:val="24"/>
                <w:highlight w:val="none"/>
                <w:u w:val="single"/>
              </w:rPr>
              <w:t>广州发展电子采购平台</w:t>
            </w:r>
            <w:r>
              <w:rPr>
                <w:rFonts w:hint="eastAsia" w:ascii="宋体" w:hAnsi="宋体" w:eastAsia="宋体"/>
                <w:color w:val="auto"/>
                <w:sz w:val="24"/>
                <w:szCs w:val="24"/>
                <w:highlight w:val="none"/>
                <w:u w:val="single"/>
                <w:lang w:eastAsia="zh-CN"/>
              </w:rPr>
              <w:t>、</w:t>
            </w:r>
            <w:r>
              <w:rPr>
                <w:rFonts w:hint="eastAsia" w:ascii="宋体" w:hAnsi="宋体" w:eastAsia="宋体"/>
                <w:color w:val="auto"/>
                <w:sz w:val="24"/>
                <w:szCs w:val="24"/>
                <w:highlight w:val="none"/>
                <w:u w:val="single"/>
              </w:rPr>
              <w:t>广州国企阳光采购信息发布平台</w:t>
            </w:r>
          </w:p>
          <w:p w14:paraId="090A8238">
            <w:pPr>
              <w:snapToGrid w:val="0"/>
              <w:spacing w:line="276" w:lineRule="auto"/>
              <w:ind w:left="34" w:right="106"/>
              <w:rPr>
                <w:rFonts w:ascii="宋体" w:hAnsi="宋体" w:eastAsia="宋体"/>
                <w:color w:val="auto"/>
                <w:sz w:val="24"/>
                <w:szCs w:val="24"/>
                <w:highlight w:val="none"/>
              </w:rPr>
            </w:pPr>
            <w:r>
              <w:rPr>
                <w:rFonts w:hint="eastAsia" w:ascii="宋体" w:hAnsi="宋体" w:eastAsia="宋体"/>
                <w:color w:val="auto"/>
                <w:sz w:val="24"/>
                <w:szCs w:val="24"/>
                <w:highlight w:val="none"/>
              </w:rPr>
              <w:t>公示期限：</w:t>
            </w:r>
            <w:r>
              <w:rPr>
                <w:rFonts w:hint="eastAsia" w:ascii="宋体" w:hAnsi="宋体" w:eastAsia="宋体"/>
                <w:color w:val="auto"/>
                <w:sz w:val="24"/>
                <w:szCs w:val="24"/>
                <w:highlight w:val="none"/>
                <w:u w:val="single"/>
              </w:rPr>
              <w:t>3</w:t>
            </w:r>
            <w:r>
              <w:rPr>
                <w:rFonts w:hint="eastAsia" w:ascii="宋体" w:hAnsi="宋体" w:eastAsia="宋体"/>
                <w:color w:val="auto"/>
                <w:sz w:val="24"/>
                <w:szCs w:val="24"/>
                <w:highlight w:val="none"/>
              </w:rPr>
              <w:t>日</w:t>
            </w:r>
          </w:p>
        </w:tc>
      </w:tr>
      <w:tr w14:paraId="63D148E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36" w:type="dxa"/>
            <w:tcBorders>
              <w:top w:val="single" w:color="auto" w:sz="6" w:space="0"/>
              <w:left w:val="single" w:color="auto" w:sz="4" w:space="0"/>
              <w:bottom w:val="single" w:color="auto" w:sz="6" w:space="0"/>
              <w:right w:val="single" w:color="auto" w:sz="6" w:space="0"/>
            </w:tcBorders>
            <w:shd w:val="clear" w:color="auto" w:fill="auto"/>
            <w:vAlign w:val="center"/>
          </w:tcPr>
          <w:p w14:paraId="12B56549">
            <w:pPr>
              <w:snapToGrid w:val="0"/>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7.4</w:t>
            </w:r>
          </w:p>
        </w:tc>
        <w:tc>
          <w:tcPr>
            <w:tcW w:w="2291" w:type="dxa"/>
            <w:tcBorders>
              <w:top w:val="single" w:color="auto" w:sz="6" w:space="0"/>
              <w:left w:val="single" w:color="auto" w:sz="6" w:space="0"/>
              <w:bottom w:val="single" w:color="auto" w:sz="6" w:space="0"/>
              <w:right w:val="single" w:color="auto" w:sz="6" w:space="0"/>
            </w:tcBorders>
            <w:shd w:val="clear" w:color="auto" w:fill="auto"/>
            <w:vAlign w:val="center"/>
          </w:tcPr>
          <w:p w14:paraId="2AACA0AE">
            <w:pPr>
              <w:snapToGrid w:val="0"/>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是否授权评标委员会确定中标人</w:t>
            </w:r>
          </w:p>
        </w:tc>
        <w:tc>
          <w:tcPr>
            <w:tcW w:w="6607" w:type="dxa"/>
            <w:tcBorders>
              <w:top w:val="single" w:color="auto" w:sz="6" w:space="0"/>
              <w:left w:val="single" w:color="auto" w:sz="6" w:space="0"/>
              <w:bottom w:val="single" w:color="auto" w:sz="6" w:space="0"/>
              <w:right w:val="single" w:color="auto" w:sz="4" w:space="0"/>
            </w:tcBorders>
            <w:shd w:val="clear" w:color="auto" w:fill="auto"/>
            <w:vAlign w:val="center"/>
          </w:tcPr>
          <w:p w14:paraId="2CEE0864">
            <w:pPr>
              <w:snapToGrid w:val="0"/>
              <w:spacing w:line="276" w:lineRule="auto"/>
              <w:rPr>
                <w:rFonts w:ascii="宋体" w:hAnsi="宋体" w:eastAsia="宋体"/>
                <w:color w:val="auto"/>
                <w:sz w:val="24"/>
                <w:szCs w:val="24"/>
                <w:highlight w:val="none"/>
              </w:rPr>
            </w:pPr>
            <w:r>
              <w:rPr>
                <w:rFonts w:hint="eastAsia" w:ascii="宋体" w:hAnsi="宋体" w:eastAsia="宋体"/>
                <w:color w:val="auto"/>
                <w:sz w:val="24"/>
                <w:szCs w:val="24"/>
                <w:highlight w:val="none"/>
              </w:rPr>
              <w:t>□是</w:t>
            </w:r>
          </w:p>
          <w:p w14:paraId="603B06F3">
            <w:pPr>
              <w:snapToGrid w:val="0"/>
              <w:spacing w:line="276" w:lineRule="auto"/>
              <w:rPr>
                <w:rFonts w:ascii="宋体" w:hAnsi="宋体" w:eastAsia="宋体"/>
                <w:color w:val="auto"/>
                <w:sz w:val="24"/>
                <w:szCs w:val="24"/>
                <w:highlight w:val="none"/>
              </w:rPr>
            </w:pPr>
            <w:r>
              <w:rPr>
                <w:rFonts w:hint="eastAsia" w:ascii="宋体" w:hAnsi="宋体" w:eastAsia="宋体"/>
                <w:color w:val="auto"/>
                <w:spacing w:val="-1"/>
                <w:sz w:val="24"/>
                <w:szCs w:val="24"/>
                <w:highlight w:val="none"/>
              </w:rPr>
              <w:t>■</w:t>
            </w:r>
            <w:r>
              <w:rPr>
                <w:rFonts w:hint="eastAsia" w:ascii="宋体" w:hAnsi="宋体" w:eastAsia="宋体"/>
                <w:color w:val="auto"/>
                <w:sz w:val="24"/>
                <w:szCs w:val="24"/>
                <w:highlight w:val="none"/>
              </w:rPr>
              <w:t>否</w:t>
            </w:r>
          </w:p>
        </w:tc>
      </w:tr>
      <w:tr w14:paraId="4E0B1C8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36" w:type="dxa"/>
            <w:tcBorders>
              <w:top w:val="single" w:color="auto" w:sz="6" w:space="0"/>
              <w:left w:val="single" w:color="auto" w:sz="4" w:space="0"/>
              <w:bottom w:val="single" w:color="auto" w:sz="6" w:space="0"/>
              <w:right w:val="single" w:color="auto" w:sz="6" w:space="0"/>
            </w:tcBorders>
            <w:shd w:val="clear" w:color="auto" w:fill="auto"/>
            <w:vAlign w:val="center"/>
          </w:tcPr>
          <w:p w14:paraId="64DE38DC">
            <w:pPr>
              <w:snapToGrid w:val="0"/>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7.6.1</w:t>
            </w:r>
          </w:p>
        </w:tc>
        <w:tc>
          <w:tcPr>
            <w:tcW w:w="2291" w:type="dxa"/>
            <w:tcBorders>
              <w:top w:val="single" w:color="auto" w:sz="6" w:space="0"/>
              <w:left w:val="single" w:color="auto" w:sz="6" w:space="0"/>
              <w:bottom w:val="single" w:color="auto" w:sz="6" w:space="0"/>
              <w:right w:val="single" w:color="auto" w:sz="6" w:space="0"/>
            </w:tcBorders>
            <w:shd w:val="clear" w:color="auto" w:fill="auto"/>
            <w:vAlign w:val="center"/>
          </w:tcPr>
          <w:p w14:paraId="5B7F24B6">
            <w:pPr>
              <w:snapToGrid w:val="0"/>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履约保证金</w:t>
            </w:r>
          </w:p>
        </w:tc>
        <w:tc>
          <w:tcPr>
            <w:tcW w:w="6607" w:type="dxa"/>
            <w:tcBorders>
              <w:top w:val="single" w:color="auto" w:sz="6" w:space="0"/>
              <w:left w:val="single" w:color="auto" w:sz="6" w:space="0"/>
              <w:bottom w:val="single" w:color="auto" w:sz="6" w:space="0"/>
              <w:right w:val="single" w:color="auto" w:sz="4" w:space="0"/>
            </w:tcBorders>
            <w:shd w:val="clear" w:color="auto" w:fill="auto"/>
            <w:vAlign w:val="center"/>
          </w:tcPr>
          <w:p w14:paraId="124A4320">
            <w:pPr>
              <w:pStyle w:val="18"/>
              <w:topLinePunct/>
              <w:snapToGrid w:val="0"/>
              <w:spacing w:after="0" w:line="276" w:lineRule="auto"/>
              <w:rPr>
                <w:rFonts w:ascii="宋体" w:hAnsi="宋体" w:eastAsia="宋体"/>
                <w:color w:val="auto"/>
                <w:sz w:val="24"/>
                <w:szCs w:val="24"/>
                <w:highlight w:val="none"/>
              </w:rPr>
            </w:pPr>
            <w:r>
              <w:rPr>
                <w:rFonts w:hint="eastAsia" w:ascii="宋体" w:hAnsi="宋体" w:eastAsia="宋体"/>
                <w:color w:val="auto"/>
                <w:sz w:val="24"/>
                <w:szCs w:val="24"/>
                <w:highlight w:val="none"/>
              </w:rPr>
              <w:t>是否要求中标人提交履约保证金：</w:t>
            </w:r>
          </w:p>
          <w:p w14:paraId="469BDEDD">
            <w:pPr>
              <w:pStyle w:val="18"/>
              <w:topLinePunct/>
              <w:spacing w:after="0" w:line="276" w:lineRule="auto"/>
              <w:ind w:left="40" w:leftChars="19" w:right="107" w:rightChars="51"/>
              <w:rPr>
                <w:rFonts w:ascii="宋体" w:hAnsi="宋体" w:eastAsia="宋体"/>
                <w:color w:val="auto"/>
                <w:sz w:val="24"/>
                <w:szCs w:val="24"/>
                <w:highlight w:val="none"/>
              </w:rPr>
            </w:pPr>
            <w:r>
              <w:rPr>
                <w:rFonts w:hint="eastAsia" w:ascii="宋体" w:hAnsi="宋体" w:eastAsia="宋体"/>
                <w:color w:val="auto"/>
                <w:sz w:val="24"/>
                <w:szCs w:val="24"/>
                <w:highlight w:val="none"/>
              </w:rPr>
              <w:t>■要求，履约保证金的形式：</w:t>
            </w:r>
            <w:r>
              <w:rPr>
                <w:rFonts w:hint="eastAsia" w:ascii="宋体" w:hAnsi="宋体" w:eastAsia="宋体"/>
                <w:color w:val="auto"/>
                <w:sz w:val="24"/>
                <w:szCs w:val="24"/>
                <w:highlight w:val="none"/>
                <w:u w:val="single"/>
              </w:rPr>
              <w:t>履约保函或履约保证金</w:t>
            </w:r>
          </w:p>
          <w:p w14:paraId="6B16EF33">
            <w:pPr>
              <w:spacing w:line="276" w:lineRule="auto"/>
              <w:ind w:left="40" w:leftChars="19" w:right="107" w:rightChars="51" w:firstLine="960" w:firstLineChars="400"/>
              <w:rPr>
                <w:rFonts w:ascii="宋体" w:hAnsi="宋体" w:eastAsia="宋体"/>
                <w:color w:val="auto"/>
                <w:sz w:val="24"/>
                <w:szCs w:val="24"/>
                <w:highlight w:val="none"/>
              </w:rPr>
            </w:pPr>
            <w:r>
              <w:rPr>
                <w:rFonts w:hint="eastAsia" w:ascii="宋体" w:hAnsi="宋体" w:eastAsia="宋体"/>
                <w:color w:val="auto"/>
                <w:sz w:val="24"/>
                <w:szCs w:val="24"/>
                <w:highlight w:val="none"/>
              </w:rPr>
              <w:t>履约保证金的金额：</w:t>
            </w:r>
            <w:r>
              <w:rPr>
                <w:rFonts w:hint="eastAsia" w:ascii="宋体" w:hAnsi="宋体" w:eastAsia="宋体"/>
                <w:color w:val="auto"/>
                <w:sz w:val="24"/>
                <w:szCs w:val="24"/>
                <w:highlight w:val="none"/>
                <w:u w:val="single"/>
              </w:rPr>
              <w:t>合同总价的10%。</w:t>
            </w:r>
          </w:p>
          <w:p w14:paraId="77F0ACF0">
            <w:pPr>
              <w:pStyle w:val="18"/>
              <w:topLinePunct/>
              <w:snapToGrid w:val="0"/>
              <w:spacing w:after="0" w:line="276" w:lineRule="auto"/>
              <w:rPr>
                <w:rFonts w:ascii="宋体" w:hAnsi="宋体" w:eastAsia="宋体"/>
                <w:color w:val="auto"/>
                <w:sz w:val="24"/>
                <w:szCs w:val="24"/>
                <w:highlight w:val="none"/>
              </w:rPr>
            </w:pPr>
            <w:r>
              <w:rPr>
                <w:rFonts w:hint="eastAsia" w:ascii="宋体" w:hAnsi="宋体" w:eastAsia="宋体"/>
                <w:color w:val="auto"/>
                <w:sz w:val="24"/>
                <w:szCs w:val="24"/>
                <w:highlight w:val="none"/>
              </w:rPr>
              <w:t>□不要求</w:t>
            </w:r>
          </w:p>
        </w:tc>
      </w:tr>
      <w:tr w14:paraId="170E62D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567" w:hRule="atLeast"/>
        </w:trPr>
        <w:tc>
          <w:tcPr>
            <w:tcW w:w="936" w:type="dxa"/>
            <w:tcBorders>
              <w:top w:val="single" w:color="auto" w:sz="6" w:space="0"/>
              <w:left w:val="single" w:color="auto" w:sz="4" w:space="0"/>
              <w:bottom w:val="single" w:color="auto" w:sz="6" w:space="0"/>
              <w:right w:val="single" w:color="auto" w:sz="6" w:space="0"/>
            </w:tcBorders>
            <w:shd w:val="clear" w:color="auto" w:fill="auto"/>
            <w:vAlign w:val="center"/>
          </w:tcPr>
          <w:p w14:paraId="4A17EA20">
            <w:pPr>
              <w:snapToGrid w:val="0"/>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9</w:t>
            </w:r>
          </w:p>
        </w:tc>
        <w:tc>
          <w:tcPr>
            <w:tcW w:w="2291" w:type="dxa"/>
            <w:tcBorders>
              <w:top w:val="single" w:color="auto" w:sz="6" w:space="0"/>
              <w:left w:val="single" w:color="auto" w:sz="6" w:space="0"/>
              <w:bottom w:val="single" w:color="auto" w:sz="6" w:space="0"/>
              <w:right w:val="single" w:color="auto" w:sz="6" w:space="0"/>
            </w:tcBorders>
            <w:shd w:val="clear" w:color="auto" w:fill="auto"/>
            <w:vAlign w:val="center"/>
          </w:tcPr>
          <w:p w14:paraId="47D18C93">
            <w:pPr>
              <w:snapToGrid w:val="0"/>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是否采用电子招标投标</w:t>
            </w:r>
          </w:p>
        </w:tc>
        <w:tc>
          <w:tcPr>
            <w:tcW w:w="6607" w:type="dxa"/>
            <w:tcBorders>
              <w:top w:val="single" w:color="auto" w:sz="6" w:space="0"/>
              <w:left w:val="single" w:color="auto" w:sz="6" w:space="0"/>
              <w:bottom w:val="single" w:color="auto" w:sz="6" w:space="0"/>
              <w:right w:val="single" w:color="auto" w:sz="4" w:space="0"/>
            </w:tcBorders>
            <w:shd w:val="clear" w:color="auto" w:fill="auto"/>
            <w:vAlign w:val="center"/>
          </w:tcPr>
          <w:p w14:paraId="3663AB11">
            <w:pPr>
              <w:spacing w:line="276" w:lineRule="auto"/>
              <w:rPr>
                <w:rFonts w:ascii="宋体" w:hAnsi="宋体" w:eastAsia="宋体"/>
                <w:color w:val="auto"/>
                <w:sz w:val="24"/>
                <w:szCs w:val="24"/>
                <w:highlight w:val="none"/>
              </w:rPr>
            </w:pPr>
            <w:r>
              <w:rPr>
                <w:rFonts w:hint="eastAsia" w:ascii="宋体" w:hAnsi="宋体" w:eastAsia="宋体"/>
                <w:color w:val="auto"/>
                <w:sz w:val="24"/>
                <w:szCs w:val="24"/>
                <w:highlight w:val="none"/>
              </w:rPr>
              <w:t>□否</w:t>
            </w:r>
          </w:p>
          <w:p w14:paraId="3C696833">
            <w:pPr>
              <w:spacing w:line="276" w:lineRule="auto"/>
              <w:rPr>
                <w:rFonts w:ascii="宋体" w:hAnsi="宋体" w:eastAsia="宋体"/>
                <w:color w:val="auto"/>
                <w:sz w:val="24"/>
                <w:szCs w:val="24"/>
                <w:highlight w:val="none"/>
              </w:rPr>
            </w:pPr>
            <w:r>
              <w:rPr>
                <w:rFonts w:hint="eastAsia" w:ascii="宋体" w:hAnsi="宋体" w:eastAsia="宋体"/>
                <w:color w:val="auto"/>
                <w:sz w:val="24"/>
                <w:szCs w:val="24"/>
                <w:highlight w:val="none"/>
              </w:rPr>
              <w:t>■是，具体要求：</w:t>
            </w:r>
          </w:p>
          <w:p w14:paraId="3EAC8A45">
            <w:pPr>
              <w:snapToGrid w:val="0"/>
              <w:spacing w:line="276" w:lineRule="auto"/>
              <w:jc w:val="left"/>
              <w:rPr>
                <w:rFonts w:ascii="宋体" w:hAnsi="宋体" w:eastAsia="宋体"/>
                <w:color w:val="auto"/>
                <w:sz w:val="24"/>
                <w:szCs w:val="24"/>
                <w:highlight w:val="none"/>
              </w:rPr>
            </w:pP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1）</w:t>
            </w:r>
            <w:r>
              <w:rPr>
                <w:rFonts w:hint="eastAsia" w:ascii="宋体" w:hAnsi="宋体" w:eastAsia="宋体"/>
                <w:color w:val="auto"/>
                <w:sz w:val="24"/>
                <w:szCs w:val="24"/>
                <w:highlight w:val="none"/>
              </w:rPr>
              <w:t>具体操作详见附件</w:t>
            </w:r>
            <w:r>
              <w:rPr>
                <w:rFonts w:hint="eastAsia" w:ascii="宋体" w:hAnsi="宋体" w:eastAsia="宋体"/>
                <w:color w:val="auto"/>
                <w:sz w:val="24"/>
                <w:szCs w:val="24"/>
                <w:highlight w:val="none"/>
                <w:u w:val="single"/>
                <w:lang w:eastAsia="zh-CN"/>
              </w:rPr>
              <w:t>广州交易集团有限公司（广州公共资源交易中心）</w:t>
            </w:r>
            <w:r>
              <w:rPr>
                <w:rFonts w:hint="eastAsia" w:ascii="宋体" w:hAnsi="宋体" w:eastAsia="宋体"/>
                <w:color w:val="auto"/>
                <w:sz w:val="24"/>
                <w:szCs w:val="24"/>
                <w:highlight w:val="none"/>
                <w:u w:val="single"/>
              </w:rPr>
              <w:t>最新指引</w:t>
            </w:r>
            <w:r>
              <w:rPr>
                <w:rFonts w:hint="eastAsia" w:ascii="宋体" w:hAnsi="宋体" w:eastAsia="宋体"/>
                <w:color w:val="auto"/>
                <w:sz w:val="24"/>
                <w:szCs w:val="24"/>
                <w:highlight w:val="none"/>
              </w:rPr>
              <w:t>。</w:t>
            </w:r>
          </w:p>
          <w:p w14:paraId="1691AE32">
            <w:pPr>
              <w:snapToGrid w:val="0"/>
              <w:spacing w:line="276" w:lineRule="auto"/>
              <w:jc w:val="left"/>
              <w:rPr>
                <w:rFonts w:ascii="宋体" w:hAnsi="宋体" w:eastAsia="宋体"/>
                <w:color w:val="auto"/>
                <w:sz w:val="24"/>
                <w:szCs w:val="24"/>
                <w:highlight w:val="none"/>
              </w:rPr>
            </w:pP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2）</w:t>
            </w:r>
            <w:r>
              <w:rPr>
                <w:rFonts w:hint="eastAsia" w:ascii="宋体" w:hAnsi="宋体" w:eastAsia="宋体"/>
                <w:color w:val="auto"/>
                <w:sz w:val="24"/>
                <w:szCs w:val="24"/>
                <w:highlight w:val="none"/>
              </w:rPr>
              <w:t>现场提交投标文件光盘备用</w:t>
            </w:r>
          </w:p>
          <w:p w14:paraId="7B9F5258">
            <w:pPr>
              <w:snapToGrid w:val="0"/>
              <w:spacing w:line="276" w:lineRule="auto"/>
              <w:jc w:val="left"/>
              <w:rPr>
                <w:rFonts w:ascii="宋体" w:hAnsi="宋体" w:eastAsia="宋体"/>
                <w:color w:val="auto"/>
                <w:sz w:val="24"/>
                <w:szCs w:val="24"/>
                <w:highlight w:val="none"/>
              </w:rPr>
            </w:pPr>
            <w:r>
              <w:rPr>
                <w:rFonts w:hint="eastAsia" w:ascii="宋体" w:hAnsi="宋体" w:eastAsia="宋体"/>
                <w:color w:val="auto"/>
                <w:sz w:val="24"/>
                <w:szCs w:val="24"/>
                <w:highlight w:val="none"/>
              </w:rPr>
              <w:t>投标人将按</w:t>
            </w:r>
            <w:r>
              <w:rPr>
                <w:rFonts w:hint="eastAsia" w:ascii="宋体" w:hAnsi="宋体" w:eastAsia="宋体"/>
                <w:color w:val="auto"/>
                <w:sz w:val="24"/>
                <w:szCs w:val="24"/>
                <w:highlight w:val="none"/>
                <w:u w:val="single"/>
                <w:lang w:eastAsia="zh-CN"/>
              </w:rPr>
              <w:t>广州交易集团有限公司（广州公共资源交易中心）</w:t>
            </w:r>
            <w:r>
              <w:rPr>
                <w:rFonts w:hint="eastAsia" w:ascii="宋体" w:hAnsi="宋体" w:eastAsia="宋体"/>
                <w:color w:val="auto"/>
                <w:sz w:val="24"/>
                <w:szCs w:val="24"/>
                <w:highlight w:val="none"/>
                <w:u w:val="single"/>
              </w:rPr>
              <w:t>最新指引</w:t>
            </w:r>
            <w:r>
              <w:rPr>
                <w:rFonts w:hint="eastAsia" w:ascii="宋体" w:hAnsi="宋体" w:eastAsia="宋体"/>
                <w:color w:val="auto"/>
                <w:sz w:val="24"/>
                <w:szCs w:val="24"/>
                <w:highlight w:val="none"/>
              </w:rPr>
              <w:t>的操作方法制作的非加密的电子投标文件刻入光盘</w:t>
            </w:r>
            <w:r>
              <w:rPr>
                <w:rFonts w:hint="eastAsia" w:ascii="宋体" w:hAnsi="宋体" w:eastAsia="宋体"/>
                <w:color w:val="auto"/>
                <w:sz w:val="24"/>
                <w:szCs w:val="24"/>
                <w:highlight w:val="none"/>
                <w:lang w:val="en-US" w:eastAsia="zh-CN"/>
              </w:rPr>
              <w:t>或U盘</w:t>
            </w:r>
            <w:r>
              <w:rPr>
                <w:rFonts w:hint="eastAsia" w:ascii="宋体" w:hAnsi="宋体" w:eastAsia="宋体"/>
                <w:color w:val="auto"/>
                <w:sz w:val="24"/>
                <w:szCs w:val="24"/>
                <w:highlight w:val="none"/>
              </w:rPr>
              <w:t>（1份），在</w:t>
            </w:r>
            <w:r>
              <w:rPr>
                <w:rFonts w:hint="eastAsia" w:ascii="宋体" w:hAnsi="宋体" w:eastAsia="宋体"/>
                <w:b/>
                <w:color w:val="auto"/>
                <w:sz w:val="24"/>
                <w:szCs w:val="24"/>
                <w:highlight w:val="none"/>
              </w:rPr>
              <w:t>开标现场</w:t>
            </w:r>
            <w:r>
              <w:rPr>
                <w:rFonts w:hint="eastAsia" w:ascii="宋体" w:hAnsi="宋体" w:eastAsia="宋体"/>
                <w:color w:val="auto"/>
                <w:sz w:val="24"/>
                <w:szCs w:val="24"/>
                <w:highlight w:val="none"/>
              </w:rPr>
              <w:t>（投标截止时间前）提交备用。刻录好的投标文件光盘密封在密封袋中，并在封口处加盖投标人单位公章。密封袋上应写明的内容见投标人须知前附表要求4.1.2</w:t>
            </w:r>
            <w:r>
              <w:rPr>
                <w:rFonts w:hint="eastAsia" w:ascii="宋体" w:hAnsi="宋体" w:eastAsia="宋体"/>
                <w:color w:val="auto"/>
                <w:sz w:val="24"/>
                <w:szCs w:val="24"/>
                <w:highlight w:val="none"/>
                <w:lang w:val="en-US" w:eastAsia="zh-CN"/>
              </w:rPr>
              <w:t xml:space="preserve"> </w:t>
            </w:r>
            <w:r>
              <w:rPr>
                <w:rFonts w:hint="eastAsia" w:ascii="宋体" w:hAnsi="宋体" w:eastAsia="宋体"/>
                <w:color w:val="auto"/>
                <w:sz w:val="24"/>
                <w:szCs w:val="24"/>
                <w:highlight w:val="none"/>
              </w:rPr>
              <w:t>现场递交的投标文件（光盘）不得加密。光盘（投标文件）无法读取或导入的，则视为未提交备用投标文件光盘。如果投标人没有按规定通过交易平台网上递交电子投标文件的，不再接受现场提交的光盘</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投标人也可不提交备用光盘。</w:t>
            </w:r>
          </w:p>
          <w:p w14:paraId="353EC1E6">
            <w:pPr>
              <w:snapToGrid w:val="0"/>
              <w:spacing w:line="276" w:lineRule="auto"/>
              <w:jc w:val="left"/>
              <w:rPr>
                <w:rFonts w:ascii="宋体" w:hAnsi="宋体" w:eastAsia="宋体"/>
                <w:color w:val="auto"/>
                <w:sz w:val="24"/>
                <w:szCs w:val="24"/>
                <w:highlight w:val="none"/>
              </w:rPr>
            </w:pP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3）</w:t>
            </w:r>
            <w:r>
              <w:rPr>
                <w:rFonts w:hint="eastAsia" w:ascii="宋体" w:hAnsi="宋体" w:eastAsia="宋体"/>
                <w:color w:val="auto"/>
                <w:sz w:val="24"/>
                <w:szCs w:val="24"/>
                <w:highlight w:val="none"/>
              </w:rPr>
              <w:t>补救方案</w:t>
            </w:r>
          </w:p>
          <w:p w14:paraId="143351AE">
            <w:pPr>
              <w:snapToGrid w:val="0"/>
              <w:spacing w:line="276" w:lineRule="auto"/>
              <w:jc w:val="left"/>
              <w:rPr>
                <w:rFonts w:ascii="宋体" w:hAnsi="宋体" w:eastAsia="宋体"/>
                <w:color w:val="auto"/>
                <w:sz w:val="24"/>
                <w:szCs w:val="24"/>
                <w:highlight w:val="none"/>
              </w:rPr>
            </w:pPr>
            <w:r>
              <w:rPr>
                <w:rFonts w:hint="default" w:ascii="宋体" w:hAnsi="宋体" w:eastAsia="宋体" w:cs="宋体"/>
                <w:i w:val="0"/>
                <w:iCs w:val="0"/>
                <w:caps w:val="0"/>
                <w:color w:val="auto"/>
                <w:spacing w:val="0"/>
                <w:sz w:val="24"/>
                <w:szCs w:val="24"/>
                <w:highlight w:val="none"/>
                <w:shd w:val="clear" w:fill="FFFFFF"/>
                <w:lang w:val="en-US" w:eastAsia="zh-CN"/>
              </w:rPr>
              <w:t>①</w:t>
            </w:r>
            <w:r>
              <w:rPr>
                <w:rFonts w:hint="eastAsia" w:ascii="宋体" w:hAnsi="宋体" w:eastAsia="宋体"/>
                <w:color w:val="auto"/>
                <w:sz w:val="24"/>
                <w:szCs w:val="24"/>
                <w:highlight w:val="none"/>
              </w:rPr>
              <w:t>投标文件解密失败的补救方案：</w:t>
            </w:r>
          </w:p>
          <w:p w14:paraId="5E8681FE">
            <w:pPr>
              <w:snapToGrid w:val="0"/>
              <w:spacing w:line="276" w:lineRule="auto"/>
              <w:jc w:val="left"/>
              <w:rPr>
                <w:rFonts w:ascii="宋体" w:hAnsi="宋体" w:eastAsia="宋体"/>
                <w:color w:val="auto"/>
                <w:sz w:val="24"/>
                <w:szCs w:val="24"/>
                <w:highlight w:val="none"/>
              </w:rPr>
            </w:pPr>
            <w:r>
              <w:rPr>
                <w:rFonts w:hint="eastAsia" w:ascii="宋体" w:hAnsi="宋体" w:eastAsia="宋体"/>
                <w:color w:val="auto"/>
                <w:sz w:val="24"/>
                <w:szCs w:val="24"/>
                <w:highlight w:val="none"/>
              </w:rPr>
              <w:t>在规定时间内，因投标人之外原因</w:t>
            </w:r>
            <w:r>
              <w:rPr>
                <w:rFonts w:hint="eastAsia" w:ascii="宋体" w:hAnsi="宋体" w:eastAsia="宋体" w:cs="宋体"/>
                <w:color w:val="auto"/>
                <w:sz w:val="24"/>
                <w:szCs w:val="24"/>
                <w:highlight w:val="none"/>
              </w:rPr>
              <w:t>（指网络瘫痪、服务器损坏、交易系统故障短期无法恢复等因素）</w:t>
            </w:r>
            <w:r>
              <w:rPr>
                <w:rFonts w:hint="eastAsia" w:ascii="宋体" w:hAnsi="宋体" w:eastAsia="宋体"/>
                <w:color w:val="auto"/>
                <w:sz w:val="24"/>
                <w:szCs w:val="24"/>
                <w:highlight w:val="none"/>
              </w:rPr>
              <w:t>导致的电子投标文件解密失败，在开标现场读取光盘内容，继续开标程序。评标委员会对其投标文件的评审以光盘内容为准。</w:t>
            </w:r>
            <w:r>
              <w:rPr>
                <w:rFonts w:hint="eastAsia" w:ascii="宋体" w:hAnsi="宋体" w:eastAsia="宋体" w:cs="宋体"/>
                <w:color w:val="auto"/>
                <w:sz w:val="24"/>
                <w:szCs w:val="24"/>
                <w:highlight w:val="none"/>
              </w:rPr>
              <w:t>因投标人之外原因解密失败且未递交电子光盘或递交的电子光盘不能读取的，视为撤回投标文件。</w:t>
            </w:r>
          </w:p>
          <w:p w14:paraId="5556C72D">
            <w:pPr>
              <w:snapToGrid w:val="0"/>
              <w:spacing w:line="276" w:lineRule="auto"/>
              <w:jc w:val="left"/>
              <w:rPr>
                <w:rFonts w:ascii="宋体" w:hAnsi="宋体" w:eastAsia="宋体"/>
                <w:color w:val="auto"/>
                <w:sz w:val="24"/>
                <w:szCs w:val="24"/>
                <w:highlight w:val="none"/>
              </w:rPr>
            </w:pPr>
            <w:r>
              <w:rPr>
                <w:rFonts w:hint="default" w:ascii="宋体" w:hAnsi="宋体" w:eastAsia="宋体" w:cs="宋体"/>
                <w:i w:val="0"/>
                <w:iCs w:val="0"/>
                <w:caps w:val="0"/>
                <w:color w:val="auto"/>
                <w:spacing w:val="0"/>
                <w:sz w:val="24"/>
                <w:szCs w:val="24"/>
                <w:highlight w:val="none"/>
                <w:shd w:val="clear" w:fill="FFFFFF"/>
                <w:lang w:val="en-US" w:eastAsia="zh-CN"/>
              </w:rPr>
              <w:t>②</w:t>
            </w:r>
            <w:r>
              <w:rPr>
                <w:rFonts w:hint="eastAsia" w:ascii="宋体" w:hAnsi="宋体" w:eastAsia="宋体"/>
                <w:color w:val="auto"/>
                <w:sz w:val="24"/>
                <w:szCs w:val="24"/>
                <w:highlight w:val="none"/>
              </w:rPr>
              <w:t>评标时突发情况的补救方案</w:t>
            </w:r>
          </w:p>
          <w:p w14:paraId="3BF2160F">
            <w:pPr>
              <w:snapToGrid w:val="0"/>
              <w:spacing w:line="276" w:lineRule="auto"/>
              <w:jc w:val="left"/>
              <w:rPr>
                <w:rFonts w:ascii="宋体" w:hAnsi="宋体" w:eastAsia="宋体"/>
                <w:color w:val="auto"/>
                <w:sz w:val="24"/>
                <w:szCs w:val="24"/>
                <w:highlight w:val="none"/>
              </w:rPr>
            </w:pPr>
            <w:r>
              <w:rPr>
                <w:rFonts w:hint="eastAsia" w:ascii="宋体" w:hAnsi="宋体" w:eastAsia="宋体"/>
                <w:color w:val="auto"/>
                <w:sz w:val="24"/>
                <w:szCs w:val="24"/>
                <w:highlight w:val="none"/>
              </w:rPr>
              <w:t>若遇不可抗力发生（如：网络瘫痪、服务器损坏、交易系统故障短期无法恢复等因素），由评标委员会开启现场递交的全部投标文件光盘，并按光盘内容进行评审。</w:t>
            </w:r>
          </w:p>
          <w:p w14:paraId="2DFA90C8">
            <w:pPr>
              <w:numPr>
                <w:ilvl w:val="0"/>
                <w:numId w:val="0"/>
              </w:numPr>
              <w:spacing w:line="276" w:lineRule="auto"/>
              <w:rPr>
                <w:rFonts w:hint="eastAsia" w:ascii="宋体" w:hAnsi="宋体" w:eastAsia="宋体"/>
                <w:color w:val="auto"/>
                <w:sz w:val="24"/>
                <w:szCs w:val="24"/>
                <w:highlight w:val="none"/>
              </w:rPr>
            </w:pPr>
            <w:r>
              <w:rPr>
                <w:rFonts w:hint="default" w:ascii="宋体" w:hAnsi="宋体" w:eastAsia="宋体" w:cs="宋体"/>
                <w:i w:val="0"/>
                <w:iCs w:val="0"/>
                <w:caps w:val="0"/>
                <w:color w:val="auto"/>
                <w:spacing w:val="0"/>
                <w:sz w:val="24"/>
                <w:szCs w:val="24"/>
                <w:highlight w:val="none"/>
                <w:shd w:val="clear" w:fill="FFFFFF"/>
                <w:lang w:val="en-US" w:eastAsia="zh-CN"/>
              </w:rPr>
              <w:t>③</w:t>
            </w:r>
            <w:r>
              <w:rPr>
                <w:rFonts w:hint="eastAsia" w:ascii="宋体" w:hAnsi="宋体" w:eastAsia="宋体"/>
                <w:color w:val="auto"/>
                <w:sz w:val="24"/>
                <w:szCs w:val="24"/>
                <w:highlight w:val="none"/>
              </w:rPr>
              <w:t>除发生上述情况外，开标评标均以投标人通过交易平台网上递交的电子投标文件为准。</w:t>
            </w:r>
          </w:p>
          <w:p w14:paraId="609954DB">
            <w:pPr>
              <w:numPr>
                <w:ilvl w:val="0"/>
                <w:numId w:val="0"/>
              </w:numPr>
              <w:spacing w:line="276" w:lineRule="auto"/>
              <w:rPr>
                <w:rFonts w:ascii="宋体" w:hAnsi="宋体" w:eastAsia="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④</w:t>
            </w:r>
            <w:r>
              <w:rPr>
                <w:rFonts w:hint="eastAsia" w:ascii="宋体" w:hAnsi="宋体" w:eastAsia="宋体" w:cs="宋体"/>
                <w:color w:val="auto"/>
                <w:sz w:val="24"/>
                <w:szCs w:val="24"/>
                <w:highlight w:val="none"/>
                <w:u w:val="single"/>
              </w:rPr>
              <w:t>提交投标文件备用光盘时间：</w:t>
            </w:r>
            <w:r>
              <w:rPr>
                <w:rFonts w:hint="eastAsia" w:ascii="宋体" w:hAnsi="宋体" w:eastAsia="宋体" w:cs="宋体"/>
                <w:color w:val="auto"/>
                <w:sz w:val="24"/>
                <w:szCs w:val="24"/>
                <w:highlight w:val="none"/>
                <w:u w:val="single"/>
                <w:lang w:val="en-US" w:eastAsia="zh-CN"/>
              </w:rPr>
              <w:t>2025</w:t>
            </w:r>
            <w:r>
              <w:rPr>
                <w:rFonts w:hint="eastAsia" w:ascii="宋体" w:hAnsi="宋体" w:eastAsia="宋体" w:cs="宋体"/>
                <w:color w:val="auto"/>
                <w:sz w:val="24"/>
                <w:szCs w:val="24"/>
                <w:highlight w:val="none"/>
                <w:u w:val="singl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日</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分至</w:t>
            </w:r>
            <w:r>
              <w:rPr>
                <w:rFonts w:hint="eastAsia" w:ascii="宋体" w:hAnsi="宋体" w:eastAsia="宋体" w:cs="宋体"/>
                <w:color w:val="auto"/>
                <w:sz w:val="24"/>
                <w:szCs w:val="24"/>
                <w:highlight w:val="none"/>
                <w:u w:val="single"/>
                <w:lang w:val="en-US" w:eastAsia="zh-CN"/>
              </w:rPr>
              <w:t>2025</w:t>
            </w:r>
            <w:r>
              <w:rPr>
                <w:rFonts w:hint="eastAsia" w:ascii="宋体" w:hAnsi="宋体" w:eastAsia="宋体" w:cs="宋体"/>
                <w:color w:val="auto"/>
                <w:sz w:val="24"/>
                <w:szCs w:val="24"/>
                <w:highlight w:val="none"/>
                <w:u w:val="singl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日</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分(投标截止时间前</w:t>
            </w:r>
            <w:r>
              <w:rPr>
                <w:rFonts w:hint="eastAsia" w:ascii="宋体" w:hAnsi="宋体" w:eastAsia="宋体" w:cs="宋体"/>
                <w:color w:val="auto"/>
                <w:sz w:val="24"/>
                <w:szCs w:val="24"/>
                <w:highlight w:val="none"/>
                <w:u w:val="single"/>
                <w:lang w:val="en-US" w:eastAsia="zh-CN"/>
              </w:rPr>
              <w:t>15分钟</w:t>
            </w:r>
            <w:r>
              <w:rPr>
                <w:rFonts w:hint="eastAsia" w:ascii="宋体" w:hAnsi="宋体" w:eastAsia="宋体" w:cs="宋体"/>
                <w:color w:val="auto"/>
                <w:sz w:val="24"/>
                <w:szCs w:val="24"/>
                <w:highlight w:val="none"/>
                <w:u w:val="single"/>
              </w:rPr>
              <w:t>)在</w:t>
            </w:r>
            <w:r>
              <w:rPr>
                <w:rFonts w:hint="eastAsia" w:ascii="宋体" w:hAnsi="宋体" w:eastAsia="宋体" w:cs="宋体"/>
                <w:color w:val="auto"/>
                <w:sz w:val="24"/>
                <w:szCs w:val="24"/>
                <w:highlight w:val="none"/>
                <w:u w:val="single"/>
                <w:lang w:eastAsia="zh-CN"/>
              </w:rPr>
              <w:t>广州交易集团有限公司（广州公共资源交易中心）</w:t>
            </w:r>
            <w:r>
              <w:rPr>
                <w:rFonts w:hint="eastAsia" w:ascii="宋体" w:hAnsi="宋体" w:eastAsia="宋体" w:cs="宋体"/>
                <w:color w:val="auto"/>
                <w:sz w:val="24"/>
                <w:szCs w:val="24"/>
                <w:highlight w:val="none"/>
                <w:u w:val="single"/>
                <w:lang w:val="en-US" w:eastAsia="zh-CN"/>
              </w:rPr>
              <w:t xml:space="preserve">第 </w:t>
            </w:r>
            <w:r>
              <w:rPr>
                <w:rFonts w:hint="eastAsia" w:ascii="宋体" w:hAnsi="宋体" w:eastAsia="宋体" w:cs="宋体"/>
                <w:color w:val="auto"/>
                <w:sz w:val="24"/>
                <w:szCs w:val="24"/>
                <w:highlight w:val="none"/>
                <w:u w:val="single"/>
              </w:rPr>
              <w:t>开标室提交投标备用光盘。刻录好的投标文件备用光盘密封在密封袋中，并在封口处加盖投标人单位公章。递交的投标文件（光盘）不得加密。光盘（投标文件）无法读取或导入的，则视为未提交备用投标文件备用光盘。</w:t>
            </w:r>
          </w:p>
        </w:tc>
      </w:tr>
      <w:tr w14:paraId="5EB9407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8" w:hRule="atLeast"/>
        </w:trPr>
        <w:tc>
          <w:tcPr>
            <w:tcW w:w="936" w:type="dxa"/>
            <w:tcBorders>
              <w:top w:val="single" w:color="auto" w:sz="6" w:space="0"/>
              <w:left w:val="single" w:color="auto" w:sz="4" w:space="0"/>
              <w:bottom w:val="single" w:color="auto" w:sz="6" w:space="0"/>
              <w:right w:val="single" w:color="auto" w:sz="6" w:space="0"/>
            </w:tcBorders>
            <w:shd w:val="clear" w:color="auto" w:fill="auto"/>
            <w:vAlign w:val="center"/>
          </w:tcPr>
          <w:p w14:paraId="543E1FBD">
            <w:pPr>
              <w:snapToGrid w:val="0"/>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10</w:t>
            </w:r>
          </w:p>
        </w:tc>
        <w:tc>
          <w:tcPr>
            <w:tcW w:w="8898" w:type="dxa"/>
            <w:gridSpan w:val="2"/>
            <w:tcBorders>
              <w:top w:val="single" w:color="auto" w:sz="6" w:space="0"/>
              <w:left w:val="single" w:color="auto" w:sz="6" w:space="0"/>
              <w:bottom w:val="single" w:color="auto" w:sz="6" w:space="0"/>
              <w:right w:val="single" w:color="auto" w:sz="4" w:space="0"/>
            </w:tcBorders>
            <w:shd w:val="clear" w:color="auto" w:fill="auto"/>
            <w:vAlign w:val="center"/>
          </w:tcPr>
          <w:p w14:paraId="2A81EEE7">
            <w:pPr>
              <w:snapToGrid w:val="0"/>
              <w:spacing w:line="276" w:lineRule="auto"/>
              <w:jc w:val="left"/>
              <w:rPr>
                <w:rFonts w:ascii="宋体" w:hAnsi="宋体" w:eastAsia="宋体"/>
                <w:color w:val="auto"/>
                <w:sz w:val="24"/>
                <w:szCs w:val="24"/>
                <w:highlight w:val="none"/>
              </w:rPr>
            </w:pPr>
            <w:r>
              <w:rPr>
                <w:rFonts w:hint="eastAsia" w:ascii="宋体" w:hAnsi="宋体" w:eastAsia="宋体"/>
                <w:color w:val="auto"/>
                <w:sz w:val="24"/>
                <w:szCs w:val="24"/>
                <w:highlight w:val="none"/>
              </w:rPr>
              <w:t>需要补充的其他内容</w:t>
            </w:r>
          </w:p>
        </w:tc>
      </w:tr>
      <w:tr w14:paraId="29ED139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936" w:type="dxa"/>
            <w:tcBorders>
              <w:top w:val="single" w:color="auto" w:sz="6" w:space="0"/>
              <w:left w:val="single" w:color="auto" w:sz="4" w:space="0"/>
              <w:bottom w:val="single" w:color="auto" w:sz="6" w:space="0"/>
              <w:right w:val="single" w:color="auto" w:sz="6" w:space="0"/>
            </w:tcBorders>
            <w:shd w:val="clear" w:color="auto" w:fill="auto"/>
            <w:vAlign w:val="center"/>
          </w:tcPr>
          <w:p w14:paraId="4950A7A5">
            <w:pPr>
              <w:snapToGrid w:val="0"/>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10.1</w:t>
            </w:r>
          </w:p>
        </w:tc>
        <w:tc>
          <w:tcPr>
            <w:tcW w:w="2291" w:type="dxa"/>
            <w:tcBorders>
              <w:top w:val="single" w:color="auto" w:sz="6" w:space="0"/>
              <w:left w:val="single" w:color="auto" w:sz="6" w:space="0"/>
              <w:bottom w:val="single" w:color="auto" w:sz="6" w:space="0"/>
              <w:right w:val="single" w:color="auto" w:sz="6" w:space="0"/>
            </w:tcBorders>
            <w:shd w:val="clear" w:color="auto" w:fill="auto"/>
            <w:vAlign w:val="center"/>
          </w:tcPr>
          <w:p w14:paraId="720CEEE5">
            <w:pPr>
              <w:snapToGrid w:val="0"/>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特别提醒</w:t>
            </w:r>
          </w:p>
        </w:tc>
        <w:tc>
          <w:tcPr>
            <w:tcW w:w="6607" w:type="dxa"/>
            <w:tcBorders>
              <w:top w:val="single" w:color="auto" w:sz="6" w:space="0"/>
              <w:left w:val="single" w:color="auto" w:sz="6" w:space="0"/>
              <w:bottom w:val="single" w:color="auto" w:sz="6" w:space="0"/>
              <w:right w:val="single" w:color="auto" w:sz="4" w:space="0"/>
            </w:tcBorders>
            <w:shd w:val="clear" w:color="auto" w:fill="auto"/>
            <w:vAlign w:val="center"/>
          </w:tcPr>
          <w:p w14:paraId="79F66544">
            <w:pPr>
              <w:snapToGrid w:val="0"/>
              <w:spacing w:line="276" w:lineRule="auto"/>
              <w:jc w:val="left"/>
              <w:rPr>
                <w:rFonts w:ascii="宋体" w:hAnsi="宋体" w:eastAsia="宋体"/>
                <w:color w:val="auto"/>
                <w:sz w:val="24"/>
                <w:szCs w:val="24"/>
                <w:highlight w:val="none"/>
              </w:rPr>
            </w:pPr>
            <w:r>
              <w:rPr>
                <w:rFonts w:hint="eastAsia" w:ascii="宋体" w:hAnsi="宋体" w:eastAsia="宋体"/>
                <w:color w:val="auto"/>
                <w:sz w:val="24"/>
                <w:szCs w:val="24"/>
                <w:highlight w:val="none"/>
              </w:rPr>
              <w:t>投标人在本项目招标人的工程项目中存在下列行为的，将被拒绝一年内参与</w:t>
            </w:r>
            <w:r>
              <w:rPr>
                <w:rFonts w:hint="eastAsia" w:ascii="宋体" w:hAnsi="宋体" w:eastAsia="宋体"/>
                <w:color w:val="auto"/>
                <w:sz w:val="24"/>
                <w:szCs w:val="24"/>
                <w:highlight w:val="none"/>
                <w:lang w:val="en-US" w:eastAsia="zh-CN"/>
              </w:rPr>
              <w:t>招标人</w:t>
            </w:r>
            <w:r>
              <w:rPr>
                <w:rFonts w:hint="eastAsia" w:ascii="宋体" w:hAnsi="宋体" w:eastAsia="宋体"/>
                <w:color w:val="auto"/>
                <w:sz w:val="24"/>
                <w:szCs w:val="24"/>
                <w:highlight w:val="none"/>
              </w:rPr>
              <w:t>后续工程投标。（注：拒绝投标时限由招标人视严重程度确定，最低三个月起，自招标人发出通知之日起计）：</w:t>
            </w:r>
          </w:p>
          <w:p w14:paraId="26BCD29B">
            <w:pPr>
              <w:snapToGrid w:val="0"/>
              <w:spacing w:line="276" w:lineRule="auto"/>
              <w:jc w:val="left"/>
              <w:rPr>
                <w:rFonts w:ascii="宋体" w:hAnsi="宋体" w:eastAsia="宋体"/>
                <w:color w:val="auto"/>
                <w:sz w:val="24"/>
                <w:szCs w:val="24"/>
                <w:highlight w:val="none"/>
              </w:rPr>
            </w:pPr>
            <w:r>
              <w:rPr>
                <w:rFonts w:hint="eastAsia" w:ascii="宋体" w:hAnsi="宋体" w:eastAsia="宋体"/>
                <w:color w:val="auto"/>
                <w:sz w:val="24"/>
                <w:szCs w:val="24"/>
                <w:highlight w:val="none"/>
              </w:rPr>
              <w:t>（1）将中标工程转包或者违法分包的；</w:t>
            </w:r>
          </w:p>
          <w:p w14:paraId="21797341">
            <w:pPr>
              <w:snapToGrid w:val="0"/>
              <w:spacing w:line="276" w:lineRule="auto"/>
              <w:jc w:val="left"/>
              <w:rPr>
                <w:rFonts w:ascii="宋体" w:hAnsi="宋体" w:eastAsia="宋体"/>
                <w:color w:val="auto"/>
                <w:sz w:val="24"/>
                <w:szCs w:val="24"/>
                <w:highlight w:val="none"/>
              </w:rPr>
            </w:pPr>
            <w:r>
              <w:rPr>
                <w:rFonts w:hint="eastAsia" w:ascii="宋体" w:hAnsi="宋体" w:eastAsia="宋体"/>
                <w:color w:val="auto"/>
                <w:sz w:val="24"/>
                <w:szCs w:val="24"/>
                <w:highlight w:val="none"/>
              </w:rPr>
              <w:t>（2）在中标工程中不执行质量、安全生产相关规定的，造成质量或安全事故的；</w:t>
            </w:r>
          </w:p>
          <w:p w14:paraId="60978B3C">
            <w:pPr>
              <w:snapToGrid w:val="0"/>
              <w:spacing w:line="276" w:lineRule="auto"/>
              <w:jc w:val="left"/>
              <w:rPr>
                <w:rFonts w:ascii="宋体" w:hAnsi="宋体" w:eastAsia="宋体"/>
                <w:color w:val="auto"/>
                <w:sz w:val="24"/>
                <w:szCs w:val="24"/>
                <w:highlight w:val="none"/>
              </w:rPr>
            </w:pPr>
            <w:r>
              <w:rPr>
                <w:rFonts w:hint="eastAsia" w:ascii="宋体" w:hAnsi="宋体" w:eastAsia="宋体"/>
                <w:color w:val="auto"/>
                <w:sz w:val="24"/>
                <w:szCs w:val="24"/>
                <w:highlight w:val="none"/>
              </w:rPr>
              <w:t>（3）存在围标或串标情形的；</w:t>
            </w:r>
          </w:p>
          <w:p w14:paraId="7FAC74C7">
            <w:pPr>
              <w:snapToGrid w:val="0"/>
              <w:spacing w:line="276" w:lineRule="auto"/>
              <w:jc w:val="left"/>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（4）存在弄虚作假骗取中标情形的； </w:t>
            </w:r>
          </w:p>
          <w:p w14:paraId="379B44B3">
            <w:pPr>
              <w:snapToGrid w:val="0"/>
              <w:spacing w:line="276" w:lineRule="auto"/>
              <w:jc w:val="left"/>
              <w:rPr>
                <w:rFonts w:ascii="宋体" w:hAnsi="宋体" w:eastAsia="宋体"/>
                <w:color w:val="auto"/>
                <w:sz w:val="24"/>
                <w:szCs w:val="24"/>
                <w:highlight w:val="none"/>
              </w:rPr>
            </w:pPr>
            <w:r>
              <w:rPr>
                <w:rFonts w:hint="eastAsia" w:ascii="宋体" w:hAnsi="宋体" w:eastAsia="宋体"/>
                <w:color w:val="auto"/>
                <w:sz w:val="24"/>
                <w:szCs w:val="24"/>
                <w:highlight w:val="none"/>
              </w:rPr>
              <w:t>（5）为招标人提供监理服务过程中存在因过错行为被生效法律文书认定承担违约或侵权责任的；</w:t>
            </w:r>
          </w:p>
          <w:p w14:paraId="4936A062">
            <w:pPr>
              <w:snapToGrid w:val="0"/>
              <w:spacing w:line="276" w:lineRule="auto"/>
              <w:jc w:val="left"/>
              <w:rPr>
                <w:rFonts w:ascii="宋体" w:hAnsi="宋体" w:eastAsia="宋体"/>
                <w:color w:val="auto"/>
                <w:sz w:val="24"/>
                <w:szCs w:val="24"/>
                <w:highlight w:val="none"/>
              </w:rPr>
            </w:pPr>
            <w:r>
              <w:rPr>
                <w:rFonts w:hint="eastAsia" w:ascii="宋体" w:hAnsi="宋体" w:eastAsia="宋体"/>
                <w:color w:val="auto"/>
                <w:sz w:val="24"/>
                <w:szCs w:val="24"/>
                <w:highlight w:val="none"/>
              </w:rPr>
              <w:t>（6）违反监理合同约定自行调换或未按照招标人要求及时更换项目总监的；</w:t>
            </w:r>
          </w:p>
          <w:p w14:paraId="2E60F807">
            <w:pPr>
              <w:snapToGrid w:val="0"/>
              <w:spacing w:line="276" w:lineRule="auto"/>
              <w:jc w:val="left"/>
              <w:rPr>
                <w:rFonts w:ascii="宋体" w:hAnsi="宋体" w:eastAsia="宋体"/>
                <w:color w:val="auto"/>
                <w:sz w:val="24"/>
                <w:szCs w:val="24"/>
                <w:highlight w:val="none"/>
              </w:rPr>
            </w:pPr>
            <w:r>
              <w:rPr>
                <w:rFonts w:hint="eastAsia" w:ascii="宋体" w:hAnsi="宋体" w:eastAsia="宋体"/>
                <w:color w:val="auto"/>
                <w:sz w:val="24"/>
                <w:szCs w:val="24"/>
                <w:highlight w:val="none"/>
              </w:rPr>
              <w:t>（7）委派的项目总监已在其他在建项目中任职且任职数量不符合相关规定并拒绝按照任职承诺书的规定更换的。</w:t>
            </w:r>
          </w:p>
        </w:tc>
      </w:tr>
      <w:tr w14:paraId="26BC060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567" w:hRule="atLeast"/>
        </w:trPr>
        <w:tc>
          <w:tcPr>
            <w:tcW w:w="936" w:type="dxa"/>
            <w:tcBorders>
              <w:top w:val="single" w:color="auto" w:sz="6" w:space="0"/>
              <w:left w:val="single" w:color="auto" w:sz="4" w:space="0"/>
              <w:bottom w:val="single" w:color="auto" w:sz="6" w:space="0"/>
              <w:right w:val="single" w:color="auto" w:sz="6" w:space="0"/>
            </w:tcBorders>
            <w:shd w:val="clear" w:color="auto" w:fill="auto"/>
            <w:vAlign w:val="center"/>
          </w:tcPr>
          <w:p w14:paraId="48922A98">
            <w:pPr>
              <w:snapToGrid w:val="0"/>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10.2</w:t>
            </w:r>
          </w:p>
        </w:tc>
        <w:tc>
          <w:tcPr>
            <w:tcW w:w="2291" w:type="dxa"/>
            <w:tcBorders>
              <w:top w:val="single" w:color="auto" w:sz="6" w:space="0"/>
              <w:left w:val="single" w:color="auto" w:sz="6" w:space="0"/>
              <w:bottom w:val="single" w:color="auto" w:sz="6" w:space="0"/>
              <w:right w:val="single" w:color="auto" w:sz="6" w:space="0"/>
            </w:tcBorders>
            <w:shd w:val="clear" w:color="auto" w:fill="auto"/>
            <w:vAlign w:val="center"/>
          </w:tcPr>
          <w:p w14:paraId="4F7BF5CB">
            <w:pPr>
              <w:spacing w:line="360"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其他费用</w:t>
            </w:r>
          </w:p>
        </w:tc>
        <w:tc>
          <w:tcPr>
            <w:tcW w:w="6607" w:type="dxa"/>
            <w:tcBorders>
              <w:top w:val="single" w:color="auto" w:sz="6" w:space="0"/>
              <w:left w:val="single" w:color="auto" w:sz="6" w:space="0"/>
              <w:bottom w:val="single" w:color="auto" w:sz="6" w:space="0"/>
              <w:right w:val="single" w:color="auto" w:sz="4" w:space="0"/>
            </w:tcBorders>
            <w:shd w:val="clear" w:color="auto" w:fill="auto"/>
            <w:vAlign w:val="center"/>
          </w:tcPr>
          <w:p w14:paraId="247D033E">
            <w:pPr>
              <w:pStyle w:val="231"/>
              <w:rPr>
                <w:color w:val="auto"/>
                <w:sz w:val="24"/>
                <w:szCs w:val="24"/>
                <w:highlight w:val="none"/>
              </w:rPr>
            </w:pPr>
            <w:r>
              <w:rPr>
                <w:rFonts w:hint="eastAsia" w:cs="宋体"/>
                <w:color w:val="auto"/>
                <w:kern w:val="0"/>
                <w:sz w:val="24"/>
                <w:szCs w:val="24"/>
                <w:highlight w:val="none"/>
              </w:rPr>
              <w:t>交易服务费：中标人应根据有关规定，向</w:t>
            </w:r>
            <w:r>
              <w:rPr>
                <w:rFonts w:hint="eastAsia" w:cs="宋体"/>
                <w:color w:val="auto"/>
                <w:kern w:val="0"/>
                <w:sz w:val="24"/>
                <w:szCs w:val="24"/>
                <w:highlight w:val="none"/>
                <w:lang w:eastAsia="zh-CN"/>
              </w:rPr>
              <w:t>广州交易集团有限公司（广州公共资源交易中心）</w:t>
            </w:r>
            <w:r>
              <w:rPr>
                <w:rFonts w:hint="eastAsia" w:cs="宋体"/>
                <w:color w:val="auto"/>
                <w:kern w:val="0"/>
                <w:sz w:val="24"/>
                <w:szCs w:val="24"/>
                <w:highlight w:val="none"/>
              </w:rPr>
              <w:t>交纳公共资源交易服务费，该部分费用由投标人综合考虑在投标报价中，招标人不另行支付。</w:t>
            </w:r>
          </w:p>
        </w:tc>
      </w:tr>
      <w:tr w14:paraId="676A236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13" w:hRule="atLeast"/>
        </w:trPr>
        <w:tc>
          <w:tcPr>
            <w:tcW w:w="936" w:type="dxa"/>
            <w:tcBorders>
              <w:top w:val="single" w:color="auto" w:sz="6" w:space="0"/>
              <w:left w:val="single" w:color="auto" w:sz="4" w:space="0"/>
              <w:bottom w:val="single" w:color="auto" w:sz="6" w:space="0"/>
              <w:right w:val="single" w:color="auto" w:sz="6" w:space="0"/>
            </w:tcBorders>
            <w:shd w:val="clear" w:color="auto" w:fill="auto"/>
            <w:vAlign w:val="center"/>
          </w:tcPr>
          <w:p w14:paraId="4BCDC837">
            <w:pPr>
              <w:snapToGrid w:val="0"/>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10.3</w:t>
            </w:r>
          </w:p>
        </w:tc>
        <w:tc>
          <w:tcPr>
            <w:tcW w:w="2291" w:type="dxa"/>
            <w:tcBorders>
              <w:top w:val="single" w:color="auto" w:sz="6" w:space="0"/>
              <w:left w:val="single" w:color="auto" w:sz="6" w:space="0"/>
              <w:bottom w:val="single" w:color="auto" w:sz="6" w:space="0"/>
              <w:right w:val="single" w:color="auto" w:sz="6" w:space="0"/>
            </w:tcBorders>
            <w:shd w:val="clear" w:color="auto" w:fill="auto"/>
            <w:vAlign w:val="center"/>
          </w:tcPr>
          <w:p w14:paraId="11C5EC99">
            <w:pPr>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招标失败的情形</w:t>
            </w:r>
          </w:p>
        </w:tc>
        <w:tc>
          <w:tcPr>
            <w:tcW w:w="6607" w:type="dxa"/>
            <w:tcBorders>
              <w:top w:val="single" w:color="auto" w:sz="6" w:space="0"/>
              <w:left w:val="single" w:color="auto" w:sz="6" w:space="0"/>
              <w:bottom w:val="single" w:color="auto" w:sz="6" w:space="0"/>
              <w:right w:val="single" w:color="auto" w:sz="4" w:space="0"/>
            </w:tcBorders>
            <w:shd w:val="clear" w:color="auto" w:fill="auto"/>
            <w:vAlign w:val="center"/>
          </w:tcPr>
          <w:p w14:paraId="46F503C0">
            <w:pPr>
              <w:spacing w:line="276" w:lineRule="auto"/>
              <w:rPr>
                <w:rFonts w:ascii="宋体" w:hAnsi="宋体" w:eastAsia="宋体"/>
                <w:color w:val="auto"/>
                <w:kern w:val="0"/>
                <w:sz w:val="24"/>
                <w:szCs w:val="24"/>
                <w:highlight w:val="none"/>
              </w:rPr>
            </w:pPr>
            <w:r>
              <w:rPr>
                <w:rFonts w:hint="eastAsia" w:ascii="宋体" w:hAnsi="宋体" w:eastAsia="宋体"/>
                <w:color w:val="auto"/>
                <w:sz w:val="24"/>
                <w:szCs w:val="24"/>
                <w:highlight w:val="none"/>
              </w:rPr>
              <w:t>本项目采用资格后审方式，</w:t>
            </w:r>
            <w:r>
              <w:rPr>
                <w:rFonts w:hint="eastAsia" w:ascii="宋体" w:hAnsi="宋体" w:eastAsia="宋体" w:cs="宋体"/>
                <w:color w:val="auto"/>
                <w:sz w:val="24"/>
                <w:szCs w:val="24"/>
                <w:highlight w:val="none"/>
                <w:u w:val="none"/>
              </w:rPr>
              <w:t>递交投标文件单位不足3名</w:t>
            </w:r>
            <w:r>
              <w:rPr>
                <w:rFonts w:hint="eastAsia" w:ascii="宋体" w:hAnsi="宋体" w:eastAsia="宋体"/>
                <w:color w:val="auto"/>
                <w:sz w:val="24"/>
                <w:szCs w:val="24"/>
                <w:highlight w:val="none"/>
                <w:u w:val="none"/>
                <w:lang w:val="en-US" w:eastAsia="zh-CN"/>
              </w:rPr>
              <w:t>或</w:t>
            </w:r>
            <w:r>
              <w:rPr>
                <w:rFonts w:hint="eastAsia" w:ascii="宋体" w:hAnsi="宋体" w:eastAsia="宋体"/>
                <w:color w:val="auto"/>
                <w:sz w:val="24"/>
                <w:szCs w:val="24"/>
                <w:highlight w:val="none"/>
                <w:u w:val="none"/>
              </w:rPr>
              <w:t>通</w:t>
            </w:r>
            <w:r>
              <w:rPr>
                <w:rFonts w:hint="eastAsia" w:ascii="宋体" w:hAnsi="宋体" w:eastAsia="宋体"/>
                <w:color w:val="auto"/>
                <w:sz w:val="24"/>
                <w:szCs w:val="24"/>
                <w:highlight w:val="none"/>
              </w:rPr>
              <w:t>过形式评审、资格审查、响应性评审的投标不足</w:t>
            </w:r>
            <w:r>
              <w:rPr>
                <w:rFonts w:hint="eastAsia" w:ascii="宋体" w:hAnsi="宋体" w:eastAsia="宋体"/>
                <w:b/>
                <w:color w:val="auto"/>
                <w:sz w:val="24"/>
                <w:szCs w:val="24"/>
                <w:highlight w:val="none"/>
              </w:rPr>
              <w:t>3名</w:t>
            </w:r>
            <w:r>
              <w:rPr>
                <w:rFonts w:hint="eastAsia" w:ascii="宋体" w:hAnsi="宋体" w:eastAsia="宋体"/>
                <w:color w:val="auto"/>
                <w:sz w:val="24"/>
                <w:szCs w:val="24"/>
                <w:highlight w:val="none"/>
              </w:rPr>
              <w:t>时为招标失败。招标人分析招标失败原因，修正招标方案，报有关管理部门核准后，重新组织招标。</w:t>
            </w:r>
          </w:p>
        </w:tc>
      </w:tr>
      <w:tr w14:paraId="6CE87F1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5" w:hRule="atLeast"/>
        </w:trPr>
        <w:tc>
          <w:tcPr>
            <w:tcW w:w="936" w:type="dxa"/>
            <w:tcBorders>
              <w:top w:val="single" w:color="auto" w:sz="6" w:space="0"/>
              <w:left w:val="single" w:color="auto" w:sz="4" w:space="0"/>
              <w:bottom w:val="single" w:color="auto" w:sz="6" w:space="0"/>
              <w:right w:val="single" w:color="auto" w:sz="6" w:space="0"/>
            </w:tcBorders>
            <w:shd w:val="clear" w:color="auto" w:fill="auto"/>
            <w:vAlign w:val="center"/>
          </w:tcPr>
          <w:p w14:paraId="722B9D55">
            <w:pPr>
              <w:snapToGrid w:val="0"/>
              <w:spacing w:line="276" w:lineRule="auto"/>
              <w:jc w:val="center"/>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10.4</w:t>
            </w:r>
          </w:p>
        </w:tc>
        <w:tc>
          <w:tcPr>
            <w:tcW w:w="2291" w:type="dxa"/>
            <w:tcBorders>
              <w:top w:val="single" w:color="auto" w:sz="6" w:space="0"/>
              <w:left w:val="single" w:color="auto" w:sz="6" w:space="0"/>
              <w:bottom w:val="single" w:color="auto" w:sz="6" w:space="0"/>
              <w:right w:val="single" w:color="auto" w:sz="6" w:space="0"/>
            </w:tcBorders>
            <w:shd w:val="clear" w:color="auto" w:fill="auto"/>
            <w:vAlign w:val="center"/>
          </w:tcPr>
          <w:p w14:paraId="2375A158">
            <w:pPr>
              <w:spacing w:line="276" w:lineRule="auto"/>
              <w:jc w:val="center"/>
              <w:rPr>
                <w:rFonts w:hint="eastAsia" w:ascii="宋体" w:hAnsi="宋体" w:eastAsia="宋体"/>
                <w:color w:val="auto"/>
                <w:sz w:val="24"/>
                <w:szCs w:val="24"/>
                <w:highlight w:val="none"/>
              </w:rPr>
            </w:pPr>
            <w:r>
              <w:rPr>
                <w:rFonts w:hint="eastAsia" w:ascii="宋体" w:hAnsi="宋体" w:eastAsia="宋体"/>
                <w:color w:val="auto"/>
                <w:sz w:val="24"/>
                <w:szCs w:val="24"/>
                <w:highlight w:val="none"/>
              </w:rPr>
              <w:t>第一中标候选人放弃中标资格情形</w:t>
            </w:r>
          </w:p>
        </w:tc>
        <w:tc>
          <w:tcPr>
            <w:tcW w:w="6607" w:type="dxa"/>
            <w:tcBorders>
              <w:top w:val="single" w:color="auto" w:sz="6" w:space="0"/>
              <w:left w:val="single" w:color="auto" w:sz="6" w:space="0"/>
              <w:bottom w:val="single" w:color="auto" w:sz="6" w:space="0"/>
              <w:right w:val="single" w:color="auto" w:sz="4" w:space="0"/>
            </w:tcBorders>
            <w:shd w:val="clear" w:color="auto" w:fill="auto"/>
            <w:vAlign w:val="center"/>
          </w:tcPr>
          <w:p w14:paraId="582EE95B">
            <w:pPr>
              <w:spacing w:line="276" w:lineRule="auto"/>
              <w:ind w:right="174" w:rightChars="83"/>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u w:val="single"/>
              </w:rPr>
              <w:t>排名第一的中标候选人放弃中标、因不可抗力不能履行合同、不按照招标文件要求提交履约保证金，或者被查实存在影响中标结果的违法行为等情形，不符合中标条件的，招标人可以按照招标文件第三章第3.4.1款确定的推荐中标候选人原则依次确定其他中标候选人为中标人，也可以重新招标。</w:t>
            </w:r>
          </w:p>
        </w:tc>
      </w:tr>
      <w:tr w14:paraId="16974A2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5" w:hRule="atLeast"/>
        </w:trPr>
        <w:tc>
          <w:tcPr>
            <w:tcW w:w="936" w:type="dxa"/>
            <w:tcBorders>
              <w:top w:val="single" w:color="auto" w:sz="6" w:space="0"/>
              <w:left w:val="single" w:color="auto" w:sz="4" w:space="0"/>
              <w:bottom w:val="single" w:color="auto" w:sz="6" w:space="0"/>
              <w:right w:val="single" w:color="auto" w:sz="6" w:space="0"/>
            </w:tcBorders>
            <w:shd w:val="clear" w:color="auto" w:fill="auto"/>
            <w:vAlign w:val="center"/>
          </w:tcPr>
          <w:p w14:paraId="32573DB4">
            <w:pPr>
              <w:snapToGrid w:val="0"/>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10.5</w:t>
            </w:r>
          </w:p>
        </w:tc>
        <w:tc>
          <w:tcPr>
            <w:tcW w:w="2291" w:type="dxa"/>
            <w:tcBorders>
              <w:top w:val="single" w:color="auto" w:sz="6" w:space="0"/>
              <w:left w:val="single" w:color="auto" w:sz="6" w:space="0"/>
              <w:bottom w:val="single" w:color="auto" w:sz="6" w:space="0"/>
              <w:right w:val="single" w:color="auto" w:sz="6" w:space="0"/>
            </w:tcBorders>
            <w:shd w:val="clear" w:color="auto" w:fill="auto"/>
            <w:vAlign w:val="center"/>
          </w:tcPr>
          <w:p w14:paraId="6DEAB788">
            <w:pPr>
              <w:spacing w:line="276" w:lineRule="auto"/>
              <w:ind w:right="174" w:rightChars="83"/>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中标候选人公示要求</w:t>
            </w:r>
          </w:p>
        </w:tc>
        <w:tc>
          <w:tcPr>
            <w:tcW w:w="6607" w:type="dxa"/>
            <w:tcBorders>
              <w:top w:val="single" w:color="auto" w:sz="6" w:space="0"/>
              <w:left w:val="single" w:color="auto" w:sz="6" w:space="0"/>
              <w:bottom w:val="single" w:color="auto" w:sz="6" w:space="0"/>
              <w:right w:val="single" w:color="auto" w:sz="4" w:space="0"/>
            </w:tcBorders>
            <w:shd w:val="clear" w:color="auto" w:fill="auto"/>
            <w:vAlign w:val="center"/>
          </w:tcPr>
          <w:p w14:paraId="30A78CD8">
            <w:pPr>
              <w:spacing w:line="276" w:lineRule="auto"/>
              <w:ind w:right="174" w:rightChars="83"/>
              <w:rPr>
                <w:rFonts w:ascii="宋体" w:hAnsi="宋体" w:eastAsia="宋体"/>
                <w:color w:val="auto"/>
                <w:sz w:val="24"/>
                <w:szCs w:val="24"/>
                <w:highlight w:val="none"/>
              </w:rPr>
            </w:pPr>
            <w:r>
              <w:rPr>
                <w:rFonts w:hint="eastAsia" w:ascii="宋体" w:hAnsi="宋体" w:eastAsia="宋体"/>
                <w:color w:val="auto"/>
                <w:sz w:val="24"/>
                <w:szCs w:val="24"/>
                <w:highlight w:val="none"/>
                <w:u w:val="single"/>
              </w:rPr>
              <w:t>在产生中标候选人后，招标人将中标候选人的投标文件商务部分的电子版（报价清单、方案等涉及商业秘密的内容除外）在</w:t>
            </w:r>
            <w:r>
              <w:rPr>
                <w:rFonts w:hint="eastAsia" w:ascii="宋体" w:hAnsi="宋体" w:eastAsia="宋体"/>
                <w:color w:val="auto"/>
                <w:sz w:val="24"/>
                <w:szCs w:val="24"/>
                <w:highlight w:val="none"/>
                <w:u w:val="single"/>
                <w:lang w:eastAsia="zh-CN"/>
              </w:rPr>
              <w:t>广州交易集团有限公司（广州公共资源交易中心）</w:t>
            </w:r>
            <w:r>
              <w:rPr>
                <w:rFonts w:hint="eastAsia" w:ascii="宋体" w:hAnsi="宋体" w:eastAsia="宋体"/>
                <w:color w:val="auto"/>
                <w:sz w:val="24"/>
                <w:szCs w:val="24"/>
                <w:highlight w:val="none"/>
                <w:u w:val="single"/>
              </w:rPr>
              <w:t>网站公开。</w:t>
            </w:r>
          </w:p>
        </w:tc>
      </w:tr>
      <w:tr w14:paraId="57EA1AD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36" w:type="dxa"/>
            <w:tcBorders>
              <w:top w:val="single" w:color="auto" w:sz="6" w:space="0"/>
              <w:left w:val="single" w:color="auto" w:sz="4" w:space="0"/>
              <w:bottom w:val="single" w:color="auto" w:sz="6" w:space="0"/>
              <w:right w:val="single" w:color="auto" w:sz="6" w:space="0"/>
            </w:tcBorders>
            <w:shd w:val="clear" w:color="auto" w:fill="auto"/>
            <w:vAlign w:val="center"/>
          </w:tcPr>
          <w:p w14:paraId="58B9BFF5">
            <w:pPr>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10.6</w:t>
            </w:r>
          </w:p>
        </w:tc>
        <w:tc>
          <w:tcPr>
            <w:tcW w:w="2291" w:type="dxa"/>
            <w:tcBorders>
              <w:top w:val="single" w:color="auto" w:sz="6" w:space="0"/>
              <w:left w:val="single" w:color="auto" w:sz="6" w:space="0"/>
              <w:bottom w:val="single" w:color="auto" w:sz="6" w:space="0"/>
              <w:right w:val="single" w:color="auto" w:sz="6" w:space="0"/>
            </w:tcBorders>
            <w:shd w:val="clear" w:color="auto" w:fill="auto"/>
            <w:vAlign w:val="center"/>
          </w:tcPr>
          <w:p w14:paraId="64C0A3D4">
            <w:pPr>
              <w:spacing w:line="276" w:lineRule="auto"/>
              <w:ind w:right="174" w:rightChars="83"/>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监理人员管理特别要求</w:t>
            </w:r>
          </w:p>
        </w:tc>
        <w:tc>
          <w:tcPr>
            <w:tcW w:w="6607" w:type="dxa"/>
            <w:tcBorders>
              <w:top w:val="single" w:color="auto" w:sz="6" w:space="0"/>
              <w:left w:val="single" w:color="auto" w:sz="6" w:space="0"/>
              <w:bottom w:val="single" w:color="auto" w:sz="6" w:space="0"/>
              <w:right w:val="single" w:color="auto" w:sz="4" w:space="0"/>
            </w:tcBorders>
            <w:shd w:val="clear" w:color="auto" w:fill="auto"/>
            <w:vAlign w:val="center"/>
          </w:tcPr>
          <w:p w14:paraId="51C46C6B">
            <w:pPr>
              <w:spacing w:line="276" w:lineRule="auto"/>
              <w:rPr>
                <w:rFonts w:ascii="宋体" w:hAnsi="宋体" w:eastAsia="宋体"/>
                <w:color w:val="auto"/>
                <w:sz w:val="24"/>
                <w:szCs w:val="24"/>
                <w:highlight w:val="none"/>
                <w:u w:val="single"/>
              </w:rPr>
            </w:pPr>
            <w:r>
              <w:rPr>
                <w:rFonts w:hint="eastAsia" w:ascii="宋体" w:hAnsi="宋体" w:eastAsia="宋体"/>
                <w:color w:val="auto"/>
                <w:sz w:val="24"/>
                <w:szCs w:val="24"/>
                <w:highlight w:val="none"/>
                <w:u w:val="single"/>
              </w:rPr>
              <w:t>关于中标后监理人员管理的特别提醒：</w:t>
            </w:r>
          </w:p>
          <w:p w14:paraId="085B8696">
            <w:pPr>
              <w:spacing w:line="276" w:lineRule="auto"/>
              <w:rPr>
                <w:rFonts w:ascii="宋体" w:hAnsi="宋体" w:eastAsia="宋体"/>
                <w:color w:val="auto"/>
                <w:sz w:val="24"/>
                <w:szCs w:val="24"/>
                <w:highlight w:val="none"/>
                <w:u w:val="single"/>
              </w:rPr>
            </w:pPr>
            <w:r>
              <w:rPr>
                <w:rFonts w:hint="eastAsia" w:ascii="宋体" w:hAnsi="宋体" w:eastAsia="宋体"/>
                <w:color w:val="auto"/>
                <w:sz w:val="24"/>
                <w:szCs w:val="24"/>
                <w:highlight w:val="none"/>
                <w:u w:val="single"/>
              </w:rPr>
              <w:t>1）监理人不得更换投标时承诺投入的项目总监，监理人有合法的理由提出申请（如伤亡、被吊销监理工程师执业资格等不能再从事监理工作）并经招标人批准更换相关人员的，监理人可不承担违约责任；</w:t>
            </w:r>
            <w:r>
              <w:rPr>
                <w:rFonts w:hint="eastAsia" w:ascii="宋体" w:hAnsi="宋体" w:eastAsia="宋体" w:cs="宋体"/>
                <w:color w:val="auto"/>
                <w:sz w:val="24"/>
                <w:szCs w:val="24"/>
                <w:highlight w:val="none"/>
                <w:u w:val="single"/>
              </w:rPr>
              <w:t>否则招标人将按</w:t>
            </w:r>
            <w:r>
              <w:rPr>
                <w:rFonts w:hint="eastAsia" w:ascii="宋体" w:hAnsi="宋体" w:eastAsia="宋体"/>
                <w:color w:val="auto"/>
                <w:sz w:val="24"/>
                <w:szCs w:val="24"/>
                <w:highlight w:val="none"/>
                <w:u w:val="single"/>
              </w:rPr>
              <w:t>监理</w:t>
            </w:r>
            <w:r>
              <w:rPr>
                <w:rFonts w:hint="eastAsia" w:ascii="宋体" w:hAnsi="宋体" w:eastAsia="宋体" w:cs="宋体"/>
                <w:color w:val="auto"/>
                <w:sz w:val="24"/>
                <w:szCs w:val="24"/>
                <w:highlight w:val="none"/>
                <w:u w:val="single"/>
              </w:rPr>
              <w:t>合同约定追究监理人违约责任，并将监理人该不诚信行为上报广州市建设行政主管部门，并纳入监理单位诚信考核。</w:t>
            </w:r>
          </w:p>
          <w:p w14:paraId="0AEA0198">
            <w:pPr>
              <w:spacing w:line="276" w:lineRule="auto"/>
              <w:rPr>
                <w:rFonts w:ascii="宋体" w:hAnsi="宋体" w:eastAsia="宋体"/>
                <w:color w:val="auto"/>
                <w:sz w:val="24"/>
                <w:szCs w:val="24"/>
                <w:highlight w:val="none"/>
                <w:u w:val="single"/>
              </w:rPr>
            </w:pPr>
            <w:r>
              <w:rPr>
                <w:rFonts w:hint="eastAsia" w:ascii="宋体" w:hAnsi="宋体" w:eastAsia="宋体"/>
                <w:color w:val="auto"/>
                <w:sz w:val="24"/>
                <w:szCs w:val="24"/>
                <w:highlight w:val="none"/>
                <w:u w:val="single"/>
              </w:rPr>
              <w:t>2）经</w:t>
            </w:r>
            <w:r>
              <w:rPr>
                <w:rFonts w:hint="eastAsia" w:ascii="宋体" w:hAnsi="宋体" w:eastAsia="宋体"/>
                <w:color w:val="auto"/>
                <w:sz w:val="24"/>
                <w:szCs w:val="24"/>
                <w:highlight w:val="none"/>
                <w:u w:val="single"/>
                <w:lang w:val="en-US" w:eastAsia="zh-CN"/>
              </w:rPr>
              <w:t>招标人</w:t>
            </w:r>
            <w:r>
              <w:rPr>
                <w:rFonts w:hint="eastAsia" w:ascii="宋体" w:hAnsi="宋体" w:eastAsia="宋体"/>
                <w:color w:val="auto"/>
                <w:sz w:val="24"/>
                <w:szCs w:val="24"/>
                <w:highlight w:val="none"/>
                <w:u w:val="single"/>
              </w:rPr>
              <w:t>同意监理人调换项目总监的，被调换的项目总监半年内不得再作为监理人参加</w:t>
            </w:r>
            <w:r>
              <w:rPr>
                <w:rFonts w:hint="eastAsia" w:ascii="宋体" w:hAnsi="宋体" w:eastAsia="宋体"/>
                <w:color w:val="auto"/>
                <w:sz w:val="24"/>
                <w:szCs w:val="24"/>
                <w:highlight w:val="none"/>
                <w:u w:val="single"/>
                <w:lang w:val="en-US" w:eastAsia="zh-CN"/>
              </w:rPr>
              <w:t>招标人</w:t>
            </w:r>
            <w:r>
              <w:rPr>
                <w:rFonts w:hint="eastAsia" w:ascii="宋体" w:hAnsi="宋体" w:eastAsia="宋体"/>
                <w:color w:val="auto"/>
                <w:sz w:val="24"/>
                <w:szCs w:val="24"/>
                <w:highlight w:val="none"/>
                <w:u w:val="single"/>
              </w:rPr>
              <w:t>后续招标项目时拟委派监理机构的项目总监。</w:t>
            </w:r>
          </w:p>
          <w:p w14:paraId="0BC1C995">
            <w:pPr>
              <w:spacing w:line="276" w:lineRule="auto"/>
              <w:rPr>
                <w:rFonts w:ascii="宋体" w:hAnsi="宋体" w:eastAsia="宋体"/>
                <w:color w:val="auto"/>
                <w:sz w:val="24"/>
                <w:szCs w:val="24"/>
                <w:highlight w:val="none"/>
                <w:u w:val="single"/>
              </w:rPr>
            </w:pPr>
            <w:r>
              <w:rPr>
                <w:rFonts w:hint="eastAsia" w:ascii="宋体" w:hAnsi="宋体" w:eastAsia="宋体"/>
                <w:color w:val="auto"/>
                <w:sz w:val="24"/>
                <w:szCs w:val="24"/>
                <w:highlight w:val="none"/>
                <w:u w:val="single"/>
              </w:rPr>
              <w:t>3）除项目总监外，其余监理人员应与投标文件保持一致，招标人不要求更换时不得更换。因特殊情况需要更换的，投标人应以书面形式向招标人提出意向（附前任和后任人员的详细履历资料），经招标人同意后方可更换。即使是招标人要求或同意更换的监理人员，其替代人员的资质及能力仍应得到招标人的认可。</w:t>
            </w:r>
          </w:p>
          <w:p w14:paraId="5705D167">
            <w:pPr>
              <w:spacing w:line="276" w:lineRule="auto"/>
              <w:rPr>
                <w:rFonts w:ascii="宋体" w:hAnsi="宋体" w:eastAsia="宋体"/>
                <w:color w:val="auto"/>
                <w:sz w:val="24"/>
                <w:szCs w:val="24"/>
                <w:highlight w:val="none"/>
                <w:u w:val="single"/>
              </w:rPr>
            </w:pPr>
            <w:r>
              <w:rPr>
                <w:rFonts w:hint="eastAsia" w:ascii="宋体" w:hAnsi="宋体" w:eastAsia="宋体"/>
                <w:color w:val="auto"/>
                <w:sz w:val="24"/>
                <w:szCs w:val="24"/>
                <w:highlight w:val="none"/>
                <w:u w:val="single"/>
              </w:rPr>
              <w:t>4）如招标人认为监理人员的数量、监理人员的业务水平、监理人员的专业配置不能满足监理工作所需时，招标人有权另行聘请符合工作需要的监理人员；所聘请监理人员的工资按照不低于《建设工程监理与相关服务收费管理规定》（发改价格[2007]670号）中附表四“建设工程监理与相关服务人员人工日费用标准”相应人员职级对应的工日费用标准上限的2.5倍支付，该费用已包括在本合同监理酬金内，由监理人向所聘监理人员支付。必要时招标人有权从本合同监理酬金中直接支付。</w:t>
            </w:r>
          </w:p>
          <w:p w14:paraId="77DBE56D">
            <w:pPr>
              <w:spacing w:line="276" w:lineRule="auto"/>
              <w:rPr>
                <w:rFonts w:ascii="宋体" w:hAnsi="宋体" w:eastAsia="宋体"/>
                <w:color w:val="auto"/>
                <w:sz w:val="24"/>
                <w:szCs w:val="24"/>
                <w:highlight w:val="none"/>
                <w:u w:val="single"/>
              </w:rPr>
            </w:pPr>
            <w:r>
              <w:rPr>
                <w:rFonts w:hint="eastAsia" w:ascii="宋体" w:hAnsi="宋体" w:eastAsia="宋体"/>
                <w:color w:val="auto"/>
                <w:sz w:val="24"/>
                <w:szCs w:val="24"/>
                <w:highlight w:val="none"/>
                <w:u w:val="single"/>
              </w:rPr>
              <w:t>（发生上述情形，招标人将书面报告建设主管部门、招标监督机构）</w:t>
            </w:r>
          </w:p>
          <w:p w14:paraId="7B50ACFF">
            <w:pPr>
              <w:spacing w:line="276" w:lineRule="auto"/>
              <w:rPr>
                <w:rFonts w:ascii="宋体" w:hAnsi="宋体" w:eastAsia="宋体"/>
                <w:color w:val="auto"/>
                <w:sz w:val="24"/>
                <w:szCs w:val="24"/>
                <w:highlight w:val="none"/>
              </w:rPr>
            </w:pPr>
            <w:r>
              <w:rPr>
                <w:rFonts w:hint="eastAsia" w:ascii="宋体" w:hAnsi="宋体" w:eastAsia="宋体"/>
                <w:color w:val="auto"/>
                <w:sz w:val="24"/>
                <w:szCs w:val="24"/>
                <w:highlight w:val="none"/>
                <w:u w:val="single"/>
              </w:rPr>
              <w:t>5）其他人员管理要求详见合同专用条件约定。</w:t>
            </w:r>
          </w:p>
        </w:tc>
      </w:tr>
      <w:tr w14:paraId="746607F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36" w:type="dxa"/>
            <w:tcBorders>
              <w:top w:val="single" w:color="auto" w:sz="6" w:space="0"/>
              <w:left w:val="single" w:color="auto" w:sz="4" w:space="0"/>
              <w:bottom w:val="single" w:color="auto" w:sz="6" w:space="0"/>
              <w:right w:val="single" w:color="auto" w:sz="6" w:space="0"/>
            </w:tcBorders>
            <w:shd w:val="clear" w:color="auto" w:fill="auto"/>
            <w:vAlign w:val="center"/>
          </w:tcPr>
          <w:p w14:paraId="24A1D135">
            <w:pPr>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10.7</w:t>
            </w:r>
          </w:p>
        </w:tc>
        <w:tc>
          <w:tcPr>
            <w:tcW w:w="2291" w:type="dxa"/>
            <w:tcBorders>
              <w:top w:val="single" w:color="auto" w:sz="6" w:space="0"/>
              <w:left w:val="single" w:color="auto" w:sz="6" w:space="0"/>
              <w:bottom w:val="single" w:color="auto" w:sz="6" w:space="0"/>
              <w:right w:val="single" w:color="auto" w:sz="6" w:space="0"/>
            </w:tcBorders>
            <w:shd w:val="clear" w:color="auto" w:fill="auto"/>
            <w:vAlign w:val="center"/>
          </w:tcPr>
          <w:p w14:paraId="170A4168">
            <w:pPr>
              <w:spacing w:line="276" w:lineRule="auto"/>
              <w:ind w:right="174" w:rightChars="83"/>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否决投标条款</w:t>
            </w:r>
          </w:p>
        </w:tc>
        <w:tc>
          <w:tcPr>
            <w:tcW w:w="6607" w:type="dxa"/>
            <w:tcBorders>
              <w:top w:val="single" w:color="auto" w:sz="6" w:space="0"/>
              <w:left w:val="single" w:color="auto" w:sz="6" w:space="0"/>
              <w:bottom w:val="single" w:color="auto" w:sz="6" w:space="0"/>
              <w:right w:val="single" w:color="auto" w:sz="4" w:space="0"/>
            </w:tcBorders>
            <w:shd w:val="clear" w:color="auto" w:fill="auto"/>
            <w:vAlign w:val="center"/>
          </w:tcPr>
          <w:p w14:paraId="71A56ECD">
            <w:pPr>
              <w:spacing w:line="276" w:lineRule="auto"/>
              <w:ind w:left="38" w:leftChars="17" w:hanging="2" w:hangingChars="1"/>
              <w:rPr>
                <w:rFonts w:ascii="宋体" w:hAnsi="宋体" w:eastAsia="宋体"/>
                <w:color w:val="auto"/>
                <w:sz w:val="24"/>
                <w:szCs w:val="24"/>
                <w:highlight w:val="none"/>
                <w:u w:val="single"/>
              </w:rPr>
            </w:pPr>
            <w:r>
              <w:rPr>
                <w:rFonts w:hint="eastAsia" w:ascii="宋体" w:hAnsi="宋体" w:eastAsia="宋体"/>
                <w:color w:val="auto"/>
                <w:sz w:val="24"/>
                <w:szCs w:val="24"/>
                <w:highlight w:val="none"/>
                <w:u w:val="single"/>
              </w:rPr>
              <w:t>否决投标条款：</w:t>
            </w:r>
          </w:p>
          <w:p w14:paraId="54313AE7">
            <w:pPr>
              <w:spacing w:line="276" w:lineRule="auto"/>
              <w:ind w:left="38" w:leftChars="17" w:hanging="2" w:hangingChars="1"/>
              <w:rPr>
                <w:rFonts w:ascii="宋体" w:hAnsi="宋体" w:eastAsia="宋体"/>
                <w:color w:val="auto"/>
                <w:sz w:val="24"/>
                <w:szCs w:val="24"/>
                <w:highlight w:val="none"/>
                <w:u w:val="single"/>
              </w:rPr>
            </w:pPr>
            <w:r>
              <w:rPr>
                <w:rFonts w:hint="eastAsia" w:ascii="宋体" w:hAnsi="宋体" w:eastAsia="宋体"/>
                <w:color w:val="auto"/>
                <w:sz w:val="24"/>
                <w:szCs w:val="24"/>
                <w:highlight w:val="none"/>
                <w:u w:val="single"/>
              </w:rPr>
              <w:t>1、在投标截止期后逾期或未在</w:t>
            </w:r>
            <w:r>
              <w:rPr>
                <w:rFonts w:hint="eastAsia" w:ascii="宋体" w:hAnsi="宋体" w:eastAsia="宋体"/>
                <w:color w:val="auto"/>
                <w:sz w:val="24"/>
                <w:szCs w:val="24"/>
                <w:highlight w:val="none"/>
                <w:u w:val="single"/>
                <w:lang w:eastAsia="zh-CN"/>
              </w:rPr>
              <w:t>广州交易集团有限公司（广州公共资源交易中心）</w:t>
            </w:r>
            <w:r>
              <w:rPr>
                <w:rFonts w:hint="eastAsia" w:ascii="宋体" w:hAnsi="宋体" w:eastAsia="宋体"/>
                <w:color w:val="auto"/>
                <w:sz w:val="24"/>
                <w:szCs w:val="24"/>
                <w:highlight w:val="none"/>
                <w:u w:val="single"/>
              </w:rPr>
              <w:t>数字交易平台（http://www.gzggzy.cn）递交电子投标文件的，电子招标投标交易平台将拒绝接收其投标文件。</w:t>
            </w:r>
          </w:p>
          <w:p w14:paraId="53A041A8">
            <w:pPr>
              <w:spacing w:line="276" w:lineRule="auto"/>
              <w:ind w:left="38" w:leftChars="17" w:hanging="2" w:hangingChars="1"/>
              <w:rPr>
                <w:rFonts w:ascii="宋体" w:hAnsi="宋体" w:eastAsia="宋体"/>
                <w:color w:val="auto"/>
                <w:sz w:val="24"/>
                <w:szCs w:val="24"/>
                <w:highlight w:val="none"/>
                <w:u w:val="single"/>
              </w:rPr>
            </w:pPr>
            <w:r>
              <w:rPr>
                <w:rFonts w:hint="eastAsia" w:ascii="宋体" w:hAnsi="宋体" w:eastAsia="宋体"/>
                <w:color w:val="auto"/>
                <w:sz w:val="24"/>
                <w:szCs w:val="24"/>
                <w:highlight w:val="none"/>
                <w:u w:val="single"/>
              </w:rPr>
              <w:t>2、投标人未按招标文件要求提供附件或未按要求加盖电子印章及签名的，经评标委员会认定后，其投标文件将被否决。</w:t>
            </w:r>
          </w:p>
          <w:p w14:paraId="665450BD">
            <w:pPr>
              <w:spacing w:line="276" w:lineRule="auto"/>
              <w:ind w:left="38" w:leftChars="17" w:hanging="2" w:hangingChars="1"/>
              <w:rPr>
                <w:rFonts w:ascii="宋体" w:hAnsi="宋体" w:eastAsia="宋体"/>
                <w:color w:val="auto"/>
                <w:sz w:val="24"/>
                <w:szCs w:val="24"/>
                <w:highlight w:val="none"/>
                <w:u w:val="single"/>
              </w:rPr>
            </w:pPr>
            <w:r>
              <w:rPr>
                <w:rFonts w:hint="eastAsia" w:ascii="宋体" w:hAnsi="宋体" w:eastAsia="宋体"/>
                <w:color w:val="auto"/>
                <w:sz w:val="24"/>
                <w:szCs w:val="24"/>
                <w:highlight w:val="none"/>
                <w:u w:val="single"/>
              </w:rPr>
              <w:t>3、投标人没有按要求提供投标担保的，投标文件不予解密、开启，并由招标人作无效标处理。</w:t>
            </w:r>
          </w:p>
          <w:p w14:paraId="5FC19F34">
            <w:pPr>
              <w:spacing w:line="276" w:lineRule="auto"/>
              <w:ind w:left="38" w:leftChars="17" w:hanging="2" w:hangingChars="1"/>
              <w:rPr>
                <w:rFonts w:ascii="宋体" w:hAnsi="宋体" w:eastAsia="宋体"/>
                <w:color w:val="auto"/>
                <w:sz w:val="24"/>
                <w:szCs w:val="24"/>
                <w:highlight w:val="none"/>
                <w:u w:val="single"/>
              </w:rPr>
            </w:pPr>
            <w:r>
              <w:rPr>
                <w:rFonts w:hint="eastAsia" w:ascii="宋体" w:hAnsi="宋体" w:eastAsia="宋体"/>
                <w:color w:val="auto"/>
                <w:sz w:val="24"/>
                <w:szCs w:val="24"/>
                <w:highlight w:val="none"/>
                <w:u w:val="single"/>
              </w:rPr>
              <w:t>4、投标文件中投标报价高于最高投标限价的，其投标文件将被否决。</w:t>
            </w:r>
          </w:p>
          <w:p w14:paraId="2B1E25B9">
            <w:pPr>
              <w:spacing w:line="276" w:lineRule="auto"/>
              <w:ind w:left="38" w:leftChars="17" w:hanging="2" w:hangingChars="1"/>
              <w:rPr>
                <w:rFonts w:ascii="宋体" w:hAnsi="宋体" w:eastAsia="宋体"/>
                <w:color w:val="auto"/>
                <w:sz w:val="24"/>
                <w:szCs w:val="24"/>
                <w:highlight w:val="none"/>
                <w:u w:val="single"/>
              </w:rPr>
            </w:pPr>
            <w:r>
              <w:rPr>
                <w:rFonts w:hint="eastAsia" w:ascii="宋体" w:hAnsi="宋体" w:eastAsia="宋体"/>
                <w:color w:val="auto"/>
                <w:sz w:val="24"/>
                <w:szCs w:val="24"/>
                <w:highlight w:val="none"/>
                <w:u w:val="single"/>
              </w:rPr>
              <w:t>5、按投标报价的算术校核原则及方法调整或修正投标文件的投标报价，调整后的投标报价对投标人起约束作用。如果投标人不接受修正后的报价，则取消其中标资格，并且其投标担保也将被没收。</w:t>
            </w:r>
          </w:p>
          <w:p w14:paraId="5640BA92">
            <w:pPr>
              <w:spacing w:line="276" w:lineRule="auto"/>
              <w:ind w:left="38" w:leftChars="17" w:hanging="2" w:hangingChars="1"/>
              <w:rPr>
                <w:rFonts w:ascii="宋体" w:hAnsi="宋体" w:eastAsia="宋体"/>
                <w:color w:val="auto"/>
                <w:sz w:val="24"/>
                <w:szCs w:val="24"/>
                <w:highlight w:val="none"/>
                <w:u w:val="single"/>
              </w:rPr>
            </w:pPr>
            <w:r>
              <w:rPr>
                <w:rFonts w:hint="eastAsia" w:ascii="宋体" w:hAnsi="宋体" w:eastAsia="宋体"/>
                <w:color w:val="auto"/>
                <w:sz w:val="24"/>
                <w:szCs w:val="24"/>
                <w:highlight w:val="none"/>
                <w:u w:val="single"/>
              </w:rPr>
              <w:t>6、资审合格后，投标人的资格发生变化而不满足投标人合格条件，在发出中标通知书前，资格问题仍未解决的，招标人将取消其中标资格。</w:t>
            </w:r>
          </w:p>
          <w:p w14:paraId="3ECB3FF0">
            <w:pPr>
              <w:spacing w:line="276" w:lineRule="auto"/>
              <w:ind w:left="38" w:leftChars="17" w:hanging="2" w:hangingChars="1"/>
              <w:rPr>
                <w:rFonts w:ascii="宋体" w:hAnsi="宋体" w:eastAsia="宋体"/>
                <w:color w:val="auto"/>
                <w:sz w:val="24"/>
                <w:szCs w:val="24"/>
                <w:highlight w:val="none"/>
                <w:u w:val="single"/>
              </w:rPr>
            </w:pPr>
            <w:r>
              <w:rPr>
                <w:rFonts w:hint="eastAsia" w:ascii="宋体" w:hAnsi="宋体" w:eastAsia="宋体"/>
                <w:color w:val="auto"/>
                <w:sz w:val="24"/>
                <w:szCs w:val="24"/>
                <w:highlight w:val="none"/>
                <w:u w:val="single"/>
              </w:rPr>
              <w:t>7、中标人未按本招标文件第二章 投标人须知 第7.6.1项规定提交履约担保，视为放弃中标，其投标担保不予退还，给招标人造成的损失超过投标担保数额的，中标人还应当对超过部分予以赔偿。</w:t>
            </w:r>
          </w:p>
          <w:p w14:paraId="4A885002">
            <w:pPr>
              <w:spacing w:line="276" w:lineRule="auto"/>
              <w:ind w:left="38" w:leftChars="17" w:hanging="2" w:hangingChars="1"/>
              <w:rPr>
                <w:rFonts w:ascii="宋体" w:hAnsi="宋体" w:eastAsia="宋体"/>
                <w:color w:val="auto"/>
                <w:sz w:val="24"/>
                <w:szCs w:val="24"/>
                <w:highlight w:val="none"/>
                <w:u w:val="single"/>
              </w:rPr>
            </w:pPr>
            <w:r>
              <w:rPr>
                <w:rFonts w:hint="eastAsia" w:ascii="宋体" w:hAnsi="宋体" w:eastAsia="宋体"/>
                <w:color w:val="auto"/>
                <w:sz w:val="24"/>
                <w:szCs w:val="24"/>
                <w:highlight w:val="none"/>
                <w:u w:val="single"/>
              </w:rPr>
              <w:t>8、投标人如在本项目中存在串通投标、弄虚作假、行贿情形的，中标无效，该投标人将被招标人列入黑名单并限制其投标。行政监督部门将对其违法行为进行政处罚并通报。</w:t>
            </w:r>
          </w:p>
          <w:p w14:paraId="41BFD86E">
            <w:pPr>
              <w:spacing w:line="276" w:lineRule="auto"/>
              <w:ind w:left="38" w:leftChars="17" w:hanging="2" w:hangingChars="1"/>
              <w:rPr>
                <w:rFonts w:hint="eastAsia" w:ascii="宋体" w:hAnsi="宋体" w:eastAsia="宋体"/>
                <w:color w:val="auto"/>
                <w:sz w:val="24"/>
                <w:szCs w:val="24"/>
                <w:highlight w:val="none"/>
              </w:rPr>
            </w:pPr>
            <w:r>
              <w:rPr>
                <w:rFonts w:hint="eastAsia" w:ascii="宋体" w:hAnsi="宋体" w:eastAsia="宋体"/>
                <w:color w:val="auto"/>
                <w:sz w:val="24"/>
                <w:szCs w:val="24"/>
                <w:highlight w:val="none"/>
                <w:u w:val="single"/>
              </w:rPr>
              <w:t>9、投标文件符合列于《评标办法前附表》“形式评审标准”“资格评审标准”“响应性评审标准”中所有情形的，为有效投标文件。任一情形不符合均为无效投标文件，经评标委员会认定后，其投标文件将被否决。</w:t>
            </w:r>
          </w:p>
        </w:tc>
      </w:tr>
    </w:tbl>
    <w:p w14:paraId="2DF55132">
      <w:pPr>
        <w:spacing w:before="240" w:beforeLines="100" w:line="360" w:lineRule="auto"/>
        <w:jc w:val="left"/>
        <w:outlineLvl w:val="9"/>
        <w:rPr>
          <w:rFonts w:ascii="宋体" w:hAnsi="宋体" w:eastAsia="宋体"/>
          <w:b/>
          <w:bCs/>
          <w:color w:val="auto"/>
          <w:sz w:val="32"/>
          <w:szCs w:val="32"/>
          <w:highlight w:val="none"/>
        </w:rPr>
      </w:pPr>
      <w:r>
        <w:rPr>
          <w:rFonts w:hint="eastAsia" w:ascii="宋体" w:hAnsi="宋体" w:eastAsia="宋体"/>
          <w:color w:val="auto"/>
          <w:sz w:val="24"/>
          <w:szCs w:val="24"/>
          <w:highlight w:val="none"/>
        </w:rPr>
        <w:br w:type="page"/>
      </w:r>
      <w:bookmarkEnd w:id="45"/>
      <w:bookmarkEnd w:id="46"/>
      <w:bookmarkEnd w:id="47"/>
    </w:p>
    <w:p w14:paraId="3ED02E5D">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ascii="宋体" w:hAnsi="宋体" w:eastAsia="宋体"/>
          <w:b/>
          <w:color w:val="auto"/>
          <w:sz w:val="28"/>
          <w:szCs w:val="28"/>
          <w:highlight w:val="none"/>
        </w:rPr>
      </w:pPr>
      <w:bookmarkStart w:id="48" w:name="_Toc515205193"/>
      <w:bookmarkStart w:id="49" w:name="_Toc529196520"/>
      <w:r>
        <w:rPr>
          <w:rFonts w:hint="eastAsia" w:ascii="宋体" w:hAnsi="宋体" w:eastAsia="宋体"/>
          <w:b/>
          <w:color w:val="auto"/>
          <w:sz w:val="28"/>
          <w:szCs w:val="28"/>
          <w:highlight w:val="none"/>
        </w:rPr>
        <w:t>1. 总则</w:t>
      </w:r>
      <w:bookmarkEnd w:id="48"/>
      <w:bookmarkEnd w:id="49"/>
    </w:p>
    <w:p w14:paraId="3FE924FB">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
          <w:color w:val="auto"/>
          <w:sz w:val="28"/>
          <w:szCs w:val="28"/>
          <w:highlight w:val="none"/>
        </w:rPr>
      </w:pPr>
      <w:bookmarkStart w:id="50" w:name="_Toc515205194"/>
      <w:bookmarkStart w:id="51" w:name="_Toc529196521"/>
      <w:r>
        <w:rPr>
          <w:rFonts w:hint="eastAsia" w:ascii="宋体" w:hAnsi="宋体" w:eastAsia="宋体"/>
          <w:b/>
          <w:color w:val="auto"/>
          <w:sz w:val="28"/>
          <w:szCs w:val="28"/>
          <w:highlight w:val="none"/>
        </w:rPr>
        <w:t>1.1 招标项目概况</w:t>
      </w:r>
      <w:bookmarkEnd w:id="50"/>
      <w:bookmarkEnd w:id="51"/>
    </w:p>
    <w:p w14:paraId="776AA7F0">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1.1.1根据《中华人民共和国招标投标法》、《中华人民共和国招标投标法实施条例》等有关法律、法规和规章的规定，本招标项目已具备招标条件，现对监理进行招标。</w:t>
      </w:r>
    </w:p>
    <w:p w14:paraId="15F6A4A4">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1.1.2 招标人：见投标人须知前附表。</w:t>
      </w:r>
    </w:p>
    <w:p w14:paraId="21CD552F">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1.1.3 招标代理机构：见投标人须知前附表。</w:t>
      </w:r>
    </w:p>
    <w:p w14:paraId="39198E2D">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1.1.4 招标项目名称：见投标人须知前附表。</w:t>
      </w:r>
    </w:p>
    <w:p w14:paraId="08438684">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1.1.5 项目建设地点：见投标人须知前附表。</w:t>
      </w:r>
    </w:p>
    <w:p w14:paraId="79D23331">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1.1.6 项目建设规模：见投标人须知前附表。</w:t>
      </w:r>
    </w:p>
    <w:p w14:paraId="29834EE2">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1.1.7 工程项目施工预计开工日期和建设周期：见投标人须知前附表。</w:t>
      </w:r>
    </w:p>
    <w:p w14:paraId="1B7AFD46">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1.1.8 建筑安装工程费/工程概算：见投标人须知前附表。</w:t>
      </w:r>
    </w:p>
    <w:p w14:paraId="0B2CFE5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
          <w:color w:val="auto"/>
          <w:sz w:val="28"/>
          <w:szCs w:val="28"/>
          <w:highlight w:val="none"/>
        </w:rPr>
      </w:pPr>
      <w:bookmarkStart w:id="52" w:name="_Toc515205195"/>
      <w:bookmarkStart w:id="53" w:name="_Toc529196522"/>
      <w:r>
        <w:rPr>
          <w:rFonts w:hint="eastAsia" w:ascii="宋体" w:hAnsi="宋体" w:eastAsia="宋体"/>
          <w:b/>
          <w:color w:val="auto"/>
          <w:sz w:val="28"/>
          <w:szCs w:val="28"/>
          <w:highlight w:val="none"/>
        </w:rPr>
        <w:t>1.2 招标项目的资金来源和落实情况</w:t>
      </w:r>
      <w:bookmarkEnd w:id="52"/>
      <w:bookmarkEnd w:id="53"/>
    </w:p>
    <w:p w14:paraId="590C22D8">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1.2.1 资金来源及比例：见投标人须知前附表。</w:t>
      </w:r>
    </w:p>
    <w:p w14:paraId="4A7814CD">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1.2.2 资金落实情况：见投标人须知前附表。</w:t>
      </w:r>
    </w:p>
    <w:p w14:paraId="24E1B43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
          <w:color w:val="auto"/>
          <w:sz w:val="28"/>
          <w:szCs w:val="28"/>
          <w:highlight w:val="none"/>
        </w:rPr>
      </w:pPr>
      <w:bookmarkStart w:id="54" w:name="_Toc515205196"/>
      <w:bookmarkStart w:id="55" w:name="_Toc529196523"/>
      <w:r>
        <w:rPr>
          <w:rFonts w:hint="eastAsia" w:ascii="宋体" w:hAnsi="宋体" w:eastAsia="宋体"/>
          <w:b/>
          <w:color w:val="auto"/>
          <w:sz w:val="28"/>
          <w:szCs w:val="28"/>
          <w:highlight w:val="none"/>
        </w:rPr>
        <w:t>1.3招标范围、监理服务期限和质量标准</w:t>
      </w:r>
      <w:bookmarkEnd w:id="54"/>
      <w:bookmarkEnd w:id="55"/>
    </w:p>
    <w:p w14:paraId="1F3322FD">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1.3.1 招标范围：见投标人须知前附表。</w:t>
      </w:r>
    </w:p>
    <w:p w14:paraId="018CA69E">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1.3.2 监理服务期限：见投标人须知前附表。</w:t>
      </w:r>
    </w:p>
    <w:p w14:paraId="5D75EBBF">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1.3.3 质量标准：见投标人须知前附表。</w:t>
      </w:r>
    </w:p>
    <w:p w14:paraId="7FDD3CA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
          <w:color w:val="auto"/>
          <w:sz w:val="28"/>
          <w:szCs w:val="28"/>
          <w:highlight w:val="none"/>
        </w:rPr>
      </w:pPr>
      <w:bookmarkStart w:id="56" w:name="_Toc515205197"/>
      <w:bookmarkStart w:id="57" w:name="_Toc529196524"/>
      <w:r>
        <w:rPr>
          <w:rFonts w:hint="eastAsia" w:ascii="宋体" w:hAnsi="宋体" w:eastAsia="宋体"/>
          <w:b/>
          <w:color w:val="auto"/>
          <w:sz w:val="28"/>
          <w:szCs w:val="28"/>
          <w:highlight w:val="none"/>
        </w:rPr>
        <w:t>1.4投标人资格要求</w:t>
      </w:r>
      <w:bookmarkEnd w:id="56"/>
      <w:bookmarkEnd w:id="57"/>
    </w:p>
    <w:p w14:paraId="315B2C01">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1.4.1 投标人应具备承担本招标项目资质条件、能力和信誉：</w:t>
      </w:r>
    </w:p>
    <w:p w14:paraId="2450A6D9">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（1）资质要求：见投标人须知前附表；</w:t>
      </w:r>
    </w:p>
    <w:p w14:paraId="3AB7BB18">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（2）财务要求：见投标人须知前附表；</w:t>
      </w:r>
    </w:p>
    <w:p w14:paraId="61AF48BD">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（3）业绩要求：见投标人须知前附表；</w:t>
      </w:r>
    </w:p>
    <w:p w14:paraId="53546D66">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（4）信誉要求：见投标人须知前附表；</w:t>
      </w:r>
    </w:p>
    <w:p w14:paraId="7605D4C7">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（5）总监理工程师的资格要求：应当具备工程注册监理工程师执业资格（如有），具体要求见投标人须知前附表；</w:t>
      </w:r>
    </w:p>
    <w:p w14:paraId="4258ECB8">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（6）其他主要人员要求：见投标人须知前附表。</w:t>
      </w:r>
    </w:p>
    <w:p w14:paraId="08C86ACD">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（7）试验检测仪器设备要求：见投标人须知前附表。</w:t>
      </w:r>
    </w:p>
    <w:p w14:paraId="411E8850">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（8）其他要求：见投标人须知前附表。</w:t>
      </w:r>
    </w:p>
    <w:p w14:paraId="5B265B79">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需要提交的相关证明材料见本章第3.5款的规定。</w:t>
      </w:r>
    </w:p>
    <w:p w14:paraId="5EF64A21">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1.4.2投标人须知前附表规定接受联合体投标的，联合体除应符合本章第1.4.1项和投标人须知前附表的要求外，还应遵守以下规定：</w:t>
      </w:r>
    </w:p>
    <w:p w14:paraId="0A431433">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（1）联合体各方应按招标文件提供的格式签订联合体协议书，明确联合体牵头人和各方权利义务，并承诺就中标项目向招标人承担连带责任；</w:t>
      </w:r>
    </w:p>
    <w:p w14:paraId="76D6675D">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（2）由同一专业的单位组成的联合体，按照资质等级较低的单位确定资质等级；</w:t>
      </w:r>
    </w:p>
    <w:p w14:paraId="63E9B1FC">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（3）联合体各方不得再以自己名义单独或参加其他联合体在本招标项目中投标，否则各相关投标均无效。</w:t>
      </w:r>
    </w:p>
    <w:p w14:paraId="64B5CC44">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1.4.3 投标人不得存在下列情形之一：</w:t>
      </w:r>
    </w:p>
    <w:p w14:paraId="397DDA00">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（1）为招标人不具有独立法人资格的附属机构（单位）；</w:t>
      </w:r>
    </w:p>
    <w:p w14:paraId="42D15076">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（2）与招标人存在利害关系且可能影响招标公正性；</w:t>
      </w:r>
    </w:p>
    <w:p w14:paraId="0268AFD9">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（3）与本招标项目的其他投标人为同一个单位负责人；</w:t>
      </w:r>
    </w:p>
    <w:p w14:paraId="13CBD303">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（4）与本招标项目的其他投标人存在控股、管理关系；</w:t>
      </w:r>
    </w:p>
    <w:p w14:paraId="08BDC08A">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（5）为本招标项目的代建人；</w:t>
      </w:r>
    </w:p>
    <w:p w14:paraId="232821FA">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（6）为本招标项目的招标代理机构；</w:t>
      </w:r>
    </w:p>
    <w:p w14:paraId="2275EE3B">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（7）与本招标项目的代建人或招标代理机构同为一个法定代表人；</w:t>
      </w:r>
    </w:p>
    <w:p w14:paraId="3E0B45F7">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（8）与本招标项目的代建人或招标代理机构存在控股或参股关系；</w:t>
      </w:r>
    </w:p>
    <w:p w14:paraId="7F77F2A0">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（9）与本招标项目的施工承包人以及建筑材料、建筑构配件和设备供应商有隶属关系或者其他利害关系；</w:t>
      </w:r>
    </w:p>
    <w:p w14:paraId="1985B3CF">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（10）被依法暂停或者取消投标资格；</w:t>
      </w:r>
    </w:p>
    <w:p w14:paraId="195C823B">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（11）被责令停产停业、暂扣或者吊销许可证、暂扣或者吊销执照；</w:t>
      </w:r>
    </w:p>
    <w:p w14:paraId="7B69969B">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（12）进入清算程序，或被宣告破产，或其他丧失履约能力的情形；</w:t>
      </w:r>
    </w:p>
    <w:p w14:paraId="523C8CA6">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（13）在最近三年内发生重大监理质量问题（以相关行业主管部门的行政处罚决定或司法机关出具的有关法律文书为准）；</w:t>
      </w:r>
    </w:p>
    <w:p w14:paraId="21883309">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（14）被列入拖欠农民工工资失信联合惩戒对象名单的；</w:t>
      </w:r>
    </w:p>
    <w:p w14:paraId="4011D31E">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w:t>
      </w:r>
      <w:r>
        <w:rPr>
          <w:rFonts w:hint="eastAsia" w:ascii="宋体" w:hAnsi="宋体" w:eastAsia="宋体"/>
          <w:color w:val="auto"/>
          <w:sz w:val="24"/>
          <w:szCs w:val="24"/>
          <w:highlight w:val="none"/>
          <w:lang w:val="en-US" w:eastAsia="zh-CN"/>
        </w:rPr>
        <w:t>5</w:t>
      </w:r>
      <w:r>
        <w:rPr>
          <w:rFonts w:hint="eastAsia" w:ascii="宋体" w:hAnsi="宋体" w:eastAsia="宋体"/>
          <w:color w:val="auto"/>
          <w:sz w:val="24"/>
          <w:szCs w:val="24"/>
          <w:highlight w:val="none"/>
        </w:rPr>
        <w:t>）法律法规或投标人须知前附表规定的其他情形。</w:t>
      </w:r>
    </w:p>
    <w:p w14:paraId="107CC66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
          <w:color w:val="auto"/>
          <w:sz w:val="28"/>
          <w:szCs w:val="28"/>
          <w:highlight w:val="none"/>
        </w:rPr>
      </w:pPr>
      <w:bookmarkStart w:id="58" w:name="_Toc529196525"/>
      <w:bookmarkStart w:id="59" w:name="_Toc515205198"/>
      <w:r>
        <w:rPr>
          <w:rFonts w:hint="eastAsia" w:ascii="宋体" w:hAnsi="宋体" w:eastAsia="宋体"/>
          <w:b/>
          <w:color w:val="auto"/>
          <w:sz w:val="28"/>
          <w:szCs w:val="28"/>
          <w:highlight w:val="none"/>
        </w:rPr>
        <w:t>1.5 费用承担</w:t>
      </w:r>
      <w:bookmarkEnd w:id="58"/>
      <w:bookmarkEnd w:id="59"/>
    </w:p>
    <w:p w14:paraId="05FBFD8D">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投标人准备和参加投标活动发生的费用自理。</w:t>
      </w:r>
    </w:p>
    <w:p w14:paraId="793C36C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
          <w:color w:val="auto"/>
          <w:sz w:val="28"/>
          <w:szCs w:val="28"/>
          <w:highlight w:val="none"/>
        </w:rPr>
      </w:pPr>
      <w:bookmarkStart w:id="60" w:name="_Toc529196526"/>
      <w:bookmarkStart w:id="61" w:name="_Toc515205199"/>
      <w:r>
        <w:rPr>
          <w:rFonts w:hint="eastAsia" w:ascii="宋体" w:hAnsi="宋体" w:eastAsia="宋体"/>
          <w:b/>
          <w:color w:val="auto"/>
          <w:sz w:val="28"/>
          <w:szCs w:val="28"/>
          <w:highlight w:val="none"/>
        </w:rPr>
        <w:t>1.6保密</w:t>
      </w:r>
      <w:bookmarkEnd w:id="60"/>
      <w:bookmarkEnd w:id="61"/>
    </w:p>
    <w:p w14:paraId="778378F5">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参与招标投标活动的各方应对招标文件和投标文件中</w:t>
      </w:r>
      <w:bookmarkStart w:id="62" w:name="_Toc361508589"/>
      <w:bookmarkStart w:id="63" w:name="_Toc5326"/>
      <w:bookmarkStart w:id="64" w:name="_Toc352691477"/>
      <w:bookmarkStart w:id="65" w:name="_Toc384308214"/>
      <w:bookmarkStart w:id="66" w:name="_Toc369531519"/>
      <w:r>
        <w:rPr>
          <w:rFonts w:hint="eastAsia" w:ascii="宋体" w:hAnsi="宋体" w:eastAsia="宋体"/>
          <w:color w:val="auto"/>
          <w:sz w:val="24"/>
          <w:szCs w:val="24"/>
          <w:highlight w:val="none"/>
        </w:rPr>
        <w:t>的商业和技术等秘密保密</w:t>
      </w:r>
      <w:bookmarkEnd w:id="62"/>
      <w:bookmarkEnd w:id="63"/>
      <w:bookmarkEnd w:id="64"/>
      <w:bookmarkEnd w:id="65"/>
      <w:bookmarkEnd w:id="66"/>
      <w:r>
        <w:rPr>
          <w:rFonts w:hint="eastAsia" w:ascii="宋体" w:hAnsi="宋体" w:eastAsia="宋体"/>
          <w:color w:val="auto"/>
          <w:sz w:val="24"/>
          <w:szCs w:val="24"/>
          <w:highlight w:val="none"/>
        </w:rPr>
        <w:t>，否则应承担相应的法律责任。</w:t>
      </w:r>
    </w:p>
    <w:p w14:paraId="2B5D42B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
          <w:color w:val="auto"/>
          <w:sz w:val="28"/>
          <w:szCs w:val="28"/>
          <w:highlight w:val="none"/>
        </w:rPr>
      </w:pPr>
      <w:bookmarkStart w:id="67" w:name="_Toc529196527"/>
      <w:bookmarkStart w:id="68" w:name="_Toc515205200"/>
      <w:r>
        <w:rPr>
          <w:rFonts w:hint="eastAsia" w:ascii="宋体" w:hAnsi="宋体" w:eastAsia="宋体"/>
          <w:b/>
          <w:color w:val="auto"/>
          <w:sz w:val="28"/>
          <w:szCs w:val="28"/>
          <w:highlight w:val="none"/>
        </w:rPr>
        <w:t>1.7 语言文字</w:t>
      </w:r>
      <w:bookmarkEnd w:id="67"/>
      <w:bookmarkEnd w:id="68"/>
    </w:p>
    <w:p w14:paraId="76DE251B">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招标投标文件使用的语言文字为中文。专用术语使用外文的，应附有中文注释。</w:t>
      </w:r>
    </w:p>
    <w:p w14:paraId="141EA43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
          <w:color w:val="auto"/>
          <w:sz w:val="28"/>
          <w:szCs w:val="28"/>
          <w:highlight w:val="none"/>
        </w:rPr>
      </w:pPr>
      <w:bookmarkStart w:id="69" w:name="_Toc515205201"/>
      <w:bookmarkStart w:id="70" w:name="_Toc529196528"/>
      <w:r>
        <w:rPr>
          <w:rFonts w:hint="eastAsia" w:ascii="宋体" w:hAnsi="宋体" w:eastAsia="宋体"/>
          <w:b/>
          <w:color w:val="auto"/>
          <w:sz w:val="28"/>
          <w:szCs w:val="28"/>
          <w:highlight w:val="none"/>
        </w:rPr>
        <w:t>1.8计量单位</w:t>
      </w:r>
      <w:bookmarkEnd w:id="69"/>
      <w:bookmarkEnd w:id="70"/>
    </w:p>
    <w:p w14:paraId="62BE777E">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所有计量均采用中华人民共和国法定计量单位。</w:t>
      </w:r>
    </w:p>
    <w:p w14:paraId="68CB2E9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
          <w:color w:val="auto"/>
          <w:sz w:val="28"/>
          <w:szCs w:val="28"/>
          <w:highlight w:val="none"/>
        </w:rPr>
      </w:pPr>
      <w:bookmarkStart w:id="71" w:name="_Toc152042315"/>
      <w:bookmarkStart w:id="72" w:name="_Toc384308219"/>
      <w:bookmarkStart w:id="73" w:name="_Toc391393967"/>
      <w:bookmarkStart w:id="74" w:name="_Toc247527563"/>
      <w:bookmarkStart w:id="75" w:name="_Toc515205202"/>
      <w:bookmarkStart w:id="76" w:name="_Toc247513962"/>
      <w:bookmarkStart w:id="77" w:name="_Toc529196529"/>
      <w:bookmarkStart w:id="78" w:name="_Toc482188480"/>
      <w:bookmarkStart w:id="79" w:name="_Toc144974507"/>
      <w:bookmarkStart w:id="80" w:name="_Toc300834959"/>
      <w:bookmarkStart w:id="81" w:name="_Toc370676289"/>
      <w:bookmarkStart w:id="82" w:name="_Toc152045539"/>
      <w:bookmarkStart w:id="83" w:name="_Toc361508594"/>
      <w:r>
        <w:rPr>
          <w:rFonts w:hint="eastAsia" w:ascii="宋体" w:hAnsi="宋体" w:eastAsia="宋体"/>
          <w:b/>
          <w:color w:val="auto"/>
          <w:sz w:val="28"/>
          <w:szCs w:val="28"/>
          <w:highlight w:val="none"/>
        </w:rPr>
        <w:t>1.9 踏勘现场</w:t>
      </w:r>
      <w:bookmarkEnd w:id="71"/>
      <w:bookmarkEnd w:id="72"/>
      <w:bookmarkEnd w:id="73"/>
      <w:bookmarkEnd w:id="74"/>
      <w:bookmarkEnd w:id="75"/>
      <w:bookmarkEnd w:id="76"/>
      <w:bookmarkEnd w:id="77"/>
      <w:bookmarkEnd w:id="78"/>
      <w:bookmarkEnd w:id="79"/>
      <w:bookmarkEnd w:id="80"/>
      <w:bookmarkEnd w:id="81"/>
      <w:bookmarkEnd w:id="82"/>
      <w:bookmarkEnd w:id="83"/>
    </w:p>
    <w:p w14:paraId="5F95A667">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1.9.1 投标人须知前附表规定组织踏勘现场的，招标人按投标人须知前附表规定的时间、地点组织投标人踏勘项目现场。部分投标人未按时参加踏勘现场的，不影响踏勘现场的正常进行。</w:t>
      </w:r>
    </w:p>
    <w:p w14:paraId="6ACAFC08">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1.9.2 投标人踏勘现场发生的费用自理。</w:t>
      </w:r>
    </w:p>
    <w:p w14:paraId="259555AB">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1.9.3 除招标人的原因外，投标人自行负责在踏勘现场中所发生的人员伤亡和财产损失。</w:t>
      </w:r>
    </w:p>
    <w:p w14:paraId="4A8EB2FC">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1.9.4 招标人在踏勘现场中介绍的工程场地和相关的周边环境情况，供投标人在编制投标文件时参考，招标人不对投标人据此作出的判断和决策负责。</w:t>
      </w:r>
    </w:p>
    <w:p w14:paraId="60F98CD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
          <w:color w:val="auto"/>
          <w:sz w:val="28"/>
          <w:szCs w:val="28"/>
          <w:highlight w:val="none"/>
        </w:rPr>
      </w:pPr>
      <w:bookmarkStart w:id="84" w:name="_Toc515205203"/>
      <w:bookmarkStart w:id="85" w:name="_Toc529196530"/>
      <w:r>
        <w:rPr>
          <w:rFonts w:hint="eastAsia" w:ascii="宋体" w:hAnsi="宋体" w:eastAsia="宋体"/>
          <w:b/>
          <w:color w:val="auto"/>
          <w:sz w:val="28"/>
          <w:szCs w:val="28"/>
          <w:highlight w:val="none"/>
        </w:rPr>
        <w:t>1.10投标预备会</w:t>
      </w:r>
      <w:bookmarkEnd w:id="84"/>
      <w:bookmarkEnd w:id="85"/>
    </w:p>
    <w:p w14:paraId="2F4B55AA">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1.10.1 投标人须知前附表规定召开投标预备会的，招标人按投标人须知前附表规定的时间和地点召开投标预备会，澄清投标人提出的问题。</w:t>
      </w:r>
    </w:p>
    <w:p w14:paraId="30D2DFE5">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1.10.2 投标人应按投标人须知前附表规定的时间和形式将提出的问题送达招标人，以便招标人在会议期间澄清。</w:t>
      </w:r>
    </w:p>
    <w:p w14:paraId="4C483E70">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1.10.3 投标预备会后，招标人将对投标人所提问题的澄清，以投标人须知前附表规定的形式通知所有购买招标文件的投标人。该澄清内容为招标文件的组成部分。</w:t>
      </w:r>
    </w:p>
    <w:p w14:paraId="17A3226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
          <w:color w:val="auto"/>
          <w:sz w:val="28"/>
          <w:szCs w:val="28"/>
          <w:highlight w:val="none"/>
        </w:rPr>
      </w:pPr>
      <w:bookmarkStart w:id="86" w:name="_Toc529196531"/>
      <w:bookmarkStart w:id="87" w:name="_Toc515205204"/>
      <w:r>
        <w:rPr>
          <w:rFonts w:hint="eastAsia" w:ascii="宋体" w:hAnsi="宋体" w:eastAsia="宋体"/>
          <w:b/>
          <w:color w:val="auto"/>
          <w:sz w:val="28"/>
          <w:szCs w:val="28"/>
          <w:highlight w:val="none"/>
        </w:rPr>
        <w:t>1.11 分包</w:t>
      </w:r>
      <w:bookmarkEnd w:id="86"/>
      <w:bookmarkEnd w:id="87"/>
    </w:p>
    <w:p w14:paraId="70397B04">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本项目严禁分包。</w:t>
      </w:r>
    </w:p>
    <w:p w14:paraId="7A8A8F9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
          <w:color w:val="auto"/>
          <w:sz w:val="28"/>
          <w:szCs w:val="28"/>
          <w:highlight w:val="none"/>
        </w:rPr>
      </w:pPr>
      <w:bookmarkStart w:id="88" w:name="_Toc515205205"/>
      <w:bookmarkStart w:id="89" w:name="_Toc529196532"/>
      <w:r>
        <w:rPr>
          <w:rFonts w:hint="eastAsia" w:ascii="宋体" w:hAnsi="宋体" w:eastAsia="宋体"/>
          <w:b/>
          <w:color w:val="auto"/>
          <w:sz w:val="28"/>
          <w:szCs w:val="28"/>
          <w:highlight w:val="none"/>
        </w:rPr>
        <w:t>1.12响应和偏差</w:t>
      </w:r>
      <w:bookmarkEnd w:id="88"/>
      <w:bookmarkEnd w:id="89"/>
    </w:p>
    <w:p w14:paraId="6D170B2C">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1.12.1投标文件应当对招标文件的实质性要求和条件作出满足性或更有利于招标人的响应，否则，投标人的投标将被否决。实质性要求和条件见投标人须知前附表。</w:t>
      </w:r>
    </w:p>
    <w:p w14:paraId="179F5322">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1.12.2 投标人应根据招标文件的要求提供投标监理大纲等内容以对招标文件作出响应。</w:t>
      </w:r>
    </w:p>
    <w:p w14:paraId="1B5E1D42">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1.12.3投标人须知前附表允许投标文件偏离招标文件某些要求的，偏差应当符合招标文件规定的偏差范围和幅度。</w:t>
      </w:r>
    </w:p>
    <w:p w14:paraId="038B23E0">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b/>
          <w:color w:val="auto"/>
          <w:sz w:val="28"/>
          <w:szCs w:val="28"/>
          <w:highlight w:val="none"/>
        </w:rPr>
      </w:pPr>
      <w:bookmarkStart w:id="90" w:name="_Toc515205206"/>
      <w:bookmarkStart w:id="91" w:name="_Toc529196533"/>
      <w:r>
        <w:rPr>
          <w:rFonts w:hint="eastAsia" w:ascii="宋体" w:hAnsi="宋体" w:eastAsia="宋体"/>
          <w:b/>
          <w:color w:val="auto"/>
          <w:sz w:val="28"/>
          <w:szCs w:val="28"/>
          <w:highlight w:val="none"/>
        </w:rPr>
        <w:t>2. 招标文件</w:t>
      </w:r>
      <w:bookmarkEnd w:id="90"/>
      <w:bookmarkEnd w:id="91"/>
    </w:p>
    <w:p w14:paraId="744A8584">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b/>
          <w:color w:val="auto"/>
          <w:sz w:val="28"/>
          <w:szCs w:val="28"/>
          <w:highlight w:val="none"/>
        </w:rPr>
      </w:pPr>
      <w:bookmarkStart w:id="92" w:name="_Toc515205207"/>
      <w:bookmarkStart w:id="93" w:name="_Toc529196534"/>
      <w:r>
        <w:rPr>
          <w:rFonts w:hint="eastAsia" w:ascii="宋体" w:hAnsi="宋体" w:eastAsia="宋体"/>
          <w:b/>
          <w:color w:val="auto"/>
          <w:sz w:val="28"/>
          <w:szCs w:val="28"/>
          <w:highlight w:val="none"/>
        </w:rPr>
        <w:t>2.1 招标文件的组成</w:t>
      </w:r>
      <w:bookmarkEnd w:id="92"/>
      <w:bookmarkEnd w:id="93"/>
    </w:p>
    <w:p w14:paraId="67BD7C3B">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本招标文件包括：</w:t>
      </w:r>
    </w:p>
    <w:p w14:paraId="0FF8DC37">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（1）招标公告；</w:t>
      </w:r>
    </w:p>
    <w:p w14:paraId="5C5F74BD">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（2）投标人须知；</w:t>
      </w:r>
    </w:p>
    <w:p w14:paraId="53DDE6B0">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（3）评标办法；</w:t>
      </w:r>
    </w:p>
    <w:p w14:paraId="00D5F862">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（4）合同条款及格式；</w:t>
      </w:r>
    </w:p>
    <w:p w14:paraId="28E4732E">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（5）委托人要求；</w:t>
      </w:r>
    </w:p>
    <w:p w14:paraId="185FFD3A">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（6）投标文件格式；</w:t>
      </w:r>
    </w:p>
    <w:p w14:paraId="65484122">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（7）投标人须知前附表规定的其他资料。</w:t>
      </w:r>
    </w:p>
    <w:p w14:paraId="75133F00">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根据本章第1.10款、第2.2款和第2.3款对招标文件所作的澄清、修改，构成招标文件的组成部分。</w:t>
      </w:r>
    </w:p>
    <w:p w14:paraId="6A862932">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b/>
          <w:color w:val="auto"/>
          <w:sz w:val="28"/>
          <w:szCs w:val="28"/>
          <w:highlight w:val="none"/>
        </w:rPr>
      </w:pPr>
      <w:bookmarkStart w:id="94" w:name="_Toc529196535"/>
      <w:bookmarkStart w:id="95" w:name="_Toc515205208"/>
      <w:r>
        <w:rPr>
          <w:rFonts w:hint="eastAsia" w:ascii="宋体" w:hAnsi="宋体" w:eastAsia="宋体"/>
          <w:b/>
          <w:color w:val="auto"/>
          <w:sz w:val="28"/>
          <w:szCs w:val="28"/>
          <w:highlight w:val="none"/>
        </w:rPr>
        <w:t>2.2 招标文件的澄清</w:t>
      </w:r>
      <w:bookmarkEnd w:id="94"/>
      <w:bookmarkEnd w:id="95"/>
    </w:p>
    <w:p w14:paraId="6D20BB07">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0B0A68B1">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2.2.2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14:paraId="763CDD54">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2.2.3 投标人在收到澄清后，应按投标人须知前附表规定的时间和形式通知招标人，确认已收到该澄清。</w:t>
      </w:r>
    </w:p>
    <w:p w14:paraId="5673B232">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2.2.4 除非招标人认为确有必要答复，否则，招标人有权拒绝回复投标人在本章第2.2.1项规定的时间后的任何澄清要求。</w:t>
      </w:r>
    </w:p>
    <w:p w14:paraId="7E1ABC04">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b/>
          <w:color w:val="auto"/>
          <w:sz w:val="28"/>
          <w:szCs w:val="28"/>
          <w:highlight w:val="none"/>
        </w:rPr>
      </w:pPr>
      <w:bookmarkStart w:id="96" w:name="_Toc529196536"/>
      <w:bookmarkStart w:id="97" w:name="_Toc515205209"/>
      <w:bookmarkStart w:id="98" w:name="_Toc352691479"/>
      <w:r>
        <w:rPr>
          <w:rFonts w:hint="eastAsia" w:ascii="宋体" w:hAnsi="宋体" w:eastAsia="宋体"/>
          <w:b/>
          <w:color w:val="auto"/>
          <w:sz w:val="28"/>
          <w:szCs w:val="28"/>
          <w:highlight w:val="none"/>
        </w:rPr>
        <w:t>2.3 招标文件的修</w:t>
      </w:r>
      <w:bookmarkStart w:id="99" w:name="_Toc16514"/>
      <w:bookmarkStart w:id="100" w:name="_Toc369531521"/>
      <w:r>
        <w:rPr>
          <w:rFonts w:hint="eastAsia" w:ascii="宋体" w:hAnsi="宋体" w:eastAsia="宋体"/>
          <w:b/>
          <w:color w:val="auto"/>
          <w:sz w:val="28"/>
          <w:szCs w:val="28"/>
          <w:highlight w:val="none"/>
        </w:rPr>
        <w:t>改</w:t>
      </w:r>
      <w:bookmarkEnd w:id="96"/>
      <w:bookmarkEnd w:id="97"/>
    </w:p>
    <w:p w14:paraId="1E02CB34">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2.3.1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bookmarkEnd w:id="98"/>
    <w:bookmarkEnd w:id="99"/>
    <w:bookmarkEnd w:id="100"/>
    <w:p w14:paraId="624942D6">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2.3.2 投标人收到修改内容</w:t>
      </w:r>
      <w:bookmarkStart w:id="101" w:name="_Toc24632"/>
      <w:bookmarkStart w:id="102" w:name="_Toc352691482"/>
      <w:bookmarkStart w:id="103" w:name="_Toc384308218"/>
      <w:bookmarkStart w:id="104" w:name="_Toc144974506"/>
      <w:bookmarkStart w:id="105" w:name="_Toc247513961"/>
      <w:bookmarkStart w:id="106" w:name="_Toc152045538"/>
      <w:bookmarkStart w:id="107" w:name="_Toc300834958"/>
      <w:bookmarkStart w:id="108" w:name="_Toc369531524"/>
      <w:bookmarkStart w:id="109" w:name="_Toc247527562"/>
      <w:bookmarkStart w:id="110" w:name="_Toc361508593"/>
      <w:bookmarkStart w:id="111" w:name="_Toc152042314"/>
      <w:r>
        <w:rPr>
          <w:rFonts w:hint="eastAsia" w:ascii="宋体" w:hAnsi="宋体" w:eastAsia="宋体"/>
          <w:color w:val="auto"/>
          <w:sz w:val="24"/>
          <w:szCs w:val="24"/>
          <w:highlight w:val="none"/>
        </w:rPr>
        <w:t>后，</w:t>
      </w:r>
      <w:bookmarkEnd w:id="101"/>
      <w:bookmarkEnd w:id="102"/>
      <w:bookmarkEnd w:id="103"/>
      <w:bookmarkEnd w:id="104"/>
      <w:bookmarkEnd w:id="105"/>
      <w:bookmarkEnd w:id="106"/>
      <w:bookmarkEnd w:id="107"/>
      <w:bookmarkEnd w:id="108"/>
      <w:bookmarkEnd w:id="109"/>
      <w:bookmarkEnd w:id="110"/>
      <w:bookmarkEnd w:id="111"/>
      <w:bookmarkStart w:id="112" w:name="_Toc369531526"/>
      <w:bookmarkStart w:id="113" w:name="_Toc300834960"/>
      <w:bookmarkStart w:id="114" w:name="_Toc384308220"/>
      <w:bookmarkStart w:id="115" w:name="_Toc152045540"/>
      <w:bookmarkStart w:id="116" w:name="_Toc152042316"/>
      <w:bookmarkStart w:id="117" w:name="_Toc247513963"/>
      <w:bookmarkStart w:id="118" w:name="_Toc352691484"/>
      <w:bookmarkStart w:id="119" w:name="_Toc247527564"/>
      <w:bookmarkStart w:id="120" w:name="_Toc361508595"/>
      <w:bookmarkStart w:id="121" w:name="_Toc16623"/>
      <w:bookmarkStart w:id="122" w:name="_Toc144974508"/>
      <w:r>
        <w:rPr>
          <w:rFonts w:hint="eastAsia" w:ascii="宋体" w:hAnsi="宋体" w:eastAsia="宋体"/>
          <w:color w:val="auto"/>
          <w:sz w:val="24"/>
          <w:szCs w:val="24"/>
          <w:highlight w:val="none"/>
        </w:rPr>
        <w:t>应按投标人须知前附表规定的时间和形式通知招标人，确认已收到该修改。</w:t>
      </w:r>
    </w:p>
    <w:p w14:paraId="1301B57D">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b/>
          <w:color w:val="auto"/>
          <w:sz w:val="28"/>
          <w:szCs w:val="28"/>
          <w:highlight w:val="none"/>
        </w:rPr>
      </w:pPr>
      <w:bookmarkStart w:id="123" w:name="_Toc515205210"/>
      <w:bookmarkStart w:id="124" w:name="_Toc529196537"/>
      <w:r>
        <w:rPr>
          <w:rFonts w:hint="eastAsia" w:ascii="宋体" w:hAnsi="宋体" w:eastAsia="宋体"/>
          <w:b/>
          <w:color w:val="auto"/>
          <w:sz w:val="28"/>
          <w:szCs w:val="28"/>
          <w:highlight w:val="none"/>
        </w:rPr>
        <w:t>2.</w:t>
      </w:r>
      <w:bookmarkEnd w:id="112"/>
      <w:bookmarkEnd w:id="113"/>
      <w:bookmarkEnd w:id="114"/>
      <w:bookmarkEnd w:id="115"/>
      <w:bookmarkEnd w:id="116"/>
      <w:bookmarkEnd w:id="117"/>
      <w:bookmarkEnd w:id="118"/>
      <w:bookmarkEnd w:id="119"/>
      <w:bookmarkEnd w:id="120"/>
      <w:bookmarkEnd w:id="121"/>
      <w:bookmarkEnd w:id="122"/>
      <w:r>
        <w:rPr>
          <w:rFonts w:hint="eastAsia" w:ascii="宋体" w:hAnsi="宋体" w:eastAsia="宋体"/>
          <w:b/>
          <w:color w:val="auto"/>
          <w:sz w:val="28"/>
          <w:szCs w:val="28"/>
          <w:highlight w:val="none"/>
        </w:rPr>
        <w:t>4 招标文件的异议</w:t>
      </w:r>
      <w:bookmarkEnd w:id="123"/>
      <w:bookmarkEnd w:id="124"/>
    </w:p>
    <w:p w14:paraId="01FAE042">
      <w:pPr>
        <w:spacing w:line="360" w:lineRule="auto"/>
        <w:ind w:firstLine="410" w:firstLineChars="171"/>
        <w:rPr>
          <w:rFonts w:ascii="宋体" w:hAnsi="宋体" w:eastAsia="宋体"/>
          <w:color w:val="auto"/>
          <w:sz w:val="24"/>
          <w:szCs w:val="24"/>
          <w:highlight w:val="none"/>
        </w:rPr>
      </w:pPr>
      <w:r>
        <w:rPr>
          <w:rFonts w:hint="eastAsia" w:ascii="宋体" w:hAnsi="宋体" w:eastAsia="宋体"/>
          <w:color w:val="auto"/>
          <w:sz w:val="24"/>
          <w:szCs w:val="24"/>
          <w:highlight w:val="none"/>
        </w:rPr>
        <w:t>投标人或者其他利害关系人对招标文件有异议的，应当在投标截止时间10日前以书面形式提出。招标人将在收到异议之日起3日内作出答复；作出答复前，将暂停招标投标活动。</w:t>
      </w:r>
    </w:p>
    <w:p w14:paraId="66A9F048">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b/>
          <w:color w:val="auto"/>
          <w:sz w:val="28"/>
          <w:szCs w:val="28"/>
          <w:highlight w:val="none"/>
        </w:rPr>
      </w:pPr>
      <w:bookmarkStart w:id="125" w:name="_Toc529196538"/>
      <w:bookmarkStart w:id="126" w:name="_Toc515205211"/>
      <w:r>
        <w:rPr>
          <w:rFonts w:hint="eastAsia" w:ascii="宋体" w:hAnsi="宋体" w:eastAsia="宋体"/>
          <w:b/>
          <w:color w:val="auto"/>
          <w:sz w:val="28"/>
          <w:szCs w:val="28"/>
          <w:highlight w:val="none"/>
        </w:rPr>
        <w:t>3. 投标文件</w:t>
      </w:r>
      <w:bookmarkEnd w:id="125"/>
      <w:bookmarkEnd w:id="126"/>
    </w:p>
    <w:p w14:paraId="77B18B52">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b/>
          <w:color w:val="auto"/>
          <w:sz w:val="28"/>
          <w:szCs w:val="28"/>
          <w:highlight w:val="none"/>
        </w:rPr>
      </w:pPr>
      <w:bookmarkStart w:id="127" w:name="_Toc529196539"/>
      <w:bookmarkStart w:id="128" w:name="_Toc515205212"/>
      <w:r>
        <w:rPr>
          <w:rFonts w:hint="eastAsia" w:ascii="宋体" w:hAnsi="宋体" w:eastAsia="宋体"/>
          <w:b/>
          <w:color w:val="auto"/>
          <w:sz w:val="28"/>
          <w:szCs w:val="28"/>
          <w:highlight w:val="none"/>
        </w:rPr>
        <w:t>3.1 投标文件的组成</w:t>
      </w:r>
      <w:bookmarkEnd w:id="127"/>
      <w:bookmarkEnd w:id="128"/>
    </w:p>
    <w:p w14:paraId="3D559FB6">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　3.1.1 投标文件应包括下列内容：</w:t>
      </w:r>
    </w:p>
    <w:p w14:paraId="573E870C">
      <w:pPr>
        <w:pStyle w:val="100"/>
        <w:ind w:left="426" w:firstLine="0" w:firstLineChars="0"/>
        <w:rPr>
          <w:rFonts w:ascii="宋体" w:hAnsi="宋体"/>
          <w:color w:val="auto"/>
          <w:spacing w:val="0"/>
          <w:sz w:val="24"/>
          <w:szCs w:val="24"/>
          <w:highlight w:val="none"/>
        </w:rPr>
      </w:pPr>
      <w:r>
        <w:rPr>
          <w:rFonts w:hint="eastAsia" w:ascii="宋体" w:hAnsi="宋体"/>
          <w:color w:val="auto"/>
          <w:spacing w:val="0"/>
          <w:sz w:val="24"/>
          <w:szCs w:val="24"/>
          <w:highlight w:val="none"/>
        </w:rPr>
        <w:t>（1）投标函及投标函附录；</w:t>
      </w:r>
    </w:p>
    <w:p w14:paraId="03F29EF4">
      <w:pPr>
        <w:pStyle w:val="100"/>
        <w:ind w:left="426" w:firstLine="0" w:firstLineChars="0"/>
        <w:rPr>
          <w:rFonts w:ascii="宋体" w:hAnsi="宋体"/>
          <w:color w:val="auto"/>
          <w:spacing w:val="0"/>
          <w:sz w:val="24"/>
          <w:szCs w:val="24"/>
          <w:highlight w:val="none"/>
        </w:rPr>
      </w:pPr>
      <w:r>
        <w:rPr>
          <w:rFonts w:hint="eastAsia" w:ascii="宋体" w:hAnsi="宋体"/>
          <w:color w:val="auto"/>
          <w:spacing w:val="0"/>
          <w:sz w:val="24"/>
          <w:szCs w:val="24"/>
          <w:highlight w:val="none"/>
        </w:rPr>
        <w:t>（2）法定代表人身份证明或授权委托书；</w:t>
      </w:r>
    </w:p>
    <w:p w14:paraId="795751EE">
      <w:pPr>
        <w:pStyle w:val="100"/>
        <w:ind w:left="426" w:firstLine="0" w:firstLineChars="0"/>
        <w:rPr>
          <w:rFonts w:ascii="宋体" w:hAnsi="宋体"/>
          <w:color w:val="auto"/>
          <w:spacing w:val="0"/>
          <w:sz w:val="24"/>
          <w:szCs w:val="24"/>
          <w:highlight w:val="none"/>
        </w:rPr>
      </w:pPr>
      <w:r>
        <w:rPr>
          <w:rFonts w:hint="eastAsia" w:ascii="宋体" w:hAnsi="宋体"/>
          <w:strike/>
          <w:color w:val="auto"/>
          <w:spacing w:val="0"/>
          <w:sz w:val="24"/>
          <w:szCs w:val="24"/>
          <w:highlight w:val="none"/>
        </w:rPr>
        <w:t>（3）联合体协议书；</w:t>
      </w:r>
    </w:p>
    <w:p w14:paraId="4B83782B">
      <w:pPr>
        <w:pStyle w:val="100"/>
        <w:ind w:left="426" w:firstLine="0" w:firstLineChars="0"/>
        <w:rPr>
          <w:rFonts w:ascii="宋体" w:hAnsi="宋体"/>
          <w:color w:val="auto"/>
          <w:spacing w:val="0"/>
          <w:sz w:val="24"/>
          <w:szCs w:val="24"/>
          <w:highlight w:val="none"/>
        </w:rPr>
      </w:pPr>
      <w:r>
        <w:rPr>
          <w:rFonts w:hint="eastAsia" w:ascii="宋体" w:hAnsi="宋体"/>
          <w:color w:val="auto"/>
          <w:spacing w:val="0"/>
          <w:sz w:val="24"/>
          <w:szCs w:val="24"/>
          <w:highlight w:val="none"/>
        </w:rPr>
        <w:t>（4）投标保证金</w:t>
      </w:r>
    </w:p>
    <w:p w14:paraId="14903AE7">
      <w:pPr>
        <w:pStyle w:val="100"/>
        <w:ind w:left="426" w:firstLine="0" w:firstLineChars="0"/>
        <w:rPr>
          <w:rFonts w:ascii="宋体" w:hAnsi="宋体"/>
          <w:color w:val="auto"/>
          <w:spacing w:val="0"/>
          <w:sz w:val="24"/>
          <w:szCs w:val="24"/>
          <w:highlight w:val="none"/>
        </w:rPr>
      </w:pPr>
      <w:r>
        <w:rPr>
          <w:rFonts w:hint="eastAsia" w:ascii="宋体" w:hAnsi="宋体"/>
          <w:color w:val="auto"/>
          <w:spacing w:val="0"/>
          <w:sz w:val="24"/>
          <w:szCs w:val="24"/>
          <w:highlight w:val="none"/>
        </w:rPr>
        <w:t>（5）监理报酬清单</w:t>
      </w:r>
    </w:p>
    <w:p w14:paraId="5907E3E1">
      <w:pPr>
        <w:pStyle w:val="100"/>
        <w:ind w:left="426" w:firstLine="0" w:firstLineChars="0"/>
        <w:rPr>
          <w:rFonts w:ascii="宋体" w:hAnsi="宋体"/>
          <w:color w:val="auto"/>
          <w:spacing w:val="0"/>
          <w:sz w:val="24"/>
          <w:szCs w:val="24"/>
          <w:highlight w:val="none"/>
        </w:rPr>
      </w:pPr>
      <w:r>
        <w:rPr>
          <w:rFonts w:hint="eastAsia" w:ascii="宋体" w:hAnsi="宋体"/>
          <w:color w:val="auto"/>
          <w:spacing w:val="0"/>
          <w:sz w:val="24"/>
          <w:szCs w:val="24"/>
          <w:highlight w:val="none"/>
        </w:rPr>
        <w:t>（6）资格审查资料</w:t>
      </w:r>
    </w:p>
    <w:p w14:paraId="56BF8A80">
      <w:pPr>
        <w:pStyle w:val="100"/>
        <w:ind w:left="426" w:firstLine="0" w:firstLineChars="0"/>
        <w:rPr>
          <w:rFonts w:ascii="宋体" w:hAnsi="宋体"/>
          <w:color w:val="auto"/>
          <w:spacing w:val="0"/>
          <w:sz w:val="24"/>
          <w:szCs w:val="24"/>
          <w:highlight w:val="none"/>
        </w:rPr>
      </w:pPr>
      <w:r>
        <w:rPr>
          <w:rFonts w:hint="eastAsia" w:ascii="宋体" w:hAnsi="宋体"/>
          <w:color w:val="auto"/>
          <w:spacing w:val="0"/>
          <w:sz w:val="24"/>
          <w:szCs w:val="24"/>
          <w:highlight w:val="none"/>
        </w:rPr>
        <w:t>（7）监理大纲；</w:t>
      </w:r>
    </w:p>
    <w:p w14:paraId="0D9D2B12">
      <w:pPr>
        <w:pStyle w:val="100"/>
        <w:ind w:left="426" w:firstLine="0" w:firstLineChars="0"/>
        <w:rPr>
          <w:rFonts w:ascii="宋体" w:hAnsi="宋体"/>
          <w:color w:val="auto"/>
          <w:spacing w:val="0"/>
          <w:sz w:val="24"/>
          <w:szCs w:val="24"/>
          <w:highlight w:val="none"/>
        </w:rPr>
      </w:pPr>
      <w:r>
        <w:rPr>
          <w:rFonts w:hint="eastAsia" w:ascii="宋体" w:hAnsi="宋体"/>
          <w:color w:val="auto"/>
          <w:spacing w:val="0"/>
          <w:sz w:val="24"/>
          <w:szCs w:val="24"/>
          <w:highlight w:val="none"/>
        </w:rPr>
        <w:t>（8）投标人须知前附表规定的其他资料；</w:t>
      </w:r>
    </w:p>
    <w:p w14:paraId="3591C163">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投标人在评标过程中作出的符合法律法规和招标文件规定的澄清确认，构成投标文件的组成部分。</w:t>
      </w:r>
    </w:p>
    <w:p w14:paraId="5C8F74B5">
      <w:pPr>
        <w:spacing w:line="360" w:lineRule="auto"/>
        <w:ind w:firstLine="410" w:firstLineChars="171"/>
        <w:rPr>
          <w:rFonts w:ascii="宋体" w:hAnsi="宋体" w:eastAsia="宋体"/>
          <w:color w:val="auto"/>
          <w:sz w:val="24"/>
          <w:szCs w:val="24"/>
          <w:highlight w:val="none"/>
        </w:rPr>
      </w:pPr>
      <w:r>
        <w:rPr>
          <w:rFonts w:hint="eastAsia" w:ascii="宋体" w:hAnsi="宋体" w:eastAsia="宋体"/>
          <w:color w:val="auto"/>
          <w:sz w:val="24"/>
          <w:szCs w:val="24"/>
          <w:highlight w:val="none"/>
        </w:rPr>
        <w:t>3.1.2 投标人须知前附表规定不接受联合体投标的，或投标人没有组成联合体的，投标文件不包括本章第3.1.1（3）目所指的联合体协议书。</w:t>
      </w:r>
    </w:p>
    <w:p w14:paraId="62B41F3C">
      <w:pPr>
        <w:spacing w:line="360" w:lineRule="auto"/>
        <w:ind w:firstLine="410" w:firstLineChars="171"/>
        <w:rPr>
          <w:rFonts w:ascii="宋体" w:hAnsi="宋体" w:eastAsia="宋体"/>
          <w:color w:val="auto"/>
          <w:sz w:val="24"/>
          <w:szCs w:val="24"/>
          <w:highlight w:val="none"/>
        </w:rPr>
      </w:pPr>
      <w:r>
        <w:rPr>
          <w:rFonts w:hint="eastAsia" w:ascii="宋体" w:hAnsi="宋体" w:eastAsia="宋体"/>
          <w:color w:val="auto"/>
          <w:sz w:val="24"/>
          <w:szCs w:val="24"/>
          <w:highlight w:val="none"/>
        </w:rPr>
        <w:t>3.1.3 投标人须知前附表未要求提交投标保证金的，投标文件不包括本章第3.1.1（4）目所指的投标保证金。</w:t>
      </w:r>
    </w:p>
    <w:p w14:paraId="1016F73E">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b/>
          <w:color w:val="auto"/>
          <w:sz w:val="28"/>
          <w:szCs w:val="28"/>
          <w:highlight w:val="none"/>
        </w:rPr>
      </w:pPr>
      <w:bookmarkStart w:id="129" w:name="_Toc529196540"/>
      <w:bookmarkStart w:id="130" w:name="_Toc514876754"/>
      <w:bookmarkStart w:id="131" w:name="_Toc515205213"/>
      <w:r>
        <w:rPr>
          <w:rFonts w:hint="eastAsia" w:ascii="宋体" w:hAnsi="宋体" w:eastAsia="宋体"/>
          <w:b/>
          <w:color w:val="auto"/>
          <w:sz w:val="28"/>
          <w:szCs w:val="28"/>
          <w:highlight w:val="none"/>
        </w:rPr>
        <w:t>3.2 投标报价</w:t>
      </w:r>
      <w:bookmarkEnd w:id="129"/>
      <w:bookmarkEnd w:id="130"/>
      <w:bookmarkEnd w:id="131"/>
    </w:p>
    <w:p w14:paraId="0BDC7193">
      <w:pPr>
        <w:pStyle w:val="100"/>
        <w:ind w:firstLine="420"/>
        <w:rPr>
          <w:rFonts w:ascii="宋体" w:hAnsi="宋体"/>
          <w:color w:val="auto"/>
          <w:spacing w:val="0"/>
          <w:sz w:val="24"/>
          <w:szCs w:val="24"/>
          <w:highlight w:val="none"/>
        </w:rPr>
      </w:pPr>
      <w:r>
        <w:rPr>
          <w:rFonts w:hint="eastAsia" w:ascii="宋体" w:hAnsi="宋体"/>
          <w:color w:val="auto"/>
          <w:spacing w:val="0"/>
          <w:sz w:val="24"/>
          <w:szCs w:val="24"/>
          <w:highlight w:val="none"/>
        </w:rPr>
        <w:t>3.2.1 投标报价应包括国家规定的增值税税金，除投标人须知前附表另有规定外，增值税税金按一般计税方法计算。投标人应按第六章“投标文件格式”的要求在投标函中进行报价并填写监理报酬清单。</w:t>
      </w:r>
    </w:p>
    <w:p w14:paraId="1AC85592">
      <w:pPr>
        <w:pStyle w:val="100"/>
        <w:ind w:firstLine="420"/>
        <w:rPr>
          <w:rFonts w:ascii="宋体" w:hAnsi="宋体"/>
          <w:color w:val="auto"/>
          <w:spacing w:val="0"/>
          <w:sz w:val="24"/>
          <w:szCs w:val="24"/>
          <w:highlight w:val="none"/>
        </w:rPr>
      </w:pPr>
      <w:r>
        <w:rPr>
          <w:rFonts w:hint="eastAsia" w:ascii="宋体" w:hAnsi="宋体"/>
          <w:color w:val="auto"/>
          <w:spacing w:val="0"/>
          <w:sz w:val="24"/>
          <w:szCs w:val="24"/>
          <w:highlight w:val="none"/>
        </w:rPr>
        <w:t>3.2.2 投标人应充分了解该项目的总体情况以及影响投标报价的其他要素。</w:t>
      </w:r>
    </w:p>
    <w:p w14:paraId="1CE3458E">
      <w:pPr>
        <w:pStyle w:val="100"/>
        <w:ind w:firstLine="420"/>
        <w:rPr>
          <w:rFonts w:ascii="宋体" w:hAnsi="宋体"/>
          <w:color w:val="auto"/>
          <w:spacing w:val="0"/>
          <w:sz w:val="24"/>
          <w:szCs w:val="24"/>
          <w:highlight w:val="none"/>
        </w:rPr>
      </w:pPr>
      <w:r>
        <w:rPr>
          <w:rFonts w:hint="eastAsia" w:ascii="宋体" w:hAnsi="宋体"/>
          <w:color w:val="auto"/>
          <w:spacing w:val="0"/>
          <w:sz w:val="24"/>
          <w:szCs w:val="24"/>
          <w:highlight w:val="none"/>
        </w:rPr>
        <w:t>3.2.3本项目的报价方式见投标人须知前附表。投标人在投标截止时间前修改投标函中的投标报价总额，应同时修改投标文件“监理报酬清单”中的相应报价。此修改须符合本章第 4.3 款的有关要求。</w:t>
      </w:r>
    </w:p>
    <w:p w14:paraId="7333D677">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3.2.4．招标人设有最高投标限价的，投标人的投标报价不得超过最高投标限价，最高投标限价在投标人须知前附表中载明。</w:t>
      </w:r>
    </w:p>
    <w:p w14:paraId="6935B45B">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3.2.5 投标报价的其他要求见投标人须知前附表3.2.5。</w:t>
      </w:r>
    </w:p>
    <w:p w14:paraId="2DC8FF30">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b/>
          <w:color w:val="auto"/>
          <w:sz w:val="28"/>
          <w:szCs w:val="28"/>
          <w:highlight w:val="none"/>
        </w:rPr>
      </w:pPr>
      <w:bookmarkStart w:id="132" w:name="_Toc515205214"/>
      <w:bookmarkStart w:id="133" w:name="_Toc529196541"/>
      <w:r>
        <w:rPr>
          <w:rFonts w:hint="eastAsia" w:ascii="宋体" w:hAnsi="宋体" w:eastAsia="宋体"/>
          <w:b/>
          <w:color w:val="auto"/>
          <w:sz w:val="28"/>
          <w:szCs w:val="28"/>
          <w:highlight w:val="none"/>
        </w:rPr>
        <w:t>3.3 投标有效期</w:t>
      </w:r>
      <w:bookmarkEnd w:id="132"/>
      <w:bookmarkEnd w:id="133"/>
    </w:p>
    <w:p w14:paraId="1AE07E84">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3.3.1 除投标人须知前附表另有规定外，投标有效期为90天。</w:t>
      </w:r>
    </w:p>
    <w:p w14:paraId="31FF2212">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3.3.2 在投标有效期内，投标人撤销投标文件的，应承担招标文件和法律规定的责任。</w:t>
      </w:r>
    </w:p>
    <w:p w14:paraId="0AAF8160">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5CFCCB13">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b/>
          <w:color w:val="auto"/>
          <w:sz w:val="28"/>
          <w:szCs w:val="28"/>
          <w:highlight w:val="none"/>
        </w:rPr>
      </w:pPr>
      <w:bookmarkStart w:id="134" w:name="_Toc529196542"/>
      <w:bookmarkStart w:id="135" w:name="_Toc515205215"/>
      <w:r>
        <w:rPr>
          <w:rFonts w:hint="eastAsia" w:ascii="宋体" w:hAnsi="宋体" w:eastAsia="宋体"/>
          <w:b/>
          <w:color w:val="auto"/>
          <w:sz w:val="28"/>
          <w:szCs w:val="28"/>
          <w:highlight w:val="none"/>
        </w:rPr>
        <w:t>3.4 投标保证金</w:t>
      </w:r>
      <w:bookmarkEnd w:id="134"/>
      <w:bookmarkEnd w:id="135"/>
    </w:p>
    <w:p w14:paraId="16E8DC27">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3.4.1 投标人在递交投标文件的同时，应按投标人须知前附表规定的金额</w:t>
      </w:r>
      <w:bookmarkStart w:id="136" w:name="_Toc352691489"/>
      <w:bookmarkStart w:id="137" w:name="_Toc4592"/>
      <w:bookmarkStart w:id="138" w:name="_Toc384308226"/>
      <w:bookmarkStart w:id="139" w:name="_Toc152045545"/>
      <w:bookmarkStart w:id="140" w:name="_Toc247527570"/>
      <w:bookmarkStart w:id="141" w:name="_Toc361508601"/>
      <w:bookmarkStart w:id="142" w:name="_Toc369531532"/>
      <w:bookmarkStart w:id="143" w:name="_Toc152042321"/>
      <w:bookmarkStart w:id="144" w:name="_Toc247513969"/>
      <w:bookmarkStart w:id="145" w:name="_Toc300834966"/>
      <w:bookmarkStart w:id="146" w:name="_Toc144974513"/>
      <w:r>
        <w:rPr>
          <w:rFonts w:hint="eastAsia" w:ascii="宋体" w:hAnsi="宋体" w:eastAsia="宋体"/>
          <w:color w:val="auto"/>
          <w:sz w:val="24"/>
          <w:szCs w:val="24"/>
          <w:highlight w:val="none"/>
        </w:rPr>
        <w:t>、形式和第六章“投标文</w:t>
      </w:r>
      <w:bookmarkEnd w:id="136"/>
      <w:bookmarkEnd w:id="137"/>
      <w:bookmarkEnd w:id="138"/>
      <w:bookmarkEnd w:id="139"/>
      <w:bookmarkEnd w:id="140"/>
      <w:bookmarkEnd w:id="141"/>
      <w:bookmarkEnd w:id="142"/>
      <w:bookmarkEnd w:id="143"/>
      <w:bookmarkEnd w:id="144"/>
      <w:bookmarkEnd w:id="145"/>
      <w:bookmarkEnd w:id="146"/>
      <w:r>
        <w:rPr>
          <w:rFonts w:hint="eastAsia" w:ascii="宋体" w:hAnsi="宋体" w:eastAsia="宋体"/>
          <w:color w:val="auto"/>
          <w:sz w:val="24"/>
          <w:szCs w:val="24"/>
          <w:highlight w:val="none"/>
        </w:rPr>
        <w:t>件格式”规定的投标保证金格式递交投标保证金，并作为其投标文件的组成部分。境内投标人以现金或者支票形式提交的投标保证金，应当从其基本账户转出并在投标文件中附上基本账户开户证明。</w:t>
      </w:r>
      <w:r>
        <w:rPr>
          <w:rFonts w:hint="eastAsia" w:ascii="宋体" w:hAnsi="宋体" w:eastAsia="宋体"/>
          <w:strike/>
          <w:color w:val="auto"/>
          <w:sz w:val="24"/>
          <w:szCs w:val="24"/>
          <w:highlight w:val="none"/>
        </w:rPr>
        <w:t>联合体投标的，其投标保证金可以由牵头人递交，并应符合投标人须知前附表的规定。</w:t>
      </w:r>
    </w:p>
    <w:p w14:paraId="00D8BF76">
      <w:pPr>
        <w:spacing w:line="360" w:lineRule="auto"/>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3.4.2 投标人不按本章第3.4.1项</w:t>
      </w:r>
      <w:bookmarkStart w:id="147" w:name="_Toc384308227"/>
      <w:bookmarkStart w:id="148" w:name="_Toc369531533"/>
      <w:bookmarkStart w:id="149" w:name="_Toc361508602"/>
      <w:bookmarkStart w:id="150" w:name="_Toc29025"/>
      <w:bookmarkStart w:id="151" w:name="_Toc352691490"/>
      <w:r>
        <w:rPr>
          <w:rFonts w:hint="eastAsia" w:ascii="宋体" w:hAnsi="宋体" w:eastAsia="宋体"/>
          <w:color w:val="auto"/>
          <w:sz w:val="24"/>
          <w:szCs w:val="24"/>
          <w:highlight w:val="none"/>
        </w:rPr>
        <w:t>要求提交投标保证金的，</w:t>
      </w:r>
      <w:bookmarkEnd w:id="147"/>
      <w:bookmarkEnd w:id="148"/>
      <w:bookmarkEnd w:id="149"/>
      <w:bookmarkEnd w:id="150"/>
      <w:bookmarkEnd w:id="151"/>
      <w:r>
        <w:rPr>
          <w:rFonts w:hint="eastAsia" w:ascii="宋体" w:hAnsi="宋体" w:eastAsia="宋体"/>
          <w:color w:val="auto"/>
          <w:sz w:val="24"/>
          <w:szCs w:val="24"/>
          <w:highlight w:val="none"/>
        </w:rPr>
        <w:t>评标委员会将否决其投标。</w:t>
      </w:r>
    </w:p>
    <w:p w14:paraId="3CE65B7E">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3.4.3 招标人最迟将在与中标人</w:t>
      </w:r>
      <w:bookmarkStart w:id="152" w:name="_Toc361508603"/>
      <w:bookmarkStart w:id="153" w:name="_Toc369531534"/>
      <w:bookmarkStart w:id="154" w:name="_Toc384308228"/>
      <w:bookmarkStart w:id="155" w:name="_Toc247527571"/>
      <w:bookmarkStart w:id="156" w:name="_Toc144974514"/>
      <w:bookmarkStart w:id="157" w:name="_Toc247513970"/>
      <w:bookmarkStart w:id="158" w:name="_Toc352691491"/>
      <w:bookmarkStart w:id="159" w:name="_Toc14751"/>
      <w:bookmarkStart w:id="160" w:name="_Toc152045546"/>
      <w:bookmarkStart w:id="161" w:name="_Toc300834967"/>
      <w:bookmarkStart w:id="162" w:name="_Toc152042322"/>
      <w:r>
        <w:rPr>
          <w:rFonts w:hint="eastAsia" w:ascii="宋体" w:hAnsi="宋体" w:eastAsia="宋体"/>
          <w:color w:val="auto"/>
          <w:sz w:val="24"/>
          <w:szCs w:val="24"/>
          <w:highlight w:val="none"/>
        </w:rPr>
        <w:t>签订合同后5日</w:t>
      </w:r>
      <w:bookmarkEnd w:id="152"/>
      <w:bookmarkEnd w:id="153"/>
      <w:bookmarkEnd w:id="154"/>
      <w:bookmarkEnd w:id="155"/>
      <w:bookmarkEnd w:id="156"/>
      <w:bookmarkEnd w:id="157"/>
      <w:bookmarkEnd w:id="158"/>
      <w:bookmarkEnd w:id="159"/>
      <w:bookmarkEnd w:id="160"/>
      <w:bookmarkEnd w:id="161"/>
      <w:bookmarkEnd w:id="162"/>
      <w:r>
        <w:rPr>
          <w:rFonts w:hint="eastAsia" w:ascii="宋体" w:hAnsi="宋体" w:eastAsia="宋体"/>
          <w:color w:val="auto"/>
          <w:sz w:val="24"/>
          <w:szCs w:val="24"/>
          <w:highlight w:val="none"/>
        </w:rPr>
        <w:t>内</w:t>
      </w:r>
      <w:bookmarkStart w:id="163" w:name="_Toc361508604"/>
      <w:bookmarkStart w:id="164" w:name="_Toc17952"/>
      <w:bookmarkStart w:id="165" w:name="_Toc144974515"/>
      <w:bookmarkStart w:id="166" w:name="_Toc384308229"/>
      <w:bookmarkStart w:id="167" w:name="_Toc247513971"/>
      <w:bookmarkStart w:id="168" w:name="_Toc152045547"/>
      <w:bookmarkStart w:id="169" w:name="_Toc300834968"/>
      <w:bookmarkStart w:id="170" w:name="_Toc247527572"/>
      <w:bookmarkStart w:id="171" w:name="_Toc352691492"/>
      <w:bookmarkStart w:id="172" w:name="_Toc152042323"/>
      <w:bookmarkStart w:id="173" w:name="_Toc369531535"/>
      <w:r>
        <w:rPr>
          <w:rFonts w:hint="eastAsia" w:ascii="宋体" w:hAnsi="宋体" w:eastAsia="宋体"/>
          <w:color w:val="auto"/>
          <w:sz w:val="24"/>
          <w:szCs w:val="24"/>
          <w:highlight w:val="none"/>
        </w:rPr>
        <w:t>，向未中标的投标人和中</w:t>
      </w:r>
      <w:bookmarkEnd w:id="163"/>
      <w:bookmarkEnd w:id="164"/>
      <w:bookmarkEnd w:id="165"/>
      <w:bookmarkEnd w:id="166"/>
      <w:bookmarkEnd w:id="167"/>
      <w:bookmarkEnd w:id="168"/>
      <w:bookmarkEnd w:id="169"/>
      <w:bookmarkEnd w:id="170"/>
      <w:bookmarkEnd w:id="171"/>
      <w:bookmarkEnd w:id="172"/>
      <w:bookmarkEnd w:id="173"/>
      <w:r>
        <w:rPr>
          <w:rFonts w:hint="eastAsia" w:ascii="宋体" w:hAnsi="宋体" w:eastAsia="宋体"/>
          <w:color w:val="auto"/>
          <w:sz w:val="24"/>
          <w:szCs w:val="24"/>
          <w:highlight w:val="none"/>
        </w:rPr>
        <w:t>标人退还投标保证金。</w:t>
      </w:r>
    </w:p>
    <w:p w14:paraId="61B013EA">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3.4.4 有下列情形之一的，投标保证金将不予退还：</w:t>
      </w:r>
    </w:p>
    <w:p w14:paraId="6D153004">
      <w:pPr>
        <w:spacing w:line="360" w:lineRule="auto"/>
        <w:ind w:firstLine="360" w:firstLineChars="150"/>
        <w:rPr>
          <w:rFonts w:ascii="宋体" w:hAnsi="宋体" w:eastAsia="宋体"/>
          <w:color w:val="auto"/>
          <w:sz w:val="24"/>
          <w:szCs w:val="24"/>
          <w:highlight w:val="none"/>
        </w:rPr>
      </w:pPr>
      <w:r>
        <w:rPr>
          <w:rFonts w:hint="eastAsia" w:ascii="宋体" w:hAnsi="宋体" w:eastAsia="宋体"/>
          <w:color w:val="auto"/>
          <w:sz w:val="24"/>
          <w:szCs w:val="24"/>
          <w:highlight w:val="none"/>
        </w:rPr>
        <w:t>（1）投标人在投标有效期内撤销投标文件；</w:t>
      </w:r>
    </w:p>
    <w:p w14:paraId="361BA53A">
      <w:pPr>
        <w:spacing w:line="360" w:lineRule="auto"/>
        <w:ind w:firstLine="360" w:firstLineChars="150"/>
        <w:rPr>
          <w:rFonts w:ascii="宋体" w:hAnsi="宋体" w:eastAsia="宋体"/>
          <w:color w:val="auto"/>
          <w:sz w:val="24"/>
          <w:szCs w:val="24"/>
          <w:highlight w:val="none"/>
        </w:rPr>
      </w:pPr>
      <w:r>
        <w:rPr>
          <w:rFonts w:hint="eastAsia" w:ascii="宋体" w:hAnsi="宋体" w:eastAsia="宋体"/>
          <w:color w:val="auto"/>
          <w:sz w:val="24"/>
          <w:szCs w:val="24"/>
          <w:highlight w:val="none"/>
        </w:rPr>
        <w:t>（2）中标人在收到中标通知书后，无正当理由不与招标人订立合同，在签订合同时向招标人提出附加条件，或者不按照招标文件要求提交履约保证金；</w:t>
      </w:r>
    </w:p>
    <w:p w14:paraId="0C6AB3EE">
      <w:pPr>
        <w:spacing w:line="360" w:lineRule="auto"/>
        <w:ind w:firstLine="360" w:firstLineChars="150"/>
        <w:rPr>
          <w:rFonts w:ascii="宋体" w:hAnsi="宋体" w:eastAsia="宋体"/>
          <w:color w:val="auto"/>
          <w:sz w:val="24"/>
          <w:szCs w:val="24"/>
          <w:highlight w:val="none"/>
        </w:rPr>
      </w:pPr>
      <w:r>
        <w:rPr>
          <w:rFonts w:hint="eastAsia" w:ascii="宋体" w:hAnsi="宋体" w:eastAsia="宋体"/>
          <w:color w:val="auto"/>
          <w:sz w:val="24"/>
          <w:szCs w:val="24"/>
          <w:highlight w:val="none"/>
        </w:rPr>
        <w:t>（3）发生投标人须知前附表规定的其他可以不予退还投标保证金的情形。</w:t>
      </w:r>
    </w:p>
    <w:p w14:paraId="0C79CC4A">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b/>
          <w:color w:val="auto"/>
          <w:sz w:val="28"/>
          <w:szCs w:val="28"/>
          <w:highlight w:val="none"/>
        </w:rPr>
      </w:pPr>
      <w:bookmarkStart w:id="174" w:name="_Toc529196544"/>
      <w:bookmarkStart w:id="175" w:name="_Toc515205217"/>
      <w:r>
        <w:rPr>
          <w:rFonts w:hint="eastAsia" w:ascii="宋体" w:hAnsi="宋体" w:eastAsia="宋体"/>
          <w:b/>
          <w:color w:val="auto"/>
          <w:sz w:val="28"/>
          <w:szCs w:val="28"/>
          <w:highlight w:val="none"/>
        </w:rPr>
        <w:t>3.5 资格审查资料（适用于未进行资格预审的）</w:t>
      </w:r>
      <w:bookmarkEnd w:id="174"/>
      <w:bookmarkEnd w:id="175"/>
    </w:p>
    <w:p w14:paraId="628E8CCF">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除投标人须知前附表另有规定外，投标人应按下列规定提供资格审查资料，以证明其满足本章第 1.4 款规定的资质、财务、业绩、信誉等要求。</w:t>
      </w:r>
    </w:p>
    <w:p w14:paraId="2F91C6F9">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3.5.1 “投标人基本情况表”应附投标人营业执照和组织机构代码证的复印件（按照“三证合一”或“五证合一”登记制度进行登记的，可仅提供营业执照复印件）、投标人监理资质证书副本等材料的复印件。</w:t>
      </w:r>
    </w:p>
    <w:p w14:paraId="398F7815">
      <w:pPr>
        <w:spacing w:line="360" w:lineRule="auto"/>
        <w:ind w:firstLine="480" w:firstLineChars="200"/>
        <w:rPr>
          <w:rFonts w:ascii="宋体" w:hAnsi="宋体" w:eastAsia="宋体"/>
          <w:strike/>
          <w:color w:val="auto"/>
          <w:sz w:val="24"/>
          <w:szCs w:val="24"/>
          <w:highlight w:val="none"/>
        </w:rPr>
      </w:pPr>
      <w:r>
        <w:rPr>
          <w:rFonts w:hint="eastAsia" w:ascii="宋体" w:hAnsi="宋体" w:eastAsia="宋体"/>
          <w:strike/>
          <w:color w:val="auto"/>
          <w:sz w:val="24"/>
          <w:szCs w:val="24"/>
          <w:highlight w:val="none"/>
        </w:rPr>
        <w:t>3.5.2 “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表。</w:t>
      </w:r>
    </w:p>
    <w:p w14:paraId="573845A2">
      <w:pPr>
        <w:spacing w:line="360" w:lineRule="auto"/>
        <w:ind w:firstLine="480" w:firstLineChars="200"/>
        <w:rPr>
          <w:rFonts w:ascii="宋体" w:hAnsi="宋体" w:eastAsia="宋体"/>
          <w:strike/>
          <w:color w:val="auto"/>
          <w:sz w:val="24"/>
          <w:szCs w:val="24"/>
          <w:highlight w:val="none"/>
        </w:rPr>
      </w:pPr>
      <w:r>
        <w:rPr>
          <w:rFonts w:hint="eastAsia" w:ascii="宋体" w:hAnsi="宋体" w:eastAsia="宋体"/>
          <w:strike/>
          <w:color w:val="auto"/>
          <w:sz w:val="24"/>
          <w:szCs w:val="24"/>
          <w:highlight w:val="none"/>
        </w:rPr>
        <w:t>3.5.3 “近年完成的类似监理项目情况表”应附中标通知书和（或）合同协议书、委托人出具的证明文件；具体时间要求见投标人须知前附表，每张表格只填写一个项目，并标明序号。</w:t>
      </w:r>
    </w:p>
    <w:p w14:paraId="053E7752">
      <w:pPr>
        <w:spacing w:line="360" w:lineRule="auto"/>
        <w:ind w:firstLine="480" w:firstLineChars="200"/>
        <w:rPr>
          <w:rFonts w:ascii="宋体" w:hAnsi="宋体" w:eastAsia="宋体"/>
          <w:strike/>
          <w:color w:val="auto"/>
          <w:sz w:val="24"/>
          <w:szCs w:val="24"/>
          <w:highlight w:val="none"/>
        </w:rPr>
      </w:pPr>
      <w:r>
        <w:rPr>
          <w:rFonts w:hint="eastAsia" w:ascii="宋体" w:hAnsi="宋体" w:eastAsia="宋体"/>
          <w:strike/>
          <w:color w:val="auto"/>
          <w:sz w:val="24"/>
          <w:szCs w:val="24"/>
          <w:highlight w:val="none"/>
        </w:rPr>
        <w:t>3.5.4 “正在监理和新承接的项目情况表”应附中标通知书和（或）合同协议书复印件。每张表格只填写一个项目，并标明序号。</w:t>
      </w:r>
    </w:p>
    <w:p w14:paraId="49EABB3B">
      <w:pPr>
        <w:spacing w:line="360" w:lineRule="auto"/>
        <w:ind w:firstLine="480" w:firstLineChars="200"/>
        <w:rPr>
          <w:rFonts w:ascii="宋体" w:hAnsi="宋体" w:eastAsia="宋体"/>
          <w:strike/>
          <w:color w:val="auto"/>
          <w:sz w:val="24"/>
          <w:szCs w:val="24"/>
          <w:highlight w:val="none"/>
        </w:rPr>
      </w:pPr>
      <w:r>
        <w:rPr>
          <w:rFonts w:hint="eastAsia" w:ascii="宋体" w:hAnsi="宋体" w:eastAsia="宋体"/>
          <w:strike/>
          <w:color w:val="auto"/>
          <w:sz w:val="24"/>
          <w:szCs w:val="24"/>
          <w:highlight w:val="none"/>
        </w:rPr>
        <w:t>3.5.5 “近年发生的诉讼及仲裁情况”应说明投标人败诉的监理合同的相关情况，并附法院或仲裁机构作出的判决、裁决等有关法律文书复印件，具体时间要求见投标人须知前附表。</w:t>
      </w:r>
    </w:p>
    <w:p w14:paraId="116CC3FC">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3.5.6 “拟委任的主要人员汇总表”应填报满足本章第 1.4.1 项规定的总监理工程师和其他主要人员的相关信息。“主要人员简历表”中总监理工程师应附身份证、学历证、职称证、注册监</w:t>
      </w:r>
      <w:bookmarkStart w:id="176" w:name="page28"/>
      <w:bookmarkEnd w:id="176"/>
      <w:r>
        <w:rPr>
          <w:rFonts w:hint="eastAsia" w:ascii="宋体" w:hAnsi="宋体" w:eastAsia="宋体"/>
          <w:color w:val="auto"/>
          <w:sz w:val="24"/>
          <w:szCs w:val="24"/>
          <w:highlight w:val="none"/>
        </w:rPr>
        <w:t>理工程师执业证书和社保缴费证明复印件，管理过的项目业绩须附合同协议书复印件；其他主要人员应附身份证、学历证、职称证、有关证书和社保缴费证明复印件。</w:t>
      </w:r>
    </w:p>
    <w:p w14:paraId="7EA47A18">
      <w:pPr>
        <w:spacing w:line="360" w:lineRule="auto"/>
        <w:ind w:firstLine="480" w:firstLineChars="200"/>
        <w:rPr>
          <w:rFonts w:ascii="宋体" w:hAnsi="宋体" w:eastAsia="宋体"/>
          <w:strike/>
          <w:color w:val="auto"/>
          <w:sz w:val="24"/>
          <w:szCs w:val="24"/>
          <w:highlight w:val="none"/>
        </w:rPr>
      </w:pPr>
      <w:r>
        <w:rPr>
          <w:rFonts w:hint="eastAsia" w:ascii="宋体" w:hAnsi="宋体" w:eastAsia="宋体"/>
          <w:strike/>
          <w:color w:val="auto"/>
          <w:sz w:val="24"/>
          <w:szCs w:val="24"/>
          <w:highlight w:val="none"/>
        </w:rPr>
        <w:t>3.5.7 “拟投入本项目的主要试验检测仪器设备表”应填报满足本章第 1.4.1 项规定的试验检测仪器设备。</w:t>
      </w:r>
    </w:p>
    <w:p w14:paraId="732B9957">
      <w:pPr>
        <w:spacing w:line="360" w:lineRule="auto"/>
        <w:ind w:firstLine="480" w:firstLineChars="200"/>
        <w:rPr>
          <w:rFonts w:ascii="宋体" w:hAnsi="宋体" w:eastAsia="宋体"/>
          <w:strike/>
          <w:color w:val="auto"/>
          <w:sz w:val="24"/>
          <w:szCs w:val="24"/>
          <w:highlight w:val="none"/>
        </w:rPr>
      </w:pPr>
      <w:r>
        <w:rPr>
          <w:rFonts w:hint="eastAsia" w:ascii="宋体" w:hAnsi="宋体" w:eastAsia="宋体"/>
          <w:strike/>
          <w:color w:val="auto"/>
          <w:sz w:val="24"/>
          <w:szCs w:val="24"/>
          <w:highlight w:val="none"/>
        </w:rPr>
        <w:t>3.5.8 投标人须知前附表规定接受联合体投标的，本章第 3.5.1 项至第 3.5.7 项规定的表格和资料应包括联合体各方相关情况。</w:t>
      </w:r>
    </w:p>
    <w:p w14:paraId="7914B495">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b/>
          <w:color w:val="auto"/>
          <w:sz w:val="28"/>
          <w:szCs w:val="28"/>
          <w:highlight w:val="none"/>
        </w:rPr>
      </w:pPr>
      <w:bookmarkStart w:id="177" w:name="_Toc515205218"/>
      <w:bookmarkStart w:id="178" w:name="_Toc529196545"/>
      <w:r>
        <w:rPr>
          <w:rFonts w:hint="eastAsia" w:ascii="宋体" w:hAnsi="宋体" w:eastAsia="宋体"/>
          <w:b/>
          <w:color w:val="auto"/>
          <w:sz w:val="28"/>
          <w:szCs w:val="28"/>
          <w:highlight w:val="none"/>
        </w:rPr>
        <w:t>3.6 备选投标方案</w:t>
      </w:r>
      <w:bookmarkEnd w:id="177"/>
      <w:bookmarkEnd w:id="178"/>
    </w:p>
    <w:p w14:paraId="4BC42C1B">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3.6.1 除投标人须知前附表规定允许外，投标人不得递交备选投标方案，否则其投标将被否决。</w:t>
      </w:r>
    </w:p>
    <w:p w14:paraId="1B0C5AB4">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345912FC">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3.6.3 投标人提供两个或两个以上投标报价，或者在投标文件中提供一个报价，但同时提供两个或两个以上</w:t>
      </w:r>
      <w:bookmarkStart w:id="179" w:name="_Toc352691495"/>
      <w:bookmarkStart w:id="180" w:name="_Toc152045550"/>
      <w:bookmarkStart w:id="181" w:name="_Toc29902"/>
      <w:bookmarkStart w:id="182" w:name="_Toc152042326"/>
      <w:bookmarkStart w:id="183" w:name="_Toc247527575"/>
      <w:bookmarkStart w:id="184" w:name="_Toc384308232"/>
      <w:bookmarkStart w:id="185" w:name="_Toc144974518"/>
      <w:bookmarkStart w:id="186" w:name="_Toc369531538"/>
      <w:bookmarkStart w:id="187" w:name="_Toc247513974"/>
      <w:bookmarkStart w:id="188" w:name="_Toc361508607"/>
      <w:bookmarkStart w:id="189" w:name="_Toc300834971"/>
      <w:r>
        <w:rPr>
          <w:rFonts w:hint="eastAsia" w:ascii="宋体" w:hAnsi="宋体" w:eastAsia="宋体"/>
          <w:color w:val="auto"/>
          <w:sz w:val="24"/>
          <w:szCs w:val="24"/>
          <w:highlight w:val="none"/>
        </w:rPr>
        <w:t>监理方案的</w:t>
      </w:r>
      <w:bookmarkEnd w:id="179"/>
      <w:bookmarkEnd w:id="180"/>
      <w:bookmarkEnd w:id="181"/>
      <w:bookmarkEnd w:id="182"/>
      <w:bookmarkEnd w:id="183"/>
      <w:bookmarkEnd w:id="184"/>
      <w:bookmarkEnd w:id="185"/>
      <w:bookmarkEnd w:id="186"/>
      <w:bookmarkEnd w:id="187"/>
      <w:bookmarkEnd w:id="188"/>
      <w:bookmarkEnd w:id="189"/>
      <w:r>
        <w:rPr>
          <w:rFonts w:hint="eastAsia" w:ascii="宋体" w:hAnsi="宋体" w:eastAsia="宋体"/>
          <w:color w:val="auto"/>
          <w:sz w:val="24"/>
          <w:szCs w:val="24"/>
          <w:highlight w:val="none"/>
        </w:rPr>
        <w:t>，视为提供备选方案。</w:t>
      </w:r>
    </w:p>
    <w:p w14:paraId="528C3C10">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b/>
          <w:color w:val="auto"/>
          <w:sz w:val="28"/>
          <w:szCs w:val="28"/>
          <w:highlight w:val="none"/>
        </w:rPr>
      </w:pPr>
      <w:bookmarkStart w:id="190" w:name="_Toc515205219"/>
      <w:bookmarkStart w:id="191" w:name="_Toc529196546"/>
      <w:r>
        <w:rPr>
          <w:rFonts w:hint="eastAsia" w:ascii="宋体" w:hAnsi="宋体" w:eastAsia="宋体"/>
          <w:b/>
          <w:color w:val="auto"/>
          <w:sz w:val="28"/>
          <w:szCs w:val="28"/>
          <w:highlight w:val="none"/>
        </w:rPr>
        <w:t>3.7 投标文件的编制</w:t>
      </w:r>
      <w:bookmarkEnd w:id="190"/>
      <w:bookmarkEnd w:id="191"/>
    </w:p>
    <w:p w14:paraId="5CD9AE82">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3.7.1 投标文件应按第六章“投标文件格式”进行编写，如有必要，可以增加附页，作为投标文件的组成部分。其中，投标函附录在满足招标文件实质性要求的基础上，可以提出比招标文件要求更有利于招标人的承诺。</w:t>
      </w:r>
    </w:p>
    <w:p w14:paraId="5B6F6360">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3.7.2 投标文件应当对招标文件有关监理服务期限、投标有效期、委托人要求、招标范围等实质性内容作出响应。</w:t>
      </w:r>
    </w:p>
    <w:p w14:paraId="6F5E3018">
      <w:pPr>
        <w:spacing w:line="360" w:lineRule="auto"/>
        <w:ind w:firstLine="480" w:firstLineChars="200"/>
        <w:rPr>
          <w:rFonts w:hint="eastAsia" w:ascii="宋体" w:hAnsi="宋体" w:eastAsia="宋体"/>
          <w:color w:val="auto"/>
          <w:sz w:val="24"/>
          <w:szCs w:val="24"/>
          <w:highlight w:val="none"/>
        </w:rPr>
      </w:pPr>
      <w:bookmarkStart w:id="192" w:name="_Toc514946914"/>
      <w:r>
        <w:rPr>
          <w:rFonts w:hint="eastAsia" w:ascii="宋体" w:hAnsi="宋体" w:eastAsia="宋体"/>
          <w:color w:val="auto"/>
          <w:sz w:val="24"/>
          <w:szCs w:val="24"/>
          <w:highlight w:val="none"/>
        </w:rPr>
        <w:t>3.7.3（B）投标文件全部采用电子文档，除投标人须知前附表另有规定外，投标文件所附证书证件均为原件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bookmarkEnd w:id="192"/>
    </w:p>
    <w:p w14:paraId="55AE2A80">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b/>
          <w:color w:val="auto"/>
          <w:sz w:val="28"/>
          <w:szCs w:val="28"/>
          <w:highlight w:val="none"/>
        </w:rPr>
      </w:pPr>
      <w:bookmarkStart w:id="193" w:name="_Toc529196547"/>
      <w:bookmarkStart w:id="194" w:name="_Toc515205220"/>
      <w:r>
        <w:rPr>
          <w:rFonts w:hint="eastAsia" w:ascii="宋体" w:hAnsi="宋体" w:eastAsia="宋体"/>
          <w:b/>
          <w:color w:val="auto"/>
          <w:sz w:val="28"/>
          <w:szCs w:val="28"/>
          <w:highlight w:val="none"/>
        </w:rPr>
        <w:t>4. 投标</w:t>
      </w:r>
      <w:bookmarkEnd w:id="193"/>
      <w:bookmarkEnd w:id="194"/>
    </w:p>
    <w:p w14:paraId="7FB85A28">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b/>
          <w:color w:val="auto"/>
          <w:sz w:val="28"/>
          <w:szCs w:val="28"/>
          <w:highlight w:val="none"/>
        </w:rPr>
      </w:pPr>
      <w:bookmarkStart w:id="195" w:name="_Toc529196548"/>
      <w:bookmarkStart w:id="196" w:name="_Toc515205221"/>
      <w:r>
        <w:rPr>
          <w:rFonts w:hint="eastAsia" w:ascii="宋体" w:hAnsi="宋体" w:eastAsia="宋体"/>
          <w:b/>
          <w:color w:val="auto"/>
          <w:sz w:val="28"/>
          <w:szCs w:val="28"/>
          <w:highlight w:val="none"/>
        </w:rPr>
        <w:t>4.1 投标文件的密封和标记</w:t>
      </w:r>
      <w:bookmarkEnd w:id="195"/>
      <w:bookmarkEnd w:id="196"/>
    </w:p>
    <w:p w14:paraId="0A4B53E5">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4.1.1 （B）投标人应当按照招标文件和电子招标投标交易平台的要求加密投标文件，具体要求见投标人须知前附表。</w:t>
      </w:r>
    </w:p>
    <w:p w14:paraId="547E5470">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4.1.2 投标文件封套上应写明的内容见投标人须知前附表。</w:t>
      </w:r>
    </w:p>
    <w:p w14:paraId="1CDA3B81">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4.1.3 未按本章第4.1.1项要求密封的投标文件，招标人将予以拒收。</w:t>
      </w:r>
    </w:p>
    <w:p w14:paraId="2EA277D0">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b/>
          <w:color w:val="auto"/>
          <w:sz w:val="28"/>
          <w:szCs w:val="28"/>
          <w:highlight w:val="none"/>
        </w:rPr>
      </w:pPr>
      <w:bookmarkStart w:id="197" w:name="_Toc529196549"/>
      <w:bookmarkStart w:id="198" w:name="_Toc515205222"/>
      <w:r>
        <w:rPr>
          <w:rFonts w:hint="eastAsia" w:ascii="宋体" w:hAnsi="宋体" w:eastAsia="宋体"/>
          <w:b/>
          <w:color w:val="auto"/>
          <w:sz w:val="28"/>
          <w:szCs w:val="28"/>
          <w:highlight w:val="none"/>
        </w:rPr>
        <w:t>4.2 投标文件的递交</w:t>
      </w:r>
      <w:bookmarkEnd w:id="197"/>
      <w:bookmarkEnd w:id="198"/>
    </w:p>
    <w:p w14:paraId="6DD18D12">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4.2.1 投标人应在投标人须知前附表规定的投标截止时间前递交投标文件。</w:t>
      </w:r>
    </w:p>
    <w:p w14:paraId="13577099">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4.2.2 （A）投标人递交投标文件的地点：见投标人须知前附表。</w:t>
      </w:r>
    </w:p>
    <w:p w14:paraId="3D150557">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4.2.3 除投标人须知前附表另有规定外，投标人所递交的投标文件不予退还。</w:t>
      </w:r>
    </w:p>
    <w:p w14:paraId="2CE94070">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4.2.4 （B）投标人完成电子投标文件上传后，电子招标投标交易平台即时向投标人发出递交回执通知。递交时间以递交回执通知载明的传输完成时间为准。</w:t>
      </w:r>
    </w:p>
    <w:p w14:paraId="7DB69C55">
      <w:pPr>
        <w:spacing w:line="360" w:lineRule="auto"/>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4.2.5 （B）逾期送达的投标文件，电子招标投标交易平台将予以拒收。</w:t>
      </w:r>
    </w:p>
    <w:p w14:paraId="757C36E3">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b/>
          <w:color w:val="auto"/>
          <w:sz w:val="28"/>
          <w:szCs w:val="28"/>
          <w:highlight w:val="none"/>
        </w:rPr>
      </w:pPr>
      <w:bookmarkStart w:id="199" w:name="_Toc515205223"/>
      <w:bookmarkStart w:id="200" w:name="_Toc529196550"/>
      <w:r>
        <w:rPr>
          <w:rFonts w:hint="eastAsia" w:ascii="宋体" w:hAnsi="宋体" w:eastAsia="宋体"/>
          <w:b/>
          <w:color w:val="auto"/>
          <w:sz w:val="28"/>
          <w:szCs w:val="28"/>
          <w:highlight w:val="none"/>
        </w:rPr>
        <w:t>4.3 投标文件的修改与撤回</w:t>
      </w:r>
      <w:bookmarkEnd w:id="199"/>
      <w:bookmarkEnd w:id="200"/>
    </w:p>
    <w:p w14:paraId="4CF008B2">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4.3.1 在本章第4.2.1项规定的投标截止时间前，投标人可以修改或撤回已递交的投标文件，但应以书面形式通知招标人。</w:t>
      </w:r>
    </w:p>
    <w:p w14:paraId="379D4B69">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4.3.2 （B）投标人修改或撤回已递交投标文件的通知，应按照本章第3.7.3（B）项的要求加盖电子印章。电子招标投标交易平台收到通知后，即时向投标人发出确认回执通知。</w:t>
      </w:r>
    </w:p>
    <w:p w14:paraId="433E7E2C">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4.3.3 投标人撤回投标文件的，招标人自收到投标人书面撤回通知之日起5日内退还已收取的投标保证金。</w:t>
      </w:r>
    </w:p>
    <w:p w14:paraId="7BD4018B">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4.3.</w:t>
      </w:r>
      <w:bookmarkStart w:id="201" w:name="_Toc300834974"/>
      <w:bookmarkStart w:id="202" w:name="_Toc361508610"/>
      <w:bookmarkStart w:id="203" w:name="_Toc152042329"/>
      <w:bookmarkStart w:id="204" w:name="_Toc247527578"/>
      <w:bookmarkStart w:id="205" w:name="_Toc19203"/>
      <w:bookmarkStart w:id="206" w:name="_Toc369531541"/>
      <w:bookmarkStart w:id="207" w:name="_Toc152045553"/>
      <w:bookmarkStart w:id="208" w:name="_Toc384308235"/>
      <w:bookmarkStart w:id="209" w:name="_Toc247513977"/>
      <w:bookmarkStart w:id="210" w:name="_Toc352691497"/>
      <w:bookmarkStart w:id="211" w:name="_Toc144974521"/>
      <w:r>
        <w:rPr>
          <w:rFonts w:hint="eastAsia" w:ascii="宋体" w:hAnsi="宋体" w:eastAsia="宋体"/>
          <w:color w:val="auto"/>
          <w:sz w:val="24"/>
          <w:szCs w:val="24"/>
          <w:highlight w:val="none"/>
        </w:rPr>
        <w:t>4 修改的内容为投标</w:t>
      </w:r>
      <w:bookmarkEnd w:id="201"/>
      <w:bookmarkEnd w:id="202"/>
      <w:bookmarkEnd w:id="203"/>
      <w:bookmarkEnd w:id="204"/>
      <w:bookmarkEnd w:id="205"/>
      <w:bookmarkEnd w:id="206"/>
      <w:bookmarkEnd w:id="207"/>
      <w:bookmarkEnd w:id="208"/>
      <w:bookmarkEnd w:id="209"/>
      <w:bookmarkEnd w:id="210"/>
      <w:bookmarkEnd w:id="211"/>
      <w:r>
        <w:rPr>
          <w:rFonts w:hint="eastAsia" w:ascii="宋体" w:hAnsi="宋体" w:eastAsia="宋体"/>
          <w:color w:val="auto"/>
          <w:sz w:val="24"/>
          <w:szCs w:val="24"/>
          <w:highlight w:val="none"/>
        </w:rPr>
        <w:t>文件的组成部分。修改的投标文件应按照本章第3条、第4条的规定进行编制、密封、标记和递交，并标明“修改”字样。</w:t>
      </w:r>
    </w:p>
    <w:p w14:paraId="585452FD">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b/>
          <w:color w:val="auto"/>
          <w:sz w:val="28"/>
          <w:szCs w:val="28"/>
          <w:highlight w:val="none"/>
        </w:rPr>
      </w:pPr>
      <w:bookmarkStart w:id="212" w:name="_Toc529196551"/>
      <w:bookmarkStart w:id="213" w:name="_Toc515205224"/>
      <w:r>
        <w:rPr>
          <w:rFonts w:hint="eastAsia" w:ascii="宋体" w:hAnsi="宋体" w:eastAsia="宋体"/>
          <w:b/>
          <w:color w:val="auto"/>
          <w:sz w:val="28"/>
          <w:szCs w:val="28"/>
          <w:highlight w:val="none"/>
        </w:rPr>
        <w:t>5. 开标</w:t>
      </w:r>
      <w:bookmarkEnd w:id="212"/>
      <w:bookmarkEnd w:id="213"/>
    </w:p>
    <w:p w14:paraId="66E088A3">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b/>
          <w:color w:val="auto"/>
          <w:sz w:val="28"/>
          <w:szCs w:val="28"/>
          <w:highlight w:val="none"/>
        </w:rPr>
      </w:pPr>
      <w:bookmarkStart w:id="214" w:name="_Toc515205226"/>
      <w:bookmarkStart w:id="215" w:name="_Toc529196553"/>
      <w:r>
        <w:rPr>
          <w:rFonts w:hint="eastAsia" w:ascii="宋体" w:hAnsi="宋体" w:eastAsia="宋体"/>
          <w:b/>
          <w:color w:val="auto"/>
          <w:sz w:val="28"/>
          <w:szCs w:val="28"/>
          <w:highlight w:val="none"/>
        </w:rPr>
        <w:t>5.1 开标时间和地点（B）</w:t>
      </w:r>
      <w:bookmarkEnd w:id="214"/>
      <w:bookmarkEnd w:id="215"/>
    </w:p>
    <w:p w14:paraId="0A6A3FB5">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招标人在本章第4.2.1项规定的投标截止时间（开标时间）,通过电子招标投标交易平台公开开标，所有投标人的法定代表人或其委托代理人应当准时参加。</w:t>
      </w:r>
    </w:p>
    <w:p w14:paraId="33B6B805">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b/>
          <w:color w:val="auto"/>
          <w:sz w:val="28"/>
          <w:szCs w:val="28"/>
          <w:highlight w:val="none"/>
        </w:rPr>
      </w:pPr>
      <w:bookmarkStart w:id="216" w:name="_Toc515205227"/>
      <w:bookmarkStart w:id="217" w:name="_Toc529196554"/>
      <w:r>
        <w:rPr>
          <w:rFonts w:hint="eastAsia" w:ascii="宋体" w:hAnsi="宋体" w:eastAsia="宋体"/>
          <w:b/>
          <w:color w:val="auto"/>
          <w:sz w:val="28"/>
          <w:szCs w:val="28"/>
          <w:highlight w:val="none"/>
        </w:rPr>
        <w:t>5.2 开标程序</w:t>
      </w:r>
      <w:bookmarkEnd w:id="216"/>
      <w:bookmarkEnd w:id="217"/>
    </w:p>
    <w:p w14:paraId="49CDDBF8">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主持人按下列程序进行开标：</w:t>
      </w:r>
    </w:p>
    <w:p w14:paraId="39B14DC7">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（1）宣布开标纪律；</w:t>
      </w:r>
    </w:p>
    <w:p w14:paraId="23870C1D">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（2）公布在投标截止时间前递交投标文件的投标人名称；</w:t>
      </w:r>
    </w:p>
    <w:p w14:paraId="6EF304D7">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（3）宣布</w:t>
      </w:r>
      <w:bookmarkStart w:id="218" w:name="_Toc152042330"/>
      <w:bookmarkStart w:id="219" w:name="_Toc300834975"/>
      <w:bookmarkStart w:id="220" w:name="_Toc361508611"/>
      <w:bookmarkStart w:id="221" w:name="_Toc22119"/>
      <w:bookmarkStart w:id="222" w:name="_Toc144974522"/>
      <w:bookmarkStart w:id="223" w:name="_Toc247513978"/>
      <w:bookmarkStart w:id="224" w:name="_Toc369531542"/>
      <w:bookmarkStart w:id="225" w:name="_Toc247527579"/>
      <w:bookmarkStart w:id="226" w:name="_Toc152045554"/>
      <w:bookmarkStart w:id="227" w:name="_Toc384308236"/>
      <w:bookmarkStart w:id="228" w:name="_Toc352691498"/>
      <w:r>
        <w:rPr>
          <w:rFonts w:hint="eastAsia" w:ascii="宋体" w:hAnsi="宋体" w:eastAsia="宋体"/>
          <w:color w:val="auto"/>
          <w:sz w:val="24"/>
          <w:szCs w:val="24"/>
          <w:highlight w:val="none"/>
        </w:rPr>
        <w:t>开标人、唱标人、记录人</w:t>
      </w:r>
      <w:bookmarkEnd w:id="218"/>
      <w:bookmarkEnd w:id="219"/>
      <w:bookmarkEnd w:id="220"/>
      <w:bookmarkEnd w:id="221"/>
      <w:bookmarkEnd w:id="222"/>
      <w:bookmarkEnd w:id="223"/>
      <w:bookmarkEnd w:id="224"/>
      <w:bookmarkEnd w:id="225"/>
      <w:bookmarkEnd w:id="226"/>
      <w:bookmarkEnd w:id="227"/>
      <w:bookmarkEnd w:id="228"/>
      <w:r>
        <w:rPr>
          <w:rFonts w:hint="eastAsia" w:ascii="宋体" w:hAnsi="宋体" w:eastAsia="宋体"/>
          <w:color w:val="auto"/>
          <w:sz w:val="24"/>
          <w:szCs w:val="24"/>
          <w:highlight w:val="none"/>
        </w:rPr>
        <w:t>、监标人等有关人员姓名；</w:t>
      </w:r>
    </w:p>
    <w:p w14:paraId="1220E1CF">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（4）（B）投标人通过电子招标投标交易平台对已递交的电子投标文件进行解密，公布招标项目名称、投标人名称、投标保证金的递交情况、投标报价、监理服务期限及其他内容，并记录在案；</w:t>
      </w:r>
    </w:p>
    <w:p w14:paraId="08E3DEEA">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（5）（A）投标人代表、招标人代表、监标人、记录人等有关人员在开标记录上签字确认；若有关人员不签字的，不影响开标程序；</w:t>
      </w:r>
    </w:p>
    <w:p w14:paraId="11429D7A">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（6）开标结束。</w:t>
      </w:r>
    </w:p>
    <w:p w14:paraId="53FE2E77">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b/>
          <w:color w:val="auto"/>
          <w:sz w:val="28"/>
          <w:szCs w:val="28"/>
          <w:highlight w:val="none"/>
        </w:rPr>
      </w:pPr>
      <w:bookmarkStart w:id="229" w:name="_Toc515205228"/>
      <w:bookmarkStart w:id="230" w:name="_Toc529196555"/>
      <w:r>
        <w:rPr>
          <w:rFonts w:hint="eastAsia" w:ascii="宋体" w:hAnsi="宋体" w:eastAsia="宋体"/>
          <w:b/>
          <w:color w:val="auto"/>
          <w:sz w:val="28"/>
          <w:szCs w:val="28"/>
          <w:highlight w:val="none"/>
        </w:rPr>
        <w:t>5.3 开标异议</w:t>
      </w:r>
      <w:bookmarkEnd w:id="229"/>
      <w:bookmarkEnd w:id="230"/>
    </w:p>
    <w:p w14:paraId="5224D69F">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投标人对开标有异议的，应当在开标时通过电子交易系统提出，招标人应当对投标人提出的异议当场作出答复，并在电子交易系统中如实记录。参加现场开标会的投标人，对开标有异议的，应当在开标现场提出，招标人</w:t>
      </w:r>
      <w:r>
        <w:rPr>
          <w:rFonts w:hint="eastAsia" w:ascii="宋体" w:hAnsi="宋体" w:eastAsia="宋体"/>
          <w:color w:val="auto"/>
          <w:sz w:val="24"/>
          <w:szCs w:val="24"/>
          <w:highlight w:val="none"/>
          <w:lang w:val="en-US" w:eastAsia="zh-CN"/>
        </w:rPr>
        <w:t>应当</w:t>
      </w:r>
      <w:r>
        <w:rPr>
          <w:rFonts w:hint="eastAsia" w:ascii="宋体" w:hAnsi="宋体" w:eastAsia="宋体"/>
          <w:color w:val="auto"/>
          <w:sz w:val="24"/>
          <w:szCs w:val="24"/>
          <w:highlight w:val="none"/>
        </w:rPr>
        <w:t>当场作出答复，并制作记录。</w:t>
      </w:r>
    </w:p>
    <w:p w14:paraId="3763131E">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b/>
          <w:color w:val="auto"/>
          <w:sz w:val="28"/>
          <w:szCs w:val="28"/>
          <w:highlight w:val="none"/>
        </w:rPr>
      </w:pPr>
      <w:bookmarkStart w:id="231" w:name="_Toc515205229"/>
      <w:bookmarkStart w:id="232" w:name="_Toc529196556"/>
      <w:r>
        <w:rPr>
          <w:rFonts w:hint="eastAsia" w:ascii="宋体" w:hAnsi="宋体" w:eastAsia="宋体"/>
          <w:b/>
          <w:color w:val="auto"/>
          <w:sz w:val="28"/>
          <w:szCs w:val="28"/>
          <w:highlight w:val="none"/>
        </w:rPr>
        <w:t>6. 评标</w:t>
      </w:r>
      <w:bookmarkEnd w:id="231"/>
      <w:bookmarkEnd w:id="232"/>
    </w:p>
    <w:p w14:paraId="221DCEF0">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b/>
          <w:color w:val="auto"/>
          <w:sz w:val="28"/>
          <w:szCs w:val="28"/>
          <w:highlight w:val="none"/>
        </w:rPr>
      </w:pPr>
      <w:bookmarkStart w:id="233" w:name="_Toc515205230"/>
      <w:bookmarkStart w:id="234" w:name="_Toc529196557"/>
      <w:r>
        <w:rPr>
          <w:rFonts w:hint="eastAsia" w:ascii="宋体" w:hAnsi="宋体" w:eastAsia="宋体"/>
          <w:b/>
          <w:color w:val="auto"/>
          <w:sz w:val="28"/>
          <w:szCs w:val="28"/>
          <w:highlight w:val="none"/>
        </w:rPr>
        <w:t>6.1 评标委员会</w:t>
      </w:r>
      <w:bookmarkEnd w:id="233"/>
      <w:bookmarkEnd w:id="234"/>
    </w:p>
    <w:p w14:paraId="5CBA8D2E">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6886C7CA">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6.1.2 评标委员会成员有下列情形之一的，应当回避：</w:t>
      </w:r>
    </w:p>
    <w:p w14:paraId="03B5EE1B">
      <w:pPr>
        <w:spacing w:line="360" w:lineRule="auto"/>
        <w:ind w:firstLine="484" w:firstLineChars="202"/>
        <w:rPr>
          <w:rFonts w:ascii="宋体" w:hAnsi="宋体" w:eastAsia="宋体"/>
          <w:color w:val="auto"/>
          <w:sz w:val="24"/>
          <w:szCs w:val="24"/>
          <w:highlight w:val="none"/>
        </w:rPr>
      </w:pPr>
      <w:r>
        <w:rPr>
          <w:rFonts w:hint="eastAsia" w:ascii="宋体" w:hAnsi="宋体" w:eastAsia="宋体"/>
          <w:color w:val="auto"/>
          <w:sz w:val="24"/>
          <w:szCs w:val="24"/>
          <w:highlight w:val="none"/>
        </w:rPr>
        <w:t>（1）投标人或投标人主要负责人的近亲属；</w:t>
      </w:r>
    </w:p>
    <w:p w14:paraId="644B58B6">
      <w:pPr>
        <w:spacing w:line="360" w:lineRule="auto"/>
        <w:ind w:firstLine="484" w:firstLineChars="202"/>
        <w:rPr>
          <w:rFonts w:ascii="宋体" w:hAnsi="宋体" w:eastAsia="宋体"/>
          <w:color w:val="auto"/>
          <w:sz w:val="24"/>
          <w:szCs w:val="24"/>
          <w:highlight w:val="none"/>
        </w:rPr>
      </w:pPr>
      <w:r>
        <w:rPr>
          <w:rFonts w:hint="eastAsia" w:ascii="宋体" w:hAnsi="宋体" w:eastAsia="宋体"/>
          <w:color w:val="auto"/>
          <w:sz w:val="24"/>
          <w:szCs w:val="24"/>
          <w:highlight w:val="none"/>
        </w:rPr>
        <w:t>（2）项目主管部门或者行政监督部门的人员；</w:t>
      </w:r>
    </w:p>
    <w:p w14:paraId="59581F36">
      <w:pPr>
        <w:spacing w:line="360" w:lineRule="auto"/>
        <w:ind w:firstLine="484" w:firstLineChars="202"/>
        <w:rPr>
          <w:rFonts w:ascii="宋体" w:hAnsi="宋体" w:eastAsia="宋体"/>
          <w:color w:val="auto"/>
          <w:sz w:val="24"/>
          <w:szCs w:val="24"/>
          <w:highlight w:val="none"/>
        </w:rPr>
      </w:pPr>
      <w:r>
        <w:rPr>
          <w:rFonts w:hint="eastAsia" w:ascii="宋体" w:hAnsi="宋体" w:eastAsia="宋体"/>
          <w:color w:val="auto"/>
          <w:sz w:val="24"/>
          <w:szCs w:val="24"/>
          <w:highlight w:val="none"/>
        </w:rPr>
        <w:t>（3）与投标人有经济利益关系，可能影响对投标公正评审的；</w:t>
      </w:r>
    </w:p>
    <w:p w14:paraId="540D9B9C">
      <w:pPr>
        <w:spacing w:line="360" w:lineRule="auto"/>
        <w:ind w:firstLine="484" w:firstLineChars="202"/>
        <w:rPr>
          <w:rFonts w:ascii="宋体" w:hAnsi="宋体" w:eastAsia="宋体"/>
          <w:color w:val="auto"/>
          <w:sz w:val="24"/>
          <w:szCs w:val="24"/>
          <w:highlight w:val="none"/>
        </w:rPr>
      </w:pPr>
      <w:r>
        <w:rPr>
          <w:rFonts w:hint="eastAsia" w:ascii="宋体" w:hAnsi="宋体" w:eastAsia="宋体"/>
          <w:color w:val="auto"/>
          <w:sz w:val="24"/>
          <w:szCs w:val="24"/>
          <w:highlight w:val="none"/>
        </w:rPr>
        <w:t>（4）曾因在招标、评</w:t>
      </w:r>
      <w:bookmarkStart w:id="235" w:name="_Toc247513979"/>
      <w:bookmarkStart w:id="236" w:name="_Toc384308237"/>
      <w:bookmarkStart w:id="237" w:name="_Toc144974523"/>
      <w:bookmarkStart w:id="238" w:name="_Toc300834976"/>
      <w:bookmarkStart w:id="239" w:name="_Toc152042331"/>
      <w:bookmarkStart w:id="240" w:name="_Toc152045555"/>
      <w:bookmarkStart w:id="241" w:name="_Toc6230"/>
      <w:bookmarkStart w:id="242" w:name="_Toc247527580"/>
      <w:bookmarkStart w:id="243" w:name="_Toc352691499"/>
      <w:bookmarkStart w:id="244" w:name="_Toc369531543"/>
      <w:bookmarkStart w:id="245" w:name="_Toc361508612"/>
      <w:r>
        <w:rPr>
          <w:rFonts w:hint="eastAsia" w:ascii="宋体" w:hAnsi="宋体" w:eastAsia="宋体"/>
          <w:color w:val="auto"/>
          <w:sz w:val="24"/>
          <w:szCs w:val="24"/>
          <w:highlight w:val="none"/>
        </w:rPr>
        <w:t>标以及其他</w:t>
      </w:r>
      <w:bookmarkEnd w:id="235"/>
      <w:bookmarkEnd w:id="236"/>
      <w:bookmarkEnd w:id="237"/>
      <w:bookmarkEnd w:id="238"/>
      <w:bookmarkEnd w:id="239"/>
      <w:bookmarkEnd w:id="240"/>
      <w:bookmarkEnd w:id="241"/>
      <w:bookmarkEnd w:id="242"/>
      <w:bookmarkEnd w:id="243"/>
      <w:bookmarkEnd w:id="244"/>
      <w:bookmarkEnd w:id="245"/>
      <w:r>
        <w:rPr>
          <w:rFonts w:hint="eastAsia" w:ascii="宋体" w:hAnsi="宋体" w:eastAsia="宋体"/>
          <w:color w:val="auto"/>
          <w:sz w:val="24"/>
          <w:szCs w:val="24"/>
          <w:highlight w:val="none"/>
        </w:rPr>
        <w:t>与</w:t>
      </w:r>
      <w:bookmarkStart w:id="246" w:name="_Toc247527581"/>
      <w:bookmarkStart w:id="247" w:name="_Toc369531544"/>
      <w:bookmarkStart w:id="248" w:name="_Toc361508613"/>
      <w:bookmarkStart w:id="249" w:name="_Toc352691500"/>
      <w:bookmarkStart w:id="250" w:name="_Toc247513980"/>
      <w:bookmarkStart w:id="251" w:name="_Toc17703"/>
      <w:bookmarkStart w:id="252" w:name="_Toc384308238"/>
      <w:bookmarkStart w:id="253" w:name="_Toc152042332"/>
      <w:bookmarkStart w:id="254" w:name="_Toc152045556"/>
      <w:bookmarkStart w:id="255" w:name="_Toc144974524"/>
      <w:bookmarkStart w:id="256" w:name="_Toc300834977"/>
      <w:r>
        <w:rPr>
          <w:rFonts w:hint="eastAsia" w:ascii="宋体" w:hAnsi="宋体" w:eastAsia="宋体"/>
          <w:color w:val="auto"/>
          <w:sz w:val="24"/>
          <w:szCs w:val="24"/>
          <w:highlight w:val="none"/>
        </w:rPr>
        <w:t>招标投标有关活动中从事违法行</w:t>
      </w:r>
      <w:bookmarkEnd w:id="246"/>
      <w:bookmarkEnd w:id="247"/>
      <w:bookmarkEnd w:id="248"/>
      <w:bookmarkEnd w:id="249"/>
      <w:bookmarkEnd w:id="250"/>
      <w:bookmarkEnd w:id="251"/>
      <w:bookmarkEnd w:id="252"/>
      <w:bookmarkEnd w:id="253"/>
      <w:bookmarkEnd w:id="254"/>
      <w:bookmarkEnd w:id="255"/>
      <w:bookmarkEnd w:id="256"/>
      <w:r>
        <w:rPr>
          <w:rFonts w:hint="eastAsia" w:ascii="宋体" w:hAnsi="宋体" w:eastAsia="宋体"/>
          <w:color w:val="auto"/>
          <w:sz w:val="24"/>
          <w:szCs w:val="24"/>
          <w:highlight w:val="none"/>
        </w:rPr>
        <w:t>为而受过行政处罚或刑事处罚的；</w:t>
      </w:r>
    </w:p>
    <w:p w14:paraId="73F6EC2D">
      <w:pPr>
        <w:spacing w:line="360" w:lineRule="auto"/>
        <w:ind w:firstLine="484" w:firstLineChars="202"/>
        <w:rPr>
          <w:rFonts w:ascii="宋体" w:hAnsi="宋体" w:eastAsia="宋体"/>
          <w:color w:val="auto"/>
          <w:sz w:val="24"/>
          <w:szCs w:val="24"/>
          <w:highlight w:val="none"/>
        </w:rPr>
      </w:pPr>
      <w:r>
        <w:rPr>
          <w:rFonts w:hint="eastAsia" w:ascii="宋体" w:hAnsi="宋体" w:eastAsia="宋体"/>
          <w:color w:val="auto"/>
          <w:sz w:val="24"/>
          <w:szCs w:val="24"/>
          <w:highlight w:val="none"/>
        </w:rPr>
        <w:t>（5）与投标人有其他利害关系。</w:t>
      </w:r>
    </w:p>
    <w:p w14:paraId="105C0809">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6.1.3 评标过程中，评标委员会成员有回避事由、擅离职守或者因健康等原因不能继续评标的，招标人有权更换。被更换的评标委员会成员作出的评审结论无效，由更换后的评标委员会成员重新进行评审。</w:t>
      </w:r>
    </w:p>
    <w:p w14:paraId="6D30DDF9">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b/>
          <w:color w:val="auto"/>
          <w:sz w:val="28"/>
          <w:szCs w:val="28"/>
          <w:highlight w:val="none"/>
        </w:rPr>
      </w:pPr>
      <w:bookmarkStart w:id="257" w:name="_Toc515205231"/>
      <w:bookmarkStart w:id="258" w:name="_Toc529196558"/>
      <w:r>
        <w:rPr>
          <w:rFonts w:hint="eastAsia" w:ascii="宋体" w:hAnsi="宋体" w:eastAsia="宋体"/>
          <w:b/>
          <w:color w:val="auto"/>
          <w:sz w:val="28"/>
          <w:szCs w:val="28"/>
          <w:highlight w:val="none"/>
        </w:rPr>
        <w:t>6.2 评标原则</w:t>
      </w:r>
      <w:bookmarkEnd w:id="257"/>
      <w:bookmarkEnd w:id="258"/>
    </w:p>
    <w:p w14:paraId="439CD5A0">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评标活动遵循公平、公正、科学和择优的原</w:t>
      </w:r>
      <w:bookmarkStart w:id="259" w:name="_Toc369531545"/>
      <w:bookmarkStart w:id="260" w:name="_Toc247527582"/>
      <w:bookmarkStart w:id="261" w:name="_Toc384308239"/>
      <w:bookmarkStart w:id="262" w:name="_Toc300834978"/>
      <w:bookmarkStart w:id="263" w:name="_Toc144974525"/>
      <w:bookmarkStart w:id="264" w:name="_Toc352691501"/>
      <w:bookmarkStart w:id="265" w:name="_Toc152045557"/>
      <w:bookmarkStart w:id="266" w:name="_Toc152042333"/>
      <w:bookmarkStart w:id="267" w:name="_Toc361508614"/>
      <w:bookmarkStart w:id="268" w:name="_Toc18949"/>
      <w:bookmarkStart w:id="269" w:name="_Toc247513981"/>
      <w:r>
        <w:rPr>
          <w:rFonts w:hint="eastAsia" w:ascii="宋体" w:hAnsi="宋体" w:eastAsia="宋体"/>
          <w:color w:val="auto"/>
          <w:sz w:val="24"/>
          <w:szCs w:val="24"/>
          <w:highlight w:val="none"/>
        </w:rPr>
        <w:t>则。</w:t>
      </w:r>
    </w:p>
    <w:p w14:paraId="4C4BE987">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b/>
          <w:color w:val="auto"/>
          <w:sz w:val="28"/>
          <w:szCs w:val="28"/>
          <w:highlight w:val="none"/>
        </w:rPr>
      </w:pPr>
      <w:bookmarkStart w:id="270" w:name="_Toc529196559"/>
      <w:bookmarkStart w:id="271" w:name="_Toc515205232"/>
      <w:r>
        <w:rPr>
          <w:rFonts w:hint="eastAsia" w:ascii="宋体" w:hAnsi="宋体" w:eastAsia="宋体"/>
          <w:b/>
          <w:color w:val="auto"/>
          <w:sz w:val="28"/>
          <w:szCs w:val="28"/>
          <w:highlight w:val="none"/>
        </w:rPr>
        <w:t>6.3 评标</w:t>
      </w:r>
      <w:bookmarkEnd w:id="270"/>
      <w:bookmarkEnd w:id="271"/>
    </w:p>
    <w:p w14:paraId="413AD4DA">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6</w:t>
      </w:r>
      <w:bookmarkEnd w:id="259"/>
      <w:bookmarkEnd w:id="260"/>
      <w:bookmarkEnd w:id="261"/>
      <w:bookmarkEnd w:id="262"/>
      <w:bookmarkEnd w:id="263"/>
      <w:bookmarkEnd w:id="264"/>
      <w:bookmarkEnd w:id="265"/>
      <w:bookmarkEnd w:id="266"/>
      <w:bookmarkEnd w:id="267"/>
      <w:bookmarkEnd w:id="268"/>
      <w:bookmarkEnd w:id="269"/>
      <w:r>
        <w:rPr>
          <w:rFonts w:hint="eastAsia" w:ascii="宋体" w:hAnsi="宋体" w:eastAsia="宋体"/>
          <w:color w:val="auto"/>
          <w:sz w:val="24"/>
          <w:szCs w:val="24"/>
          <w:highlight w:val="none"/>
        </w:rPr>
        <w:t>.3.1评标委员会按照第三章“评标办法”规定的方法、评审因素、标准和程序对投标文件进行评审。第三章“评标办法”没有规定的方法、评审因素和标准，不作为评标依据。</w:t>
      </w:r>
    </w:p>
    <w:p w14:paraId="569584F6">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6.3.2评标完成后，评标委员会应当向招标人提交书面评标报告和中标候选人名单。评标委员会推荐中标</w:t>
      </w:r>
      <w:bookmarkStart w:id="272" w:name="_Toc247527583"/>
      <w:bookmarkStart w:id="273" w:name="_Toc247513982"/>
      <w:bookmarkStart w:id="274" w:name="_Toc369531546"/>
      <w:bookmarkStart w:id="275" w:name="_Toc384308240"/>
      <w:bookmarkStart w:id="276" w:name="_Toc352691502"/>
      <w:bookmarkStart w:id="277" w:name="_Toc361508615"/>
      <w:bookmarkStart w:id="278" w:name="_Toc12259"/>
      <w:bookmarkStart w:id="279" w:name="_Toc152045558"/>
      <w:bookmarkStart w:id="280" w:name="_Toc152042334"/>
      <w:bookmarkStart w:id="281" w:name="_Toc300834979"/>
      <w:bookmarkStart w:id="282" w:name="_Toc144974526"/>
      <w:r>
        <w:rPr>
          <w:rFonts w:hint="eastAsia" w:ascii="宋体" w:hAnsi="宋体" w:eastAsia="宋体"/>
          <w:color w:val="auto"/>
          <w:sz w:val="24"/>
          <w:szCs w:val="24"/>
          <w:highlight w:val="none"/>
        </w:rPr>
        <w:t>候选人的人数见投标人须知前附</w:t>
      </w:r>
      <w:bookmarkEnd w:id="272"/>
      <w:bookmarkEnd w:id="273"/>
      <w:bookmarkEnd w:id="274"/>
      <w:bookmarkEnd w:id="275"/>
      <w:bookmarkEnd w:id="276"/>
      <w:bookmarkEnd w:id="277"/>
      <w:bookmarkEnd w:id="278"/>
      <w:bookmarkEnd w:id="279"/>
      <w:bookmarkEnd w:id="280"/>
      <w:bookmarkEnd w:id="281"/>
      <w:bookmarkEnd w:id="282"/>
      <w:r>
        <w:rPr>
          <w:rFonts w:hint="eastAsia" w:ascii="宋体" w:hAnsi="宋体" w:eastAsia="宋体"/>
          <w:color w:val="auto"/>
          <w:sz w:val="24"/>
          <w:szCs w:val="24"/>
          <w:highlight w:val="none"/>
        </w:rPr>
        <w:t>表。</w:t>
      </w:r>
    </w:p>
    <w:p w14:paraId="27D736A4">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b/>
          <w:color w:val="auto"/>
          <w:sz w:val="28"/>
          <w:szCs w:val="28"/>
          <w:highlight w:val="none"/>
        </w:rPr>
      </w:pPr>
      <w:bookmarkStart w:id="283" w:name="_Toc529196560"/>
      <w:bookmarkStart w:id="284" w:name="_Toc515205233"/>
      <w:r>
        <w:rPr>
          <w:rFonts w:hint="eastAsia" w:ascii="宋体" w:hAnsi="宋体" w:eastAsia="宋体"/>
          <w:b/>
          <w:color w:val="auto"/>
          <w:sz w:val="28"/>
          <w:szCs w:val="28"/>
          <w:highlight w:val="none"/>
        </w:rPr>
        <w:t>7. 合同授予</w:t>
      </w:r>
      <w:bookmarkEnd w:id="283"/>
      <w:bookmarkEnd w:id="284"/>
    </w:p>
    <w:p w14:paraId="2863D6DC">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b/>
          <w:color w:val="auto"/>
          <w:sz w:val="28"/>
          <w:szCs w:val="28"/>
          <w:highlight w:val="none"/>
        </w:rPr>
      </w:pPr>
      <w:bookmarkStart w:id="285" w:name="_Toc529196561"/>
      <w:bookmarkStart w:id="286" w:name="_Toc515205234"/>
      <w:r>
        <w:rPr>
          <w:rFonts w:hint="eastAsia" w:ascii="宋体" w:hAnsi="宋体" w:eastAsia="宋体"/>
          <w:b/>
          <w:color w:val="auto"/>
          <w:sz w:val="28"/>
          <w:szCs w:val="28"/>
          <w:highlight w:val="none"/>
        </w:rPr>
        <w:t>7.1 中标候选人公示</w:t>
      </w:r>
      <w:bookmarkEnd w:id="285"/>
      <w:bookmarkEnd w:id="286"/>
    </w:p>
    <w:p w14:paraId="397A7BC1">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招标人在收到评标报告之日起3日内，按照投标人须知前附表规定的公示媒介和期限公示中标候选人，公示期不得少于3天。</w:t>
      </w:r>
    </w:p>
    <w:p w14:paraId="5031DB1F">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b/>
          <w:color w:val="auto"/>
          <w:sz w:val="28"/>
          <w:szCs w:val="28"/>
          <w:highlight w:val="none"/>
        </w:rPr>
      </w:pPr>
      <w:bookmarkStart w:id="287" w:name="_Toc515205235"/>
      <w:bookmarkStart w:id="288" w:name="_Toc529196562"/>
      <w:r>
        <w:rPr>
          <w:rFonts w:hint="eastAsia" w:ascii="宋体" w:hAnsi="宋体" w:eastAsia="宋体"/>
          <w:b/>
          <w:color w:val="auto"/>
          <w:sz w:val="28"/>
          <w:szCs w:val="28"/>
          <w:highlight w:val="none"/>
        </w:rPr>
        <w:t>7.2 评标结果异议</w:t>
      </w:r>
      <w:bookmarkEnd w:id="287"/>
      <w:bookmarkEnd w:id="288"/>
    </w:p>
    <w:p w14:paraId="7B6353A7">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投标人或者其他利</w:t>
      </w:r>
      <w:bookmarkStart w:id="289" w:name="_Toc152042337"/>
      <w:bookmarkStart w:id="290" w:name="_Toc30095"/>
      <w:bookmarkStart w:id="291" w:name="_Toc300834982"/>
      <w:bookmarkStart w:id="292" w:name="_Toc247513985"/>
      <w:bookmarkStart w:id="293" w:name="_Toc247527586"/>
      <w:bookmarkStart w:id="294" w:name="_Toc144974529"/>
      <w:bookmarkStart w:id="295" w:name="_Toc352691505"/>
      <w:bookmarkStart w:id="296" w:name="_Toc361508618"/>
      <w:bookmarkStart w:id="297" w:name="_Toc384308243"/>
      <w:bookmarkStart w:id="298" w:name="_Toc152045561"/>
      <w:bookmarkStart w:id="299" w:name="_Toc369531549"/>
      <w:r>
        <w:rPr>
          <w:rFonts w:hint="eastAsia" w:ascii="宋体" w:hAnsi="宋体" w:eastAsia="宋体"/>
          <w:color w:val="auto"/>
          <w:sz w:val="24"/>
          <w:szCs w:val="24"/>
          <w:highlight w:val="none"/>
        </w:rPr>
        <w:t>害关系人对评标结</w:t>
      </w:r>
      <w:bookmarkEnd w:id="289"/>
      <w:bookmarkEnd w:id="290"/>
      <w:bookmarkEnd w:id="291"/>
      <w:bookmarkEnd w:id="292"/>
      <w:bookmarkEnd w:id="293"/>
      <w:bookmarkEnd w:id="294"/>
      <w:bookmarkEnd w:id="295"/>
      <w:bookmarkEnd w:id="296"/>
      <w:bookmarkEnd w:id="297"/>
      <w:bookmarkEnd w:id="298"/>
      <w:bookmarkEnd w:id="299"/>
      <w:r>
        <w:rPr>
          <w:rFonts w:hint="eastAsia" w:ascii="宋体" w:hAnsi="宋体" w:eastAsia="宋体"/>
          <w:color w:val="auto"/>
          <w:sz w:val="24"/>
          <w:szCs w:val="24"/>
          <w:highlight w:val="none"/>
        </w:rPr>
        <w:t>果有异议的，应当在中标候选人公示期间提出。招标人将在收到异议之日起3日内作出答复；作出答复前，将暂停招标投标活动。</w:t>
      </w:r>
    </w:p>
    <w:p w14:paraId="42AAD332">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b/>
          <w:color w:val="auto"/>
          <w:sz w:val="28"/>
          <w:szCs w:val="28"/>
          <w:highlight w:val="none"/>
        </w:rPr>
      </w:pPr>
      <w:bookmarkStart w:id="300" w:name="_Toc529196563"/>
      <w:bookmarkStart w:id="301" w:name="_Toc515205236"/>
      <w:r>
        <w:rPr>
          <w:rFonts w:hint="eastAsia" w:ascii="宋体" w:hAnsi="宋体" w:eastAsia="宋体"/>
          <w:b/>
          <w:color w:val="auto"/>
          <w:sz w:val="28"/>
          <w:szCs w:val="28"/>
          <w:highlight w:val="none"/>
        </w:rPr>
        <w:t>7.3 中标候选人履约能力审查</w:t>
      </w:r>
      <w:bookmarkEnd w:id="300"/>
      <w:bookmarkEnd w:id="301"/>
    </w:p>
    <w:p w14:paraId="2A841185">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中标候选人的经营、财务状况发生较大变化或存在违法行为，招标人认为可能影响其履约能力的，将在发出中标通知书前提请原评标委员会按照招标文件规定的标准和方法进行审查确认。</w:t>
      </w:r>
    </w:p>
    <w:p w14:paraId="5C8FFEA1">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b/>
          <w:color w:val="auto"/>
          <w:sz w:val="28"/>
          <w:szCs w:val="28"/>
          <w:highlight w:val="none"/>
        </w:rPr>
      </w:pPr>
      <w:bookmarkStart w:id="302" w:name="_Toc515205237"/>
      <w:bookmarkStart w:id="303" w:name="_Toc529196564"/>
      <w:r>
        <w:rPr>
          <w:rFonts w:hint="eastAsia" w:ascii="宋体" w:hAnsi="宋体" w:eastAsia="宋体"/>
          <w:b/>
          <w:color w:val="auto"/>
          <w:sz w:val="28"/>
          <w:szCs w:val="28"/>
          <w:highlight w:val="none"/>
        </w:rPr>
        <w:t>7.4 定标</w:t>
      </w:r>
      <w:bookmarkEnd w:id="302"/>
      <w:bookmarkEnd w:id="303"/>
    </w:p>
    <w:p w14:paraId="1EE55D6B">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按照投标人须知前附表的规定，招标人或招标人授权的评标委员会依法确定中标人。</w:t>
      </w:r>
    </w:p>
    <w:p w14:paraId="030B02DB">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b/>
          <w:color w:val="auto"/>
          <w:sz w:val="28"/>
          <w:szCs w:val="28"/>
          <w:highlight w:val="none"/>
        </w:rPr>
      </w:pPr>
      <w:bookmarkStart w:id="304" w:name="_Toc515205238"/>
      <w:bookmarkStart w:id="305" w:name="_Toc529196565"/>
      <w:r>
        <w:rPr>
          <w:rFonts w:hint="eastAsia" w:ascii="宋体" w:hAnsi="宋体" w:eastAsia="宋体"/>
          <w:b/>
          <w:color w:val="auto"/>
          <w:sz w:val="28"/>
          <w:szCs w:val="28"/>
          <w:highlight w:val="none"/>
        </w:rPr>
        <w:t>7.5 中标通知</w:t>
      </w:r>
      <w:bookmarkEnd w:id="304"/>
      <w:bookmarkEnd w:id="305"/>
    </w:p>
    <w:p w14:paraId="55AE1EE6">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在本章第3.3款规定的投标有效期内，招标人以书面形式向中标人发出中标</w:t>
      </w:r>
      <w:bookmarkStart w:id="306" w:name="_Toc5668"/>
      <w:bookmarkStart w:id="307" w:name="_Toc361508619"/>
      <w:bookmarkStart w:id="308" w:name="_Toc352691506"/>
      <w:bookmarkStart w:id="309" w:name="_Toc384308244"/>
      <w:bookmarkStart w:id="310" w:name="_Toc369531550"/>
      <w:bookmarkStart w:id="311" w:name="_Toc300834983"/>
      <w:r>
        <w:rPr>
          <w:rFonts w:hint="eastAsia" w:ascii="宋体" w:hAnsi="宋体" w:eastAsia="宋体"/>
          <w:color w:val="auto"/>
          <w:sz w:val="24"/>
          <w:szCs w:val="24"/>
          <w:highlight w:val="none"/>
        </w:rPr>
        <w:t>通知书，同时将中</w:t>
      </w:r>
      <w:bookmarkEnd w:id="306"/>
      <w:bookmarkEnd w:id="307"/>
      <w:bookmarkEnd w:id="308"/>
      <w:bookmarkEnd w:id="309"/>
      <w:bookmarkEnd w:id="310"/>
      <w:bookmarkEnd w:id="311"/>
      <w:r>
        <w:rPr>
          <w:rFonts w:hint="eastAsia" w:ascii="宋体" w:hAnsi="宋体" w:eastAsia="宋体"/>
          <w:color w:val="auto"/>
          <w:sz w:val="24"/>
          <w:szCs w:val="24"/>
          <w:highlight w:val="none"/>
        </w:rPr>
        <w:t>标结果通知未中标的投标人。</w:t>
      </w:r>
    </w:p>
    <w:p w14:paraId="44792266">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b/>
          <w:color w:val="auto"/>
          <w:sz w:val="28"/>
          <w:szCs w:val="28"/>
          <w:highlight w:val="none"/>
        </w:rPr>
      </w:pPr>
      <w:bookmarkStart w:id="312" w:name="_Toc515205239"/>
      <w:bookmarkStart w:id="313" w:name="_Toc529196566"/>
      <w:r>
        <w:rPr>
          <w:rFonts w:hint="eastAsia" w:ascii="宋体" w:hAnsi="宋体" w:eastAsia="宋体"/>
          <w:b/>
          <w:color w:val="auto"/>
          <w:sz w:val="28"/>
          <w:szCs w:val="28"/>
          <w:highlight w:val="none"/>
        </w:rPr>
        <w:t>7.6 履约保证金</w:t>
      </w:r>
      <w:bookmarkEnd w:id="312"/>
      <w:bookmarkEnd w:id="313"/>
    </w:p>
    <w:p w14:paraId="64C2B3CB">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7.6.1 在签订合同后，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w:t>
      </w:r>
    </w:p>
    <w:p w14:paraId="7C70BCEF">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7.6.2 中标人不能按本章第7.6.1项要求提交履约保证金的，视为放弃中标，其投标保证金不予退还，给招标人造成的损失超过投标保证金数额的，中标人还应当对超过部分予以赔偿。</w:t>
      </w:r>
    </w:p>
    <w:p w14:paraId="035247B2">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b/>
          <w:color w:val="auto"/>
          <w:sz w:val="28"/>
          <w:szCs w:val="28"/>
          <w:highlight w:val="none"/>
        </w:rPr>
      </w:pPr>
      <w:bookmarkStart w:id="314" w:name="_Toc515205240"/>
      <w:bookmarkStart w:id="315" w:name="_Toc529196567"/>
      <w:r>
        <w:rPr>
          <w:rFonts w:hint="eastAsia" w:ascii="宋体" w:hAnsi="宋体" w:eastAsia="宋体"/>
          <w:b/>
          <w:color w:val="auto"/>
          <w:sz w:val="28"/>
          <w:szCs w:val="28"/>
          <w:highlight w:val="none"/>
        </w:rPr>
        <w:t>7.7 签订合同</w:t>
      </w:r>
      <w:bookmarkEnd w:id="314"/>
      <w:bookmarkEnd w:id="315"/>
    </w:p>
    <w:p w14:paraId="5189E2FB">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7.7.1 招标人和中标人应当在中标通知书发出之日起30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1D96D1E5">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7.7.2 发出中标通知书后，招标人无正当理由拒签合同，或者在签订合同时向中标人提出附加条件的，招标人向中标人退还投标保证金；给中标人造成损失的，还应当赔偿损失。</w:t>
      </w:r>
    </w:p>
    <w:p w14:paraId="0C918021">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b/>
          <w:color w:val="auto"/>
          <w:sz w:val="28"/>
          <w:szCs w:val="28"/>
          <w:highlight w:val="none"/>
        </w:rPr>
      </w:pPr>
      <w:bookmarkStart w:id="316" w:name="_Toc24067"/>
      <w:bookmarkStart w:id="317" w:name="_Toc384308252"/>
      <w:bookmarkStart w:id="318" w:name="_Toc361508627"/>
      <w:bookmarkStart w:id="319" w:name="_Toc529196568"/>
      <w:bookmarkStart w:id="320" w:name="_Toc515205241"/>
      <w:bookmarkStart w:id="321" w:name="_Toc152042344"/>
      <w:bookmarkStart w:id="322" w:name="_Toc247527593"/>
      <w:bookmarkStart w:id="323" w:name="_Toc247513992"/>
      <w:bookmarkStart w:id="324" w:name="_Toc300834991"/>
      <w:bookmarkStart w:id="325" w:name="_Toc144974536"/>
      <w:bookmarkStart w:id="326" w:name="_Toc152045568"/>
      <w:r>
        <w:rPr>
          <w:rFonts w:hint="eastAsia" w:ascii="宋体" w:hAnsi="宋体" w:eastAsia="宋体"/>
          <w:b/>
          <w:color w:val="auto"/>
          <w:sz w:val="28"/>
          <w:szCs w:val="28"/>
          <w:highlight w:val="none"/>
        </w:rPr>
        <w:t>8.</w:t>
      </w:r>
      <w:bookmarkEnd w:id="316"/>
      <w:bookmarkEnd w:id="317"/>
      <w:bookmarkEnd w:id="318"/>
      <w:r>
        <w:rPr>
          <w:rFonts w:hint="eastAsia" w:ascii="宋体" w:hAnsi="宋体" w:eastAsia="宋体"/>
          <w:b/>
          <w:color w:val="auto"/>
          <w:sz w:val="28"/>
          <w:szCs w:val="28"/>
          <w:highlight w:val="none"/>
        </w:rPr>
        <w:t>纪律和监督</w:t>
      </w:r>
      <w:bookmarkEnd w:id="319"/>
      <w:bookmarkEnd w:id="320"/>
    </w:p>
    <w:p w14:paraId="31B7D75C">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b/>
          <w:color w:val="auto"/>
          <w:sz w:val="28"/>
          <w:szCs w:val="28"/>
          <w:highlight w:val="none"/>
        </w:rPr>
      </w:pPr>
      <w:bookmarkStart w:id="327" w:name="_Toc515205242"/>
      <w:bookmarkStart w:id="328" w:name="_Toc529196569"/>
      <w:r>
        <w:rPr>
          <w:rFonts w:hint="eastAsia" w:ascii="宋体" w:hAnsi="宋体" w:eastAsia="宋体"/>
          <w:b/>
          <w:color w:val="auto"/>
          <w:sz w:val="28"/>
          <w:szCs w:val="28"/>
          <w:highlight w:val="none"/>
        </w:rPr>
        <w:t>8.1 对招标人的纪律要求</w:t>
      </w:r>
      <w:bookmarkEnd w:id="327"/>
      <w:bookmarkEnd w:id="328"/>
    </w:p>
    <w:p w14:paraId="7943F842">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招标人不得泄露招标投标活动中应当保密的情况和资料，不得与投标人串通损害国家利益、社会公共利益或者他人合法权益。</w:t>
      </w:r>
    </w:p>
    <w:p w14:paraId="1F5A0914">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b/>
          <w:color w:val="auto"/>
          <w:sz w:val="28"/>
          <w:szCs w:val="28"/>
          <w:highlight w:val="none"/>
        </w:rPr>
      </w:pPr>
      <w:bookmarkStart w:id="329" w:name="_Toc529196570"/>
      <w:bookmarkStart w:id="330" w:name="_Toc515205243"/>
      <w:r>
        <w:rPr>
          <w:rFonts w:hint="eastAsia" w:ascii="宋体" w:hAnsi="宋体" w:eastAsia="宋体"/>
          <w:b/>
          <w:color w:val="auto"/>
          <w:sz w:val="28"/>
          <w:szCs w:val="28"/>
          <w:highlight w:val="none"/>
        </w:rPr>
        <w:t>8.2 对投标人的纪律要求</w:t>
      </w:r>
      <w:bookmarkEnd w:id="329"/>
      <w:bookmarkEnd w:id="330"/>
    </w:p>
    <w:p w14:paraId="40298BD5">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4C2CE5DA">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b/>
          <w:color w:val="auto"/>
          <w:sz w:val="28"/>
          <w:szCs w:val="28"/>
          <w:highlight w:val="none"/>
        </w:rPr>
      </w:pPr>
      <w:bookmarkStart w:id="331" w:name="_Toc515205244"/>
      <w:bookmarkStart w:id="332" w:name="_Toc529196571"/>
      <w:r>
        <w:rPr>
          <w:rFonts w:hint="eastAsia" w:ascii="宋体" w:hAnsi="宋体" w:eastAsia="宋体"/>
          <w:b/>
          <w:color w:val="auto"/>
          <w:sz w:val="28"/>
          <w:szCs w:val="28"/>
          <w:highlight w:val="none"/>
        </w:rPr>
        <w:t>8.3 对评标委员会成员的纪律要求</w:t>
      </w:r>
      <w:bookmarkEnd w:id="331"/>
      <w:bookmarkEnd w:id="332"/>
    </w:p>
    <w:p w14:paraId="1F1018AE">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评标委员会成员不得收受他人的财物或者其他好处，不得向他人透露对投标文件的评审</w:t>
      </w:r>
      <w:bookmarkStart w:id="333" w:name="_Toc361508628"/>
      <w:bookmarkStart w:id="334" w:name="_Toc384308253"/>
      <w:bookmarkStart w:id="335" w:name="_Toc13644"/>
      <w:bookmarkStart w:id="336" w:name="_Toc369531559"/>
      <w:bookmarkStart w:id="337" w:name="_Toc352691515"/>
      <w:r>
        <w:rPr>
          <w:rFonts w:hint="eastAsia" w:ascii="宋体" w:hAnsi="宋体" w:eastAsia="宋体"/>
          <w:color w:val="auto"/>
          <w:sz w:val="24"/>
          <w:szCs w:val="24"/>
          <w:highlight w:val="none"/>
        </w:rPr>
        <w:t>和比较、中标候选人</w:t>
      </w:r>
      <w:bookmarkEnd w:id="321"/>
      <w:bookmarkEnd w:id="322"/>
      <w:bookmarkEnd w:id="323"/>
      <w:bookmarkEnd w:id="324"/>
      <w:bookmarkEnd w:id="325"/>
      <w:bookmarkEnd w:id="326"/>
      <w:bookmarkEnd w:id="333"/>
      <w:bookmarkEnd w:id="334"/>
      <w:bookmarkEnd w:id="335"/>
      <w:bookmarkEnd w:id="336"/>
      <w:bookmarkEnd w:id="337"/>
      <w:r>
        <w:rPr>
          <w:rFonts w:hint="eastAsia" w:ascii="宋体" w:hAnsi="宋体" w:eastAsia="宋体"/>
          <w:color w:val="auto"/>
          <w:sz w:val="24"/>
          <w:szCs w:val="24"/>
          <w:highlight w:val="none"/>
        </w:rPr>
        <w:t>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0FF4FC38">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b/>
          <w:color w:val="auto"/>
          <w:sz w:val="28"/>
          <w:szCs w:val="28"/>
          <w:highlight w:val="none"/>
        </w:rPr>
      </w:pPr>
      <w:bookmarkStart w:id="338" w:name="_Toc529196572"/>
      <w:bookmarkStart w:id="339" w:name="_Toc515205245"/>
      <w:r>
        <w:rPr>
          <w:rFonts w:hint="eastAsia" w:ascii="宋体" w:hAnsi="宋体" w:eastAsia="宋体"/>
          <w:b/>
          <w:color w:val="auto"/>
          <w:sz w:val="28"/>
          <w:szCs w:val="28"/>
          <w:highlight w:val="none"/>
        </w:rPr>
        <w:t>8.4 对与评标活动有关的工作人员的纪律要求</w:t>
      </w:r>
      <w:bookmarkEnd w:id="338"/>
      <w:bookmarkEnd w:id="339"/>
    </w:p>
    <w:p w14:paraId="6D12220D">
      <w:pPr>
        <w:spacing w:line="360" w:lineRule="auto"/>
        <w:ind w:firstLine="480" w:firstLineChars="200"/>
        <w:rPr>
          <w:rFonts w:ascii="宋体" w:hAnsi="宋体" w:eastAsia="宋体"/>
          <w:color w:val="auto"/>
          <w:highlight w:val="none"/>
        </w:rPr>
      </w:pPr>
      <w:r>
        <w:rPr>
          <w:rFonts w:hint="eastAsia" w:ascii="宋体" w:hAnsi="宋体" w:eastAsia="宋体"/>
          <w:color w:val="auto"/>
          <w:sz w:val="24"/>
          <w:szCs w:val="24"/>
          <w:highlight w:val="none"/>
        </w:rPr>
        <w:t>与评标活动有关的工作人员不得收受他人的财物或者其他好处，不得向他人透露对投标文件</w:t>
      </w:r>
      <w:bookmarkStart w:id="340" w:name="_Toc300834992"/>
      <w:bookmarkStart w:id="341" w:name="_Toc369531560"/>
      <w:bookmarkStart w:id="342" w:name="_Toc152045569"/>
      <w:bookmarkStart w:id="343" w:name="_Toc361508629"/>
      <w:bookmarkStart w:id="344" w:name="_Toc352691516"/>
      <w:bookmarkStart w:id="345" w:name="_Toc144974537"/>
      <w:bookmarkStart w:id="346" w:name="_Toc247513993"/>
      <w:bookmarkStart w:id="347" w:name="_Toc384308254"/>
      <w:bookmarkStart w:id="348" w:name="_Toc19429"/>
      <w:bookmarkStart w:id="349" w:name="_Toc152042345"/>
      <w:bookmarkStart w:id="350" w:name="_Toc247527594"/>
      <w:r>
        <w:rPr>
          <w:rFonts w:hint="eastAsia" w:ascii="宋体" w:hAnsi="宋体" w:eastAsia="宋体"/>
          <w:color w:val="auto"/>
          <w:sz w:val="24"/>
          <w:szCs w:val="24"/>
          <w:highlight w:val="none"/>
        </w:rPr>
        <w:t>的评审和比较、中标</w:t>
      </w:r>
      <w:bookmarkEnd w:id="340"/>
      <w:bookmarkEnd w:id="341"/>
      <w:bookmarkEnd w:id="342"/>
      <w:bookmarkEnd w:id="343"/>
      <w:bookmarkEnd w:id="344"/>
      <w:bookmarkEnd w:id="345"/>
      <w:bookmarkEnd w:id="346"/>
      <w:bookmarkEnd w:id="347"/>
      <w:bookmarkEnd w:id="348"/>
      <w:bookmarkEnd w:id="349"/>
      <w:bookmarkEnd w:id="350"/>
      <w:r>
        <w:rPr>
          <w:rFonts w:hint="eastAsia" w:ascii="宋体" w:hAnsi="宋体" w:eastAsia="宋体"/>
          <w:color w:val="auto"/>
          <w:sz w:val="24"/>
          <w:szCs w:val="24"/>
          <w:highlight w:val="none"/>
        </w:rPr>
        <w:t>候选人的推荐情况以及评标有关的其他情况。在评标活动中，与评标活动有关的工作人员不得擅离职守，影响评标程序正常进行</w:t>
      </w:r>
      <w:r>
        <w:rPr>
          <w:rFonts w:hint="eastAsia" w:ascii="宋体" w:hAnsi="宋体" w:eastAsia="宋体"/>
          <w:color w:val="auto"/>
          <w:highlight w:val="none"/>
        </w:rPr>
        <w:t>。</w:t>
      </w:r>
    </w:p>
    <w:p w14:paraId="50F32A28">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b/>
          <w:color w:val="auto"/>
          <w:sz w:val="28"/>
          <w:szCs w:val="28"/>
          <w:highlight w:val="none"/>
        </w:rPr>
      </w:pPr>
      <w:bookmarkStart w:id="351" w:name="_Toc529196573"/>
      <w:bookmarkStart w:id="352" w:name="_Toc515205246"/>
      <w:r>
        <w:rPr>
          <w:rFonts w:hint="eastAsia" w:ascii="宋体" w:hAnsi="宋体" w:eastAsia="宋体"/>
          <w:b/>
          <w:color w:val="auto"/>
          <w:sz w:val="28"/>
          <w:szCs w:val="28"/>
          <w:highlight w:val="none"/>
        </w:rPr>
        <w:t>8.5 投诉</w:t>
      </w:r>
      <w:bookmarkEnd w:id="351"/>
      <w:bookmarkEnd w:id="352"/>
    </w:p>
    <w:p w14:paraId="5168B2ED">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8.5.1 投标人或者其他利害关系人认为招标投标活动不符合法律、行政法规规定的，可以自知道或者应当知道之日起10日内向有关行政监督部门投诉。投诉应当有明确的请求和必要的证明材料。</w:t>
      </w:r>
    </w:p>
    <w:p w14:paraId="25C1ADD8">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8.5.2 投标人或者其他利害关系人对招标文件、开标和评标结果提出投诉的，应当按照投标人须知第2.4款、第5.3款和第7.2款的规定先向招标人提出异议。异议答复期间</w:t>
      </w:r>
      <w:bookmarkStart w:id="353" w:name="_Toc152045570"/>
      <w:bookmarkStart w:id="354" w:name="_Toc352691517"/>
      <w:bookmarkStart w:id="355" w:name="_Toc369531561"/>
      <w:bookmarkStart w:id="356" w:name="_Toc247513994"/>
      <w:bookmarkStart w:id="357" w:name="_Toc361508630"/>
      <w:bookmarkStart w:id="358" w:name="_Toc384308255"/>
      <w:bookmarkStart w:id="359" w:name="_Toc247527595"/>
      <w:bookmarkStart w:id="360" w:name="_Toc300834993"/>
      <w:bookmarkStart w:id="361" w:name="_Toc152042346"/>
      <w:bookmarkStart w:id="362" w:name="_Toc144974538"/>
      <w:bookmarkStart w:id="363" w:name="_Toc12776"/>
      <w:r>
        <w:rPr>
          <w:rFonts w:hint="eastAsia" w:ascii="宋体" w:hAnsi="宋体" w:eastAsia="宋体"/>
          <w:color w:val="auto"/>
          <w:sz w:val="24"/>
          <w:szCs w:val="24"/>
          <w:highlight w:val="none"/>
        </w:rPr>
        <w:t>不计算在第8.5.</w:t>
      </w:r>
      <w:bookmarkEnd w:id="353"/>
      <w:bookmarkEnd w:id="354"/>
      <w:bookmarkEnd w:id="355"/>
      <w:bookmarkEnd w:id="356"/>
      <w:bookmarkEnd w:id="357"/>
      <w:bookmarkEnd w:id="358"/>
      <w:bookmarkEnd w:id="359"/>
      <w:bookmarkEnd w:id="360"/>
      <w:bookmarkEnd w:id="361"/>
      <w:bookmarkEnd w:id="362"/>
      <w:bookmarkEnd w:id="363"/>
      <w:r>
        <w:rPr>
          <w:rFonts w:hint="eastAsia" w:ascii="宋体" w:hAnsi="宋体" w:eastAsia="宋体"/>
          <w:color w:val="auto"/>
          <w:sz w:val="24"/>
          <w:szCs w:val="24"/>
          <w:highlight w:val="none"/>
        </w:rPr>
        <w:t>1项规定的期限内。</w:t>
      </w:r>
    </w:p>
    <w:p w14:paraId="2B9C1787">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b/>
          <w:color w:val="auto"/>
          <w:sz w:val="28"/>
          <w:szCs w:val="28"/>
          <w:highlight w:val="none"/>
        </w:rPr>
      </w:pPr>
      <w:bookmarkStart w:id="364" w:name="_Toc515205247"/>
      <w:bookmarkStart w:id="365" w:name="_Toc529196574"/>
      <w:bookmarkStart w:id="366" w:name="_Toc477134992"/>
      <w:r>
        <w:rPr>
          <w:rFonts w:hint="eastAsia" w:ascii="宋体" w:hAnsi="宋体" w:eastAsia="宋体"/>
          <w:b/>
          <w:color w:val="auto"/>
          <w:sz w:val="28"/>
          <w:szCs w:val="28"/>
          <w:highlight w:val="none"/>
        </w:rPr>
        <w:t>9. 是否采用电子招标投标</w:t>
      </w:r>
      <w:bookmarkEnd w:id="364"/>
      <w:bookmarkEnd w:id="365"/>
      <w:bookmarkEnd w:id="366"/>
    </w:p>
    <w:p w14:paraId="128C8AA9">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本招标项目是否采用电子招标投标方式，见投标人须知前附表。</w:t>
      </w:r>
    </w:p>
    <w:p w14:paraId="35DC5CEA">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b/>
          <w:color w:val="auto"/>
          <w:sz w:val="28"/>
          <w:szCs w:val="28"/>
          <w:highlight w:val="none"/>
        </w:rPr>
      </w:pPr>
      <w:bookmarkStart w:id="367" w:name="_Toc529196575"/>
      <w:bookmarkStart w:id="368" w:name="_Toc515205248"/>
      <w:r>
        <w:rPr>
          <w:rFonts w:hint="eastAsia" w:ascii="宋体" w:hAnsi="宋体" w:eastAsia="宋体"/>
          <w:b/>
          <w:color w:val="auto"/>
          <w:sz w:val="28"/>
          <w:szCs w:val="28"/>
          <w:highlight w:val="none"/>
        </w:rPr>
        <w:t>10. 需要补充的其他内容</w:t>
      </w:r>
      <w:bookmarkEnd w:id="367"/>
      <w:bookmarkEnd w:id="368"/>
    </w:p>
    <w:p w14:paraId="6602DFC7">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见投标人须知前附表。</w:t>
      </w:r>
    </w:p>
    <w:p w14:paraId="5C80781D">
      <w:pPr>
        <w:widowControl/>
        <w:jc w:val="left"/>
        <w:rPr>
          <w:rFonts w:ascii="宋体" w:hAnsi="宋体" w:eastAsia="宋体"/>
          <w:color w:val="auto"/>
          <w:highlight w:val="none"/>
        </w:rPr>
        <w:sectPr>
          <w:pgSz w:w="12240" w:h="15840"/>
          <w:pgMar w:top="1304" w:right="1417" w:bottom="1304" w:left="1417" w:header="0" w:footer="567" w:gutter="0"/>
          <w:pgBorders>
            <w:top w:val="none" w:sz="0" w:space="0"/>
            <w:left w:val="none" w:sz="0" w:space="0"/>
            <w:bottom w:val="none" w:sz="0" w:space="0"/>
            <w:right w:val="none" w:sz="0" w:space="0"/>
          </w:pgBorders>
          <w:cols w:space="0" w:num="1"/>
          <w:rtlGutter w:val="1"/>
          <w:docGrid w:linePitch="286" w:charSpace="0"/>
        </w:sectPr>
      </w:pPr>
    </w:p>
    <w:p w14:paraId="61EA0068">
      <w:pPr>
        <w:spacing w:line="2" w:lineRule="exact"/>
        <w:rPr>
          <w:rFonts w:ascii="宋体" w:hAnsi="宋体" w:eastAsia="宋体"/>
          <w:color w:val="auto"/>
          <w:highlight w:val="none"/>
        </w:rPr>
      </w:pPr>
    </w:p>
    <w:p w14:paraId="7731363B">
      <w:pPr>
        <w:spacing w:after="240"/>
        <w:rPr>
          <w:rFonts w:ascii="宋体" w:hAnsi="宋体" w:eastAsia="宋体"/>
          <w:b/>
          <w:color w:val="auto"/>
          <w:sz w:val="28"/>
          <w:highlight w:val="none"/>
        </w:rPr>
      </w:pPr>
      <w:bookmarkStart w:id="369" w:name="_Toc529196576"/>
      <w:bookmarkStart w:id="370" w:name="_Toc535938714"/>
      <w:bookmarkStart w:id="371" w:name="_Toc530470624"/>
      <w:r>
        <w:rPr>
          <w:rFonts w:hint="eastAsia" w:ascii="宋体" w:hAnsi="宋体" w:eastAsia="宋体"/>
          <w:b/>
          <w:color w:val="auto"/>
          <w:sz w:val="28"/>
          <w:szCs w:val="20"/>
          <w:highlight w:val="none"/>
        </w:rPr>
        <w:t>附件一：开标记录表</w:t>
      </w:r>
      <w:bookmarkEnd w:id="369"/>
      <w:bookmarkEnd w:id="370"/>
      <w:bookmarkEnd w:id="371"/>
      <w:r>
        <w:rPr>
          <w:rFonts w:hint="eastAsia" w:ascii="宋体" w:hAnsi="宋体" w:eastAsia="宋体"/>
          <w:b/>
          <w:color w:val="auto"/>
          <w:sz w:val="28"/>
          <w:highlight w:val="none"/>
        </w:rPr>
        <w:t>（按</w:t>
      </w:r>
      <w:r>
        <w:rPr>
          <w:rFonts w:hint="eastAsia" w:ascii="宋体" w:hAnsi="宋体" w:eastAsia="宋体"/>
          <w:b/>
          <w:color w:val="auto"/>
          <w:sz w:val="28"/>
          <w:highlight w:val="none"/>
          <w:lang w:eastAsia="zh-CN"/>
        </w:rPr>
        <w:t>广州交易集团有限公司（广州公共资源交易中心）</w:t>
      </w:r>
      <w:r>
        <w:rPr>
          <w:rFonts w:hint="eastAsia" w:ascii="宋体" w:hAnsi="宋体" w:eastAsia="宋体"/>
          <w:b/>
          <w:color w:val="auto"/>
          <w:sz w:val="28"/>
          <w:highlight w:val="none"/>
        </w:rPr>
        <w:t>系统导出为准）</w:t>
      </w:r>
    </w:p>
    <w:p w14:paraId="6A2A4EAD">
      <w:pPr>
        <w:spacing w:line="440" w:lineRule="exact"/>
        <w:jc w:val="center"/>
        <w:outlineLvl w:val="2"/>
        <w:rPr>
          <w:rFonts w:ascii="宋体" w:hAnsi="宋体" w:eastAsia="宋体"/>
          <w:b/>
          <w:color w:val="auto"/>
          <w:sz w:val="32"/>
          <w:szCs w:val="32"/>
          <w:highlight w:val="none"/>
        </w:rPr>
      </w:pPr>
      <w:r>
        <w:rPr>
          <w:rFonts w:hint="eastAsia" w:ascii="宋体" w:hAnsi="宋体" w:eastAsia="宋体"/>
          <w:b/>
          <w:color w:val="auto"/>
          <w:sz w:val="32"/>
          <w:szCs w:val="32"/>
          <w:highlight w:val="none"/>
        </w:rPr>
        <w:t>开标记录表</w:t>
      </w:r>
    </w:p>
    <w:p w14:paraId="3F7AAB18">
      <w:pPr>
        <w:pStyle w:val="19"/>
        <w:tabs>
          <w:tab w:val="left" w:pos="3614"/>
          <w:tab w:val="left" w:pos="4768"/>
          <w:tab w:val="left" w:pos="5923"/>
          <w:tab w:val="left" w:pos="7078"/>
          <w:tab w:val="left" w:pos="8233"/>
        </w:tabs>
        <w:kinsoku w:val="0"/>
        <w:overflowPunct w:val="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p>
    <w:p w14:paraId="288118B1">
      <w:pPr>
        <w:pStyle w:val="19"/>
        <w:tabs>
          <w:tab w:val="left" w:pos="3614"/>
          <w:tab w:val="left" w:pos="4768"/>
          <w:tab w:val="left" w:pos="5923"/>
          <w:tab w:val="left" w:pos="7078"/>
          <w:tab w:val="left" w:pos="8233"/>
        </w:tabs>
        <w:kinsoku w:val="0"/>
        <w:overflowPunct w:val="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p>
    <w:p w14:paraId="557B6781">
      <w:pPr>
        <w:pStyle w:val="19"/>
        <w:tabs>
          <w:tab w:val="left" w:pos="3614"/>
          <w:tab w:val="left" w:pos="4768"/>
          <w:tab w:val="left" w:pos="5923"/>
          <w:tab w:val="left" w:pos="7078"/>
          <w:tab w:val="left" w:pos="8233"/>
        </w:tabs>
        <w:kinsoku w:val="0"/>
        <w:overflowPunct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w:t>
      </w:r>
      <w:r>
        <w:rPr>
          <w:rFonts w:hint="eastAsia" w:ascii="宋体" w:hAnsi="宋体" w:eastAsia="宋体" w:cs="宋体"/>
          <w:color w:val="auto"/>
          <w:spacing w:val="-3"/>
          <w:sz w:val="24"/>
          <w:szCs w:val="24"/>
          <w:highlight w:val="none"/>
        </w:rPr>
        <w:t>时</w:t>
      </w:r>
      <w:r>
        <w:rPr>
          <w:rFonts w:hint="eastAsia" w:ascii="宋体" w:hAnsi="宋体" w:eastAsia="宋体" w:cs="宋体"/>
          <w:color w:val="auto"/>
          <w:sz w:val="24"/>
          <w:szCs w:val="24"/>
          <w:highlight w:val="none"/>
        </w:rPr>
        <w:t>间</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2"/>
          <w:sz w:val="24"/>
          <w:szCs w:val="24"/>
          <w:highlight w:val="none"/>
          <w:u w:val="single"/>
        </w:rPr>
        <w:tab/>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分</w:t>
      </w:r>
    </w:p>
    <w:tbl>
      <w:tblPr>
        <w:tblStyle w:val="40"/>
        <w:tblW w:w="9616" w:type="dxa"/>
        <w:tblInd w:w="0" w:type="dxa"/>
        <w:tblLayout w:type="fixed"/>
        <w:tblCellMar>
          <w:top w:w="0" w:type="dxa"/>
          <w:left w:w="108" w:type="dxa"/>
          <w:bottom w:w="0" w:type="dxa"/>
          <w:right w:w="108" w:type="dxa"/>
        </w:tblCellMar>
      </w:tblPr>
      <w:tblGrid>
        <w:gridCol w:w="517"/>
        <w:gridCol w:w="1179"/>
        <w:gridCol w:w="908"/>
        <w:gridCol w:w="966"/>
        <w:gridCol w:w="987"/>
        <w:gridCol w:w="944"/>
        <w:gridCol w:w="941"/>
        <w:gridCol w:w="1202"/>
        <w:gridCol w:w="748"/>
        <w:gridCol w:w="1224"/>
      </w:tblGrid>
      <w:tr w14:paraId="6C45EB13">
        <w:tblPrEx>
          <w:tblCellMar>
            <w:top w:w="0" w:type="dxa"/>
            <w:left w:w="108" w:type="dxa"/>
            <w:bottom w:w="0" w:type="dxa"/>
            <w:right w:w="108" w:type="dxa"/>
          </w:tblCellMar>
        </w:tblPrEx>
        <w:trPr>
          <w:trHeight w:val="850" w:hRule="atLeast"/>
        </w:trPr>
        <w:tc>
          <w:tcPr>
            <w:tcW w:w="517" w:type="dxa"/>
            <w:tcBorders>
              <w:top w:val="single" w:color="auto" w:sz="4" w:space="0"/>
              <w:left w:val="single" w:color="auto" w:sz="4" w:space="0"/>
              <w:bottom w:val="single" w:color="auto" w:sz="4" w:space="0"/>
              <w:right w:val="single" w:color="auto" w:sz="4" w:space="0"/>
            </w:tcBorders>
            <w:vAlign w:val="center"/>
          </w:tcPr>
          <w:p w14:paraId="6D99A531">
            <w:pPr>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序号</w:t>
            </w:r>
          </w:p>
        </w:tc>
        <w:tc>
          <w:tcPr>
            <w:tcW w:w="1179" w:type="dxa"/>
            <w:tcBorders>
              <w:top w:val="single" w:color="auto" w:sz="4" w:space="0"/>
              <w:left w:val="single" w:color="auto" w:sz="4" w:space="0"/>
              <w:bottom w:val="single" w:color="auto" w:sz="4" w:space="0"/>
              <w:right w:val="single" w:color="auto" w:sz="4" w:space="0"/>
            </w:tcBorders>
            <w:vAlign w:val="center"/>
          </w:tcPr>
          <w:p w14:paraId="56E883A7">
            <w:pPr>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投标人</w:t>
            </w:r>
          </w:p>
        </w:tc>
        <w:tc>
          <w:tcPr>
            <w:tcW w:w="908" w:type="dxa"/>
            <w:tcBorders>
              <w:top w:val="single" w:color="auto" w:sz="4" w:space="0"/>
              <w:left w:val="single" w:color="auto" w:sz="4" w:space="0"/>
              <w:bottom w:val="single" w:color="auto" w:sz="4" w:space="0"/>
              <w:right w:val="single" w:color="auto" w:sz="4" w:space="0"/>
            </w:tcBorders>
            <w:vAlign w:val="center"/>
          </w:tcPr>
          <w:p w14:paraId="36C058CA">
            <w:pPr>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投标保证金</w:t>
            </w:r>
          </w:p>
        </w:tc>
        <w:tc>
          <w:tcPr>
            <w:tcW w:w="966" w:type="dxa"/>
            <w:tcBorders>
              <w:top w:val="single" w:color="auto" w:sz="4" w:space="0"/>
              <w:left w:val="single" w:color="auto" w:sz="4" w:space="0"/>
              <w:bottom w:val="single" w:color="auto" w:sz="4" w:space="0"/>
              <w:right w:val="single" w:color="auto" w:sz="4" w:space="0"/>
            </w:tcBorders>
            <w:vAlign w:val="center"/>
          </w:tcPr>
          <w:p w14:paraId="691310C4">
            <w:pPr>
              <w:spacing w:line="276" w:lineRule="auto"/>
              <w:ind w:right="-13" w:rightChars="-6"/>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投标报价（元）</w:t>
            </w:r>
          </w:p>
        </w:tc>
        <w:tc>
          <w:tcPr>
            <w:tcW w:w="987" w:type="dxa"/>
            <w:tcBorders>
              <w:top w:val="single" w:color="auto" w:sz="4" w:space="0"/>
              <w:left w:val="single" w:color="auto" w:sz="4" w:space="0"/>
              <w:bottom w:val="single" w:color="auto" w:sz="4" w:space="0"/>
              <w:right w:val="single" w:color="auto" w:sz="4" w:space="0"/>
            </w:tcBorders>
            <w:vAlign w:val="center"/>
          </w:tcPr>
          <w:p w14:paraId="0B65A87E">
            <w:pPr>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总监理工程师</w:t>
            </w:r>
          </w:p>
        </w:tc>
        <w:tc>
          <w:tcPr>
            <w:tcW w:w="944" w:type="dxa"/>
            <w:tcBorders>
              <w:top w:val="single" w:color="auto" w:sz="4" w:space="0"/>
              <w:left w:val="single" w:color="auto" w:sz="4" w:space="0"/>
              <w:bottom w:val="single" w:color="auto" w:sz="4" w:space="0"/>
              <w:right w:val="single" w:color="auto" w:sz="4" w:space="0"/>
            </w:tcBorders>
            <w:vAlign w:val="center"/>
          </w:tcPr>
          <w:p w14:paraId="0374F46D">
            <w:pPr>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监理服务期限</w:t>
            </w:r>
          </w:p>
        </w:tc>
        <w:tc>
          <w:tcPr>
            <w:tcW w:w="941" w:type="dxa"/>
            <w:tcBorders>
              <w:top w:val="single" w:color="auto" w:sz="4" w:space="0"/>
              <w:left w:val="single" w:color="auto" w:sz="4" w:space="0"/>
              <w:bottom w:val="single" w:color="auto" w:sz="4" w:space="0"/>
              <w:right w:val="single" w:color="auto" w:sz="4" w:space="0"/>
            </w:tcBorders>
            <w:vAlign w:val="center"/>
          </w:tcPr>
          <w:p w14:paraId="6C024373">
            <w:pPr>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投标文件递交情况</w:t>
            </w:r>
          </w:p>
        </w:tc>
        <w:tc>
          <w:tcPr>
            <w:tcW w:w="1202" w:type="dxa"/>
            <w:tcBorders>
              <w:top w:val="single" w:color="auto" w:sz="4" w:space="0"/>
              <w:left w:val="single" w:color="auto" w:sz="4" w:space="0"/>
              <w:bottom w:val="single" w:color="auto" w:sz="4" w:space="0"/>
              <w:right w:val="single" w:color="auto" w:sz="4" w:space="0"/>
            </w:tcBorders>
            <w:vAlign w:val="center"/>
          </w:tcPr>
          <w:p w14:paraId="400F72CF">
            <w:pPr>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投标文件解密情况</w:t>
            </w:r>
          </w:p>
        </w:tc>
        <w:tc>
          <w:tcPr>
            <w:tcW w:w="748" w:type="dxa"/>
            <w:tcBorders>
              <w:top w:val="single" w:color="auto" w:sz="4" w:space="0"/>
              <w:left w:val="single" w:color="auto" w:sz="4" w:space="0"/>
              <w:bottom w:val="single" w:color="auto" w:sz="4" w:space="0"/>
              <w:right w:val="single" w:color="auto" w:sz="4" w:space="0"/>
            </w:tcBorders>
            <w:vAlign w:val="center"/>
          </w:tcPr>
          <w:p w14:paraId="3E8BAE21">
            <w:pPr>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备注</w:t>
            </w:r>
          </w:p>
        </w:tc>
        <w:tc>
          <w:tcPr>
            <w:tcW w:w="1224" w:type="dxa"/>
            <w:tcBorders>
              <w:top w:val="single" w:color="auto" w:sz="4" w:space="0"/>
              <w:left w:val="single" w:color="auto" w:sz="4" w:space="0"/>
              <w:bottom w:val="single" w:color="auto" w:sz="4" w:space="0"/>
              <w:right w:val="single" w:color="auto" w:sz="4" w:space="0"/>
            </w:tcBorders>
            <w:vAlign w:val="center"/>
          </w:tcPr>
          <w:p w14:paraId="515884FE">
            <w:pPr>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投标人</w:t>
            </w:r>
          </w:p>
          <w:p w14:paraId="78D23DCC">
            <w:pPr>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代表签名</w:t>
            </w:r>
          </w:p>
        </w:tc>
      </w:tr>
      <w:tr w14:paraId="03A9BCF3">
        <w:tblPrEx>
          <w:tblCellMar>
            <w:top w:w="0" w:type="dxa"/>
            <w:left w:w="108" w:type="dxa"/>
            <w:bottom w:w="0" w:type="dxa"/>
            <w:right w:w="108" w:type="dxa"/>
          </w:tblCellMar>
        </w:tblPrEx>
        <w:tc>
          <w:tcPr>
            <w:tcW w:w="517" w:type="dxa"/>
            <w:tcBorders>
              <w:top w:val="single" w:color="auto" w:sz="4" w:space="0"/>
              <w:left w:val="single" w:color="auto" w:sz="4" w:space="0"/>
              <w:bottom w:val="single" w:color="auto" w:sz="4" w:space="0"/>
              <w:right w:val="single" w:color="auto" w:sz="4" w:space="0"/>
            </w:tcBorders>
            <w:vAlign w:val="center"/>
          </w:tcPr>
          <w:p w14:paraId="5815E0A6">
            <w:pPr>
              <w:spacing w:line="500" w:lineRule="exact"/>
              <w:jc w:val="center"/>
              <w:rPr>
                <w:rFonts w:ascii="宋体" w:hAnsi="宋体" w:eastAsia="宋体"/>
                <w:color w:val="auto"/>
                <w:sz w:val="24"/>
                <w:szCs w:val="24"/>
                <w:highlight w:val="none"/>
              </w:rPr>
            </w:pPr>
          </w:p>
        </w:tc>
        <w:tc>
          <w:tcPr>
            <w:tcW w:w="1179" w:type="dxa"/>
            <w:tcBorders>
              <w:top w:val="single" w:color="auto" w:sz="4" w:space="0"/>
              <w:left w:val="single" w:color="auto" w:sz="4" w:space="0"/>
              <w:bottom w:val="single" w:color="auto" w:sz="4" w:space="0"/>
              <w:right w:val="single" w:color="auto" w:sz="4" w:space="0"/>
            </w:tcBorders>
            <w:vAlign w:val="center"/>
          </w:tcPr>
          <w:p w14:paraId="6C079822">
            <w:pPr>
              <w:spacing w:line="500" w:lineRule="exact"/>
              <w:jc w:val="center"/>
              <w:rPr>
                <w:rFonts w:ascii="宋体" w:hAnsi="宋体" w:eastAsia="宋体"/>
                <w:color w:val="auto"/>
                <w:sz w:val="24"/>
                <w:szCs w:val="24"/>
                <w:highlight w:val="none"/>
              </w:rPr>
            </w:pPr>
          </w:p>
        </w:tc>
        <w:tc>
          <w:tcPr>
            <w:tcW w:w="908" w:type="dxa"/>
            <w:tcBorders>
              <w:top w:val="single" w:color="auto" w:sz="4" w:space="0"/>
              <w:left w:val="single" w:color="auto" w:sz="4" w:space="0"/>
              <w:bottom w:val="single" w:color="auto" w:sz="4" w:space="0"/>
              <w:right w:val="single" w:color="auto" w:sz="4" w:space="0"/>
            </w:tcBorders>
            <w:vAlign w:val="center"/>
          </w:tcPr>
          <w:p w14:paraId="27DA03E0">
            <w:pPr>
              <w:spacing w:line="500" w:lineRule="exact"/>
              <w:jc w:val="center"/>
              <w:rPr>
                <w:rFonts w:ascii="宋体" w:hAnsi="宋体" w:eastAsia="宋体"/>
                <w:color w:val="auto"/>
                <w:sz w:val="24"/>
                <w:szCs w:val="24"/>
                <w:highlight w:val="none"/>
              </w:rPr>
            </w:pPr>
          </w:p>
        </w:tc>
        <w:tc>
          <w:tcPr>
            <w:tcW w:w="966" w:type="dxa"/>
            <w:tcBorders>
              <w:top w:val="single" w:color="auto" w:sz="4" w:space="0"/>
              <w:left w:val="single" w:color="auto" w:sz="4" w:space="0"/>
              <w:bottom w:val="single" w:color="auto" w:sz="4" w:space="0"/>
              <w:right w:val="single" w:color="auto" w:sz="4" w:space="0"/>
            </w:tcBorders>
            <w:vAlign w:val="center"/>
          </w:tcPr>
          <w:p w14:paraId="48328DF6">
            <w:pPr>
              <w:spacing w:line="500" w:lineRule="exact"/>
              <w:jc w:val="center"/>
              <w:rPr>
                <w:rFonts w:ascii="宋体" w:hAnsi="宋体" w:eastAsia="宋体"/>
                <w:color w:val="auto"/>
                <w:sz w:val="24"/>
                <w:szCs w:val="24"/>
                <w:highlight w:val="none"/>
              </w:rPr>
            </w:pPr>
          </w:p>
        </w:tc>
        <w:tc>
          <w:tcPr>
            <w:tcW w:w="987" w:type="dxa"/>
            <w:tcBorders>
              <w:top w:val="single" w:color="auto" w:sz="4" w:space="0"/>
              <w:left w:val="single" w:color="auto" w:sz="4" w:space="0"/>
              <w:bottom w:val="single" w:color="auto" w:sz="4" w:space="0"/>
              <w:right w:val="single" w:color="auto" w:sz="4" w:space="0"/>
            </w:tcBorders>
            <w:vAlign w:val="center"/>
          </w:tcPr>
          <w:p w14:paraId="28469635">
            <w:pPr>
              <w:spacing w:line="500" w:lineRule="exact"/>
              <w:jc w:val="center"/>
              <w:rPr>
                <w:rFonts w:ascii="宋体" w:hAnsi="宋体" w:eastAsia="宋体"/>
                <w:color w:val="auto"/>
                <w:sz w:val="24"/>
                <w:szCs w:val="24"/>
                <w:highlight w:val="none"/>
              </w:rPr>
            </w:pPr>
          </w:p>
        </w:tc>
        <w:tc>
          <w:tcPr>
            <w:tcW w:w="944" w:type="dxa"/>
            <w:tcBorders>
              <w:top w:val="single" w:color="auto" w:sz="4" w:space="0"/>
              <w:left w:val="single" w:color="auto" w:sz="4" w:space="0"/>
              <w:bottom w:val="single" w:color="auto" w:sz="4" w:space="0"/>
              <w:right w:val="single" w:color="auto" w:sz="4" w:space="0"/>
            </w:tcBorders>
            <w:vAlign w:val="center"/>
          </w:tcPr>
          <w:p w14:paraId="5BBD0266">
            <w:pPr>
              <w:spacing w:line="500" w:lineRule="exact"/>
              <w:jc w:val="center"/>
              <w:rPr>
                <w:rFonts w:ascii="宋体" w:hAnsi="宋体" w:eastAsia="宋体"/>
                <w:color w:val="auto"/>
                <w:sz w:val="24"/>
                <w:szCs w:val="24"/>
                <w:highlight w:val="none"/>
              </w:rPr>
            </w:pPr>
          </w:p>
        </w:tc>
        <w:tc>
          <w:tcPr>
            <w:tcW w:w="941" w:type="dxa"/>
            <w:tcBorders>
              <w:top w:val="single" w:color="auto" w:sz="4" w:space="0"/>
              <w:left w:val="single" w:color="auto" w:sz="4" w:space="0"/>
              <w:bottom w:val="single" w:color="auto" w:sz="4" w:space="0"/>
              <w:right w:val="single" w:color="auto" w:sz="4" w:space="0"/>
            </w:tcBorders>
            <w:vAlign w:val="center"/>
          </w:tcPr>
          <w:p w14:paraId="07EDC654">
            <w:pPr>
              <w:spacing w:line="500" w:lineRule="exact"/>
              <w:jc w:val="center"/>
              <w:rPr>
                <w:rFonts w:ascii="宋体" w:hAnsi="宋体" w:eastAsia="宋体"/>
                <w:color w:val="auto"/>
                <w:sz w:val="24"/>
                <w:szCs w:val="24"/>
                <w:highlight w:val="none"/>
              </w:rPr>
            </w:pPr>
          </w:p>
        </w:tc>
        <w:tc>
          <w:tcPr>
            <w:tcW w:w="1202" w:type="dxa"/>
            <w:tcBorders>
              <w:top w:val="single" w:color="auto" w:sz="4" w:space="0"/>
              <w:left w:val="single" w:color="auto" w:sz="4" w:space="0"/>
              <w:bottom w:val="single" w:color="auto" w:sz="4" w:space="0"/>
              <w:right w:val="single" w:color="auto" w:sz="4" w:space="0"/>
            </w:tcBorders>
            <w:vAlign w:val="center"/>
          </w:tcPr>
          <w:p w14:paraId="3AD47886">
            <w:pPr>
              <w:spacing w:line="500" w:lineRule="exact"/>
              <w:jc w:val="center"/>
              <w:rPr>
                <w:rFonts w:ascii="宋体" w:hAnsi="宋体" w:eastAsia="宋体"/>
                <w:color w:val="auto"/>
                <w:sz w:val="24"/>
                <w:szCs w:val="24"/>
                <w:highlight w:val="none"/>
              </w:rPr>
            </w:pPr>
          </w:p>
        </w:tc>
        <w:tc>
          <w:tcPr>
            <w:tcW w:w="748" w:type="dxa"/>
            <w:tcBorders>
              <w:top w:val="single" w:color="auto" w:sz="4" w:space="0"/>
              <w:left w:val="single" w:color="auto" w:sz="4" w:space="0"/>
              <w:bottom w:val="single" w:color="auto" w:sz="4" w:space="0"/>
              <w:right w:val="single" w:color="auto" w:sz="4" w:space="0"/>
            </w:tcBorders>
            <w:vAlign w:val="center"/>
          </w:tcPr>
          <w:p w14:paraId="1FDBF00C">
            <w:pPr>
              <w:spacing w:line="500" w:lineRule="exact"/>
              <w:jc w:val="center"/>
              <w:rPr>
                <w:rFonts w:ascii="宋体" w:hAnsi="宋体" w:eastAsia="宋体"/>
                <w:color w:val="auto"/>
                <w:sz w:val="24"/>
                <w:szCs w:val="24"/>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3D351881">
            <w:pPr>
              <w:spacing w:line="500" w:lineRule="exact"/>
              <w:jc w:val="center"/>
              <w:rPr>
                <w:rFonts w:ascii="宋体" w:hAnsi="宋体" w:eastAsia="宋体"/>
                <w:color w:val="auto"/>
                <w:sz w:val="24"/>
                <w:szCs w:val="24"/>
                <w:highlight w:val="none"/>
              </w:rPr>
            </w:pPr>
          </w:p>
        </w:tc>
      </w:tr>
      <w:tr w14:paraId="5A1C2A9F">
        <w:tblPrEx>
          <w:tblCellMar>
            <w:top w:w="0" w:type="dxa"/>
            <w:left w:w="108" w:type="dxa"/>
            <w:bottom w:w="0" w:type="dxa"/>
            <w:right w:w="108" w:type="dxa"/>
          </w:tblCellMar>
        </w:tblPrEx>
        <w:tc>
          <w:tcPr>
            <w:tcW w:w="517" w:type="dxa"/>
            <w:tcBorders>
              <w:top w:val="single" w:color="auto" w:sz="4" w:space="0"/>
              <w:left w:val="single" w:color="auto" w:sz="4" w:space="0"/>
              <w:bottom w:val="single" w:color="auto" w:sz="4" w:space="0"/>
              <w:right w:val="single" w:color="auto" w:sz="4" w:space="0"/>
            </w:tcBorders>
            <w:vAlign w:val="center"/>
          </w:tcPr>
          <w:p w14:paraId="6FDB002E">
            <w:pPr>
              <w:spacing w:line="500" w:lineRule="exact"/>
              <w:jc w:val="center"/>
              <w:rPr>
                <w:rFonts w:ascii="宋体" w:hAnsi="宋体" w:eastAsia="宋体"/>
                <w:color w:val="auto"/>
                <w:sz w:val="24"/>
                <w:szCs w:val="24"/>
                <w:highlight w:val="none"/>
              </w:rPr>
            </w:pPr>
          </w:p>
        </w:tc>
        <w:tc>
          <w:tcPr>
            <w:tcW w:w="1179" w:type="dxa"/>
            <w:tcBorders>
              <w:top w:val="single" w:color="auto" w:sz="4" w:space="0"/>
              <w:left w:val="single" w:color="auto" w:sz="4" w:space="0"/>
              <w:bottom w:val="single" w:color="auto" w:sz="4" w:space="0"/>
              <w:right w:val="single" w:color="auto" w:sz="4" w:space="0"/>
            </w:tcBorders>
            <w:vAlign w:val="center"/>
          </w:tcPr>
          <w:p w14:paraId="26D0285C">
            <w:pPr>
              <w:spacing w:line="500" w:lineRule="exact"/>
              <w:jc w:val="center"/>
              <w:rPr>
                <w:rFonts w:ascii="宋体" w:hAnsi="宋体" w:eastAsia="宋体"/>
                <w:color w:val="auto"/>
                <w:sz w:val="24"/>
                <w:szCs w:val="24"/>
                <w:highlight w:val="none"/>
              </w:rPr>
            </w:pPr>
          </w:p>
        </w:tc>
        <w:tc>
          <w:tcPr>
            <w:tcW w:w="908" w:type="dxa"/>
            <w:tcBorders>
              <w:top w:val="single" w:color="auto" w:sz="4" w:space="0"/>
              <w:left w:val="single" w:color="auto" w:sz="4" w:space="0"/>
              <w:bottom w:val="single" w:color="auto" w:sz="4" w:space="0"/>
              <w:right w:val="single" w:color="auto" w:sz="4" w:space="0"/>
            </w:tcBorders>
            <w:vAlign w:val="center"/>
          </w:tcPr>
          <w:p w14:paraId="4463B020">
            <w:pPr>
              <w:spacing w:line="500" w:lineRule="exact"/>
              <w:jc w:val="center"/>
              <w:rPr>
                <w:rFonts w:ascii="宋体" w:hAnsi="宋体" w:eastAsia="宋体"/>
                <w:color w:val="auto"/>
                <w:sz w:val="24"/>
                <w:szCs w:val="24"/>
                <w:highlight w:val="none"/>
              </w:rPr>
            </w:pPr>
          </w:p>
        </w:tc>
        <w:tc>
          <w:tcPr>
            <w:tcW w:w="966" w:type="dxa"/>
            <w:tcBorders>
              <w:top w:val="single" w:color="auto" w:sz="4" w:space="0"/>
              <w:left w:val="single" w:color="auto" w:sz="4" w:space="0"/>
              <w:bottom w:val="single" w:color="auto" w:sz="4" w:space="0"/>
              <w:right w:val="single" w:color="auto" w:sz="4" w:space="0"/>
            </w:tcBorders>
            <w:vAlign w:val="center"/>
          </w:tcPr>
          <w:p w14:paraId="1B1E5B51">
            <w:pPr>
              <w:spacing w:line="500" w:lineRule="exact"/>
              <w:jc w:val="center"/>
              <w:rPr>
                <w:rFonts w:ascii="宋体" w:hAnsi="宋体" w:eastAsia="宋体"/>
                <w:color w:val="auto"/>
                <w:sz w:val="24"/>
                <w:szCs w:val="24"/>
                <w:highlight w:val="none"/>
              </w:rPr>
            </w:pPr>
          </w:p>
        </w:tc>
        <w:tc>
          <w:tcPr>
            <w:tcW w:w="987" w:type="dxa"/>
            <w:tcBorders>
              <w:top w:val="single" w:color="auto" w:sz="4" w:space="0"/>
              <w:left w:val="single" w:color="auto" w:sz="4" w:space="0"/>
              <w:bottom w:val="single" w:color="auto" w:sz="4" w:space="0"/>
              <w:right w:val="single" w:color="auto" w:sz="4" w:space="0"/>
            </w:tcBorders>
            <w:vAlign w:val="center"/>
          </w:tcPr>
          <w:p w14:paraId="489A71F4">
            <w:pPr>
              <w:spacing w:line="500" w:lineRule="exact"/>
              <w:jc w:val="center"/>
              <w:rPr>
                <w:rFonts w:ascii="宋体" w:hAnsi="宋体" w:eastAsia="宋体"/>
                <w:color w:val="auto"/>
                <w:sz w:val="24"/>
                <w:szCs w:val="24"/>
                <w:highlight w:val="none"/>
              </w:rPr>
            </w:pPr>
          </w:p>
        </w:tc>
        <w:tc>
          <w:tcPr>
            <w:tcW w:w="944" w:type="dxa"/>
            <w:tcBorders>
              <w:top w:val="single" w:color="auto" w:sz="4" w:space="0"/>
              <w:left w:val="single" w:color="auto" w:sz="4" w:space="0"/>
              <w:bottom w:val="single" w:color="auto" w:sz="4" w:space="0"/>
              <w:right w:val="single" w:color="auto" w:sz="4" w:space="0"/>
            </w:tcBorders>
            <w:vAlign w:val="center"/>
          </w:tcPr>
          <w:p w14:paraId="511F8AF1">
            <w:pPr>
              <w:spacing w:line="500" w:lineRule="exact"/>
              <w:jc w:val="center"/>
              <w:rPr>
                <w:rFonts w:ascii="宋体" w:hAnsi="宋体" w:eastAsia="宋体"/>
                <w:color w:val="auto"/>
                <w:sz w:val="24"/>
                <w:szCs w:val="24"/>
                <w:highlight w:val="none"/>
              </w:rPr>
            </w:pPr>
          </w:p>
        </w:tc>
        <w:tc>
          <w:tcPr>
            <w:tcW w:w="941" w:type="dxa"/>
            <w:tcBorders>
              <w:top w:val="single" w:color="auto" w:sz="4" w:space="0"/>
              <w:left w:val="single" w:color="auto" w:sz="4" w:space="0"/>
              <w:bottom w:val="single" w:color="auto" w:sz="4" w:space="0"/>
              <w:right w:val="single" w:color="auto" w:sz="4" w:space="0"/>
            </w:tcBorders>
            <w:vAlign w:val="center"/>
          </w:tcPr>
          <w:p w14:paraId="78F8FD40">
            <w:pPr>
              <w:spacing w:line="500" w:lineRule="exact"/>
              <w:jc w:val="center"/>
              <w:rPr>
                <w:rFonts w:ascii="宋体" w:hAnsi="宋体" w:eastAsia="宋体"/>
                <w:color w:val="auto"/>
                <w:sz w:val="24"/>
                <w:szCs w:val="24"/>
                <w:highlight w:val="none"/>
              </w:rPr>
            </w:pPr>
          </w:p>
        </w:tc>
        <w:tc>
          <w:tcPr>
            <w:tcW w:w="1202" w:type="dxa"/>
            <w:tcBorders>
              <w:top w:val="single" w:color="auto" w:sz="4" w:space="0"/>
              <w:left w:val="single" w:color="auto" w:sz="4" w:space="0"/>
              <w:bottom w:val="single" w:color="auto" w:sz="4" w:space="0"/>
              <w:right w:val="single" w:color="auto" w:sz="4" w:space="0"/>
            </w:tcBorders>
            <w:vAlign w:val="center"/>
          </w:tcPr>
          <w:p w14:paraId="7BE8FDF4">
            <w:pPr>
              <w:spacing w:line="500" w:lineRule="exact"/>
              <w:jc w:val="center"/>
              <w:rPr>
                <w:rFonts w:ascii="宋体" w:hAnsi="宋体" w:eastAsia="宋体"/>
                <w:color w:val="auto"/>
                <w:sz w:val="24"/>
                <w:szCs w:val="24"/>
                <w:highlight w:val="none"/>
              </w:rPr>
            </w:pPr>
          </w:p>
        </w:tc>
        <w:tc>
          <w:tcPr>
            <w:tcW w:w="748" w:type="dxa"/>
            <w:tcBorders>
              <w:top w:val="single" w:color="auto" w:sz="4" w:space="0"/>
              <w:left w:val="single" w:color="auto" w:sz="4" w:space="0"/>
              <w:bottom w:val="single" w:color="auto" w:sz="4" w:space="0"/>
              <w:right w:val="single" w:color="auto" w:sz="4" w:space="0"/>
            </w:tcBorders>
            <w:vAlign w:val="center"/>
          </w:tcPr>
          <w:p w14:paraId="3D9CFA17">
            <w:pPr>
              <w:spacing w:line="500" w:lineRule="exact"/>
              <w:jc w:val="center"/>
              <w:rPr>
                <w:rFonts w:ascii="宋体" w:hAnsi="宋体" w:eastAsia="宋体"/>
                <w:color w:val="auto"/>
                <w:sz w:val="24"/>
                <w:szCs w:val="24"/>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1C208AEF">
            <w:pPr>
              <w:spacing w:line="500" w:lineRule="exact"/>
              <w:jc w:val="center"/>
              <w:rPr>
                <w:rFonts w:ascii="宋体" w:hAnsi="宋体" w:eastAsia="宋体"/>
                <w:color w:val="auto"/>
                <w:sz w:val="24"/>
                <w:szCs w:val="24"/>
                <w:highlight w:val="none"/>
              </w:rPr>
            </w:pPr>
          </w:p>
        </w:tc>
      </w:tr>
      <w:tr w14:paraId="10CA08A5">
        <w:tblPrEx>
          <w:tblCellMar>
            <w:top w:w="0" w:type="dxa"/>
            <w:left w:w="108" w:type="dxa"/>
            <w:bottom w:w="0" w:type="dxa"/>
            <w:right w:w="108" w:type="dxa"/>
          </w:tblCellMar>
        </w:tblPrEx>
        <w:tc>
          <w:tcPr>
            <w:tcW w:w="517" w:type="dxa"/>
            <w:tcBorders>
              <w:top w:val="single" w:color="auto" w:sz="4" w:space="0"/>
              <w:left w:val="single" w:color="auto" w:sz="4" w:space="0"/>
              <w:bottom w:val="single" w:color="auto" w:sz="4" w:space="0"/>
              <w:right w:val="single" w:color="auto" w:sz="4" w:space="0"/>
            </w:tcBorders>
            <w:vAlign w:val="center"/>
          </w:tcPr>
          <w:p w14:paraId="3B32F6C3">
            <w:pPr>
              <w:spacing w:line="500" w:lineRule="exact"/>
              <w:jc w:val="center"/>
              <w:rPr>
                <w:rFonts w:ascii="宋体" w:hAnsi="宋体" w:eastAsia="宋体"/>
                <w:color w:val="auto"/>
                <w:sz w:val="24"/>
                <w:szCs w:val="24"/>
                <w:highlight w:val="none"/>
              </w:rPr>
            </w:pPr>
          </w:p>
        </w:tc>
        <w:tc>
          <w:tcPr>
            <w:tcW w:w="1179" w:type="dxa"/>
            <w:tcBorders>
              <w:top w:val="single" w:color="auto" w:sz="4" w:space="0"/>
              <w:left w:val="single" w:color="auto" w:sz="4" w:space="0"/>
              <w:bottom w:val="single" w:color="auto" w:sz="4" w:space="0"/>
              <w:right w:val="single" w:color="auto" w:sz="4" w:space="0"/>
            </w:tcBorders>
            <w:vAlign w:val="center"/>
          </w:tcPr>
          <w:p w14:paraId="413F8FBA">
            <w:pPr>
              <w:spacing w:line="500" w:lineRule="exact"/>
              <w:jc w:val="center"/>
              <w:rPr>
                <w:rFonts w:ascii="宋体" w:hAnsi="宋体" w:eastAsia="宋体"/>
                <w:color w:val="auto"/>
                <w:sz w:val="24"/>
                <w:szCs w:val="24"/>
                <w:highlight w:val="none"/>
              </w:rPr>
            </w:pPr>
          </w:p>
        </w:tc>
        <w:tc>
          <w:tcPr>
            <w:tcW w:w="908" w:type="dxa"/>
            <w:tcBorders>
              <w:top w:val="single" w:color="auto" w:sz="4" w:space="0"/>
              <w:left w:val="single" w:color="auto" w:sz="4" w:space="0"/>
              <w:bottom w:val="single" w:color="auto" w:sz="4" w:space="0"/>
              <w:right w:val="single" w:color="auto" w:sz="4" w:space="0"/>
            </w:tcBorders>
            <w:vAlign w:val="center"/>
          </w:tcPr>
          <w:p w14:paraId="2E322EDB">
            <w:pPr>
              <w:spacing w:line="500" w:lineRule="exact"/>
              <w:jc w:val="center"/>
              <w:rPr>
                <w:rFonts w:ascii="宋体" w:hAnsi="宋体" w:eastAsia="宋体"/>
                <w:color w:val="auto"/>
                <w:sz w:val="24"/>
                <w:szCs w:val="24"/>
                <w:highlight w:val="none"/>
              </w:rPr>
            </w:pPr>
          </w:p>
        </w:tc>
        <w:tc>
          <w:tcPr>
            <w:tcW w:w="966" w:type="dxa"/>
            <w:tcBorders>
              <w:top w:val="single" w:color="auto" w:sz="4" w:space="0"/>
              <w:left w:val="single" w:color="auto" w:sz="4" w:space="0"/>
              <w:bottom w:val="single" w:color="auto" w:sz="4" w:space="0"/>
              <w:right w:val="single" w:color="auto" w:sz="4" w:space="0"/>
            </w:tcBorders>
            <w:vAlign w:val="center"/>
          </w:tcPr>
          <w:p w14:paraId="47C43621">
            <w:pPr>
              <w:spacing w:line="500" w:lineRule="exact"/>
              <w:jc w:val="center"/>
              <w:rPr>
                <w:rFonts w:ascii="宋体" w:hAnsi="宋体" w:eastAsia="宋体"/>
                <w:color w:val="auto"/>
                <w:sz w:val="24"/>
                <w:szCs w:val="24"/>
                <w:highlight w:val="none"/>
              </w:rPr>
            </w:pPr>
          </w:p>
        </w:tc>
        <w:tc>
          <w:tcPr>
            <w:tcW w:w="987" w:type="dxa"/>
            <w:tcBorders>
              <w:top w:val="single" w:color="auto" w:sz="4" w:space="0"/>
              <w:left w:val="single" w:color="auto" w:sz="4" w:space="0"/>
              <w:bottom w:val="single" w:color="auto" w:sz="4" w:space="0"/>
              <w:right w:val="single" w:color="auto" w:sz="4" w:space="0"/>
            </w:tcBorders>
            <w:vAlign w:val="center"/>
          </w:tcPr>
          <w:p w14:paraId="101E14A2">
            <w:pPr>
              <w:spacing w:line="500" w:lineRule="exact"/>
              <w:jc w:val="center"/>
              <w:rPr>
                <w:rFonts w:ascii="宋体" w:hAnsi="宋体" w:eastAsia="宋体"/>
                <w:color w:val="auto"/>
                <w:sz w:val="24"/>
                <w:szCs w:val="24"/>
                <w:highlight w:val="none"/>
              </w:rPr>
            </w:pPr>
          </w:p>
        </w:tc>
        <w:tc>
          <w:tcPr>
            <w:tcW w:w="944" w:type="dxa"/>
            <w:tcBorders>
              <w:top w:val="single" w:color="auto" w:sz="4" w:space="0"/>
              <w:left w:val="single" w:color="auto" w:sz="4" w:space="0"/>
              <w:bottom w:val="single" w:color="auto" w:sz="4" w:space="0"/>
              <w:right w:val="single" w:color="auto" w:sz="4" w:space="0"/>
            </w:tcBorders>
            <w:vAlign w:val="center"/>
          </w:tcPr>
          <w:p w14:paraId="355FDFE2">
            <w:pPr>
              <w:spacing w:line="500" w:lineRule="exact"/>
              <w:jc w:val="center"/>
              <w:rPr>
                <w:rFonts w:ascii="宋体" w:hAnsi="宋体" w:eastAsia="宋体"/>
                <w:color w:val="auto"/>
                <w:sz w:val="24"/>
                <w:szCs w:val="24"/>
                <w:highlight w:val="none"/>
              </w:rPr>
            </w:pPr>
          </w:p>
        </w:tc>
        <w:tc>
          <w:tcPr>
            <w:tcW w:w="941" w:type="dxa"/>
            <w:tcBorders>
              <w:top w:val="single" w:color="auto" w:sz="4" w:space="0"/>
              <w:left w:val="single" w:color="auto" w:sz="4" w:space="0"/>
              <w:bottom w:val="single" w:color="auto" w:sz="4" w:space="0"/>
              <w:right w:val="single" w:color="auto" w:sz="4" w:space="0"/>
            </w:tcBorders>
            <w:vAlign w:val="center"/>
          </w:tcPr>
          <w:p w14:paraId="757DB0B2">
            <w:pPr>
              <w:spacing w:line="500" w:lineRule="exact"/>
              <w:jc w:val="center"/>
              <w:rPr>
                <w:rFonts w:ascii="宋体" w:hAnsi="宋体" w:eastAsia="宋体"/>
                <w:color w:val="auto"/>
                <w:sz w:val="24"/>
                <w:szCs w:val="24"/>
                <w:highlight w:val="none"/>
              </w:rPr>
            </w:pPr>
          </w:p>
        </w:tc>
        <w:tc>
          <w:tcPr>
            <w:tcW w:w="1202" w:type="dxa"/>
            <w:tcBorders>
              <w:top w:val="single" w:color="auto" w:sz="4" w:space="0"/>
              <w:left w:val="single" w:color="auto" w:sz="4" w:space="0"/>
              <w:bottom w:val="single" w:color="auto" w:sz="4" w:space="0"/>
              <w:right w:val="single" w:color="auto" w:sz="4" w:space="0"/>
            </w:tcBorders>
            <w:vAlign w:val="center"/>
          </w:tcPr>
          <w:p w14:paraId="5F358200">
            <w:pPr>
              <w:spacing w:line="500" w:lineRule="exact"/>
              <w:jc w:val="center"/>
              <w:rPr>
                <w:rFonts w:ascii="宋体" w:hAnsi="宋体" w:eastAsia="宋体"/>
                <w:color w:val="auto"/>
                <w:sz w:val="24"/>
                <w:szCs w:val="24"/>
                <w:highlight w:val="none"/>
              </w:rPr>
            </w:pPr>
          </w:p>
        </w:tc>
        <w:tc>
          <w:tcPr>
            <w:tcW w:w="748" w:type="dxa"/>
            <w:tcBorders>
              <w:top w:val="single" w:color="auto" w:sz="4" w:space="0"/>
              <w:left w:val="single" w:color="auto" w:sz="4" w:space="0"/>
              <w:bottom w:val="single" w:color="auto" w:sz="4" w:space="0"/>
              <w:right w:val="single" w:color="auto" w:sz="4" w:space="0"/>
            </w:tcBorders>
            <w:vAlign w:val="center"/>
          </w:tcPr>
          <w:p w14:paraId="239EE667">
            <w:pPr>
              <w:spacing w:line="500" w:lineRule="exact"/>
              <w:jc w:val="center"/>
              <w:rPr>
                <w:rFonts w:ascii="宋体" w:hAnsi="宋体" w:eastAsia="宋体"/>
                <w:color w:val="auto"/>
                <w:sz w:val="24"/>
                <w:szCs w:val="24"/>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3FBFEA2B">
            <w:pPr>
              <w:spacing w:line="500" w:lineRule="exact"/>
              <w:jc w:val="center"/>
              <w:rPr>
                <w:rFonts w:ascii="宋体" w:hAnsi="宋体" w:eastAsia="宋体"/>
                <w:color w:val="auto"/>
                <w:sz w:val="24"/>
                <w:szCs w:val="24"/>
                <w:highlight w:val="none"/>
              </w:rPr>
            </w:pPr>
          </w:p>
        </w:tc>
      </w:tr>
      <w:tr w14:paraId="40650F94">
        <w:tblPrEx>
          <w:tblCellMar>
            <w:top w:w="0" w:type="dxa"/>
            <w:left w:w="108" w:type="dxa"/>
            <w:bottom w:w="0" w:type="dxa"/>
            <w:right w:w="108" w:type="dxa"/>
          </w:tblCellMar>
        </w:tblPrEx>
        <w:tc>
          <w:tcPr>
            <w:tcW w:w="517" w:type="dxa"/>
            <w:tcBorders>
              <w:top w:val="single" w:color="auto" w:sz="4" w:space="0"/>
              <w:left w:val="single" w:color="auto" w:sz="4" w:space="0"/>
              <w:bottom w:val="single" w:color="auto" w:sz="4" w:space="0"/>
              <w:right w:val="single" w:color="auto" w:sz="4" w:space="0"/>
            </w:tcBorders>
            <w:vAlign w:val="center"/>
          </w:tcPr>
          <w:p w14:paraId="5D8550CD">
            <w:pPr>
              <w:spacing w:line="500" w:lineRule="exact"/>
              <w:jc w:val="center"/>
              <w:rPr>
                <w:rFonts w:ascii="宋体" w:hAnsi="宋体" w:eastAsia="宋体"/>
                <w:color w:val="auto"/>
                <w:sz w:val="24"/>
                <w:szCs w:val="24"/>
                <w:highlight w:val="none"/>
              </w:rPr>
            </w:pPr>
          </w:p>
        </w:tc>
        <w:tc>
          <w:tcPr>
            <w:tcW w:w="1179" w:type="dxa"/>
            <w:tcBorders>
              <w:top w:val="single" w:color="auto" w:sz="4" w:space="0"/>
              <w:left w:val="single" w:color="auto" w:sz="4" w:space="0"/>
              <w:bottom w:val="single" w:color="auto" w:sz="4" w:space="0"/>
              <w:right w:val="single" w:color="auto" w:sz="4" w:space="0"/>
            </w:tcBorders>
            <w:vAlign w:val="center"/>
          </w:tcPr>
          <w:p w14:paraId="72E436ED">
            <w:pPr>
              <w:spacing w:line="500" w:lineRule="exact"/>
              <w:jc w:val="center"/>
              <w:rPr>
                <w:rFonts w:ascii="宋体" w:hAnsi="宋体" w:eastAsia="宋体"/>
                <w:color w:val="auto"/>
                <w:sz w:val="24"/>
                <w:szCs w:val="24"/>
                <w:highlight w:val="none"/>
              </w:rPr>
            </w:pPr>
          </w:p>
        </w:tc>
        <w:tc>
          <w:tcPr>
            <w:tcW w:w="908" w:type="dxa"/>
            <w:tcBorders>
              <w:top w:val="single" w:color="auto" w:sz="4" w:space="0"/>
              <w:left w:val="single" w:color="auto" w:sz="4" w:space="0"/>
              <w:bottom w:val="single" w:color="auto" w:sz="4" w:space="0"/>
              <w:right w:val="single" w:color="auto" w:sz="4" w:space="0"/>
            </w:tcBorders>
            <w:vAlign w:val="center"/>
          </w:tcPr>
          <w:p w14:paraId="71AF979A">
            <w:pPr>
              <w:spacing w:line="500" w:lineRule="exact"/>
              <w:jc w:val="center"/>
              <w:rPr>
                <w:rFonts w:ascii="宋体" w:hAnsi="宋体" w:eastAsia="宋体"/>
                <w:color w:val="auto"/>
                <w:sz w:val="24"/>
                <w:szCs w:val="24"/>
                <w:highlight w:val="none"/>
              </w:rPr>
            </w:pPr>
          </w:p>
        </w:tc>
        <w:tc>
          <w:tcPr>
            <w:tcW w:w="966" w:type="dxa"/>
            <w:tcBorders>
              <w:top w:val="single" w:color="auto" w:sz="4" w:space="0"/>
              <w:left w:val="single" w:color="auto" w:sz="4" w:space="0"/>
              <w:bottom w:val="single" w:color="auto" w:sz="4" w:space="0"/>
              <w:right w:val="single" w:color="auto" w:sz="4" w:space="0"/>
            </w:tcBorders>
            <w:vAlign w:val="center"/>
          </w:tcPr>
          <w:p w14:paraId="2C04E870">
            <w:pPr>
              <w:spacing w:line="500" w:lineRule="exact"/>
              <w:jc w:val="center"/>
              <w:rPr>
                <w:rFonts w:ascii="宋体" w:hAnsi="宋体" w:eastAsia="宋体"/>
                <w:color w:val="auto"/>
                <w:sz w:val="24"/>
                <w:szCs w:val="24"/>
                <w:highlight w:val="none"/>
              </w:rPr>
            </w:pPr>
          </w:p>
        </w:tc>
        <w:tc>
          <w:tcPr>
            <w:tcW w:w="987" w:type="dxa"/>
            <w:tcBorders>
              <w:top w:val="single" w:color="auto" w:sz="4" w:space="0"/>
              <w:left w:val="single" w:color="auto" w:sz="4" w:space="0"/>
              <w:bottom w:val="single" w:color="auto" w:sz="4" w:space="0"/>
              <w:right w:val="single" w:color="auto" w:sz="4" w:space="0"/>
            </w:tcBorders>
            <w:vAlign w:val="center"/>
          </w:tcPr>
          <w:p w14:paraId="5CB1263E">
            <w:pPr>
              <w:spacing w:line="500" w:lineRule="exact"/>
              <w:jc w:val="center"/>
              <w:rPr>
                <w:rFonts w:ascii="宋体" w:hAnsi="宋体" w:eastAsia="宋体"/>
                <w:color w:val="auto"/>
                <w:sz w:val="24"/>
                <w:szCs w:val="24"/>
                <w:highlight w:val="none"/>
              </w:rPr>
            </w:pPr>
          </w:p>
        </w:tc>
        <w:tc>
          <w:tcPr>
            <w:tcW w:w="944" w:type="dxa"/>
            <w:tcBorders>
              <w:top w:val="single" w:color="auto" w:sz="4" w:space="0"/>
              <w:left w:val="single" w:color="auto" w:sz="4" w:space="0"/>
              <w:bottom w:val="single" w:color="auto" w:sz="4" w:space="0"/>
              <w:right w:val="single" w:color="auto" w:sz="4" w:space="0"/>
            </w:tcBorders>
            <w:vAlign w:val="center"/>
          </w:tcPr>
          <w:p w14:paraId="3B0CD7DA">
            <w:pPr>
              <w:spacing w:line="500" w:lineRule="exact"/>
              <w:jc w:val="center"/>
              <w:rPr>
                <w:rFonts w:ascii="宋体" w:hAnsi="宋体" w:eastAsia="宋体"/>
                <w:color w:val="auto"/>
                <w:sz w:val="24"/>
                <w:szCs w:val="24"/>
                <w:highlight w:val="none"/>
              </w:rPr>
            </w:pPr>
          </w:p>
        </w:tc>
        <w:tc>
          <w:tcPr>
            <w:tcW w:w="941" w:type="dxa"/>
            <w:tcBorders>
              <w:top w:val="single" w:color="auto" w:sz="4" w:space="0"/>
              <w:left w:val="single" w:color="auto" w:sz="4" w:space="0"/>
              <w:bottom w:val="single" w:color="auto" w:sz="4" w:space="0"/>
              <w:right w:val="single" w:color="auto" w:sz="4" w:space="0"/>
            </w:tcBorders>
            <w:vAlign w:val="center"/>
          </w:tcPr>
          <w:p w14:paraId="5976DA87">
            <w:pPr>
              <w:spacing w:line="500" w:lineRule="exact"/>
              <w:jc w:val="center"/>
              <w:rPr>
                <w:rFonts w:ascii="宋体" w:hAnsi="宋体" w:eastAsia="宋体"/>
                <w:color w:val="auto"/>
                <w:sz w:val="24"/>
                <w:szCs w:val="24"/>
                <w:highlight w:val="none"/>
              </w:rPr>
            </w:pPr>
          </w:p>
        </w:tc>
        <w:tc>
          <w:tcPr>
            <w:tcW w:w="1202" w:type="dxa"/>
            <w:tcBorders>
              <w:top w:val="single" w:color="auto" w:sz="4" w:space="0"/>
              <w:left w:val="single" w:color="auto" w:sz="4" w:space="0"/>
              <w:bottom w:val="single" w:color="auto" w:sz="4" w:space="0"/>
              <w:right w:val="single" w:color="auto" w:sz="4" w:space="0"/>
            </w:tcBorders>
            <w:vAlign w:val="center"/>
          </w:tcPr>
          <w:p w14:paraId="1DA161FA">
            <w:pPr>
              <w:spacing w:line="500" w:lineRule="exact"/>
              <w:jc w:val="center"/>
              <w:rPr>
                <w:rFonts w:ascii="宋体" w:hAnsi="宋体" w:eastAsia="宋体"/>
                <w:color w:val="auto"/>
                <w:sz w:val="24"/>
                <w:szCs w:val="24"/>
                <w:highlight w:val="none"/>
              </w:rPr>
            </w:pPr>
          </w:p>
        </w:tc>
        <w:tc>
          <w:tcPr>
            <w:tcW w:w="748" w:type="dxa"/>
            <w:tcBorders>
              <w:top w:val="single" w:color="auto" w:sz="4" w:space="0"/>
              <w:left w:val="single" w:color="auto" w:sz="4" w:space="0"/>
              <w:bottom w:val="single" w:color="auto" w:sz="4" w:space="0"/>
              <w:right w:val="single" w:color="auto" w:sz="4" w:space="0"/>
            </w:tcBorders>
            <w:vAlign w:val="center"/>
          </w:tcPr>
          <w:p w14:paraId="5B27BCDA">
            <w:pPr>
              <w:spacing w:line="500" w:lineRule="exact"/>
              <w:jc w:val="center"/>
              <w:rPr>
                <w:rFonts w:ascii="宋体" w:hAnsi="宋体" w:eastAsia="宋体"/>
                <w:color w:val="auto"/>
                <w:sz w:val="24"/>
                <w:szCs w:val="24"/>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016BD83B">
            <w:pPr>
              <w:spacing w:line="500" w:lineRule="exact"/>
              <w:jc w:val="center"/>
              <w:rPr>
                <w:rFonts w:ascii="宋体" w:hAnsi="宋体" w:eastAsia="宋体"/>
                <w:color w:val="auto"/>
                <w:sz w:val="24"/>
                <w:szCs w:val="24"/>
                <w:highlight w:val="none"/>
              </w:rPr>
            </w:pPr>
          </w:p>
        </w:tc>
      </w:tr>
      <w:tr w14:paraId="1D27B2F9">
        <w:tblPrEx>
          <w:tblCellMar>
            <w:top w:w="0" w:type="dxa"/>
            <w:left w:w="108" w:type="dxa"/>
            <w:bottom w:w="0" w:type="dxa"/>
            <w:right w:w="108" w:type="dxa"/>
          </w:tblCellMar>
        </w:tblPrEx>
        <w:tc>
          <w:tcPr>
            <w:tcW w:w="517" w:type="dxa"/>
            <w:tcBorders>
              <w:top w:val="single" w:color="auto" w:sz="4" w:space="0"/>
              <w:left w:val="single" w:color="auto" w:sz="4" w:space="0"/>
              <w:bottom w:val="single" w:color="auto" w:sz="4" w:space="0"/>
              <w:right w:val="single" w:color="auto" w:sz="4" w:space="0"/>
            </w:tcBorders>
            <w:vAlign w:val="center"/>
          </w:tcPr>
          <w:p w14:paraId="5CDCC6BF">
            <w:pPr>
              <w:spacing w:line="500" w:lineRule="exact"/>
              <w:jc w:val="center"/>
              <w:rPr>
                <w:rFonts w:ascii="宋体" w:hAnsi="宋体" w:eastAsia="宋体"/>
                <w:color w:val="auto"/>
                <w:sz w:val="24"/>
                <w:szCs w:val="24"/>
                <w:highlight w:val="none"/>
              </w:rPr>
            </w:pPr>
          </w:p>
        </w:tc>
        <w:tc>
          <w:tcPr>
            <w:tcW w:w="1179" w:type="dxa"/>
            <w:tcBorders>
              <w:top w:val="single" w:color="auto" w:sz="4" w:space="0"/>
              <w:left w:val="single" w:color="auto" w:sz="4" w:space="0"/>
              <w:bottom w:val="single" w:color="auto" w:sz="4" w:space="0"/>
              <w:right w:val="single" w:color="auto" w:sz="4" w:space="0"/>
            </w:tcBorders>
            <w:vAlign w:val="center"/>
          </w:tcPr>
          <w:p w14:paraId="545C5472">
            <w:pPr>
              <w:spacing w:line="500" w:lineRule="exact"/>
              <w:jc w:val="center"/>
              <w:rPr>
                <w:rFonts w:ascii="宋体" w:hAnsi="宋体" w:eastAsia="宋体"/>
                <w:color w:val="auto"/>
                <w:sz w:val="24"/>
                <w:szCs w:val="24"/>
                <w:highlight w:val="none"/>
              </w:rPr>
            </w:pPr>
          </w:p>
        </w:tc>
        <w:tc>
          <w:tcPr>
            <w:tcW w:w="908" w:type="dxa"/>
            <w:tcBorders>
              <w:top w:val="single" w:color="auto" w:sz="4" w:space="0"/>
              <w:left w:val="single" w:color="auto" w:sz="4" w:space="0"/>
              <w:bottom w:val="single" w:color="auto" w:sz="4" w:space="0"/>
              <w:right w:val="single" w:color="auto" w:sz="4" w:space="0"/>
            </w:tcBorders>
            <w:vAlign w:val="center"/>
          </w:tcPr>
          <w:p w14:paraId="7BBED857">
            <w:pPr>
              <w:spacing w:line="500" w:lineRule="exact"/>
              <w:jc w:val="center"/>
              <w:rPr>
                <w:rFonts w:ascii="宋体" w:hAnsi="宋体" w:eastAsia="宋体"/>
                <w:color w:val="auto"/>
                <w:sz w:val="24"/>
                <w:szCs w:val="24"/>
                <w:highlight w:val="none"/>
              </w:rPr>
            </w:pPr>
          </w:p>
        </w:tc>
        <w:tc>
          <w:tcPr>
            <w:tcW w:w="966" w:type="dxa"/>
            <w:tcBorders>
              <w:top w:val="single" w:color="auto" w:sz="4" w:space="0"/>
              <w:left w:val="single" w:color="auto" w:sz="4" w:space="0"/>
              <w:bottom w:val="single" w:color="auto" w:sz="4" w:space="0"/>
              <w:right w:val="single" w:color="auto" w:sz="4" w:space="0"/>
            </w:tcBorders>
            <w:vAlign w:val="center"/>
          </w:tcPr>
          <w:p w14:paraId="6CE5AD6D">
            <w:pPr>
              <w:spacing w:line="500" w:lineRule="exact"/>
              <w:jc w:val="center"/>
              <w:rPr>
                <w:rFonts w:ascii="宋体" w:hAnsi="宋体" w:eastAsia="宋体"/>
                <w:color w:val="auto"/>
                <w:sz w:val="24"/>
                <w:szCs w:val="24"/>
                <w:highlight w:val="none"/>
              </w:rPr>
            </w:pPr>
          </w:p>
        </w:tc>
        <w:tc>
          <w:tcPr>
            <w:tcW w:w="987" w:type="dxa"/>
            <w:tcBorders>
              <w:top w:val="single" w:color="auto" w:sz="4" w:space="0"/>
              <w:left w:val="single" w:color="auto" w:sz="4" w:space="0"/>
              <w:bottom w:val="single" w:color="auto" w:sz="4" w:space="0"/>
              <w:right w:val="single" w:color="auto" w:sz="4" w:space="0"/>
            </w:tcBorders>
            <w:vAlign w:val="center"/>
          </w:tcPr>
          <w:p w14:paraId="0C9D5D6D">
            <w:pPr>
              <w:spacing w:line="500" w:lineRule="exact"/>
              <w:jc w:val="center"/>
              <w:rPr>
                <w:rFonts w:ascii="宋体" w:hAnsi="宋体" w:eastAsia="宋体"/>
                <w:color w:val="auto"/>
                <w:sz w:val="24"/>
                <w:szCs w:val="24"/>
                <w:highlight w:val="none"/>
              </w:rPr>
            </w:pPr>
          </w:p>
        </w:tc>
        <w:tc>
          <w:tcPr>
            <w:tcW w:w="944" w:type="dxa"/>
            <w:tcBorders>
              <w:top w:val="single" w:color="auto" w:sz="4" w:space="0"/>
              <w:left w:val="single" w:color="auto" w:sz="4" w:space="0"/>
              <w:bottom w:val="single" w:color="auto" w:sz="4" w:space="0"/>
              <w:right w:val="single" w:color="auto" w:sz="4" w:space="0"/>
            </w:tcBorders>
            <w:vAlign w:val="center"/>
          </w:tcPr>
          <w:p w14:paraId="6CEDFB5D">
            <w:pPr>
              <w:spacing w:line="500" w:lineRule="exact"/>
              <w:jc w:val="center"/>
              <w:rPr>
                <w:rFonts w:ascii="宋体" w:hAnsi="宋体" w:eastAsia="宋体"/>
                <w:color w:val="auto"/>
                <w:sz w:val="24"/>
                <w:szCs w:val="24"/>
                <w:highlight w:val="none"/>
              </w:rPr>
            </w:pPr>
          </w:p>
        </w:tc>
        <w:tc>
          <w:tcPr>
            <w:tcW w:w="941" w:type="dxa"/>
            <w:tcBorders>
              <w:top w:val="single" w:color="auto" w:sz="4" w:space="0"/>
              <w:left w:val="single" w:color="auto" w:sz="4" w:space="0"/>
              <w:bottom w:val="single" w:color="auto" w:sz="4" w:space="0"/>
              <w:right w:val="single" w:color="auto" w:sz="4" w:space="0"/>
            </w:tcBorders>
            <w:vAlign w:val="center"/>
          </w:tcPr>
          <w:p w14:paraId="465B49A5">
            <w:pPr>
              <w:spacing w:line="500" w:lineRule="exact"/>
              <w:jc w:val="center"/>
              <w:rPr>
                <w:rFonts w:ascii="宋体" w:hAnsi="宋体" w:eastAsia="宋体"/>
                <w:color w:val="auto"/>
                <w:sz w:val="24"/>
                <w:szCs w:val="24"/>
                <w:highlight w:val="none"/>
              </w:rPr>
            </w:pPr>
          </w:p>
        </w:tc>
        <w:tc>
          <w:tcPr>
            <w:tcW w:w="1202" w:type="dxa"/>
            <w:tcBorders>
              <w:top w:val="single" w:color="auto" w:sz="4" w:space="0"/>
              <w:left w:val="single" w:color="auto" w:sz="4" w:space="0"/>
              <w:bottom w:val="single" w:color="auto" w:sz="4" w:space="0"/>
              <w:right w:val="single" w:color="auto" w:sz="4" w:space="0"/>
            </w:tcBorders>
            <w:vAlign w:val="center"/>
          </w:tcPr>
          <w:p w14:paraId="590850C8">
            <w:pPr>
              <w:spacing w:line="500" w:lineRule="exact"/>
              <w:jc w:val="center"/>
              <w:rPr>
                <w:rFonts w:ascii="宋体" w:hAnsi="宋体" w:eastAsia="宋体"/>
                <w:color w:val="auto"/>
                <w:sz w:val="24"/>
                <w:szCs w:val="24"/>
                <w:highlight w:val="none"/>
              </w:rPr>
            </w:pPr>
          </w:p>
        </w:tc>
        <w:tc>
          <w:tcPr>
            <w:tcW w:w="748" w:type="dxa"/>
            <w:tcBorders>
              <w:top w:val="single" w:color="auto" w:sz="4" w:space="0"/>
              <w:left w:val="single" w:color="auto" w:sz="4" w:space="0"/>
              <w:bottom w:val="single" w:color="auto" w:sz="4" w:space="0"/>
              <w:right w:val="single" w:color="auto" w:sz="4" w:space="0"/>
            </w:tcBorders>
            <w:vAlign w:val="center"/>
          </w:tcPr>
          <w:p w14:paraId="5238C378">
            <w:pPr>
              <w:spacing w:line="500" w:lineRule="exact"/>
              <w:jc w:val="center"/>
              <w:rPr>
                <w:rFonts w:ascii="宋体" w:hAnsi="宋体" w:eastAsia="宋体"/>
                <w:color w:val="auto"/>
                <w:sz w:val="24"/>
                <w:szCs w:val="24"/>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2F0D4687">
            <w:pPr>
              <w:spacing w:line="500" w:lineRule="exact"/>
              <w:jc w:val="center"/>
              <w:rPr>
                <w:rFonts w:ascii="宋体" w:hAnsi="宋体" w:eastAsia="宋体"/>
                <w:color w:val="auto"/>
                <w:sz w:val="24"/>
                <w:szCs w:val="24"/>
                <w:highlight w:val="none"/>
              </w:rPr>
            </w:pPr>
          </w:p>
        </w:tc>
      </w:tr>
      <w:tr w14:paraId="620482AB">
        <w:tblPrEx>
          <w:tblCellMar>
            <w:top w:w="0" w:type="dxa"/>
            <w:left w:w="108" w:type="dxa"/>
            <w:bottom w:w="0" w:type="dxa"/>
            <w:right w:w="108" w:type="dxa"/>
          </w:tblCellMar>
        </w:tblPrEx>
        <w:tc>
          <w:tcPr>
            <w:tcW w:w="517" w:type="dxa"/>
            <w:tcBorders>
              <w:top w:val="single" w:color="auto" w:sz="4" w:space="0"/>
              <w:left w:val="single" w:color="auto" w:sz="4" w:space="0"/>
              <w:bottom w:val="single" w:color="auto" w:sz="4" w:space="0"/>
              <w:right w:val="single" w:color="auto" w:sz="4" w:space="0"/>
            </w:tcBorders>
            <w:vAlign w:val="center"/>
          </w:tcPr>
          <w:p w14:paraId="3BE8538C">
            <w:pPr>
              <w:spacing w:line="500" w:lineRule="exact"/>
              <w:jc w:val="center"/>
              <w:rPr>
                <w:rFonts w:ascii="宋体" w:hAnsi="宋体" w:eastAsia="宋体"/>
                <w:color w:val="auto"/>
                <w:sz w:val="24"/>
                <w:szCs w:val="24"/>
                <w:highlight w:val="none"/>
              </w:rPr>
            </w:pPr>
          </w:p>
        </w:tc>
        <w:tc>
          <w:tcPr>
            <w:tcW w:w="1179" w:type="dxa"/>
            <w:tcBorders>
              <w:top w:val="single" w:color="auto" w:sz="4" w:space="0"/>
              <w:left w:val="single" w:color="auto" w:sz="4" w:space="0"/>
              <w:bottom w:val="single" w:color="auto" w:sz="4" w:space="0"/>
              <w:right w:val="single" w:color="auto" w:sz="4" w:space="0"/>
            </w:tcBorders>
            <w:vAlign w:val="center"/>
          </w:tcPr>
          <w:p w14:paraId="2EF11D11">
            <w:pPr>
              <w:spacing w:line="500" w:lineRule="exact"/>
              <w:jc w:val="center"/>
              <w:rPr>
                <w:rFonts w:ascii="宋体" w:hAnsi="宋体" w:eastAsia="宋体"/>
                <w:color w:val="auto"/>
                <w:sz w:val="24"/>
                <w:szCs w:val="24"/>
                <w:highlight w:val="none"/>
              </w:rPr>
            </w:pPr>
          </w:p>
        </w:tc>
        <w:tc>
          <w:tcPr>
            <w:tcW w:w="908" w:type="dxa"/>
            <w:tcBorders>
              <w:top w:val="single" w:color="auto" w:sz="4" w:space="0"/>
              <w:left w:val="single" w:color="auto" w:sz="4" w:space="0"/>
              <w:bottom w:val="single" w:color="auto" w:sz="4" w:space="0"/>
              <w:right w:val="single" w:color="auto" w:sz="4" w:space="0"/>
            </w:tcBorders>
            <w:vAlign w:val="center"/>
          </w:tcPr>
          <w:p w14:paraId="041F1241">
            <w:pPr>
              <w:spacing w:line="500" w:lineRule="exact"/>
              <w:jc w:val="center"/>
              <w:rPr>
                <w:rFonts w:ascii="宋体" w:hAnsi="宋体" w:eastAsia="宋体"/>
                <w:color w:val="auto"/>
                <w:sz w:val="24"/>
                <w:szCs w:val="24"/>
                <w:highlight w:val="none"/>
              </w:rPr>
            </w:pPr>
          </w:p>
        </w:tc>
        <w:tc>
          <w:tcPr>
            <w:tcW w:w="966" w:type="dxa"/>
            <w:tcBorders>
              <w:top w:val="single" w:color="auto" w:sz="4" w:space="0"/>
              <w:left w:val="single" w:color="auto" w:sz="4" w:space="0"/>
              <w:bottom w:val="single" w:color="auto" w:sz="4" w:space="0"/>
              <w:right w:val="single" w:color="auto" w:sz="4" w:space="0"/>
            </w:tcBorders>
            <w:vAlign w:val="center"/>
          </w:tcPr>
          <w:p w14:paraId="65D1A2C3">
            <w:pPr>
              <w:spacing w:line="500" w:lineRule="exact"/>
              <w:jc w:val="center"/>
              <w:rPr>
                <w:rFonts w:ascii="宋体" w:hAnsi="宋体" w:eastAsia="宋体"/>
                <w:color w:val="auto"/>
                <w:sz w:val="24"/>
                <w:szCs w:val="24"/>
                <w:highlight w:val="none"/>
              </w:rPr>
            </w:pPr>
          </w:p>
        </w:tc>
        <w:tc>
          <w:tcPr>
            <w:tcW w:w="987" w:type="dxa"/>
            <w:tcBorders>
              <w:top w:val="single" w:color="auto" w:sz="4" w:space="0"/>
              <w:left w:val="single" w:color="auto" w:sz="4" w:space="0"/>
              <w:bottom w:val="single" w:color="auto" w:sz="4" w:space="0"/>
              <w:right w:val="single" w:color="auto" w:sz="4" w:space="0"/>
            </w:tcBorders>
            <w:vAlign w:val="center"/>
          </w:tcPr>
          <w:p w14:paraId="1E118695">
            <w:pPr>
              <w:spacing w:line="500" w:lineRule="exact"/>
              <w:jc w:val="center"/>
              <w:rPr>
                <w:rFonts w:ascii="宋体" w:hAnsi="宋体" w:eastAsia="宋体"/>
                <w:color w:val="auto"/>
                <w:sz w:val="24"/>
                <w:szCs w:val="24"/>
                <w:highlight w:val="none"/>
              </w:rPr>
            </w:pPr>
          </w:p>
        </w:tc>
        <w:tc>
          <w:tcPr>
            <w:tcW w:w="944" w:type="dxa"/>
            <w:tcBorders>
              <w:top w:val="single" w:color="auto" w:sz="4" w:space="0"/>
              <w:left w:val="single" w:color="auto" w:sz="4" w:space="0"/>
              <w:bottom w:val="single" w:color="auto" w:sz="4" w:space="0"/>
              <w:right w:val="single" w:color="auto" w:sz="4" w:space="0"/>
            </w:tcBorders>
            <w:vAlign w:val="center"/>
          </w:tcPr>
          <w:p w14:paraId="01930F25">
            <w:pPr>
              <w:spacing w:line="500" w:lineRule="exact"/>
              <w:jc w:val="center"/>
              <w:rPr>
                <w:rFonts w:ascii="宋体" w:hAnsi="宋体" w:eastAsia="宋体"/>
                <w:color w:val="auto"/>
                <w:sz w:val="24"/>
                <w:szCs w:val="24"/>
                <w:highlight w:val="none"/>
              </w:rPr>
            </w:pPr>
          </w:p>
        </w:tc>
        <w:tc>
          <w:tcPr>
            <w:tcW w:w="941" w:type="dxa"/>
            <w:tcBorders>
              <w:top w:val="single" w:color="auto" w:sz="4" w:space="0"/>
              <w:left w:val="single" w:color="auto" w:sz="4" w:space="0"/>
              <w:bottom w:val="single" w:color="auto" w:sz="4" w:space="0"/>
              <w:right w:val="single" w:color="auto" w:sz="4" w:space="0"/>
            </w:tcBorders>
            <w:vAlign w:val="center"/>
          </w:tcPr>
          <w:p w14:paraId="68CDAAB6">
            <w:pPr>
              <w:spacing w:line="500" w:lineRule="exact"/>
              <w:jc w:val="center"/>
              <w:rPr>
                <w:rFonts w:ascii="宋体" w:hAnsi="宋体" w:eastAsia="宋体"/>
                <w:color w:val="auto"/>
                <w:sz w:val="24"/>
                <w:szCs w:val="24"/>
                <w:highlight w:val="none"/>
              </w:rPr>
            </w:pPr>
          </w:p>
        </w:tc>
        <w:tc>
          <w:tcPr>
            <w:tcW w:w="1202" w:type="dxa"/>
            <w:tcBorders>
              <w:top w:val="single" w:color="auto" w:sz="4" w:space="0"/>
              <w:left w:val="single" w:color="auto" w:sz="4" w:space="0"/>
              <w:bottom w:val="single" w:color="auto" w:sz="4" w:space="0"/>
              <w:right w:val="single" w:color="auto" w:sz="4" w:space="0"/>
            </w:tcBorders>
            <w:vAlign w:val="center"/>
          </w:tcPr>
          <w:p w14:paraId="08754ACE">
            <w:pPr>
              <w:spacing w:line="500" w:lineRule="exact"/>
              <w:jc w:val="center"/>
              <w:rPr>
                <w:rFonts w:ascii="宋体" w:hAnsi="宋体" w:eastAsia="宋体"/>
                <w:color w:val="auto"/>
                <w:sz w:val="24"/>
                <w:szCs w:val="24"/>
                <w:highlight w:val="none"/>
              </w:rPr>
            </w:pPr>
          </w:p>
        </w:tc>
        <w:tc>
          <w:tcPr>
            <w:tcW w:w="748" w:type="dxa"/>
            <w:tcBorders>
              <w:top w:val="single" w:color="auto" w:sz="4" w:space="0"/>
              <w:left w:val="single" w:color="auto" w:sz="4" w:space="0"/>
              <w:bottom w:val="single" w:color="auto" w:sz="4" w:space="0"/>
              <w:right w:val="single" w:color="auto" w:sz="4" w:space="0"/>
            </w:tcBorders>
            <w:vAlign w:val="center"/>
          </w:tcPr>
          <w:p w14:paraId="1233EF90">
            <w:pPr>
              <w:spacing w:line="500" w:lineRule="exact"/>
              <w:jc w:val="center"/>
              <w:rPr>
                <w:rFonts w:ascii="宋体" w:hAnsi="宋体" w:eastAsia="宋体"/>
                <w:color w:val="auto"/>
                <w:sz w:val="24"/>
                <w:szCs w:val="24"/>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792C3224">
            <w:pPr>
              <w:spacing w:line="500" w:lineRule="exact"/>
              <w:jc w:val="center"/>
              <w:rPr>
                <w:rFonts w:ascii="宋体" w:hAnsi="宋体" w:eastAsia="宋体"/>
                <w:color w:val="auto"/>
                <w:sz w:val="24"/>
                <w:szCs w:val="24"/>
                <w:highlight w:val="none"/>
              </w:rPr>
            </w:pPr>
          </w:p>
        </w:tc>
      </w:tr>
      <w:tr w14:paraId="689B0755">
        <w:tblPrEx>
          <w:tblCellMar>
            <w:top w:w="0" w:type="dxa"/>
            <w:left w:w="108" w:type="dxa"/>
            <w:bottom w:w="0" w:type="dxa"/>
            <w:right w:w="108" w:type="dxa"/>
          </w:tblCellMar>
        </w:tblPrEx>
        <w:tc>
          <w:tcPr>
            <w:tcW w:w="517" w:type="dxa"/>
            <w:tcBorders>
              <w:top w:val="single" w:color="auto" w:sz="4" w:space="0"/>
              <w:left w:val="single" w:color="auto" w:sz="4" w:space="0"/>
              <w:bottom w:val="single" w:color="auto" w:sz="4" w:space="0"/>
              <w:right w:val="single" w:color="auto" w:sz="4" w:space="0"/>
            </w:tcBorders>
            <w:vAlign w:val="center"/>
          </w:tcPr>
          <w:p w14:paraId="4496CCDC">
            <w:pPr>
              <w:spacing w:line="500" w:lineRule="exact"/>
              <w:jc w:val="center"/>
              <w:rPr>
                <w:rFonts w:ascii="宋体" w:hAnsi="宋体" w:eastAsia="宋体"/>
                <w:color w:val="auto"/>
                <w:sz w:val="24"/>
                <w:szCs w:val="24"/>
                <w:highlight w:val="none"/>
              </w:rPr>
            </w:pPr>
          </w:p>
        </w:tc>
        <w:tc>
          <w:tcPr>
            <w:tcW w:w="1179" w:type="dxa"/>
            <w:tcBorders>
              <w:top w:val="single" w:color="auto" w:sz="4" w:space="0"/>
              <w:left w:val="single" w:color="auto" w:sz="4" w:space="0"/>
              <w:bottom w:val="single" w:color="auto" w:sz="4" w:space="0"/>
              <w:right w:val="single" w:color="auto" w:sz="4" w:space="0"/>
            </w:tcBorders>
            <w:vAlign w:val="center"/>
          </w:tcPr>
          <w:p w14:paraId="2403A801">
            <w:pPr>
              <w:spacing w:line="500" w:lineRule="exact"/>
              <w:jc w:val="center"/>
              <w:rPr>
                <w:rFonts w:ascii="宋体" w:hAnsi="宋体" w:eastAsia="宋体"/>
                <w:color w:val="auto"/>
                <w:sz w:val="24"/>
                <w:szCs w:val="24"/>
                <w:highlight w:val="none"/>
              </w:rPr>
            </w:pPr>
          </w:p>
        </w:tc>
        <w:tc>
          <w:tcPr>
            <w:tcW w:w="908" w:type="dxa"/>
            <w:tcBorders>
              <w:top w:val="single" w:color="auto" w:sz="4" w:space="0"/>
              <w:left w:val="single" w:color="auto" w:sz="4" w:space="0"/>
              <w:bottom w:val="single" w:color="auto" w:sz="4" w:space="0"/>
              <w:right w:val="single" w:color="auto" w:sz="4" w:space="0"/>
            </w:tcBorders>
            <w:vAlign w:val="center"/>
          </w:tcPr>
          <w:p w14:paraId="342745E2">
            <w:pPr>
              <w:spacing w:line="500" w:lineRule="exact"/>
              <w:jc w:val="center"/>
              <w:rPr>
                <w:rFonts w:ascii="宋体" w:hAnsi="宋体" w:eastAsia="宋体"/>
                <w:color w:val="auto"/>
                <w:sz w:val="24"/>
                <w:szCs w:val="24"/>
                <w:highlight w:val="none"/>
              </w:rPr>
            </w:pPr>
          </w:p>
        </w:tc>
        <w:tc>
          <w:tcPr>
            <w:tcW w:w="966" w:type="dxa"/>
            <w:tcBorders>
              <w:top w:val="single" w:color="auto" w:sz="4" w:space="0"/>
              <w:left w:val="single" w:color="auto" w:sz="4" w:space="0"/>
              <w:bottom w:val="single" w:color="auto" w:sz="4" w:space="0"/>
              <w:right w:val="single" w:color="auto" w:sz="4" w:space="0"/>
            </w:tcBorders>
            <w:vAlign w:val="center"/>
          </w:tcPr>
          <w:p w14:paraId="44FCAB13">
            <w:pPr>
              <w:spacing w:line="500" w:lineRule="exact"/>
              <w:jc w:val="center"/>
              <w:rPr>
                <w:rFonts w:ascii="宋体" w:hAnsi="宋体" w:eastAsia="宋体"/>
                <w:color w:val="auto"/>
                <w:sz w:val="24"/>
                <w:szCs w:val="24"/>
                <w:highlight w:val="none"/>
              </w:rPr>
            </w:pPr>
          </w:p>
        </w:tc>
        <w:tc>
          <w:tcPr>
            <w:tcW w:w="987" w:type="dxa"/>
            <w:tcBorders>
              <w:top w:val="single" w:color="auto" w:sz="4" w:space="0"/>
              <w:left w:val="single" w:color="auto" w:sz="4" w:space="0"/>
              <w:bottom w:val="single" w:color="auto" w:sz="4" w:space="0"/>
              <w:right w:val="single" w:color="auto" w:sz="4" w:space="0"/>
            </w:tcBorders>
            <w:vAlign w:val="center"/>
          </w:tcPr>
          <w:p w14:paraId="6E26792D">
            <w:pPr>
              <w:spacing w:line="500" w:lineRule="exact"/>
              <w:jc w:val="center"/>
              <w:rPr>
                <w:rFonts w:ascii="宋体" w:hAnsi="宋体" w:eastAsia="宋体"/>
                <w:color w:val="auto"/>
                <w:sz w:val="24"/>
                <w:szCs w:val="24"/>
                <w:highlight w:val="none"/>
              </w:rPr>
            </w:pPr>
          </w:p>
        </w:tc>
        <w:tc>
          <w:tcPr>
            <w:tcW w:w="944" w:type="dxa"/>
            <w:tcBorders>
              <w:top w:val="single" w:color="auto" w:sz="4" w:space="0"/>
              <w:left w:val="single" w:color="auto" w:sz="4" w:space="0"/>
              <w:bottom w:val="single" w:color="auto" w:sz="4" w:space="0"/>
              <w:right w:val="single" w:color="auto" w:sz="4" w:space="0"/>
            </w:tcBorders>
            <w:vAlign w:val="center"/>
          </w:tcPr>
          <w:p w14:paraId="1491D2B7">
            <w:pPr>
              <w:spacing w:line="500" w:lineRule="exact"/>
              <w:jc w:val="center"/>
              <w:rPr>
                <w:rFonts w:ascii="宋体" w:hAnsi="宋体" w:eastAsia="宋体"/>
                <w:color w:val="auto"/>
                <w:sz w:val="24"/>
                <w:szCs w:val="24"/>
                <w:highlight w:val="none"/>
              </w:rPr>
            </w:pPr>
          </w:p>
        </w:tc>
        <w:tc>
          <w:tcPr>
            <w:tcW w:w="941" w:type="dxa"/>
            <w:tcBorders>
              <w:top w:val="single" w:color="auto" w:sz="4" w:space="0"/>
              <w:left w:val="single" w:color="auto" w:sz="4" w:space="0"/>
              <w:bottom w:val="single" w:color="auto" w:sz="4" w:space="0"/>
              <w:right w:val="single" w:color="auto" w:sz="4" w:space="0"/>
            </w:tcBorders>
            <w:vAlign w:val="center"/>
          </w:tcPr>
          <w:p w14:paraId="137418C7">
            <w:pPr>
              <w:spacing w:line="500" w:lineRule="exact"/>
              <w:jc w:val="center"/>
              <w:rPr>
                <w:rFonts w:ascii="宋体" w:hAnsi="宋体" w:eastAsia="宋体"/>
                <w:color w:val="auto"/>
                <w:sz w:val="24"/>
                <w:szCs w:val="24"/>
                <w:highlight w:val="none"/>
              </w:rPr>
            </w:pPr>
          </w:p>
        </w:tc>
        <w:tc>
          <w:tcPr>
            <w:tcW w:w="1202" w:type="dxa"/>
            <w:tcBorders>
              <w:top w:val="single" w:color="auto" w:sz="4" w:space="0"/>
              <w:left w:val="single" w:color="auto" w:sz="4" w:space="0"/>
              <w:bottom w:val="single" w:color="auto" w:sz="4" w:space="0"/>
              <w:right w:val="single" w:color="auto" w:sz="4" w:space="0"/>
            </w:tcBorders>
            <w:vAlign w:val="center"/>
          </w:tcPr>
          <w:p w14:paraId="22239EB0">
            <w:pPr>
              <w:spacing w:line="500" w:lineRule="exact"/>
              <w:jc w:val="center"/>
              <w:rPr>
                <w:rFonts w:ascii="宋体" w:hAnsi="宋体" w:eastAsia="宋体"/>
                <w:color w:val="auto"/>
                <w:sz w:val="24"/>
                <w:szCs w:val="24"/>
                <w:highlight w:val="none"/>
              </w:rPr>
            </w:pPr>
          </w:p>
        </w:tc>
        <w:tc>
          <w:tcPr>
            <w:tcW w:w="748" w:type="dxa"/>
            <w:tcBorders>
              <w:top w:val="single" w:color="auto" w:sz="4" w:space="0"/>
              <w:left w:val="single" w:color="auto" w:sz="4" w:space="0"/>
              <w:bottom w:val="single" w:color="auto" w:sz="4" w:space="0"/>
              <w:right w:val="single" w:color="auto" w:sz="4" w:space="0"/>
            </w:tcBorders>
            <w:vAlign w:val="center"/>
          </w:tcPr>
          <w:p w14:paraId="546D9C58">
            <w:pPr>
              <w:spacing w:line="500" w:lineRule="exact"/>
              <w:jc w:val="center"/>
              <w:rPr>
                <w:rFonts w:ascii="宋体" w:hAnsi="宋体" w:eastAsia="宋体"/>
                <w:color w:val="auto"/>
                <w:sz w:val="24"/>
                <w:szCs w:val="24"/>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639CBCA4">
            <w:pPr>
              <w:spacing w:line="500" w:lineRule="exact"/>
              <w:jc w:val="center"/>
              <w:rPr>
                <w:rFonts w:ascii="宋体" w:hAnsi="宋体" w:eastAsia="宋体"/>
                <w:color w:val="auto"/>
                <w:sz w:val="24"/>
                <w:szCs w:val="24"/>
                <w:highlight w:val="none"/>
              </w:rPr>
            </w:pPr>
          </w:p>
        </w:tc>
      </w:tr>
      <w:tr w14:paraId="61CBF511">
        <w:tblPrEx>
          <w:tblCellMar>
            <w:top w:w="0" w:type="dxa"/>
            <w:left w:w="108" w:type="dxa"/>
            <w:bottom w:w="0" w:type="dxa"/>
            <w:right w:w="108" w:type="dxa"/>
          </w:tblCellMar>
        </w:tblPrEx>
        <w:tc>
          <w:tcPr>
            <w:tcW w:w="517" w:type="dxa"/>
            <w:tcBorders>
              <w:top w:val="single" w:color="auto" w:sz="4" w:space="0"/>
              <w:left w:val="single" w:color="auto" w:sz="4" w:space="0"/>
              <w:bottom w:val="single" w:color="auto" w:sz="4" w:space="0"/>
              <w:right w:val="single" w:color="auto" w:sz="4" w:space="0"/>
            </w:tcBorders>
            <w:vAlign w:val="center"/>
          </w:tcPr>
          <w:p w14:paraId="0BDF9FC4">
            <w:pPr>
              <w:spacing w:line="500" w:lineRule="exact"/>
              <w:jc w:val="center"/>
              <w:rPr>
                <w:rFonts w:ascii="宋体" w:hAnsi="宋体" w:eastAsia="宋体"/>
                <w:color w:val="auto"/>
                <w:sz w:val="24"/>
                <w:szCs w:val="24"/>
                <w:highlight w:val="none"/>
              </w:rPr>
            </w:pPr>
          </w:p>
        </w:tc>
        <w:tc>
          <w:tcPr>
            <w:tcW w:w="1179" w:type="dxa"/>
            <w:tcBorders>
              <w:top w:val="single" w:color="auto" w:sz="4" w:space="0"/>
              <w:left w:val="single" w:color="auto" w:sz="4" w:space="0"/>
              <w:bottom w:val="single" w:color="auto" w:sz="4" w:space="0"/>
              <w:right w:val="single" w:color="auto" w:sz="4" w:space="0"/>
            </w:tcBorders>
            <w:vAlign w:val="center"/>
          </w:tcPr>
          <w:p w14:paraId="16D769D1">
            <w:pPr>
              <w:spacing w:line="500" w:lineRule="exact"/>
              <w:jc w:val="center"/>
              <w:rPr>
                <w:rFonts w:ascii="宋体" w:hAnsi="宋体" w:eastAsia="宋体"/>
                <w:color w:val="auto"/>
                <w:sz w:val="24"/>
                <w:szCs w:val="24"/>
                <w:highlight w:val="none"/>
              </w:rPr>
            </w:pPr>
          </w:p>
        </w:tc>
        <w:tc>
          <w:tcPr>
            <w:tcW w:w="908" w:type="dxa"/>
            <w:tcBorders>
              <w:top w:val="single" w:color="auto" w:sz="4" w:space="0"/>
              <w:left w:val="single" w:color="auto" w:sz="4" w:space="0"/>
              <w:bottom w:val="single" w:color="auto" w:sz="4" w:space="0"/>
              <w:right w:val="single" w:color="auto" w:sz="4" w:space="0"/>
            </w:tcBorders>
            <w:vAlign w:val="center"/>
          </w:tcPr>
          <w:p w14:paraId="50DB6B9E">
            <w:pPr>
              <w:spacing w:line="500" w:lineRule="exact"/>
              <w:jc w:val="center"/>
              <w:rPr>
                <w:rFonts w:ascii="宋体" w:hAnsi="宋体" w:eastAsia="宋体"/>
                <w:color w:val="auto"/>
                <w:sz w:val="24"/>
                <w:szCs w:val="24"/>
                <w:highlight w:val="none"/>
              </w:rPr>
            </w:pPr>
          </w:p>
        </w:tc>
        <w:tc>
          <w:tcPr>
            <w:tcW w:w="966" w:type="dxa"/>
            <w:tcBorders>
              <w:top w:val="single" w:color="auto" w:sz="4" w:space="0"/>
              <w:left w:val="single" w:color="auto" w:sz="4" w:space="0"/>
              <w:bottom w:val="single" w:color="auto" w:sz="4" w:space="0"/>
              <w:right w:val="single" w:color="auto" w:sz="4" w:space="0"/>
            </w:tcBorders>
            <w:vAlign w:val="center"/>
          </w:tcPr>
          <w:p w14:paraId="2D78827F">
            <w:pPr>
              <w:spacing w:line="500" w:lineRule="exact"/>
              <w:jc w:val="center"/>
              <w:rPr>
                <w:rFonts w:ascii="宋体" w:hAnsi="宋体" w:eastAsia="宋体"/>
                <w:color w:val="auto"/>
                <w:sz w:val="24"/>
                <w:szCs w:val="24"/>
                <w:highlight w:val="none"/>
              </w:rPr>
            </w:pPr>
          </w:p>
        </w:tc>
        <w:tc>
          <w:tcPr>
            <w:tcW w:w="987" w:type="dxa"/>
            <w:tcBorders>
              <w:top w:val="single" w:color="auto" w:sz="4" w:space="0"/>
              <w:left w:val="single" w:color="auto" w:sz="4" w:space="0"/>
              <w:bottom w:val="single" w:color="auto" w:sz="4" w:space="0"/>
              <w:right w:val="single" w:color="auto" w:sz="4" w:space="0"/>
            </w:tcBorders>
            <w:vAlign w:val="center"/>
          </w:tcPr>
          <w:p w14:paraId="62F5302D">
            <w:pPr>
              <w:spacing w:line="500" w:lineRule="exact"/>
              <w:jc w:val="center"/>
              <w:rPr>
                <w:rFonts w:ascii="宋体" w:hAnsi="宋体" w:eastAsia="宋体"/>
                <w:color w:val="auto"/>
                <w:sz w:val="24"/>
                <w:szCs w:val="24"/>
                <w:highlight w:val="none"/>
              </w:rPr>
            </w:pPr>
          </w:p>
        </w:tc>
        <w:tc>
          <w:tcPr>
            <w:tcW w:w="944" w:type="dxa"/>
            <w:tcBorders>
              <w:top w:val="single" w:color="auto" w:sz="4" w:space="0"/>
              <w:left w:val="single" w:color="auto" w:sz="4" w:space="0"/>
              <w:bottom w:val="single" w:color="auto" w:sz="4" w:space="0"/>
              <w:right w:val="single" w:color="auto" w:sz="4" w:space="0"/>
            </w:tcBorders>
            <w:vAlign w:val="center"/>
          </w:tcPr>
          <w:p w14:paraId="43BCD967">
            <w:pPr>
              <w:spacing w:line="500" w:lineRule="exact"/>
              <w:jc w:val="center"/>
              <w:rPr>
                <w:rFonts w:ascii="宋体" w:hAnsi="宋体" w:eastAsia="宋体"/>
                <w:color w:val="auto"/>
                <w:sz w:val="24"/>
                <w:szCs w:val="24"/>
                <w:highlight w:val="none"/>
              </w:rPr>
            </w:pPr>
          </w:p>
        </w:tc>
        <w:tc>
          <w:tcPr>
            <w:tcW w:w="941" w:type="dxa"/>
            <w:tcBorders>
              <w:top w:val="single" w:color="auto" w:sz="4" w:space="0"/>
              <w:left w:val="single" w:color="auto" w:sz="4" w:space="0"/>
              <w:bottom w:val="single" w:color="auto" w:sz="4" w:space="0"/>
              <w:right w:val="single" w:color="auto" w:sz="4" w:space="0"/>
            </w:tcBorders>
            <w:vAlign w:val="center"/>
          </w:tcPr>
          <w:p w14:paraId="03DDA65A">
            <w:pPr>
              <w:spacing w:line="500" w:lineRule="exact"/>
              <w:jc w:val="center"/>
              <w:rPr>
                <w:rFonts w:ascii="宋体" w:hAnsi="宋体" w:eastAsia="宋体"/>
                <w:color w:val="auto"/>
                <w:sz w:val="24"/>
                <w:szCs w:val="24"/>
                <w:highlight w:val="none"/>
              </w:rPr>
            </w:pPr>
          </w:p>
        </w:tc>
        <w:tc>
          <w:tcPr>
            <w:tcW w:w="1202" w:type="dxa"/>
            <w:tcBorders>
              <w:top w:val="single" w:color="auto" w:sz="4" w:space="0"/>
              <w:left w:val="single" w:color="auto" w:sz="4" w:space="0"/>
              <w:bottom w:val="single" w:color="auto" w:sz="4" w:space="0"/>
              <w:right w:val="single" w:color="auto" w:sz="4" w:space="0"/>
            </w:tcBorders>
            <w:vAlign w:val="center"/>
          </w:tcPr>
          <w:p w14:paraId="4BD49BCB">
            <w:pPr>
              <w:spacing w:line="500" w:lineRule="exact"/>
              <w:jc w:val="center"/>
              <w:rPr>
                <w:rFonts w:ascii="宋体" w:hAnsi="宋体" w:eastAsia="宋体"/>
                <w:color w:val="auto"/>
                <w:sz w:val="24"/>
                <w:szCs w:val="24"/>
                <w:highlight w:val="none"/>
              </w:rPr>
            </w:pPr>
          </w:p>
        </w:tc>
        <w:tc>
          <w:tcPr>
            <w:tcW w:w="748" w:type="dxa"/>
            <w:tcBorders>
              <w:top w:val="single" w:color="auto" w:sz="4" w:space="0"/>
              <w:left w:val="single" w:color="auto" w:sz="4" w:space="0"/>
              <w:bottom w:val="single" w:color="auto" w:sz="4" w:space="0"/>
              <w:right w:val="single" w:color="auto" w:sz="4" w:space="0"/>
            </w:tcBorders>
            <w:vAlign w:val="center"/>
          </w:tcPr>
          <w:p w14:paraId="03E75312">
            <w:pPr>
              <w:spacing w:line="500" w:lineRule="exact"/>
              <w:jc w:val="center"/>
              <w:rPr>
                <w:rFonts w:ascii="宋体" w:hAnsi="宋体" w:eastAsia="宋体"/>
                <w:color w:val="auto"/>
                <w:sz w:val="24"/>
                <w:szCs w:val="24"/>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10B4BC1A">
            <w:pPr>
              <w:spacing w:line="500" w:lineRule="exact"/>
              <w:jc w:val="center"/>
              <w:rPr>
                <w:rFonts w:ascii="宋体" w:hAnsi="宋体" w:eastAsia="宋体"/>
                <w:color w:val="auto"/>
                <w:sz w:val="24"/>
                <w:szCs w:val="24"/>
                <w:highlight w:val="none"/>
              </w:rPr>
            </w:pPr>
          </w:p>
        </w:tc>
      </w:tr>
      <w:tr w14:paraId="35A88C6D">
        <w:tblPrEx>
          <w:tblCellMar>
            <w:top w:w="0" w:type="dxa"/>
            <w:left w:w="108" w:type="dxa"/>
            <w:bottom w:w="0" w:type="dxa"/>
            <w:right w:w="108" w:type="dxa"/>
          </w:tblCellMar>
        </w:tblPrEx>
        <w:trPr>
          <w:trHeight w:val="502" w:hRule="atLeast"/>
        </w:trPr>
        <w:tc>
          <w:tcPr>
            <w:tcW w:w="517" w:type="dxa"/>
            <w:tcBorders>
              <w:top w:val="single" w:color="auto" w:sz="4" w:space="0"/>
              <w:left w:val="single" w:color="auto" w:sz="4" w:space="0"/>
              <w:bottom w:val="single" w:color="auto" w:sz="4" w:space="0"/>
              <w:right w:val="single" w:color="auto" w:sz="4" w:space="0"/>
            </w:tcBorders>
            <w:vAlign w:val="center"/>
          </w:tcPr>
          <w:p w14:paraId="375BBB18">
            <w:pPr>
              <w:spacing w:line="500" w:lineRule="exact"/>
              <w:jc w:val="center"/>
              <w:rPr>
                <w:rFonts w:ascii="宋体" w:hAnsi="宋体" w:eastAsia="宋体"/>
                <w:color w:val="auto"/>
                <w:sz w:val="24"/>
                <w:szCs w:val="24"/>
                <w:highlight w:val="none"/>
              </w:rPr>
            </w:pPr>
          </w:p>
        </w:tc>
        <w:tc>
          <w:tcPr>
            <w:tcW w:w="1179" w:type="dxa"/>
            <w:tcBorders>
              <w:top w:val="single" w:color="auto" w:sz="4" w:space="0"/>
              <w:left w:val="single" w:color="auto" w:sz="4" w:space="0"/>
              <w:bottom w:val="single" w:color="auto" w:sz="4" w:space="0"/>
              <w:right w:val="single" w:color="auto" w:sz="4" w:space="0"/>
            </w:tcBorders>
            <w:vAlign w:val="center"/>
          </w:tcPr>
          <w:p w14:paraId="70495962">
            <w:pPr>
              <w:spacing w:line="500" w:lineRule="exact"/>
              <w:jc w:val="center"/>
              <w:rPr>
                <w:rFonts w:ascii="宋体" w:hAnsi="宋体" w:eastAsia="宋体"/>
                <w:color w:val="auto"/>
                <w:sz w:val="24"/>
                <w:szCs w:val="24"/>
                <w:highlight w:val="none"/>
              </w:rPr>
            </w:pPr>
          </w:p>
        </w:tc>
        <w:tc>
          <w:tcPr>
            <w:tcW w:w="908" w:type="dxa"/>
            <w:tcBorders>
              <w:top w:val="single" w:color="auto" w:sz="4" w:space="0"/>
              <w:left w:val="single" w:color="auto" w:sz="4" w:space="0"/>
              <w:bottom w:val="single" w:color="auto" w:sz="4" w:space="0"/>
              <w:right w:val="single" w:color="auto" w:sz="4" w:space="0"/>
            </w:tcBorders>
            <w:vAlign w:val="center"/>
          </w:tcPr>
          <w:p w14:paraId="6718D977">
            <w:pPr>
              <w:spacing w:line="500" w:lineRule="exact"/>
              <w:jc w:val="center"/>
              <w:rPr>
                <w:rFonts w:ascii="宋体" w:hAnsi="宋体" w:eastAsia="宋体"/>
                <w:color w:val="auto"/>
                <w:sz w:val="24"/>
                <w:szCs w:val="24"/>
                <w:highlight w:val="none"/>
              </w:rPr>
            </w:pPr>
          </w:p>
        </w:tc>
        <w:tc>
          <w:tcPr>
            <w:tcW w:w="966" w:type="dxa"/>
            <w:tcBorders>
              <w:top w:val="single" w:color="auto" w:sz="4" w:space="0"/>
              <w:left w:val="single" w:color="auto" w:sz="4" w:space="0"/>
              <w:bottom w:val="single" w:color="auto" w:sz="4" w:space="0"/>
              <w:right w:val="single" w:color="auto" w:sz="4" w:space="0"/>
            </w:tcBorders>
            <w:vAlign w:val="center"/>
          </w:tcPr>
          <w:p w14:paraId="7CDADB1B">
            <w:pPr>
              <w:spacing w:line="500" w:lineRule="exact"/>
              <w:jc w:val="center"/>
              <w:rPr>
                <w:rFonts w:ascii="宋体" w:hAnsi="宋体" w:eastAsia="宋体"/>
                <w:color w:val="auto"/>
                <w:sz w:val="24"/>
                <w:szCs w:val="24"/>
                <w:highlight w:val="none"/>
              </w:rPr>
            </w:pPr>
          </w:p>
        </w:tc>
        <w:tc>
          <w:tcPr>
            <w:tcW w:w="987" w:type="dxa"/>
            <w:tcBorders>
              <w:top w:val="single" w:color="auto" w:sz="4" w:space="0"/>
              <w:left w:val="single" w:color="auto" w:sz="4" w:space="0"/>
              <w:bottom w:val="single" w:color="auto" w:sz="4" w:space="0"/>
              <w:right w:val="single" w:color="auto" w:sz="4" w:space="0"/>
            </w:tcBorders>
            <w:vAlign w:val="center"/>
          </w:tcPr>
          <w:p w14:paraId="63B27E4B">
            <w:pPr>
              <w:spacing w:line="500" w:lineRule="exact"/>
              <w:jc w:val="center"/>
              <w:rPr>
                <w:rFonts w:ascii="宋体" w:hAnsi="宋体" w:eastAsia="宋体"/>
                <w:color w:val="auto"/>
                <w:sz w:val="24"/>
                <w:szCs w:val="24"/>
                <w:highlight w:val="none"/>
              </w:rPr>
            </w:pPr>
          </w:p>
        </w:tc>
        <w:tc>
          <w:tcPr>
            <w:tcW w:w="944" w:type="dxa"/>
            <w:tcBorders>
              <w:top w:val="single" w:color="auto" w:sz="4" w:space="0"/>
              <w:left w:val="single" w:color="auto" w:sz="4" w:space="0"/>
              <w:bottom w:val="single" w:color="auto" w:sz="4" w:space="0"/>
              <w:right w:val="single" w:color="auto" w:sz="4" w:space="0"/>
            </w:tcBorders>
            <w:vAlign w:val="center"/>
          </w:tcPr>
          <w:p w14:paraId="65527A29">
            <w:pPr>
              <w:spacing w:line="500" w:lineRule="exact"/>
              <w:jc w:val="center"/>
              <w:rPr>
                <w:rFonts w:ascii="宋体" w:hAnsi="宋体" w:eastAsia="宋体"/>
                <w:color w:val="auto"/>
                <w:sz w:val="24"/>
                <w:szCs w:val="24"/>
                <w:highlight w:val="none"/>
              </w:rPr>
            </w:pPr>
          </w:p>
        </w:tc>
        <w:tc>
          <w:tcPr>
            <w:tcW w:w="941" w:type="dxa"/>
            <w:tcBorders>
              <w:top w:val="single" w:color="auto" w:sz="4" w:space="0"/>
              <w:left w:val="single" w:color="auto" w:sz="4" w:space="0"/>
              <w:bottom w:val="single" w:color="auto" w:sz="4" w:space="0"/>
              <w:right w:val="single" w:color="auto" w:sz="4" w:space="0"/>
            </w:tcBorders>
            <w:vAlign w:val="center"/>
          </w:tcPr>
          <w:p w14:paraId="2AB4BAFF">
            <w:pPr>
              <w:spacing w:line="500" w:lineRule="exact"/>
              <w:jc w:val="center"/>
              <w:rPr>
                <w:rFonts w:ascii="宋体" w:hAnsi="宋体" w:eastAsia="宋体"/>
                <w:color w:val="auto"/>
                <w:sz w:val="24"/>
                <w:szCs w:val="24"/>
                <w:highlight w:val="none"/>
              </w:rPr>
            </w:pPr>
          </w:p>
        </w:tc>
        <w:tc>
          <w:tcPr>
            <w:tcW w:w="1202" w:type="dxa"/>
            <w:tcBorders>
              <w:top w:val="single" w:color="auto" w:sz="4" w:space="0"/>
              <w:left w:val="single" w:color="auto" w:sz="4" w:space="0"/>
              <w:bottom w:val="single" w:color="auto" w:sz="4" w:space="0"/>
              <w:right w:val="single" w:color="auto" w:sz="4" w:space="0"/>
            </w:tcBorders>
            <w:vAlign w:val="center"/>
          </w:tcPr>
          <w:p w14:paraId="06CEF5B2">
            <w:pPr>
              <w:spacing w:line="500" w:lineRule="exact"/>
              <w:jc w:val="center"/>
              <w:rPr>
                <w:rFonts w:ascii="宋体" w:hAnsi="宋体" w:eastAsia="宋体"/>
                <w:color w:val="auto"/>
                <w:sz w:val="24"/>
                <w:szCs w:val="24"/>
                <w:highlight w:val="none"/>
              </w:rPr>
            </w:pPr>
          </w:p>
        </w:tc>
        <w:tc>
          <w:tcPr>
            <w:tcW w:w="748" w:type="dxa"/>
            <w:tcBorders>
              <w:top w:val="single" w:color="auto" w:sz="4" w:space="0"/>
              <w:left w:val="single" w:color="auto" w:sz="4" w:space="0"/>
              <w:bottom w:val="single" w:color="auto" w:sz="4" w:space="0"/>
              <w:right w:val="single" w:color="auto" w:sz="4" w:space="0"/>
            </w:tcBorders>
            <w:vAlign w:val="center"/>
          </w:tcPr>
          <w:p w14:paraId="4E49EC07">
            <w:pPr>
              <w:spacing w:line="500" w:lineRule="exact"/>
              <w:jc w:val="center"/>
              <w:rPr>
                <w:rFonts w:ascii="宋体" w:hAnsi="宋体" w:eastAsia="宋体"/>
                <w:color w:val="auto"/>
                <w:sz w:val="24"/>
                <w:szCs w:val="24"/>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5B5FE8E2">
            <w:pPr>
              <w:spacing w:line="500" w:lineRule="exact"/>
              <w:jc w:val="center"/>
              <w:rPr>
                <w:rFonts w:ascii="宋体" w:hAnsi="宋体" w:eastAsia="宋体"/>
                <w:color w:val="auto"/>
                <w:sz w:val="24"/>
                <w:szCs w:val="24"/>
                <w:highlight w:val="none"/>
              </w:rPr>
            </w:pPr>
          </w:p>
        </w:tc>
      </w:tr>
      <w:tr w14:paraId="5B81846C">
        <w:tblPrEx>
          <w:tblCellMar>
            <w:top w:w="0" w:type="dxa"/>
            <w:left w:w="108" w:type="dxa"/>
            <w:bottom w:w="0" w:type="dxa"/>
            <w:right w:w="108" w:type="dxa"/>
          </w:tblCellMar>
        </w:tblPrEx>
        <w:tc>
          <w:tcPr>
            <w:tcW w:w="517" w:type="dxa"/>
            <w:tcBorders>
              <w:top w:val="single" w:color="auto" w:sz="4" w:space="0"/>
              <w:left w:val="single" w:color="auto" w:sz="4" w:space="0"/>
              <w:bottom w:val="single" w:color="auto" w:sz="4" w:space="0"/>
              <w:right w:val="single" w:color="auto" w:sz="4" w:space="0"/>
            </w:tcBorders>
            <w:vAlign w:val="center"/>
          </w:tcPr>
          <w:p w14:paraId="7D3744DA">
            <w:pPr>
              <w:spacing w:line="500" w:lineRule="exact"/>
              <w:jc w:val="center"/>
              <w:rPr>
                <w:rFonts w:ascii="宋体" w:hAnsi="宋体" w:eastAsia="宋体"/>
                <w:color w:val="auto"/>
                <w:sz w:val="24"/>
                <w:szCs w:val="24"/>
                <w:highlight w:val="none"/>
              </w:rPr>
            </w:pPr>
          </w:p>
        </w:tc>
        <w:tc>
          <w:tcPr>
            <w:tcW w:w="1179" w:type="dxa"/>
            <w:tcBorders>
              <w:top w:val="single" w:color="auto" w:sz="4" w:space="0"/>
              <w:left w:val="single" w:color="auto" w:sz="4" w:space="0"/>
              <w:bottom w:val="single" w:color="auto" w:sz="4" w:space="0"/>
              <w:right w:val="single" w:color="auto" w:sz="4" w:space="0"/>
            </w:tcBorders>
            <w:vAlign w:val="center"/>
          </w:tcPr>
          <w:p w14:paraId="45E3CA41">
            <w:pPr>
              <w:spacing w:line="500" w:lineRule="exact"/>
              <w:jc w:val="center"/>
              <w:rPr>
                <w:rFonts w:ascii="宋体" w:hAnsi="宋体" w:eastAsia="宋体"/>
                <w:color w:val="auto"/>
                <w:sz w:val="24"/>
                <w:szCs w:val="24"/>
                <w:highlight w:val="none"/>
              </w:rPr>
            </w:pPr>
          </w:p>
        </w:tc>
        <w:tc>
          <w:tcPr>
            <w:tcW w:w="908" w:type="dxa"/>
            <w:tcBorders>
              <w:top w:val="single" w:color="auto" w:sz="4" w:space="0"/>
              <w:left w:val="single" w:color="auto" w:sz="4" w:space="0"/>
              <w:bottom w:val="single" w:color="auto" w:sz="4" w:space="0"/>
              <w:right w:val="single" w:color="auto" w:sz="4" w:space="0"/>
            </w:tcBorders>
            <w:vAlign w:val="center"/>
          </w:tcPr>
          <w:p w14:paraId="02656D33">
            <w:pPr>
              <w:spacing w:line="500" w:lineRule="exact"/>
              <w:jc w:val="center"/>
              <w:rPr>
                <w:rFonts w:ascii="宋体" w:hAnsi="宋体" w:eastAsia="宋体"/>
                <w:color w:val="auto"/>
                <w:sz w:val="24"/>
                <w:szCs w:val="24"/>
                <w:highlight w:val="none"/>
              </w:rPr>
            </w:pPr>
          </w:p>
        </w:tc>
        <w:tc>
          <w:tcPr>
            <w:tcW w:w="966" w:type="dxa"/>
            <w:tcBorders>
              <w:top w:val="single" w:color="auto" w:sz="4" w:space="0"/>
              <w:left w:val="single" w:color="auto" w:sz="4" w:space="0"/>
              <w:bottom w:val="single" w:color="auto" w:sz="4" w:space="0"/>
              <w:right w:val="single" w:color="auto" w:sz="4" w:space="0"/>
            </w:tcBorders>
            <w:vAlign w:val="center"/>
          </w:tcPr>
          <w:p w14:paraId="2F99ECDB">
            <w:pPr>
              <w:spacing w:line="500" w:lineRule="exact"/>
              <w:jc w:val="center"/>
              <w:rPr>
                <w:rFonts w:ascii="宋体" w:hAnsi="宋体" w:eastAsia="宋体"/>
                <w:color w:val="auto"/>
                <w:sz w:val="24"/>
                <w:szCs w:val="24"/>
                <w:highlight w:val="none"/>
              </w:rPr>
            </w:pPr>
          </w:p>
        </w:tc>
        <w:tc>
          <w:tcPr>
            <w:tcW w:w="987" w:type="dxa"/>
            <w:tcBorders>
              <w:top w:val="single" w:color="auto" w:sz="4" w:space="0"/>
              <w:left w:val="single" w:color="auto" w:sz="4" w:space="0"/>
              <w:bottom w:val="single" w:color="auto" w:sz="4" w:space="0"/>
              <w:right w:val="single" w:color="auto" w:sz="4" w:space="0"/>
            </w:tcBorders>
            <w:vAlign w:val="center"/>
          </w:tcPr>
          <w:p w14:paraId="2B712741">
            <w:pPr>
              <w:spacing w:line="500" w:lineRule="exact"/>
              <w:jc w:val="center"/>
              <w:rPr>
                <w:rFonts w:ascii="宋体" w:hAnsi="宋体" w:eastAsia="宋体"/>
                <w:color w:val="auto"/>
                <w:sz w:val="24"/>
                <w:szCs w:val="24"/>
                <w:highlight w:val="none"/>
              </w:rPr>
            </w:pPr>
          </w:p>
        </w:tc>
        <w:tc>
          <w:tcPr>
            <w:tcW w:w="944" w:type="dxa"/>
            <w:tcBorders>
              <w:top w:val="single" w:color="auto" w:sz="4" w:space="0"/>
              <w:left w:val="single" w:color="auto" w:sz="4" w:space="0"/>
              <w:bottom w:val="single" w:color="auto" w:sz="4" w:space="0"/>
              <w:right w:val="single" w:color="auto" w:sz="4" w:space="0"/>
            </w:tcBorders>
            <w:vAlign w:val="center"/>
          </w:tcPr>
          <w:p w14:paraId="6C310B47">
            <w:pPr>
              <w:spacing w:line="500" w:lineRule="exact"/>
              <w:jc w:val="center"/>
              <w:rPr>
                <w:rFonts w:ascii="宋体" w:hAnsi="宋体" w:eastAsia="宋体"/>
                <w:color w:val="auto"/>
                <w:sz w:val="24"/>
                <w:szCs w:val="24"/>
                <w:highlight w:val="none"/>
              </w:rPr>
            </w:pPr>
          </w:p>
        </w:tc>
        <w:tc>
          <w:tcPr>
            <w:tcW w:w="941" w:type="dxa"/>
            <w:tcBorders>
              <w:top w:val="single" w:color="auto" w:sz="4" w:space="0"/>
              <w:left w:val="single" w:color="auto" w:sz="4" w:space="0"/>
              <w:bottom w:val="single" w:color="auto" w:sz="4" w:space="0"/>
              <w:right w:val="single" w:color="auto" w:sz="4" w:space="0"/>
            </w:tcBorders>
            <w:vAlign w:val="center"/>
          </w:tcPr>
          <w:p w14:paraId="3A9CF757">
            <w:pPr>
              <w:spacing w:line="500" w:lineRule="exact"/>
              <w:jc w:val="center"/>
              <w:rPr>
                <w:rFonts w:ascii="宋体" w:hAnsi="宋体" w:eastAsia="宋体"/>
                <w:color w:val="auto"/>
                <w:sz w:val="24"/>
                <w:szCs w:val="24"/>
                <w:highlight w:val="none"/>
              </w:rPr>
            </w:pPr>
          </w:p>
        </w:tc>
        <w:tc>
          <w:tcPr>
            <w:tcW w:w="1202" w:type="dxa"/>
            <w:tcBorders>
              <w:top w:val="single" w:color="auto" w:sz="4" w:space="0"/>
              <w:left w:val="single" w:color="auto" w:sz="4" w:space="0"/>
              <w:bottom w:val="single" w:color="auto" w:sz="4" w:space="0"/>
              <w:right w:val="single" w:color="auto" w:sz="4" w:space="0"/>
            </w:tcBorders>
            <w:vAlign w:val="center"/>
          </w:tcPr>
          <w:p w14:paraId="4DE5F0A5">
            <w:pPr>
              <w:spacing w:line="500" w:lineRule="exact"/>
              <w:jc w:val="center"/>
              <w:rPr>
                <w:rFonts w:ascii="宋体" w:hAnsi="宋体" w:eastAsia="宋体"/>
                <w:color w:val="auto"/>
                <w:sz w:val="24"/>
                <w:szCs w:val="24"/>
                <w:highlight w:val="none"/>
              </w:rPr>
            </w:pPr>
          </w:p>
        </w:tc>
        <w:tc>
          <w:tcPr>
            <w:tcW w:w="748" w:type="dxa"/>
            <w:tcBorders>
              <w:top w:val="single" w:color="auto" w:sz="4" w:space="0"/>
              <w:left w:val="single" w:color="auto" w:sz="4" w:space="0"/>
              <w:bottom w:val="single" w:color="auto" w:sz="4" w:space="0"/>
              <w:right w:val="single" w:color="auto" w:sz="4" w:space="0"/>
            </w:tcBorders>
            <w:vAlign w:val="center"/>
          </w:tcPr>
          <w:p w14:paraId="6A3A5470">
            <w:pPr>
              <w:spacing w:line="500" w:lineRule="exact"/>
              <w:jc w:val="center"/>
              <w:rPr>
                <w:rFonts w:ascii="宋体" w:hAnsi="宋体" w:eastAsia="宋体"/>
                <w:color w:val="auto"/>
                <w:sz w:val="24"/>
                <w:szCs w:val="24"/>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32B49738">
            <w:pPr>
              <w:spacing w:line="500" w:lineRule="exact"/>
              <w:jc w:val="center"/>
              <w:rPr>
                <w:rFonts w:ascii="宋体" w:hAnsi="宋体" w:eastAsia="宋体"/>
                <w:color w:val="auto"/>
                <w:sz w:val="24"/>
                <w:szCs w:val="24"/>
                <w:highlight w:val="none"/>
              </w:rPr>
            </w:pPr>
          </w:p>
        </w:tc>
      </w:tr>
      <w:tr w14:paraId="3B903542">
        <w:tblPrEx>
          <w:tblCellMar>
            <w:top w:w="0" w:type="dxa"/>
            <w:left w:w="108" w:type="dxa"/>
            <w:bottom w:w="0" w:type="dxa"/>
            <w:right w:w="108" w:type="dxa"/>
          </w:tblCellMar>
        </w:tblPrEx>
        <w:tc>
          <w:tcPr>
            <w:tcW w:w="517" w:type="dxa"/>
            <w:tcBorders>
              <w:top w:val="single" w:color="auto" w:sz="4" w:space="0"/>
              <w:left w:val="single" w:color="auto" w:sz="4" w:space="0"/>
              <w:bottom w:val="single" w:color="auto" w:sz="4" w:space="0"/>
              <w:right w:val="single" w:color="auto" w:sz="4" w:space="0"/>
            </w:tcBorders>
            <w:vAlign w:val="center"/>
          </w:tcPr>
          <w:p w14:paraId="15D8EE6E">
            <w:pPr>
              <w:spacing w:line="500" w:lineRule="exact"/>
              <w:jc w:val="center"/>
              <w:rPr>
                <w:rFonts w:ascii="宋体" w:hAnsi="宋体" w:eastAsia="宋体"/>
                <w:color w:val="auto"/>
                <w:sz w:val="24"/>
                <w:szCs w:val="24"/>
                <w:highlight w:val="none"/>
              </w:rPr>
            </w:pPr>
          </w:p>
        </w:tc>
        <w:tc>
          <w:tcPr>
            <w:tcW w:w="1179" w:type="dxa"/>
            <w:tcBorders>
              <w:top w:val="single" w:color="auto" w:sz="4" w:space="0"/>
              <w:left w:val="single" w:color="auto" w:sz="4" w:space="0"/>
              <w:bottom w:val="single" w:color="auto" w:sz="4" w:space="0"/>
              <w:right w:val="single" w:color="auto" w:sz="4" w:space="0"/>
            </w:tcBorders>
            <w:vAlign w:val="center"/>
          </w:tcPr>
          <w:p w14:paraId="58103E95">
            <w:pPr>
              <w:spacing w:line="500" w:lineRule="exact"/>
              <w:jc w:val="center"/>
              <w:rPr>
                <w:rFonts w:ascii="宋体" w:hAnsi="宋体" w:eastAsia="宋体"/>
                <w:color w:val="auto"/>
                <w:sz w:val="24"/>
                <w:szCs w:val="24"/>
                <w:highlight w:val="none"/>
              </w:rPr>
            </w:pPr>
          </w:p>
        </w:tc>
        <w:tc>
          <w:tcPr>
            <w:tcW w:w="908" w:type="dxa"/>
            <w:tcBorders>
              <w:top w:val="single" w:color="auto" w:sz="4" w:space="0"/>
              <w:left w:val="single" w:color="auto" w:sz="4" w:space="0"/>
              <w:bottom w:val="single" w:color="auto" w:sz="4" w:space="0"/>
              <w:right w:val="single" w:color="auto" w:sz="4" w:space="0"/>
            </w:tcBorders>
            <w:vAlign w:val="center"/>
          </w:tcPr>
          <w:p w14:paraId="00326FA6">
            <w:pPr>
              <w:spacing w:line="500" w:lineRule="exact"/>
              <w:jc w:val="center"/>
              <w:rPr>
                <w:rFonts w:ascii="宋体" w:hAnsi="宋体" w:eastAsia="宋体"/>
                <w:color w:val="auto"/>
                <w:sz w:val="24"/>
                <w:szCs w:val="24"/>
                <w:highlight w:val="none"/>
              </w:rPr>
            </w:pPr>
          </w:p>
        </w:tc>
        <w:tc>
          <w:tcPr>
            <w:tcW w:w="966" w:type="dxa"/>
            <w:tcBorders>
              <w:top w:val="single" w:color="auto" w:sz="4" w:space="0"/>
              <w:left w:val="single" w:color="auto" w:sz="4" w:space="0"/>
              <w:bottom w:val="single" w:color="auto" w:sz="4" w:space="0"/>
              <w:right w:val="single" w:color="auto" w:sz="4" w:space="0"/>
            </w:tcBorders>
            <w:vAlign w:val="center"/>
          </w:tcPr>
          <w:p w14:paraId="1424FAE7">
            <w:pPr>
              <w:spacing w:line="500" w:lineRule="exact"/>
              <w:jc w:val="center"/>
              <w:rPr>
                <w:rFonts w:ascii="宋体" w:hAnsi="宋体" w:eastAsia="宋体"/>
                <w:color w:val="auto"/>
                <w:sz w:val="24"/>
                <w:szCs w:val="24"/>
                <w:highlight w:val="none"/>
              </w:rPr>
            </w:pPr>
          </w:p>
        </w:tc>
        <w:tc>
          <w:tcPr>
            <w:tcW w:w="987" w:type="dxa"/>
            <w:tcBorders>
              <w:top w:val="single" w:color="auto" w:sz="4" w:space="0"/>
              <w:left w:val="single" w:color="auto" w:sz="4" w:space="0"/>
              <w:bottom w:val="single" w:color="auto" w:sz="4" w:space="0"/>
              <w:right w:val="single" w:color="auto" w:sz="4" w:space="0"/>
            </w:tcBorders>
            <w:vAlign w:val="center"/>
          </w:tcPr>
          <w:p w14:paraId="18CBA452">
            <w:pPr>
              <w:spacing w:line="500" w:lineRule="exact"/>
              <w:jc w:val="center"/>
              <w:rPr>
                <w:rFonts w:ascii="宋体" w:hAnsi="宋体" w:eastAsia="宋体"/>
                <w:color w:val="auto"/>
                <w:sz w:val="24"/>
                <w:szCs w:val="24"/>
                <w:highlight w:val="none"/>
              </w:rPr>
            </w:pPr>
          </w:p>
        </w:tc>
        <w:tc>
          <w:tcPr>
            <w:tcW w:w="944" w:type="dxa"/>
            <w:tcBorders>
              <w:top w:val="single" w:color="auto" w:sz="4" w:space="0"/>
              <w:left w:val="single" w:color="auto" w:sz="4" w:space="0"/>
              <w:bottom w:val="single" w:color="auto" w:sz="4" w:space="0"/>
              <w:right w:val="single" w:color="auto" w:sz="4" w:space="0"/>
            </w:tcBorders>
            <w:vAlign w:val="center"/>
          </w:tcPr>
          <w:p w14:paraId="1DA0B972">
            <w:pPr>
              <w:spacing w:line="500" w:lineRule="exact"/>
              <w:jc w:val="center"/>
              <w:rPr>
                <w:rFonts w:ascii="宋体" w:hAnsi="宋体" w:eastAsia="宋体"/>
                <w:color w:val="auto"/>
                <w:sz w:val="24"/>
                <w:szCs w:val="24"/>
                <w:highlight w:val="none"/>
              </w:rPr>
            </w:pPr>
          </w:p>
        </w:tc>
        <w:tc>
          <w:tcPr>
            <w:tcW w:w="941" w:type="dxa"/>
            <w:tcBorders>
              <w:top w:val="single" w:color="auto" w:sz="4" w:space="0"/>
              <w:left w:val="single" w:color="auto" w:sz="4" w:space="0"/>
              <w:bottom w:val="single" w:color="auto" w:sz="4" w:space="0"/>
              <w:right w:val="single" w:color="auto" w:sz="4" w:space="0"/>
            </w:tcBorders>
            <w:vAlign w:val="center"/>
          </w:tcPr>
          <w:p w14:paraId="7E00EC66">
            <w:pPr>
              <w:spacing w:line="500" w:lineRule="exact"/>
              <w:jc w:val="center"/>
              <w:rPr>
                <w:rFonts w:ascii="宋体" w:hAnsi="宋体" w:eastAsia="宋体"/>
                <w:color w:val="auto"/>
                <w:sz w:val="24"/>
                <w:szCs w:val="24"/>
                <w:highlight w:val="none"/>
              </w:rPr>
            </w:pPr>
          </w:p>
        </w:tc>
        <w:tc>
          <w:tcPr>
            <w:tcW w:w="1202" w:type="dxa"/>
            <w:tcBorders>
              <w:top w:val="single" w:color="auto" w:sz="4" w:space="0"/>
              <w:left w:val="single" w:color="auto" w:sz="4" w:space="0"/>
              <w:bottom w:val="single" w:color="auto" w:sz="4" w:space="0"/>
              <w:right w:val="single" w:color="auto" w:sz="4" w:space="0"/>
            </w:tcBorders>
            <w:vAlign w:val="center"/>
          </w:tcPr>
          <w:p w14:paraId="4598F132">
            <w:pPr>
              <w:spacing w:line="500" w:lineRule="exact"/>
              <w:jc w:val="center"/>
              <w:rPr>
                <w:rFonts w:ascii="宋体" w:hAnsi="宋体" w:eastAsia="宋体"/>
                <w:color w:val="auto"/>
                <w:sz w:val="24"/>
                <w:szCs w:val="24"/>
                <w:highlight w:val="none"/>
              </w:rPr>
            </w:pPr>
          </w:p>
        </w:tc>
        <w:tc>
          <w:tcPr>
            <w:tcW w:w="748" w:type="dxa"/>
            <w:tcBorders>
              <w:top w:val="single" w:color="auto" w:sz="4" w:space="0"/>
              <w:left w:val="single" w:color="auto" w:sz="4" w:space="0"/>
              <w:bottom w:val="single" w:color="auto" w:sz="4" w:space="0"/>
              <w:right w:val="single" w:color="auto" w:sz="4" w:space="0"/>
            </w:tcBorders>
            <w:vAlign w:val="center"/>
          </w:tcPr>
          <w:p w14:paraId="4F65BB35">
            <w:pPr>
              <w:spacing w:line="500" w:lineRule="exact"/>
              <w:jc w:val="center"/>
              <w:rPr>
                <w:rFonts w:ascii="宋体" w:hAnsi="宋体" w:eastAsia="宋体"/>
                <w:color w:val="auto"/>
                <w:sz w:val="24"/>
                <w:szCs w:val="24"/>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22A9E8E9">
            <w:pPr>
              <w:spacing w:line="500" w:lineRule="exact"/>
              <w:jc w:val="center"/>
              <w:rPr>
                <w:rFonts w:ascii="宋体" w:hAnsi="宋体" w:eastAsia="宋体"/>
                <w:color w:val="auto"/>
                <w:sz w:val="24"/>
                <w:szCs w:val="24"/>
                <w:highlight w:val="none"/>
              </w:rPr>
            </w:pPr>
          </w:p>
        </w:tc>
      </w:tr>
      <w:tr w14:paraId="4F4F0C13">
        <w:tblPrEx>
          <w:tblCellMar>
            <w:top w:w="0" w:type="dxa"/>
            <w:left w:w="108" w:type="dxa"/>
            <w:bottom w:w="0" w:type="dxa"/>
            <w:right w:w="108" w:type="dxa"/>
          </w:tblCellMar>
        </w:tblPrEx>
        <w:tc>
          <w:tcPr>
            <w:tcW w:w="1696" w:type="dxa"/>
            <w:gridSpan w:val="2"/>
            <w:tcBorders>
              <w:top w:val="single" w:color="auto" w:sz="4" w:space="0"/>
              <w:left w:val="single" w:color="auto" w:sz="4" w:space="0"/>
              <w:bottom w:val="single" w:color="auto" w:sz="4" w:space="0"/>
              <w:right w:val="single" w:color="auto" w:sz="4" w:space="0"/>
            </w:tcBorders>
            <w:vAlign w:val="center"/>
          </w:tcPr>
          <w:p w14:paraId="45E74E1C">
            <w:pPr>
              <w:spacing w:line="50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最高投标限价：</w:t>
            </w:r>
          </w:p>
        </w:tc>
        <w:tc>
          <w:tcPr>
            <w:tcW w:w="7920" w:type="dxa"/>
            <w:gridSpan w:val="8"/>
            <w:tcBorders>
              <w:top w:val="single" w:color="auto" w:sz="4" w:space="0"/>
              <w:left w:val="single" w:color="auto" w:sz="4" w:space="0"/>
              <w:bottom w:val="single" w:color="auto" w:sz="4" w:space="0"/>
              <w:right w:val="single" w:color="auto" w:sz="4" w:space="0"/>
            </w:tcBorders>
            <w:vAlign w:val="center"/>
          </w:tcPr>
          <w:p w14:paraId="16A719F1">
            <w:pPr>
              <w:spacing w:line="500" w:lineRule="exact"/>
              <w:jc w:val="center"/>
              <w:rPr>
                <w:rFonts w:hint="default" w:ascii="宋体" w:hAnsi="宋体" w:eastAsia="宋体"/>
                <w:color w:val="auto"/>
                <w:sz w:val="24"/>
                <w:szCs w:val="24"/>
                <w:highlight w:val="none"/>
                <w:lang w:val="en-US"/>
              </w:rPr>
            </w:pPr>
            <w:r>
              <w:rPr>
                <w:rFonts w:hint="eastAsia" w:ascii="宋体" w:hAnsi="宋体" w:eastAsia="宋体" w:cs="宋体"/>
                <w:b/>
                <w:color w:val="auto"/>
                <w:sz w:val="24"/>
                <w:szCs w:val="24"/>
                <w:highlight w:val="none"/>
                <w:u w:val="single"/>
                <w:lang w:val="en-US" w:eastAsia="zh-CN"/>
              </w:rPr>
              <w:t xml:space="preserve">    万元</w:t>
            </w:r>
          </w:p>
        </w:tc>
      </w:tr>
    </w:tbl>
    <w:p w14:paraId="6B08D6EF">
      <w:pPr>
        <w:spacing w:line="62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招标人代表：</w:t>
      </w:r>
      <w:r>
        <w:rPr>
          <w:rFonts w:hint="eastAsia" w:ascii="宋体" w:hAnsi="宋体" w:eastAsia="宋体"/>
          <w:color w:val="auto"/>
          <w:sz w:val="24"/>
          <w:szCs w:val="24"/>
          <w:highlight w:val="none"/>
          <w:lang w:val="en-US" w:eastAsia="zh-CN"/>
        </w:rPr>
        <w:t xml:space="preserve">                </w:t>
      </w:r>
      <w:r>
        <w:rPr>
          <w:rFonts w:hint="eastAsia" w:ascii="宋体" w:hAnsi="宋体" w:eastAsia="宋体"/>
          <w:color w:val="auto"/>
          <w:sz w:val="24"/>
          <w:szCs w:val="24"/>
          <w:highlight w:val="none"/>
        </w:rPr>
        <w:t>记录人：</w:t>
      </w:r>
      <w:r>
        <w:rPr>
          <w:rFonts w:hint="eastAsia" w:ascii="宋体" w:hAnsi="宋体" w:eastAsia="宋体"/>
          <w:color w:val="auto"/>
          <w:sz w:val="24"/>
          <w:szCs w:val="24"/>
          <w:highlight w:val="none"/>
          <w:lang w:val="en-US" w:eastAsia="zh-CN"/>
        </w:rPr>
        <w:t xml:space="preserve">           </w:t>
      </w:r>
      <w:r>
        <w:rPr>
          <w:rFonts w:hint="eastAsia" w:ascii="宋体" w:hAnsi="宋体" w:eastAsia="宋体"/>
          <w:color w:val="auto"/>
          <w:sz w:val="24"/>
          <w:szCs w:val="24"/>
          <w:highlight w:val="none"/>
        </w:rPr>
        <w:t>监标人：</w:t>
      </w:r>
    </w:p>
    <w:p w14:paraId="43CEB530">
      <w:pPr>
        <w:rPr>
          <w:rFonts w:ascii="宋体" w:hAnsi="宋体" w:eastAsia="宋体"/>
          <w:color w:val="auto"/>
          <w:highlight w:val="none"/>
        </w:rPr>
      </w:pPr>
      <w:bookmarkStart w:id="372" w:name="_Toc529196577"/>
    </w:p>
    <w:p w14:paraId="2AE7FBC7">
      <w:pPr>
        <w:rPr>
          <w:rFonts w:ascii="宋体" w:hAnsi="宋体" w:eastAsia="宋体"/>
          <w:color w:val="auto"/>
          <w:highlight w:val="none"/>
        </w:rPr>
      </w:pPr>
    </w:p>
    <w:p w14:paraId="4FFDE17A">
      <w:pPr>
        <w:spacing w:after="240"/>
        <w:rPr>
          <w:rFonts w:ascii="宋体" w:hAnsi="宋体" w:eastAsia="宋体"/>
          <w:b/>
          <w:color w:val="auto"/>
          <w:sz w:val="28"/>
          <w:szCs w:val="20"/>
          <w:highlight w:val="none"/>
        </w:rPr>
      </w:pPr>
      <w:r>
        <w:rPr>
          <w:rFonts w:hint="eastAsia" w:ascii="宋体" w:hAnsi="宋体" w:eastAsia="宋体"/>
          <w:b/>
          <w:color w:val="auto"/>
          <w:sz w:val="28"/>
          <w:szCs w:val="20"/>
          <w:highlight w:val="none"/>
        </w:rPr>
        <w:br w:type="page"/>
      </w:r>
      <w:bookmarkStart w:id="373" w:name="_Toc530470625"/>
      <w:bookmarkStart w:id="374" w:name="_Toc535938715"/>
      <w:r>
        <w:rPr>
          <w:rFonts w:hint="eastAsia" w:ascii="宋体" w:hAnsi="宋体" w:eastAsia="宋体"/>
          <w:b/>
          <w:color w:val="auto"/>
          <w:sz w:val="28"/>
          <w:szCs w:val="20"/>
          <w:highlight w:val="none"/>
        </w:rPr>
        <w:t>附件二：问题澄清通知（按</w:t>
      </w:r>
      <w:r>
        <w:rPr>
          <w:rFonts w:hint="eastAsia" w:ascii="宋体" w:hAnsi="宋体" w:eastAsia="宋体"/>
          <w:b/>
          <w:color w:val="auto"/>
          <w:sz w:val="28"/>
          <w:szCs w:val="20"/>
          <w:highlight w:val="none"/>
          <w:lang w:eastAsia="zh-CN"/>
        </w:rPr>
        <w:t>广州交易集团有限公司（广州公共资源交易中心）</w:t>
      </w:r>
      <w:r>
        <w:rPr>
          <w:rFonts w:hint="eastAsia" w:ascii="宋体" w:hAnsi="宋体" w:eastAsia="宋体"/>
          <w:b/>
          <w:color w:val="auto"/>
          <w:sz w:val="28"/>
          <w:szCs w:val="20"/>
          <w:highlight w:val="none"/>
        </w:rPr>
        <w:t>问题澄清通知格式）</w:t>
      </w:r>
      <w:bookmarkEnd w:id="372"/>
      <w:bookmarkEnd w:id="373"/>
      <w:bookmarkEnd w:id="374"/>
      <w:bookmarkStart w:id="375" w:name="_Toc152042355"/>
      <w:bookmarkStart w:id="376" w:name="_Toc144974546"/>
    </w:p>
    <w:p w14:paraId="48D771DE">
      <w:pPr>
        <w:spacing w:line="440" w:lineRule="exact"/>
        <w:jc w:val="center"/>
        <w:rPr>
          <w:rFonts w:hint="eastAsia" w:ascii="宋体" w:hAnsi="宋体" w:eastAsia="宋体" w:cs="宋体"/>
          <w:color w:val="auto"/>
          <w:szCs w:val="24"/>
          <w:highlight w:val="none"/>
        </w:rPr>
      </w:pPr>
      <w:bookmarkStart w:id="377" w:name="_Toc529196578"/>
      <w:bookmarkStart w:id="378" w:name="_Toc535938716"/>
      <w:bookmarkStart w:id="379" w:name="_Toc530470626"/>
    </w:p>
    <w:p w14:paraId="5BDBF44E">
      <w:pPr>
        <w:spacing w:line="440" w:lineRule="exact"/>
        <w:jc w:val="center"/>
        <w:outlineLvl w:val="2"/>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问题澄清通知</w:t>
      </w:r>
    </w:p>
    <w:p w14:paraId="20E44F61">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040F303">
      <w:pPr>
        <w:spacing w:line="440" w:lineRule="exact"/>
        <w:rPr>
          <w:rFonts w:hint="eastAsia" w:ascii="宋体" w:hAnsi="宋体" w:eastAsia="宋体" w:cs="宋体"/>
          <w:color w:val="auto"/>
          <w:sz w:val="24"/>
          <w:szCs w:val="24"/>
          <w:highlight w:val="none"/>
        </w:rPr>
      </w:pPr>
    </w:p>
    <w:p w14:paraId="2AEAA42F">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（投标人名称）：</w:t>
      </w:r>
    </w:p>
    <w:p w14:paraId="57309DB5">
      <w:pPr>
        <w:spacing w:line="440" w:lineRule="exact"/>
        <w:rPr>
          <w:rFonts w:hint="eastAsia" w:ascii="宋体" w:hAnsi="宋体" w:eastAsia="宋体" w:cs="宋体"/>
          <w:color w:val="auto"/>
          <w:sz w:val="24"/>
          <w:szCs w:val="24"/>
          <w:highlight w:val="none"/>
        </w:rPr>
      </w:pPr>
    </w:p>
    <w:p w14:paraId="12013814">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评标委员会对你方的投标文件进行了仔细的审查，现需你方对下列问题以书</w:t>
      </w:r>
      <w:bookmarkStart w:id="380" w:name="_Toc352691521"/>
      <w:bookmarkStart w:id="381" w:name="_Toc361508634"/>
      <w:bookmarkStart w:id="382" w:name="_Toc144974544"/>
      <w:bookmarkStart w:id="383" w:name="_Toc300834996"/>
      <w:bookmarkStart w:id="384" w:name="_Toc247527601"/>
      <w:bookmarkStart w:id="385" w:name="_Toc384308260"/>
      <w:bookmarkStart w:id="386" w:name="_Toc152045576"/>
      <w:bookmarkStart w:id="387" w:name="_Toc23050"/>
      <w:bookmarkStart w:id="388" w:name="_Toc369531565"/>
      <w:bookmarkStart w:id="389" w:name="_Toc247514000"/>
      <w:bookmarkStart w:id="390" w:name="_Toc152042352"/>
      <w:r>
        <w:rPr>
          <w:rFonts w:hint="eastAsia" w:ascii="宋体" w:hAnsi="宋体" w:eastAsia="宋体" w:cs="宋体"/>
          <w:color w:val="auto"/>
          <w:sz w:val="24"/>
          <w:szCs w:val="24"/>
          <w:highlight w:val="none"/>
        </w:rPr>
        <w:t>面形式予以澄清、说明或补正：</w:t>
      </w:r>
    </w:p>
    <w:p w14:paraId="72C42EED">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bookmarkEnd w:id="380"/>
    <w:bookmarkEnd w:id="381"/>
    <w:bookmarkEnd w:id="382"/>
    <w:bookmarkEnd w:id="383"/>
    <w:bookmarkEnd w:id="384"/>
    <w:bookmarkEnd w:id="385"/>
    <w:bookmarkEnd w:id="386"/>
    <w:bookmarkEnd w:id="387"/>
    <w:bookmarkEnd w:id="388"/>
    <w:bookmarkEnd w:id="389"/>
    <w:bookmarkEnd w:id="390"/>
    <w:p w14:paraId="0623D20D">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w:t>
      </w:r>
    </w:p>
    <w:p w14:paraId="4613A0E3">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w:t>
      </w:r>
    </w:p>
    <w:p w14:paraId="4CD5052D">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   </w:t>
      </w:r>
    </w:p>
    <w:p w14:paraId="1B1C1B92">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14:paraId="2A031BF3">
      <w:pPr>
        <w:spacing w:line="440" w:lineRule="exact"/>
        <w:ind w:firstLine="40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请将上述问题的澄清、说明或补正于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时前递交至</w:t>
      </w:r>
      <w:bookmarkStart w:id="391" w:name="_Toc152045577"/>
      <w:bookmarkStart w:id="392" w:name="_Toc247527602"/>
      <w:bookmarkStart w:id="393" w:name="_Toc300834997"/>
      <w:bookmarkStart w:id="394" w:name="_Toc384308261"/>
      <w:bookmarkStart w:id="395" w:name="_Toc247514001"/>
      <w:bookmarkStart w:id="396" w:name="_Toc369531566"/>
      <w:bookmarkStart w:id="397" w:name="_Toc352691522"/>
      <w:bookmarkStart w:id="398" w:name="_Toc152042353"/>
      <w:bookmarkStart w:id="399" w:name="_Toc144974545"/>
      <w:bookmarkStart w:id="400" w:name="_Toc28385"/>
      <w:bookmarkStart w:id="401" w:name="_Toc361508635"/>
    </w:p>
    <w:p w14:paraId="2B5B0D69">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（详细地址）或传真至</w:t>
      </w:r>
      <w:bookmarkEnd w:id="391"/>
      <w:bookmarkEnd w:id="392"/>
      <w:bookmarkEnd w:id="393"/>
      <w:bookmarkEnd w:id="394"/>
      <w:bookmarkEnd w:id="395"/>
      <w:bookmarkEnd w:id="396"/>
      <w:bookmarkEnd w:id="397"/>
      <w:bookmarkEnd w:id="398"/>
      <w:bookmarkEnd w:id="399"/>
      <w:bookmarkEnd w:id="400"/>
      <w:bookmarkEnd w:id="401"/>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（传真号码）或通过下载招标文件的电子招标交易平台上传。采用传真方式的，应在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p>
    <w:p w14:paraId="65B3C302">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时前将原件递交至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（详细地址）。</w:t>
      </w:r>
    </w:p>
    <w:p w14:paraId="2E6CFF34">
      <w:pPr>
        <w:spacing w:line="440" w:lineRule="exact"/>
        <w:rPr>
          <w:rFonts w:hint="eastAsia" w:ascii="宋体" w:hAnsi="宋体" w:eastAsia="宋体" w:cs="宋体"/>
          <w:color w:val="auto"/>
          <w:sz w:val="24"/>
          <w:szCs w:val="24"/>
          <w:highlight w:val="none"/>
        </w:rPr>
      </w:pPr>
    </w:p>
    <w:p w14:paraId="43C9CE81">
      <w:pPr>
        <w:spacing w:line="440" w:lineRule="exact"/>
        <w:rPr>
          <w:rFonts w:hint="eastAsia" w:ascii="宋体" w:hAnsi="宋体" w:eastAsia="宋体" w:cs="宋体"/>
          <w:color w:val="auto"/>
          <w:sz w:val="24"/>
          <w:szCs w:val="24"/>
          <w:highlight w:val="none"/>
        </w:rPr>
      </w:pPr>
    </w:p>
    <w:p w14:paraId="6DDB4358">
      <w:pPr>
        <w:spacing w:line="440" w:lineRule="exact"/>
        <w:ind w:firstLine="2400" w:firstLineChars="1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评标委员会授权的招标人或招标代理机构：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bookmarkStart w:id="402" w:name="_Toc6580"/>
      <w:bookmarkStart w:id="403" w:name="_Toc352691523"/>
      <w:bookmarkStart w:id="404" w:name="_Toc369531567"/>
      <w:bookmarkStart w:id="405" w:name="_Toc247527603"/>
      <w:bookmarkStart w:id="406" w:name="_Toc384308262"/>
      <w:bookmarkStart w:id="407" w:name="_Toc361508636"/>
      <w:bookmarkStart w:id="408" w:name="_Toc300834998"/>
      <w:bookmarkStart w:id="409" w:name="_Toc152042354"/>
      <w:bookmarkStart w:id="410" w:name="_Toc247514002"/>
      <w:bookmarkStart w:id="411" w:name="_Toc152045578"/>
    </w:p>
    <w:bookmarkEnd w:id="402"/>
    <w:bookmarkEnd w:id="403"/>
    <w:bookmarkEnd w:id="404"/>
    <w:bookmarkEnd w:id="405"/>
    <w:bookmarkEnd w:id="406"/>
    <w:bookmarkEnd w:id="407"/>
    <w:bookmarkEnd w:id="408"/>
    <w:bookmarkEnd w:id="409"/>
    <w:bookmarkEnd w:id="410"/>
    <w:bookmarkEnd w:id="411"/>
    <w:p w14:paraId="28753CD6">
      <w:pPr>
        <w:spacing w:line="440" w:lineRule="exact"/>
        <w:rPr>
          <w:rFonts w:hint="eastAsia" w:ascii="宋体" w:hAnsi="宋体" w:eastAsia="宋体" w:cs="宋体"/>
          <w:color w:val="auto"/>
          <w:sz w:val="24"/>
          <w:szCs w:val="24"/>
          <w:highlight w:val="none"/>
        </w:rPr>
      </w:pPr>
    </w:p>
    <w:p w14:paraId="4DE4EE5A">
      <w:pPr>
        <w:spacing w:line="440" w:lineRule="exact"/>
        <w:ind w:right="84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4B9726F2">
      <w:pPr>
        <w:spacing w:after="0"/>
        <w:rPr>
          <w:rFonts w:hint="eastAsia" w:ascii="宋体" w:hAnsi="宋体" w:eastAsia="宋体"/>
          <w:b/>
          <w:color w:val="auto"/>
          <w:sz w:val="28"/>
          <w:szCs w:val="20"/>
          <w:highlight w:val="none"/>
        </w:rPr>
      </w:pPr>
      <w:r>
        <w:rPr>
          <w:rFonts w:hint="eastAsia" w:ascii="宋体" w:hAnsi="宋体" w:eastAsia="宋体"/>
          <w:b/>
          <w:color w:val="auto"/>
          <w:sz w:val="28"/>
          <w:szCs w:val="20"/>
          <w:highlight w:val="none"/>
        </w:rPr>
        <w:br w:type="page"/>
      </w:r>
    </w:p>
    <w:p w14:paraId="4E4B298C">
      <w:pPr>
        <w:spacing w:after="240"/>
        <w:rPr>
          <w:rFonts w:ascii="宋体" w:hAnsi="宋体" w:eastAsia="宋体"/>
          <w:b/>
          <w:color w:val="auto"/>
          <w:sz w:val="28"/>
          <w:szCs w:val="20"/>
          <w:highlight w:val="none"/>
        </w:rPr>
      </w:pPr>
      <w:r>
        <w:rPr>
          <w:rFonts w:hint="eastAsia" w:ascii="宋体" w:hAnsi="宋体" w:eastAsia="宋体"/>
          <w:b/>
          <w:color w:val="auto"/>
          <w:sz w:val="28"/>
          <w:szCs w:val="20"/>
          <w:highlight w:val="none"/>
        </w:rPr>
        <w:t>附件三：问题的澄清</w:t>
      </w:r>
      <w:bookmarkEnd w:id="375"/>
      <w:bookmarkStart w:id="412" w:name="_Toc247514003"/>
      <w:bookmarkStart w:id="413" w:name="_Toc361508637"/>
      <w:bookmarkStart w:id="414" w:name="_Toc152042356"/>
      <w:bookmarkStart w:id="415" w:name="_Toc152045579"/>
      <w:bookmarkStart w:id="416" w:name="_Toc3622"/>
      <w:bookmarkStart w:id="417" w:name="_Toc300834999"/>
      <w:bookmarkStart w:id="418" w:name="_Toc352691524"/>
      <w:bookmarkStart w:id="419" w:name="_Toc247527604"/>
      <w:bookmarkStart w:id="420" w:name="_Toc384308263"/>
      <w:bookmarkStart w:id="421" w:name="_Toc369531568"/>
      <w:r>
        <w:rPr>
          <w:rFonts w:hint="eastAsia" w:ascii="宋体" w:hAnsi="宋体" w:eastAsia="宋体"/>
          <w:b/>
          <w:color w:val="auto"/>
          <w:sz w:val="28"/>
          <w:szCs w:val="20"/>
          <w:highlight w:val="none"/>
        </w:rPr>
        <w:t>（按</w:t>
      </w:r>
      <w:r>
        <w:rPr>
          <w:rFonts w:hint="eastAsia" w:ascii="宋体" w:hAnsi="宋体" w:eastAsia="宋体"/>
          <w:b/>
          <w:color w:val="auto"/>
          <w:sz w:val="28"/>
          <w:szCs w:val="20"/>
          <w:highlight w:val="none"/>
          <w:lang w:eastAsia="zh-CN"/>
        </w:rPr>
        <w:t>广州交易集团有限公司（广州公共资源交易中心）</w:t>
      </w:r>
      <w:r>
        <w:rPr>
          <w:rFonts w:hint="eastAsia" w:ascii="宋体" w:hAnsi="宋体" w:eastAsia="宋体"/>
          <w:b/>
          <w:color w:val="auto"/>
          <w:sz w:val="28"/>
          <w:szCs w:val="20"/>
          <w:highlight w:val="none"/>
        </w:rPr>
        <w:t>问题澄清格式）</w:t>
      </w:r>
      <w:bookmarkEnd w:id="377"/>
      <w:bookmarkEnd w:id="378"/>
      <w:bookmarkEnd w:id="379"/>
    </w:p>
    <w:bookmarkEnd w:id="376"/>
    <w:bookmarkEnd w:id="412"/>
    <w:bookmarkEnd w:id="413"/>
    <w:bookmarkEnd w:id="414"/>
    <w:bookmarkEnd w:id="415"/>
    <w:bookmarkEnd w:id="416"/>
    <w:bookmarkEnd w:id="417"/>
    <w:bookmarkEnd w:id="418"/>
    <w:bookmarkEnd w:id="419"/>
    <w:bookmarkEnd w:id="420"/>
    <w:bookmarkEnd w:id="421"/>
    <w:p w14:paraId="369F21E8">
      <w:pPr>
        <w:spacing w:line="400" w:lineRule="exact"/>
        <w:jc w:val="center"/>
        <w:outlineLvl w:val="2"/>
        <w:rPr>
          <w:rFonts w:hint="eastAsia" w:ascii="宋体" w:hAnsi="宋体" w:eastAsia="宋体" w:cs="宋体"/>
          <w:b/>
          <w:bCs/>
          <w:color w:val="auto"/>
          <w:sz w:val="32"/>
          <w:szCs w:val="32"/>
          <w:highlight w:val="none"/>
        </w:rPr>
      </w:pPr>
      <w:bookmarkStart w:id="422" w:name="_Toc492300623"/>
      <w:bookmarkStart w:id="423" w:name="_Toc529196579"/>
      <w:bookmarkStart w:id="424" w:name="_Toc535938718"/>
      <w:bookmarkStart w:id="425" w:name="_Toc530470627"/>
      <w:r>
        <w:rPr>
          <w:rFonts w:hint="eastAsia" w:ascii="宋体" w:hAnsi="宋体" w:eastAsia="宋体" w:cs="宋体"/>
          <w:b/>
          <w:bCs/>
          <w:color w:val="auto"/>
          <w:sz w:val="32"/>
          <w:szCs w:val="32"/>
          <w:highlight w:val="none"/>
        </w:rPr>
        <w:t>问题的澄清</w:t>
      </w:r>
    </w:p>
    <w:p w14:paraId="3CAD94AD">
      <w:pPr>
        <w:spacing w:line="400" w:lineRule="exact"/>
        <w:ind w:firstLine="3960" w:firstLineChars="16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1686D93">
      <w:pPr>
        <w:spacing w:line="400" w:lineRule="exact"/>
        <w:rPr>
          <w:rFonts w:hint="eastAsia" w:ascii="宋体" w:hAnsi="宋体" w:eastAsia="宋体" w:cs="宋体"/>
          <w:color w:val="auto"/>
          <w:sz w:val="24"/>
          <w:szCs w:val="24"/>
          <w:highlight w:val="none"/>
        </w:rPr>
      </w:pPr>
    </w:p>
    <w:p w14:paraId="0F086BD3">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w:t>
      </w:r>
    </w:p>
    <w:p w14:paraId="76C80A9B">
      <w:pPr>
        <w:spacing w:line="440" w:lineRule="exact"/>
        <w:rPr>
          <w:rFonts w:hint="eastAsia" w:ascii="宋体" w:hAnsi="宋体" w:eastAsia="宋体" w:cs="宋体"/>
          <w:color w:val="auto"/>
          <w:sz w:val="24"/>
          <w:szCs w:val="24"/>
          <w:highlight w:val="none"/>
        </w:rPr>
      </w:pPr>
    </w:p>
    <w:p w14:paraId="4745CA8B">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问题澄清通知（编号：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）已收悉，现澄清、说明或补正如下：</w:t>
      </w:r>
    </w:p>
    <w:p w14:paraId="2D5B47A6">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1.</w:t>
      </w:r>
    </w:p>
    <w:p w14:paraId="651D147B">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2.</w:t>
      </w:r>
    </w:p>
    <w:p w14:paraId="6B2B0FAE">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14:paraId="4F2798C0">
      <w:pPr>
        <w:spacing w:line="440" w:lineRule="exact"/>
        <w:rPr>
          <w:rFonts w:hint="eastAsia" w:ascii="宋体" w:hAnsi="宋体" w:eastAsia="宋体" w:cs="宋体"/>
          <w:color w:val="auto"/>
          <w:sz w:val="24"/>
          <w:szCs w:val="24"/>
          <w:highlight w:val="none"/>
        </w:rPr>
      </w:pPr>
    </w:p>
    <w:p w14:paraId="132D6D57">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14:paraId="65370B03">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上述问题澄清、说明或补正，不改变我方投标文件的实质性内容，构成我方投标文件的组成部分。</w:t>
      </w:r>
    </w:p>
    <w:p w14:paraId="4D187BDC">
      <w:pPr>
        <w:spacing w:line="440" w:lineRule="exact"/>
        <w:rPr>
          <w:rFonts w:hint="eastAsia" w:ascii="宋体" w:hAnsi="宋体" w:eastAsia="宋体" w:cs="宋体"/>
          <w:color w:val="auto"/>
          <w:sz w:val="24"/>
          <w:szCs w:val="24"/>
          <w:highlight w:val="none"/>
        </w:rPr>
      </w:pPr>
    </w:p>
    <w:p w14:paraId="48937B55">
      <w:pPr>
        <w:spacing w:line="440" w:lineRule="exact"/>
        <w:rPr>
          <w:rFonts w:hint="eastAsia" w:ascii="宋体" w:hAnsi="宋体" w:eastAsia="宋体" w:cs="宋体"/>
          <w:color w:val="auto"/>
          <w:sz w:val="24"/>
          <w:szCs w:val="24"/>
          <w:highlight w:val="none"/>
        </w:rPr>
      </w:pPr>
    </w:p>
    <w:p w14:paraId="28C19B20">
      <w:pPr>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14:paraId="2710D69C">
      <w:pPr>
        <w:spacing w:line="480" w:lineRule="auto"/>
        <w:ind w:firstLine="3240" w:firstLineChars="13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法定代表人或其委托代理人：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p>
    <w:p w14:paraId="4B41D0D6">
      <w:pPr>
        <w:spacing w:after="0"/>
        <w:rPr>
          <w:rFonts w:hint="eastAsia" w:ascii="宋体" w:hAnsi="宋体" w:eastAsia="宋体"/>
          <w:b/>
          <w:color w:val="auto"/>
          <w:sz w:val="24"/>
          <w:szCs w:val="24"/>
          <w:highlight w:val="none"/>
        </w:rPr>
      </w:pPr>
      <w:r>
        <w:rPr>
          <w:rFonts w:hint="eastAsia" w:ascii="宋体" w:hAnsi="宋体" w:eastAsia="宋体"/>
          <w:b/>
          <w:color w:val="auto"/>
          <w:sz w:val="24"/>
          <w:szCs w:val="24"/>
          <w:highlight w:val="none"/>
        </w:rPr>
        <w:br w:type="page"/>
      </w:r>
    </w:p>
    <w:p w14:paraId="079861C9">
      <w:pPr>
        <w:spacing w:after="240"/>
        <w:rPr>
          <w:rFonts w:ascii="宋体" w:hAnsi="宋体" w:eastAsia="宋体"/>
          <w:b/>
          <w:color w:val="auto"/>
          <w:sz w:val="28"/>
          <w:szCs w:val="20"/>
          <w:highlight w:val="none"/>
        </w:rPr>
      </w:pPr>
      <w:r>
        <w:rPr>
          <w:rFonts w:hint="eastAsia" w:ascii="宋体" w:hAnsi="宋体" w:eastAsia="宋体"/>
          <w:b/>
          <w:color w:val="auto"/>
          <w:sz w:val="28"/>
          <w:szCs w:val="20"/>
          <w:highlight w:val="none"/>
        </w:rPr>
        <w:t>附件四：中标通知书</w:t>
      </w:r>
      <w:bookmarkEnd w:id="422"/>
      <w:r>
        <w:rPr>
          <w:rFonts w:hint="eastAsia" w:ascii="宋体" w:hAnsi="宋体" w:eastAsia="宋体"/>
          <w:b/>
          <w:color w:val="auto"/>
          <w:sz w:val="28"/>
          <w:szCs w:val="20"/>
          <w:highlight w:val="none"/>
        </w:rPr>
        <w:t>（按</w:t>
      </w:r>
      <w:r>
        <w:rPr>
          <w:rFonts w:hint="eastAsia" w:ascii="宋体" w:hAnsi="宋体" w:eastAsia="宋体"/>
          <w:b/>
          <w:color w:val="auto"/>
          <w:sz w:val="28"/>
          <w:szCs w:val="20"/>
          <w:highlight w:val="none"/>
          <w:lang w:eastAsia="zh-CN"/>
        </w:rPr>
        <w:t>广州交易集团有限公司（广州公共资源交易中心）</w:t>
      </w:r>
      <w:r>
        <w:rPr>
          <w:rFonts w:hint="eastAsia" w:ascii="宋体" w:hAnsi="宋体" w:eastAsia="宋体"/>
          <w:b/>
          <w:color w:val="auto"/>
          <w:sz w:val="28"/>
          <w:szCs w:val="20"/>
          <w:highlight w:val="none"/>
        </w:rPr>
        <w:t>中标通知书格式）</w:t>
      </w:r>
      <w:bookmarkEnd w:id="423"/>
      <w:bookmarkEnd w:id="424"/>
      <w:bookmarkEnd w:id="425"/>
    </w:p>
    <w:p w14:paraId="7C1DA8AD">
      <w:pPr>
        <w:pStyle w:val="5"/>
        <w:keepNext w:val="0"/>
        <w:keepLines w:val="0"/>
        <w:pageBreakBefore w:val="0"/>
        <w:widowControl w:val="0"/>
        <w:kinsoku/>
        <w:wordWrap/>
        <w:overflowPunct/>
        <w:topLinePunct w:val="0"/>
        <w:autoSpaceDE/>
        <w:autoSpaceDN/>
        <w:bidi w:val="0"/>
        <w:adjustRightInd/>
        <w:snapToGrid/>
        <w:spacing w:before="0" w:after="0" w:line="360" w:lineRule="auto"/>
        <w:jc w:val="center"/>
        <w:outlineLvl w:val="1"/>
        <w:rPr>
          <w:rFonts w:ascii="宋体" w:hAnsi="宋体"/>
          <w:color w:val="auto"/>
          <w:sz w:val="36"/>
          <w:szCs w:val="36"/>
          <w:highlight w:val="none"/>
        </w:rPr>
      </w:pPr>
      <w:r>
        <w:rPr>
          <w:rFonts w:hint="eastAsia" w:ascii="宋体" w:hAnsi="宋体"/>
          <w:b w:val="0"/>
          <w:color w:val="auto"/>
          <w:highlight w:val="none"/>
        </w:rPr>
        <w:br w:type="page"/>
      </w:r>
      <w:bookmarkStart w:id="426" w:name="_Toc32313"/>
      <w:bookmarkStart w:id="427" w:name="_Toc63769815"/>
      <w:r>
        <w:rPr>
          <w:rFonts w:hint="eastAsia" w:ascii="宋体" w:hAnsi="宋体"/>
          <w:color w:val="auto"/>
          <w:sz w:val="36"/>
          <w:szCs w:val="36"/>
          <w:highlight w:val="none"/>
        </w:rPr>
        <w:t>第三章 评标办法（综合评估法）</w:t>
      </w:r>
      <w:bookmarkEnd w:id="426"/>
      <w:bookmarkEnd w:id="427"/>
    </w:p>
    <w:p w14:paraId="0A1CA3CD">
      <w:pPr>
        <w:pStyle w:val="6"/>
        <w:keepNext w:val="0"/>
        <w:keepLines w:val="0"/>
        <w:pageBreakBefore w:val="0"/>
        <w:widowControl w:val="0"/>
        <w:kinsoku/>
        <w:wordWrap/>
        <w:overflowPunct/>
        <w:topLinePunct w:val="0"/>
        <w:autoSpaceDE/>
        <w:autoSpaceDN/>
        <w:bidi w:val="0"/>
        <w:adjustRightInd/>
        <w:snapToGrid/>
        <w:spacing w:line="360" w:lineRule="auto"/>
        <w:jc w:val="center"/>
        <w:rPr>
          <w:rFonts w:ascii="宋体" w:hAnsi="宋体" w:eastAsia="宋体"/>
          <w:color w:val="auto"/>
          <w:sz w:val="32"/>
          <w:szCs w:val="30"/>
          <w:highlight w:val="none"/>
        </w:rPr>
      </w:pPr>
      <w:bookmarkStart w:id="428" w:name="_Toc535938721"/>
      <w:bookmarkStart w:id="429" w:name="_Toc529196582"/>
      <w:r>
        <w:rPr>
          <w:rFonts w:hint="eastAsia" w:ascii="宋体" w:hAnsi="宋体" w:eastAsia="宋体"/>
          <w:color w:val="auto"/>
          <w:sz w:val="32"/>
          <w:szCs w:val="30"/>
          <w:highlight w:val="none"/>
        </w:rPr>
        <w:t>评标办法前附表</w:t>
      </w:r>
      <w:bookmarkEnd w:id="428"/>
      <w:bookmarkEnd w:id="429"/>
    </w:p>
    <w:tbl>
      <w:tblPr>
        <w:tblStyle w:val="40"/>
        <w:tblW w:w="1013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6"/>
        <w:gridCol w:w="186"/>
        <w:gridCol w:w="1090"/>
        <w:gridCol w:w="2553"/>
        <w:gridCol w:w="5489"/>
      </w:tblGrid>
      <w:tr w14:paraId="7F5277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92" w:type="dxa"/>
            <w:gridSpan w:val="3"/>
            <w:tcBorders>
              <w:top w:val="single" w:color="auto" w:sz="4" w:space="0"/>
              <w:left w:val="single" w:color="auto" w:sz="4" w:space="0"/>
              <w:bottom w:val="single" w:color="auto" w:sz="4" w:space="0"/>
              <w:right w:val="single" w:color="auto" w:sz="4" w:space="0"/>
            </w:tcBorders>
            <w:vAlign w:val="center"/>
          </w:tcPr>
          <w:p w14:paraId="583918C7">
            <w:pPr>
              <w:spacing w:line="276" w:lineRule="auto"/>
              <w:jc w:val="center"/>
              <w:rPr>
                <w:rFonts w:ascii="宋体" w:hAnsi="宋体" w:eastAsia="宋体"/>
                <w:b/>
                <w:color w:val="auto"/>
                <w:sz w:val="24"/>
                <w:szCs w:val="24"/>
                <w:highlight w:val="none"/>
              </w:rPr>
            </w:pPr>
            <w:r>
              <w:rPr>
                <w:rFonts w:hint="eastAsia" w:ascii="宋体" w:hAnsi="宋体" w:eastAsia="宋体"/>
                <w:b/>
                <w:color w:val="auto"/>
                <w:sz w:val="24"/>
                <w:szCs w:val="24"/>
                <w:highlight w:val="none"/>
              </w:rPr>
              <w:t>条款号</w:t>
            </w:r>
          </w:p>
        </w:tc>
        <w:tc>
          <w:tcPr>
            <w:tcW w:w="2553" w:type="dxa"/>
            <w:tcBorders>
              <w:top w:val="single" w:color="auto" w:sz="4" w:space="0"/>
              <w:left w:val="single" w:color="auto" w:sz="4" w:space="0"/>
              <w:bottom w:val="single" w:color="auto" w:sz="4" w:space="0"/>
              <w:right w:val="single" w:color="auto" w:sz="4" w:space="0"/>
            </w:tcBorders>
            <w:vAlign w:val="center"/>
          </w:tcPr>
          <w:p w14:paraId="581D0386">
            <w:pPr>
              <w:spacing w:line="276" w:lineRule="auto"/>
              <w:jc w:val="center"/>
              <w:rPr>
                <w:rFonts w:ascii="宋体" w:hAnsi="宋体" w:eastAsia="宋体"/>
                <w:b/>
                <w:color w:val="auto"/>
                <w:sz w:val="24"/>
                <w:szCs w:val="24"/>
                <w:highlight w:val="none"/>
              </w:rPr>
            </w:pPr>
            <w:r>
              <w:rPr>
                <w:rFonts w:hint="eastAsia" w:ascii="宋体" w:hAnsi="宋体" w:eastAsia="宋体"/>
                <w:b/>
                <w:color w:val="auto"/>
                <w:sz w:val="24"/>
                <w:szCs w:val="24"/>
                <w:highlight w:val="none"/>
              </w:rPr>
              <w:t>评审因素</w:t>
            </w:r>
          </w:p>
        </w:tc>
        <w:tc>
          <w:tcPr>
            <w:tcW w:w="5489" w:type="dxa"/>
            <w:tcBorders>
              <w:top w:val="single" w:color="auto" w:sz="4" w:space="0"/>
              <w:left w:val="single" w:color="auto" w:sz="4" w:space="0"/>
              <w:bottom w:val="single" w:color="auto" w:sz="4" w:space="0"/>
              <w:right w:val="single" w:color="auto" w:sz="4" w:space="0"/>
            </w:tcBorders>
            <w:vAlign w:val="center"/>
          </w:tcPr>
          <w:p w14:paraId="00A46D54">
            <w:pPr>
              <w:spacing w:line="276" w:lineRule="auto"/>
              <w:jc w:val="center"/>
              <w:rPr>
                <w:rFonts w:ascii="宋体" w:hAnsi="宋体" w:eastAsia="宋体"/>
                <w:b/>
                <w:color w:val="auto"/>
                <w:sz w:val="24"/>
                <w:szCs w:val="24"/>
                <w:highlight w:val="none"/>
              </w:rPr>
            </w:pPr>
            <w:r>
              <w:rPr>
                <w:rFonts w:hint="eastAsia" w:ascii="宋体" w:hAnsi="宋体" w:eastAsia="宋体"/>
                <w:b/>
                <w:color w:val="auto"/>
                <w:sz w:val="24"/>
                <w:szCs w:val="24"/>
                <w:highlight w:val="none"/>
              </w:rPr>
              <w:t>评审标准</w:t>
            </w:r>
          </w:p>
        </w:tc>
      </w:tr>
      <w:tr w14:paraId="702BEF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1002" w:type="dxa"/>
            <w:gridSpan w:val="2"/>
            <w:tcBorders>
              <w:top w:val="single" w:color="auto" w:sz="4" w:space="0"/>
              <w:left w:val="single" w:color="auto" w:sz="4" w:space="0"/>
              <w:bottom w:val="single" w:color="auto" w:sz="4" w:space="0"/>
              <w:right w:val="single" w:color="auto" w:sz="4" w:space="0"/>
            </w:tcBorders>
            <w:vAlign w:val="center"/>
          </w:tcPr>
          <w:p w14:paraId="2C366819">
            <w:pPr>
              <w:spacing w:line="276" w:lineRule="auto"/>
              <w:jc w:val="center"/>
              <w:rPr>
                <w:rFonts w:ascii="宋体" w:hAnsi="宋体" w:eastAsia="宋体"/>
                <w:color w:val="auto"/>
                <w:sz w:val="24"/>
                <w:szCs w:val="24"/>
                <w:highlight w:val="none"/>
              </w:rPr>
            </w:pPr>
            <w:r>
              <w:rPr>
                <w:rFonts w:ascii="宋体" w:hAnsi="宋体" w:eastAsia="宋体"/>
                <w:color w:val="auto"/>
                <w:sz w:val="24"/>
                <w:szCs w:val="24"/>
                <w:highlight w:val="none"/>
              </w:rPr>
              <w:t>1</w:t>
            </w:r>
          </w:p>
        </w:tc>
        <w:tc>
          <w:tcPr>
            <w:tcW w:w="1090" w:type="dxa"/>
            <w:tcBorders>
              <w:top w:val="single" w:color="auto" w:sz="4" w:space="0"/>
              <w:left w:val="single" w:color="auto" w:sz="4" w:space="0"/>
              <w:bottom w:val="single" w:color="auto" w:sz="4" w:space="0"/>
              <w:right w:val="single" w:color="auto" w:sz="4" w:space="0"/>
            </w:tcBorders>
            <w:vAlign w:val="center"/>
          </w:tcPr>
          <w:p w14:paraId="5B77CE98">
            <w:pPr>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评标方法</w:t>
            </w:r>
          </w:p>
        </w:tc>
        <w:tc>
          <w:tcPr>
            <w:tcW w:w="2553" w:type="dxa"/>
            <w:tcBorders>
              <w:top w:val="single" w:color="auto" w:sz="4" w:space="0"/>
              <w:left w:val="single" w:color="auto" w:sz="4" w:space="0"/>
              <w:bottom w:val="single" w:color="auto" w:sz="4" w:space="0"/>
              <w:right w:val="single" w:color="auto" w:sz="4" w:space="0"/>
            </w:tcBorders>
            <w:vAlign w:val="center"/>
          </w:tcPr>
          <w:p w14:paraId="595A9F55">
            <w:pPr>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中标候选人排序方法</w:t>
            </w:r>
          </w:p>
        </w:tc>
        <w:tc>
          <w:tcPr>
            <w:tcW w:w="5489" w:type="dxa"/>
            <w:tcBorders>
              <w:top w:val="single" w:color="auto" w:sz="4" w:space="0"/>
              <w:left w:val="single" w:color="auto" w:sz="4" w:space="0"/>
              <w:bottom w:val="single" w:color="auto" w:sz="4" w:space="0"/>
              <w:right w:val="single" w:color="auto" w:sz="4" w:space="0"/>
            </w:tcBorders>
            <w:vAlign w:val="center"/>
          </w:tcPr>
          <w:p w14:paraId="5F3DF992">
            <w:pPr>
              <w:spacing w:line="276" w:lineRule="auto"/>
              <w:rPr>
                <w:rFonts w:ascii="宋体" w:hAnsi="宋体" w:eastAsia="宋体"/>
                <w:color w:val="auto"/>
                <w:sz w:val="24"/>
                <w:szCs w:val="24"/>
                <w:highlight w:val="none"/>
                <w:u w:val="single"/>
              </w:rPr>
            </w:pPr>
            <w:r>
              <w:rPr>
                <w:rFonts w:hint="eastAsia" w:ascii="宋体" w:hAnsi="宋体" w:eastAsia="宋体" w:cs="宋体"/>
                <w:color w:val="auto"/>
                <w:sz w:val="24"/>
                <w:szCs w:val="24"/>
                <w:highlight w:val="none"/>
                <w:u w:val="single"/>
              </w:rPr>
              <w:t>本次评标采用综合评估法。评标委员会对满足招标文件实质性要求的投标文件，按照本章规定的评分标准进行打分，并按得分由高到低顺序推荐前三名做为中标候选人，综合评分相等的，以投标报价低的优先；投标报价也相等的，以监理大纲得分高的优先；如果监理大纲得分也相等</w:t>
            </w:r>
            <w:r>
              <w:rPr>
                <w:rFonts w:hint="eastAsia" w:ascii="宋体" w:hAnsi="宋体" w:eastAsia="宋体"/>
                <w:color w:val="auto"/>
                <w:sz w:val="24"/>
                <w:szCs w:val="24"/>
                <w:highlight w:val="none"/>
                <w:u w:val="single"/>
              </w:rPr>
              <w:t>，则由评委采用记名投票方式，确定相等得分的中标候选人的排序。</w:t>
            </w:r>
          </w:p>
        </w:tc>
      </w:tr>
      <w:tr w14:paraId="2FEE82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002" w:type="dxa"/>
            <w:gridSpan w:val="2"/>
            <w:vMerge w:val="restart"/>
            <w:tcBorders>
              <w:top w:val="single" w:color="auto" w:sz="4" w:space="0"/>
              <w:left w:val="single" w:color="auto" w:sz="4" w:space="0"/>
              <w:bottom w:val="single" w:color="auto" w:sz="4" w:space="0"/>
              <w:right w:val="single" w:color="auto" w:sz="4" w:space="0"/>
            </w:tcBorders>
            <w:vAlign w:val="center"/>
          </w:tcPr>
          <w:p w14:paraId="5F78C028">
            <w:pPr>
              <w:spacing w:line="276" w:lineRule="auto"/>
              <w:jc w:val="center"/>
              <w:rPr>
                <w:rFonts w:ascii="宋体" w:hAnsi="宋体" w:eastAsia="宋体"/>
                <w:color w:val="auto"/>
                <w:sz w:val="24"/>
                <w:szCs w:val="24"/>
                <w:highlight w:val="none"/>
              </w:rPr>
            </w:pPr>
            <w:r>
              <w:rPr>
                <w:rFonts w:ascii="宋体" w:hAnsi="宋体" w:eastAsia="宋体"/>
                <w:color w:val="auto"/>
                <w:sz w:val="24"/>
                <w:szCs w:val="24"/>
                <w:highlight w:val="none"/>
              </w:rPr>
              <w:t>2.1.1</w:t>
            </w:r>
          </w:p>
        </w:tc>
        <w:tc>
          <w:tcPr>
            <w:tcW w:w="1090" w:type="dxa"/>
            <w:vMerge w:val="restart"/>
            <w:tcBorders>
              <w:top w:val="single" w:color="auto" w:sz="4" w:space="0"/>
              <w:left w:val="nil"/>
              <w:bottom w:val="nil"/>
              <w:right w:val="single" w:color="auto" w:sz="4" w:space="0"/>
            </w:tcBorders>
            <w:vAlign w:val="center"/>
          </w:tcPr>
          <w:p w14:paraId="0D96E4CB">
            <w:pPr>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形式评审标准</w:t>
            </w:r>
          </w:p>
        </w:tc>
        <w:tc>
          <w:tcPr>
            <w:tcW w:w="2553" w:type="dxa"/>
            <w:tcBorders>
              <w:top w:val="single" w:color="auto" w:sz="4" w:space="0"/>
              <w:left w:val="single" w:color="auto" w:sz="4" w:space="0"/>
              <w:bottom w:val="single" w:color="auto" w:sz="4" w:space="0"/>
              <w:right w:val="single" w:color="auto" w:sz="4" w:space="0"/>
            </w:tcBorders>
            <w:vAlign w:val="center"/>
          </w:tcPr>
          <w:p w14:paraId="22876E0D">
            <w:pPr>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投标人名称</w:t>
            </w:r>
          </w:p>
        </w:tc>
        <w:tc>
          <w:tcPr>
            <w:tcW w:w="5489" w:type="dxa"/>
            <w:tcBorders>
              <w:top w:val="single" w:color="auto" w:sz="4" w:space="0"/>
              <w:left w:val="single" w:color="auto" w:sz="4" w:space="0"/>
              <w:bottom w:val="single" w:color="auto" w:sz="4" w:space="0"/>
              <w:right w:val="single" w:color="auto" w:sz="4" w:space="0"/>
            </w:tcBorders>
            <w:vAlign w:val="center"/>
          </w:tcPr>
          <w:p w14:paraId="0A42667F">
            <w:pPr>
              <w:spacing w:line="276" w:lineRule="auto"/>
              <w:rPr>
                <w:rFonts w:ascii="宋体" w:hAnsi="宋体" w:eastAsia="宋体"/>
                <w:color w:val="auto"/>
                <w:sz w:val="24"/>
                <w:szCs w:val="24"/>
                <w:highlight w:val="none"/>
              </w:rPr>
            </w:pPr>
            <w:r>
              <w:rPr>
                <w:rFonts w:hint="eastAsia" w:ascii="宋体" w:hAnsi="宋体" w:eastAsia="宋体"/>
                <w:color w:val="auto"/>
                <w:sz w:val="24"/>
                <w:szCs w:val="24"/>
                <w:highlight w:val="none"/>
              </w:rPr>
              <w:t>与营业执照、资质证书一致；</w:t>
            </w:r>
          </w:p>
        </w:tc>
      </w:tr>
      <w:tr w14:paraId="0CC257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002" w:type="dxa"/>
            <w:gridSpan w:val="2"/>
            <w:vMerge w:val="continue"/>
            <w:tcBorders>
              <w:top w:val="single" w:color="auto" w:sz="4" w:space="0"/>
              <w:left w:val="single" w:color="auto" w:sz="4" w:space="0"/>
              <w:bottom w:val="single" w:color="auto" w:sz="4" w:space="0"/>
              <w:right w:val="single" w:color="auto" w:sz="4" w:space="0"/>
            </w:tcBorders>
            <w:vAlign w:val="center"/>
          </w:tcPr>
          <w:p w14:paraId="6FC4098F">
            <w:pPr>
              <w:widowControl/>
              <w:spacing w:line="276" w:lineRule="auto"/>
              <w:jc w:val="left"/>
              <w:rPr>
                <w:rFonts w:ascii="宋体" w:hAnsi="宋体" w:eastAsia="宋体"/>
                <w:color w:val="auto"/>
                <w:sz w:val="24"/>
                <w:szCs w:val="24"/>
                <w:highlight w:val="none"/>
              </w:rPr>
            </w:pPr>
          </w:p>
        </w:tc>
        <w:tc>
          <w:tcPr>
            <w:tcW w:w="1090" w:type="dxa"/>
            <w:vMerge w:val="continue"/>
            <w:tcBorders>
              <w:top w:val="single" w:color="auto" w:sz="4" w:space="0"/>
              <w:left w:val="nil"/>
              <w:bottom w:val="nil"/>
              <w:right w:val="single" w:color="auto" w:sz="4" w:space="0"/>
            </w:tcBorders>
            <w:vAlign w:val="center"/>
          </w:tcPr>
          <w:p w14:paraId="7945B37C">
            <w:pPr>
              <w:widowControl/>
              <w:spacing w:line="276" w:lineRule="auto"/>
              <w:jc w:val="left"/>
              <w:rPr>
                <w:rFonts w:ascii="宋体" w:hAnsi="宋体" w:eastAsia="宋体"/>
                <w:color w:val="auto"/>
                <w:sz w:val="24"/>
                <w:szCs w:val="24"/>
                <w:highlight w:val="none"/>
              </w:rPr>
            </w:pPr>
          </w:p>
        </w:tc>
        <w:tc>
          <w:tcPr>
            <w:tcW w:w="2553" w:type="dxa"/>
            <w:tcBorders>
              <w:top w:val="single" w:color="auto" w:sz="4" w:space="0"/>
              <w:left w:val="single" w:color="auto" w:sz="4" w:space="0"/>
              <w:bottom w:val="single" w:color="auto" w:sz="4" w:space="0"/>
              <w:right w:val="single" w:color="auto" w:sz="4" w:space="0"/>
            </w:tcBorders>
            <w:vAlign w:val="center"/>
          </w:tcPr>
          <w:p w14:paraId="08072100">
            <w:pPr>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投标函及投标函附录签字盖章</w:t>
            </w:r>
          </w:p>
        </w:tc>
        <w:tc>
          <w:tcPr>
            <w:tcW w:w="5489" w:type="dxa"/>
            <w:tcBorders>
              <w:top w:val="single" w:color="auto" w:sz="4" w:space="0"/>
              <w:left w:val="single" w:color="auto" w:sz="4" w:space="0"/>
              <w:bottom w:val="single" w:color="auto" w:sz="4" w:space="0"/>
              <w:right w:val="single" w:color="auto" w:sz="4" w:space="0"/>
            </w:tcBorders>
            <w:vAlign w:val="center"/>
          </w:tcPr>
          <w:p w14:paraId="4918981E">
            <w:pPr>
              <w:tabs>
                <w:tab w:val="left" w:pos="580"/>
              </w:tabs>
              <w:spacing w:line="276" w:lineRule="auto"/>
              <w:rPr>
                <w:rFonts w:ascii="宋体" w:hAnsi="宋体" w:eastAsia="宋体"/>
                <w:color w:val="auto"/>
                <w:sz w:val="24"/>
                <w:szCs w:val="24"/>
                <w:highlight w:val="none"/>
              </w:rPr>
            </w:pPr>
            <w:r>
              <w:rPr>
                <w:rFonts w:hint="eastAsia" w:ascii="宋体" w:hAnsi="宋体" w:eastAsia="宋体"/>
                <w:color w:val="auto"/>
                <w:sz w:val="24"/>
                <w:szCs w:val="24"/>
                <w:highlight w:val="none"/>
              </w:rPr>
              <w:t>有法定代表人或被授权人签字（或盖章）并加盖单位章。由法定代表人签字（或盖章）的，应附法定代表人身份证明，由被授权人签字或盖章的，应附授权委托书，身份证明或授权委托书应符合第六章投标文件格式”的规定；</w:t>
            </w:r>
          </w:p>
        </w:tc>
      </w:tr>
      <w:tr w14:paraId="2D2786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002" w:type="dxa"/>
            <w:gridSpan w:val="2"/>
            <w:vMerge w:val="continue"/>
            <w:tcBorders>
              <w:top w:val="single" w:color="auto" w:sz="4" w:space="0"/>
              <w:left w:val="single" w:color="auto" w:sz="4" w:space="0"/>
              <w:bottom w:val="single" w:color="auto" w:sz="4" w:space="0"/>
              <w:right w:val="single" w:color="auto" w:sz="4" w:space="0"/>
            </w:tcBorders>
            <w:vAlign w:val="center"/>
          </w:tcPr>
          <w:p w14:paraId="10B2B2D7">
            <w:pPr>
              <w:widowControl/>
              <w:spacing w:line="276" w:lineRule="auto"/>
              <w:jc w:val="left"/>
              <w:rPr>
                <w:rFonts w:ascii="宋体" w:hAnsi="宋体" w:eastAsia="宋体"/>
                <w:color w:val="auto"/>
                <w:sz w:val="24"/>
                <w:szCs w:val="24"/>
                <w:highlight w:val="none"/>
              </w:rPr>
            </w:pPr>
          </w:p>
        </w:tc>
        <w:tc>
          <w:tcPr>
            <w:tcW w:w="1090" w:type="dxa"/>
            <w:vMerge w:val="continue"/>
            <w:tcBorders>
              <w:top w:val="single" w:color="auto" w:sz="4" w:space="0"/>
              <w:left w:val="nil"/>
              <w:bottom w:val="nil"/>
              <w:right w:val="single" w:color="auto" w:sz="4" w:space="0"/>
            </w:tcBorders>
            <w:vAlign w:val="center"/>
          </w:tcPr>
          <w:p w14:paraId="3111637E">
            <w:pPr>
              <w:widowControl/>
              <w:spacing w:line="276" w:lineRule="auto"/>
              <w:jc w:val="left"/>
              <w:rPr>
                <w:rFonts w:ascii="宋体" w:hAnsi="宋体" w:eastAsia="宋体"/>
                <w:color w:val="auto"/>
                <w:sz w:val="24"/>
                <w:szCs w:val="24"/>
                <w:highlight w:val="none"/>
              </w:rPr>
            </w:pPr>
          </w:p>
        </w:tc>
        <w:tc>
          <w:tcPr>
            <w:tcW w:w="2553" w:type="dxa"/>
            <w:tcBorders>
              <w:top w:val="single" w:color="auto" w:sz="4" w:space="0"/>
              <w:left w:val="single" w:color="auto" w:sz="4" w:space="0"/>
              <w:bottom w:val="single" w:color="auto" w:sz="4" w:space="0"/>
              <w:right w:val="single" w:color="auto" w:sz="4" w:space="0"/>
            </w:tcBorders>
            <w:vAlign w:val="center"/>
          </w:tcPr>
          <w:p w14:paraId="6A5B9B6D">
            <w:pPr>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投标文件格式</w:t>
            </w:r>
          </w:p>
        </w:tc>
        <w:tc>
          <w:tcPr>
            <w:tcW w:w="5489" w:type="dxa"/>
            <w:tcBorders>
              <w:top w:val="single" w:color="auto" w:sz="4" w:space="0"/>
              <w:left w:val="single" w:color="auto" w:sz="4" w:space="0"/>
              <w:bottom w:val="single" w:color="auto" w:sz="4" w:space="0"/>
              <w:right w:val="single" w:color="auto" w:sz="4" w:space="0"/>
            </w:tcBorders>
            <w:vAlign w:val="center"/>
          </w:tcPr>
          <w:p w14:paraId="297305ED">
            <w:pPr>
              <w:spacing w:line="276" w:lineRule="auto"/>
              <w:rPr>
                <w:rFonts w:ascii="宋体" w:hAnsi="宋体" w:eastAsia="宋体" w:cs="宋体"/>
                <w:color w:val="auto"/>
                <w:sz w:val="24"/>
                <w:szCs w:val="24"/>
                <w:highlight w:val="none"/>
                <w:u w:val="single"/>
              </w:rPr>
            </w:pPr>
            <w:r>
              <w:rPr>
                <w:rFonts w:hint="eastAsia" w:ascii="宋体" w:hAnsi="宋体" w:eastAsia="宋体" w:cs="楷体"/>
                <w:color w:val="auto"/>
                <w:kern w:val="0"/>
                <w:sz w:val="24"/>
                <w:szCs w:val="24"/>
                <w:highlight w:val="none"/>
                <w:u w:val="single"/>
              </w:rPr>
              <w:t>符合第六章“投标文件格式”</w:t>
            </w:r>
            <w:r>
              <w:rPr>
                <w:rFonts w:hint="eastAsia" w:ascii="宋体" w:hAnsi="宋体" w:eastAsia="宋体" w:cs="楷体"/>
                <w:color w:val="auto"/>
                <w:kern w:val="0"/>
                <w:sz w:val="24"/>
                <w:szCs w:val="24"/>
                <w:highlight w:val="none"/>
              </w:rPr>
              <w:t>；</w:t>
            </w:r>
          </w:p>
        </w:tc>
      </w:tr>
      <w:tr w14:paraId="2D18DA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7" w:hRule="atLeast"/>
        </w:trPr>
        <w:tc>
          <w:tcPr>
            <w:tcW w:w="1002" w:type="dxa"/>
            <w:gridSpan w:val="2"/>
            <w:vMerge w:val="continue"/>
            <w:tcBorders>
              <w:top w:val="single" w:color="auto" w:sz="4" w:space="0"/>
              <w:left w:val="single" w:color="auto" w:sz="4" w:space="0"/>
              <w:bottom w:val="single" w:color="auto" w:sz="4" w:space="0"/>
              <w:right w:val="single" w:color="auto" w:sz="4" w:space="0"/>
            </w:tcBorders>
            <w:vAlign w:val="center"/>
          </w:tcPr>
          <w:p w14:paraId="47DFECA1">
            <w:pPr>
              <w:widowControl/>
              <w:spacing w:line="276" w:lineRule="auto"/>
              <w:jc w:val="left"/>
              <w:rPr>
                <w:rFonts w:ascii="宋体" w:hAnsi="宋体" w:eastAsia="宋体"/>
                <w:color w:val="auto"/>
                <w:sz w:val="24"/>
                <w:szCs w:val="24"/>
                <w:highlight w:val="none"/>
              </w:rPr>
            </w:pPr>
          </w:p>
        </w:tc>
        <w:tc>
          <w:tcPr>
            <w:tcW w:w="1090" w:type="dxa"/>
            <w:vMerge w:val="continue"/>
            <w:tcBorders>
              <w:top w:val="single" w:color="auto" w:sz="4" w:space="0"/>
              <w:left w:val="nil"/>
              <w:bottom w:val="nil"/>
              <w:right w:val="single" w:color="auto" w:sz="4" w:space="0"/>
            </w:tcBorders>
            <w:vAlign w:val="center"/>
          </w:tcPr>
          <w:p w14:paraId="1E14459C">
            <w:pPr>
              <w:widowControl/>
              <w:spacing w:line="276" w:lineRule="auto"/>
              <w:jc w:val="left"/>
              <w:rPr>
                <w:rFonts w:ascii="宋体" w:hAnsi="宋体" w:eastAsia="宋体"/>
                <w:color w:val="auto"/>
                <w:sz w:val="24"/>
                <w:szCs w:val="24"/>
                <w:highlight w:val="none"/>
              </w:rPr>
            </w:pPr>
          </w:p>
        </w:tc>
        <w:tc>
          <w:tcPr>
            <w:tcW w:w="2553" w:type="dxa"/>
            <w:tcBorders>
              <w:top w:val="single" w:color="auto" w:sz="4" w:space="0"/>
              <w:left w:val="single" w:color="auto" w:sz="4" w:space="0"/>
              <w:bottom w:val="single" w:color="auto" w:sz="4" w:space="0"/>
              <w:right w:val="single" w:color="auto" w:sz="4" w:space="0"/>
            </w:tcBorders>
            <w:vAlign w:val="center"/>
          </w:tcPr>
          <w:p w14:paraId="0F96D8C4">
            <w:pPr>
              <w:widowControl/>
              <w:spacing w:line="276" w:lineRule="auto"/>
              <w:jc w:val="center"/>
              <w:rPr>
                <w:rFonts w:ascii="宋体" w:hAnsi="宋体" w:eastAsia="宋体" w:cs="楷体"/>
                <w:color w:val="auto"/>
                <w:kern w:val="0"/>
                <w:sz w:val="24"/>
                <w:szCs w:val="24"/>
                <w:highlight w:val="none"/>
              </w:rPr>
            </w:pPr>
            <w:r>
              <w:rPr>
                <w:rFonts w:hint="eastAsia" w:ascii="宋体" w:hAnsi="宋体" w:eastAsia="宋体" w:cs="楷体"/>
                <w:color w:val="auto"/>
                <w:spacing w:val="-7"/>
                <w:sz w:val="24"/>
                <w:szCs w:val="24"/>
                <w:highlight w:val="none"/>
              </w:rPr>
              <w:t>备选投标方案</w:t>
            </w:r>
          </w:p>
        </w:tc>
        <w:tc>
          <w:tcPr>
            <w:tcW w:w="5489" w:type="dxa"/>
            <w:tcBorders>
              <w:top w:val="single" w:color="auto" w:sz="4" w:space="0"/>
              <w:left w:val="single" w:color="auto" w:sz="4" w:space="0"/>
              <w:bottom w:val="single" w:color="auto" w:sz="4" w:space="0"/>
              <w:right w:val="single" w:color="auto" w:sz="4" w:space="0"/>
            </w:tcBorders>
            <w:vAlign w:val="center"/>
          </w:tcPr>
          <w:p w14:paraId="02EE8543">
            <w:pPr>
              <w:widowControl/>
              <w:spacing w:line="276" w:lineRule="auto"/>
              <w:jc w:val="left"/>
              <w:rPr>
                <w:rFonts w:ascii="宋体" w:hAnsi="宋体" w:eastAsia="宋体" w:cs="楷体"/>
                <w:color w:val="auto"/>
                <w:kern w:val="0"/>
                <w:sz w:val="24"/>
                <w:szCs w:val="24"/>
                <w:highlight w:val="none"/>
              </w:rPr>
            </w:pPr>
            <w:r>
              <w:rPr>
                <w:rFonts w:hint="eastAsia" w:ascii="宋体" w:hAnsi="宋体" w:eastAsia="宋体" w:cs="楷体"/>
                <w:color w:val="auto"/>
                <w:kern w:val="0"/>
                <w:sz w:val="24"/>
                <w:szCs w:val="24"/>
                <w:highlight w:val="none"/>
                <w:u w:val="single"/>
              </w:rPr>
              <w:t>不接受备选投标方案</w:t>
            </w:r>
            <w:r>
              <w:rPr>
                <w:rFonts w:hint="eastAsia" w:ascii="宋体" w:hAnsi="宋体" w:eastAsia="宋体" w:cs="楷体"/>
                <w:color w:val="auto"/>
                <w:kern w:val="0"/>
                <w:sz w:val="24"/>
                <w:szCs w:val="24"/>
                <w:highlight w:val="none"/>
              </w:rPr>
              <w:t>；</w:t>
            </w:r>
          </w:p>
        </w:tc>
      </w:tr>
      <w:tr w14:paraId="65F6DD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1" w:hRule="atLeast"/>
        </w:trPr>
        <w:tc>
          <w:tcPr>
            <w:tcW w:w="1002" w:type="dxa"/>
            <w:gridSpan w:val="2"/>
            <w:vMerge w:val="continue"/>
            <w:tcBorders>
              <w:top w:val="single" w:color="auto" w:sz="4" w:space="0"/>
              <w:left w:val="single" w:color="auto" w:sz="4" w:space="0"/>
              <w:bottom w:val="single" w:color="auto" w:sz="4" w:space="0"/>
              <w:right w:val="single" w:color="auto" w:sz="4" w:space="0"/>
            </w:tcBorders>
            <w:vAlign w:val="center"/>
          </w:tcPr>
          <w:p w14:paraId="00FF25ED">
            <w:pPr>
              <w:widowControl/>
              <w:spacing w:line="276" w:lineRule="auto"/>
              <w:jc w:val="left"/>
              <w:rPr>
                <w:rFonts w:ascii="宋体" w:hAnsi="宋体" w:eastAsia="宋体"/>
                <w:color w:val="auto"/>
                <w:sz w:val="24"/>
                <w:szCs w:val="24"/>
                <w:highlight w:val="none"/>
              </w:rPr>
            </w:pPr>
          </w:p>
        </w:tc>
        <w:tc>
          <w:tcPr>
            <w:tcW w:w="1090" w:type="dxa"/>
            <w:vMerge w:val="continue"/>
            <w:tcBorders>
              <w:top w:val="single" w:color="auto" w:sz="4" w:space="0"/>
              <w:left w:val="nil"/>
              <w:bottom w:val="nil"/>
              <w:right w:val="single" w:color="auto" w:sz="4" w:space="0"/>
            </w:tcBorders>
            <w:vAlign w:val="center"/>
          </w:tcPr>
          <w:p w14:paraId="4AC4EC7B">
            <w:pPr>
              <w:widowControl/>
              <w:spacing w:line="276" w:lineRule="auto"/>
              <w:jc w:val="left"/>
              <w:rPr>
                <w:rFonts w:ascii="宋体" w:hAnsi="宋体" w:eastAsia="宋体"/>
                <w:color w:val="auto"/>
                <w:sz w:val="24"/>
                <w:szCs w:val="24"/>
                <w:highlight w:val="none"/>
              </w:rPr>
            </w:pPr>
          </w:p>
        </w:tc>
        <w:tc>
          <w:tcPr>
            <w:tcW w:w="2553" w:type="dxa"/>
            <w:tcBorders>
              <w:top w:val="single" w:color="auto" w:sz="4" w:space="0"/>
              <w:left w:val="single" w:color="auto" w:sz="4" w:space="0"/>
              <w:bottom w:val="single" w:color="auto" w:sz="4" w:space="0"/>
              <w:right w:val="single" w:color="auto" w:sz="4" w:space="0"/>
            </w:tcBorders>
            <w:vAlign w:val="center"/>
          </w:tcPr>
          <w:p w14:paraId="632F365E">
            <w:pPr>
              <w:widowControl/>
              <w:spacing w:line="276" w:lineRule="auto"/>
              <w:jc w:val="center"/>
              <w:rPr>
                <w:rFonts w:ascii="宋体" w:hAnsi="宋体" w:eastAsia="宋体" w:cs="楷体"/>
                <w:color w:val="auto"/>
                <w:kern w:val="0"/>
                <w:sz w:val="24"/>
                <w:szCs w:val="24"/>
                <w:highlight w:val="none"/>
              </w:rPr>
            </w:pPr>
            <w:r>
              <w:rPr>
                <w:rFonts w:hint="eastAsia" w:ascii="宋体" w:hAnsi="宋体" w:eastAsia="宋体" w:cs="楷体"/>
                <w:color w:val="auto"/>
                <w:kern w:val="0"/>
                <w:sz w:val="24"/>
                <w:szCs w:val="24"/>
                <w:highlight w:val="none"/>
              </w:rPr>
              <w:t>联合体投标人</w:t>
            </w:r>
          </w:p>
        </w:tc>
        <w:tc>
          <w:tcPr>
            <w:tcW w:w="5489" w:type="dxa"/>
            <w:tcBorders>
              <w:top w:val="single" w:color="auto" w:sz="4" w:space="0"/>
              <w:left w:val="single" w:color="auto" w:sz="4" w:space="0"/>
              <w:bottom w:val="single" w:color="auto" w:sz="4" w:space="0"/>
              <w:right w:val="single" w:color="auto" w:sz="4" w:space="0"/>
            </w:tcBorders>
            <w:vAlign w:val="center"/>
          </w:tcPr>
          <w:p w14:paraId="53D2FB1D">
            <w:pPr>
              <w:widowControl/>
              <w:spacing w:line="276" w:lineRule="auto"/>
              <w:jc w:val="left"/>
              <w:rPr>
                <w:rFonts w:ascii="宋体" w:hAnsi="宋体" w:eastAsia="宋体" w:cs="楷体"/>
                <w:color w:val="auto"/>
                <w:kern w:val="0"/>
                <w:sz w:val="24"/>
                <w:szCs w:val="24"/>
                <w:highlight w:val="none"/>
              </w:rPr>
            </w:pPr>
            <w:r>
              <w:rPr>
                <w:rFonts w:hint="eastAsia" w:ascii="宋体" w:hAnsi="宋体" w:eastAsia="宋体" w:cs="楷体"/>
                <w:color w:val="auto"/>
                <w:sz w:val="24"/>
                <w:szCs w:val="24"/>
                <w:highlight w:val="none"/>
                <w:u w:val="single"/>
              </w:rPr>
              <w:t>不接受联合体投标</w:t>
            </w:r>
            <w:r>
              <w:rPr>
                <w:rFonts w:hint="eastAsia" w:ascii="宋体" w:hAnsi="宋体" w:eastAsia="宋体" w:cs="楷体"/>
                <w:color w:val="auto"/>
                <w:sz w:val="24"/>
                <w:szCs w:val="24"/>
                <w:highlight w:val="none"/>
              </w:rPr>
              <w:t>；</w:t>
            </w:r>
          </w:p>
        </w:tc>
      </w:tr>
      <w:tr w14:paraId="36907F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1002" w:type="dxa"/>
            <w:gridSpan w:val="2"/>
            <w:vMerge w:val="continue"/>
            <w:tcBorders>
              <w:top w:val="single" w:color="auto" w:sz="4" w:space="0"/>
              <w:left w:val="single" w:color="auto" w:sz="4" w:space="0"/>
              <w:bottom w:val="single" w:color="auto" w:sz="4" w:space="0"/>
              <w:right w:val="single" w:color="auto" w:sz="4" w:space="0"/>
            </w:tcBorders>
            <w:vAlign w:val="center"/>
          </w:tcPr>
          <w:p w14:paraId="5A350A58">
            <w:pPr>
              <w:widowControl/>
              <w:spacing w:line="276" w:lineRule="auto"/>
              <w:jc w:val="left"/>
              <w:rPr>
                <w:rFonts w:ascii="宋体" w:hAnsi="宋体" w:eastAsia="宋体"/>
                <w:color w:val="auto"/>
                <w:sz w:val="24"/>
                <w:szCs w:val="24"/>
                <w:highlight w:val="none"/>
              </w:rPr>
            </w:pPr>
          </w:p>
        </w:tc>
        <w:tc>
          <w:tcPr>
            <w:tcW w:w="1090" w:type="dxa"/>
            <w:vMerge w:val="continue"/>
            <w:tcBorders>
              <w:top w:val="single" w:color="auto" w:sz="4" w:space="0"/>
              <w:left w:val="nil"/>
              <w:bottom w:val="single" w:color="auto" w:sz="4" w:space="0"/>
              <w:right w:val="single" w:color="auto" w:sz="4" w:space="0"/>
            </w:tcBorders>
            <w:vAlign w:val="center"/>
          </w:tcPr>
          <w:p w14:paraId="700A0AA6">
            <w:pPr>
              <w:widowControl/>
              <w:spacing w:line="276" w:lineRule="auto"/>
              <w:jc w:val="left"/>
              <w:rPr>
                <w:rFonts w:ascii="宋体" w:hAnsi="宋体" w:eastAsia="宋体"/>
                <w:color w:val="auto"/>
                <w:sz w:val="24"/>
                <w:szCs w:val="24"/>
                <w:highlight w:val="none"/>
              </w:rPr>
            </w:pPr>
          </w:p>
        </w:tc>
        <w:tc>
          <w:tcPr>
            <w:tcW w:w="2553" w:type="dxa"/>
            <w:tcBorders>
              <w:top w:val="single" w:color="auto" w:sz="4" w:space="0"/>
              <w:left w:val="single" w:color="auto" w:sz="4" w:space="0"/>
              <w:bottom w:val="single" w:color="auto" w:sz="4" w:space="0"/>
              <w:right w:val="single" w:color="auto" w:sz="4" w:space="0"/>
            </w:tcBorders>
            <w:vAlign w:val="center"/>
          </w:tcPr>
          <w:p w14:paraId="5845A99D">
            <w:pPr>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投标人机器码</w:t>
            </w:r>
          </w:p>
        </w:tc>
        <w:tc>
          <w:tcPr>
            <w:tcW w:w="5489" w:type="dxa"/>
            <w:tcBorders>
              <w:top w:val="single" w:color="auto" w:sz="4" w:space="0"/>
              <w:left w:val="single" w:color="auto" w:sz="4" w:space="0"/>
              <w:bottom w:val="single" w:color="auto" w:sz="4" w:space="0"/>
              <w:right w:val="single" w:color="auto" w:sz="4" w:space="0"/>
            </w:tcBorders>
            <w:vAlign w:val="center"/>
          </w:tcPr>
          <w:p w14:paraId="45437765">
            <w:pPr>
              <w:spacing w:line="276" w:lineRule="auto"/>
              <w:rPr>
                <w:rFonts w:ascii="宋体" w:hAnsi="宋体" w:eastAsia="宋体"/>
                <w:color w:val="auto"/>
                <w:sz w:val="24"/>
                <w:szCs w:val="24"/>
                <w:highlight w:val="none"/>
              </w:rPr>
            </w:pPr>
            <w:r>
              <w:rPr>
                <w:rFonts w:hint="eastAsia" w:ascii="宋体" w:hAnsi="宋体" w:eastAsia="宋体" w:cs="宋体"/>
                <w:color w:val="auto"/>
                <w:sz w:val="24"/>
                <w:szCs w:val="24"/>
                <w:highlight w:val="none"/>
              </w:rPr>
              <w:t>投标人与</w:t>
            </w:r>
            <w:r>
              <w:rPr>
                <w:rFonts w:hint="eastAsia" w:ascii="宋体" w:hAnsi="宋体" w:eastAsia="宋体" w:cs="宋体"/>
                <w:color w:val="auto"/>
                <w:sz w:val="24"/>
                <w:szCs w:val="24"/>
                <w:highlight w:val="none"/>
                <w:lang w:val="en-US" w:eastAsia="zh-CN"/>
              </w:rPr>
              <w:t>本项目</w:t>
            </w:r>
            <w:r>
              <w:rPr>
                <w:rFonts w:hint="eastAsia" w:ascii="宋体" w:hAnsi="宋体" w:eastAsia="宋体" w:cs="宋体"/>
                <w:color w:val="auto"/>
                <w:sz w:val="24"/>
                <w:szCs w:val="24"/>
                <w:highlight w:val="none"/>
              </w:rPr>
              <w:t>其他投标人加密打包投标文件电脑机器特征码一致的(以</w:t>
            </w:r>
            <w:r>
              <w:rPr>
                <w:rFonts w:hint="eastAsia" w:ascii="宋体" w:hAnsi="宋体" w:eastAsia="宋体" w:cs="宋体"/>
                <w:color w:val="auto"/>
                <w:sz w:val="24"/>
                <w:szCs w:val="24"/>
                <w:highlight w:val="none"/>
                <w:lang w:eastAsia="zh-CN"/>
              </w:rPr>
              <w:t>广州交易集团有限公司（广州公共资源交易中心）</w:t>
            </w:r>
            <w:r>
              <w:rPr>
                <w:rFonts w:hint="eastAsia" w:ascii="宋体" w:hAnsi="宋体" w:eastAsia="宋体" w:cs="宋体"/>
                <w:color w:val="auto"/>
                <w:sz w:val="24"/>
                <w:szCs w:val="24"/>
                <w:highlight w:val="none"/>
              </w:rPr>
              <w:t>评标系统的检索信息为准)，其投标将被否决</w:t>
            </w:r>
            <w:r>
              <w:rPr>
                <w:rFonts w:hint="eastAsia" w:ascii="宋体" w:hAnsi="宋体" w:eastAsia="宋体" w:cs="宋体"/>
                <w:color w:val="auto"/>
                <w:sz w:val="24"/>
                <w:szCs w:val="24"/>
                <w:highlight w:val="none"/>
                <w:lang w:eastAsia="zh-CN"/>
              </w:rPr>
              <w:t>。</w:t>
            </w:r>
          </w:p>
        </w:tc>
      </w:tr>
      <w:tr w14:paraId="671635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002" w:type="dxa"/>
            <w:gridSpan w:val="2"/>
            <w:vMerge w:val="restart"/>
            <w:tcBorders>
              <w:top w:val="single" w:color="auto" w:sz="4" w:space="0"/>
              <w:left w:val="single" w:color="auto" w:sz="4" w:space="0"/>
              <w:bottom w:val="single" w:color="auto" w:sz="4" w:space="0"/>
              <w:right w:val="single" w:color="auto" w:sz="4" w:space="0"/>
            </w:tcBorders>
            <w:vAlign w:val="center"/>
          </w:tcPr>
          <w:p w14:paraId="75BB6624">
            <w:pPr>
              <w:spacing w:line="276" w:lineRule="auto"/>
              <w:jc w:val="center"/>
              <w:rPr>
                <w:rFonts w:ascii="宋体" w:hAnsi="宋体" w:eastAsia="宋体"/>
                <w:color w:val="auto"/>
                <w:sz w:val="24"/>
                <w:szCs w:val="24"/>
                <w:highlight w:val="none"/>
              </w:rPr>
            </w:pPr>
            <w:r>
              <w:rPr>
                <w:rFonts w:ascii="宋体" w:hAnsi="宋体" w:eastAsia="宋体"/>
                <w:color w:val="auto"/>
                <w:sz w:val="24"/>
                <w:szCs w:val="24"/>
                <w:highlight w:val="none"/>
              </w:rPr>
              <w:t>2.1.2</w:t>
            </w:r>
          </w:p>
        </w:tc>
        <w:tc>
          <w:tcPr>
            <w:tcW w:w="1090" w:type="dxa"/>
            <w:vMerge w:val="restart"/>
            <w:tcBorders>
              <w:top w:val="single" w:color="auto" w:sz="4" w:space="0"/>
              <w:left w:val="single" w:color="auto" w:sz="4" w:space="0"/>
              <w:bottom w:val="single" w:color="auto" w:sz="4" w:space="0"/>
              <w:right w:val="single" w:color="auto" w:sz="4" w:space="0"/>
            </w:tcBorders>
            <w:vAlign w:val="center"/>
          </w:tcPr>
          <w:p w14:paraId="043ABB9C">
            <w:pPr>
              <w:spacing w:line="276" w:lineRule="auto"/>
              <w:jc w:val="center"/>
              <w:rPr>
                <w:rFonts w:ascii="宋体" w:hAnsi="宋体" w:eastAsia="宋体"/>
                <w:color w:val="auto"/>
                <w:sz w:val="24"/>
                <w:szCs w:val="24"/>
                <w:highlight w:val="none"/>
              </w:rPr>
            </w:pPr>
            <w:r>
              <w:rPr>
                <w:rFonts w:hint="eastAsia" w:ascii="宋体" w:hAnsi="宋体" w:eastAsia="宋体" w:cs="楷体"/>
                <w:color w:val="auto"/>
                <w:kern w:val="0"/>
                <w:sz w:val="24"/>
                <w:szCs w:val="24"/>
                <w:highlight w:val="none"/>
              </w:rPr>
              <w:t>资格评审标准</w:t>
            </w:r>
          </w:p>
        </w:tc>
        <w:tc>
          <w:tcPr>
            <w:tcW w:w="2553" w:type="dxa"/>
            <w:tcBorders>
              <w:top w:val="single" w:color="auto" w:sz="4" w:space="0"/>
              <w:left w:val="single" w:color="auto" w:sz="4" w:space="0"/>
              <w:bottom w:val="single" w:color="auto" w:sz="4" w:space="0"/>
              <w:right w:val="single" w:color="auto" w:sz="4" w:space="0"/>
            </w:tcBorders>
            <w:vAlign w:val="center"/>
          </w:tcPr>
          <w:p w14:paraId="34A136BC">
            <w:pPr>
              <w:widowControl/>
              <w:spacing w:line="276" w:lineRule="auto"/>
              <w:jc w:val="center"/>
              <w:rPr>
                <w:rFonts w:ascii="宋体" w:hAnsi="宋体" w:eastAsia="宋体" w:cs="楷体"/>
                <w:color w:val="auto"/>
                <w:sz w:val="24"/>
                <w:szCs w:val="24"/>
                <w:highlight w:val="none"/>
              </w:rPr>
            </w:pPr>
            <w:r>
              <w:rPr>
                <w:rFonts w:hint="eastAsia" w:ascii="宋体" w:hAnsi="宋体" w:eastAsia="宋体" w:cs="楷体"/>
                <w:color w:val="auto"/>
                <w:sz w:val="24"/>
                <w:szCs w:val="24"/>
                <w:highlight w:val="none"/>
              </w:rPr>
              <w:t>营业执照和组织机构代码证</w:t>
            </w:r>
          </w:p>
        </w:tc>
        <w:tc>
          <w:tcPr>
            <w:tcW w:w="5489" w:type="dxa"/>
            <w:tcBorders>
              <w:top w:val="single" w:color="auto" w:sz="4" w:space="0"/>
              <w:left w:val="single" w:color="auto" w:sz="4" w:space="0"/>
              <w:bottom w:val="single" w:color="auto" w:sz="4" w:space="0"/>
              <w:right w:val="single" w:color="auto" w:sz="4" w:space="0"/>
            </w:tcBorders>
            <w:vAlign w:val="center"/>
          </w:tcPr>
          <w:p w14:paraId="5A2E1557">
            <w:pPr>
              <w:widowControl/>
              <w:spacing w:line="276" w:lineRule="auto"/>
              <w:rPr>
                <w:rFonts w:ascii="宋体" w:hAnsi="宋体" w:eastAsia="宋体" w:cs="楷体"/>
                <w:color w:val="auto"/>
                <w:sz w:val="24"/>
                <w:szCs w:val="24"/>
                <w:highlight w:val="none"/>
              </w:rPr>
            </w:pPr>
            <w:r>
              <w:rPr>
                <w:rFonts w:hint="eastAsia" w:ascii="宋体" w:hAnsi="宋体" w:eastAsia="宋体" w:cs="楷体"/>
                <w:color w:val="auto"/>
                <w:sz w:val="24"/>
                <w:szCs w:val="24"/>
                <w:highlight w:val="none"/>
              </w:rPr>
              <w:t>符合第二章“投标人须知”第3.5.1项规定</w:t>
            </w:r>
            <w:r>
              <w:rPr>
                <w:rFonts w:hint="eastAsia" w:ascii="宋体" w:hAnsi="宋体" w:eastAsia="宋体" w:cs="楷体"/>
                <w:color w:val="auto"/>
                <w:sz w:val="24"/>
                <w:szCs w:val="24"/>
                <w:highlight w:val="none"/>
                <w:lang w:eastAsia="zh-CN"/>
              </w:rPr>
              <w:t>；</w:t>
            </w:r>
          </w:p>
        </w:tc>
      </w:tr>
      <w:tr w14:paraId="0D6C4F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002" w:type="dxa"/>
            <w:gridSpan w:val="2"/>
            <w:vMerge w:val="continue"/>
            <w:tcBorders>
              <w:top w:val="single" w:color="auto" w:sz="4" w:space="0"/>
              <w:left w:val="single" w:color="auto" w:sz="4" w:space="0"/>
              <w:bottom w:val="single" w:color="auto" w:sz="4" w:space="0"/>
              <w:right w:val="single" w:color="auto" w:sz="4" w:space="0"/>
            </w:tcBorders>
            <w:vAlign w:val="center"/>
          </w:tcPr>
          <w:p w14:paraId="03988092">
            <w:pPr>
              <w:widowControl/>
              <w:spacing w:line="276" w:lineRule="auto"/>
              <w:jc w:val="left"/>
              <w:rPr>
                <w:rFonts w:ascii="宋体" w:hAnsi="宋体" w:eastAsia="宋体"/>
                <w:color w:val="auto"/>
                <w:sz w:val="24"/>
                <w:szCs w:val="24"/>
                <w:highlight w:val="none"/>
              </w:rPr>
            </w:pPr>
          </w:p>
        </w:tc>
        <w:tc>
          <w:tcPr>
            <w:tcW w:w="1090" w:type="dxa"/>
            <w:vMerge w:val="continue"/>
            <w:tcBorders>
              <w:top w:val="single" w:color="auto" w:sz="4" w:space="0"/>
              <w:left w:val="single" w:color="auto" w:sz="4" w:space="0"/>
              <w:bottom w:val="single" w:color="auto" w:sz="4" w:space="0"/>
              <w:right w:val="single" w:color="auto" w:sz="4" w:space="0"/>
            </w:tcBorders>
            <w:vAlign w:val="center"/>
          </w:tcPr>
          <w:p w14:paraId="297962B9">
            <w:pPr>
              <w:widowControl/>
              <w:spacing w:line="276" w:lineRule="auto"/>
              <w:jc w:val="left"/>
              <w:rPr>
                <w:rFonts w:ascii="宋体" w:hAnsi="宋体" w:eastAsia="宋体"/>
                <w:color w:val="auto"/>
                <w:sz w:val="24"/>
                <w:szCs w:val="24"/>
                <w:highlight w:val="none"/>
              </w:rPr>
            </w:pPr>
          </w:p>
        </w:tc>
        <w:tc>
          <w:tcPr>
            <w:tcW w:w="2553" w:type="dxa"/>
            <w:tcBorders>
              <w:top w:val="single" w:color="auto" w:sz="4" w:space="0"/>
              <w:left w:val="single" w:color="auto" w:sz="4" w:space="0"/>
              <w:bottom w:val="single" w:color="auto" w:sz="4" w:space="0"/>
              <w:right w:val="single" w:color="auto" w:sz="4" w:space="0"/>
            </w:tcBorders>
            <w:vAlign w:val="center"/>
          </w:tcPr>
          <w:p w14:paraId="2779A0F4">
            <w:pPr>
              <w:widowControl/>
              <w:spacing w:line="276" w:lineRule="auto"/>
              <w:jc w:val="center"/>
              <w:rPr>
                <w:rFonts w:ascii="宋体" w:hAnsi="宋体" w:eastAsia="宋体" w:cs="楷体"/>
                <w:color w:val="auto"/>
                <w:kern w:val="0"/>
                <w:sz w:val="24"/>
                <w:szCs w:val="24"/>
                <w:highlight w:val="none"/>
              </w:rPr>
            </w:pPr>
            <w:r>
              <w:rPr>
                <w:rFonts w:hint="eastAsia" w:ascii="宋体" w:hAnsi="宋体" w:eastAsia="宋体" w:cs="楷体"/>
                <w:color w:val="auto"/>
                <w:sz w:val="24"/>
                <w:szCs w:val="24"/>
                <w:highlight w:val="none"/>
              </w:rPr>
              <w:t>资质要求</w:t>
            </w:r>
          </w:p>
        </w:tc>
        <w:tc>
          <w:tcPr>
            <w:tcW w:w="5489" w:type="dxa"/>
            <w:tcBorders>
              <w:top w:val="single" w:color="auto" w:sz="4" w:space="0"/>
              <w:left w:val="single" w:color="auto" w:sz="4" w:space="0"/>
              <w:bottom w:val="single" w:color="auto" w:sz="4" w:space="0"/>
              <w:right w:val="single" w:color="auto" w:sz="4" w:space="0"/>
            </w:tcBorders>
            <w:vAlign w:val="center"/>
          </w:tcPr>
          <w:p w14:paraId="03C95CC0">
            <w:pPr>
              <w:widowControl/>
              <w:spacing w:line="276" w:lineRule="auto"/>
              <w:jc w:val="left"/>
              <w:rPr>
                <w:rFonts w:ascii="宋体" w:hAnsi="宋体" w:eastAsia="宋体" w:cs="楷体"/>
                <w:color w:val="auto"/>
                <w:kern w:val="0"/>
                <w:sz w:val="24"/>
                <w:szCs w:val="24"/>
                <w:highlight w:val="none"/>
              </w:rPr>
            </w:pPr>
            <w:r>
              <w:rPr>
                <w:rFonts w:hint="eastAsia" w:ascii="宋体" w:hAnsi="宋体" w:eastAsia="宋体" w:cs="楷体"/>
                <w:color w:val="auto"/>
                <w:sz w:val="24"/>
                <w:szCs w:val="24"/>
                <w:highlight w:val="none"/>
              </w:rPr>
              <w:t>符合第二章“投标人须知”第1.4.1项规定；</w:t>
            </w:r>
          </w:p>
        </w:tc>
      </w:tr>
      <w:tr w14:paraId="7B63E7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002" w:type="dxa"/>
            <w:gridSpan w:val="2"/>
            <w:vMerge w:val="continue"/>
            <w:tcBorders>
              <w:top w:val="single" w:color="auto" w:sz="4" w:space="0"/>
              <w:left w:val="single" w:color="auto" w:sz="4" w:space="0"/>
              <w:bottom w:val="single" w:color="auto" w:sz="4" w:space="0"/>
              <w:right w:val="single" w:color="auto" w:sz="4" w:space="0"/>
            </w:tcBorders>
            <w:vAlign w:val="center"/>
          </w:tcPr>
          <w:p w14:paraId="4C46AFCB">
            <w:pPr>
              <w:widowControl/>
              <w:spacing w:line="276" w:lineRule="auto"/>
              <w:jc w:val="left"/>
              <w:rPr>
                <w:rFonts w:ascii="宋体" w:hAnsi="宋体" w:eastAsia="宋体"/>
                <w:color w:val="auto"/>
                <w:sz w:val="24"/>
                <w:szCs w:val="24"/>
                <w:highlight w:val="none"/>
              </w:rPr>
            </w:pPr>
          </w:p>
        </w:tc>
        <w:tc>
          <w:tcPr>
            <w:tcW w:w="1090" w:type="dxa"/>
            <w:vMerge w:val="continue"/>
            <w:tcBorders>
              <w:top w:val="single" w:color="auto" w:sz="4" w:space="0"/>
              <w:left w:val="single" w:color="auto" w:sz="4" w:space="0"/>
              <w:bottom w:val="single" w:color="auto" w:sz="4" w:space="0"/>
              <w:right w:val="single" w:color="auto" w:sz="4" w:space="0"/>
            </w:tcBorders>
            <w:vAlign w:val="center"/>
          </w:tcPr>
          <w:p w14:paraId="7235836C">
            <w:pPr>
              <w:widowControl/>
              <w:spacing w:line="276" w:lineRule="auto"/>
              <w:jc w:val="left"/>
              <w:rPr>
                <w:rFonts w:ascii="宋体" w:hAnsi="宋体" w:eastAsia="宋体"/>
                <w:color w:val="auto"/>
                <w:sz w:val="24"/>
                <w:szCs w:val="24"/>
                <w:highlight w:val="none"/>
              </w:rPr>
            </w:pPr>
          </w:p>
        </w:tc>
        <w:tc>
          <w:tcPr>
            <w:tcW w:w="2553" w:type="dxa"/>
            <w:tcBorders>
              <w:top w:val="single" w:color="auto" w:sz="4" w:space="0"/>
              <w:left w:val="single" w:color="auto" w:sz="4" w:space="0"/>
              <w:bottom w:val="single" w:color="auto" w:sz="4" w:space="0"/>
              <w:right w:val="single" w:color="auto" w:sz="4" w:space="0"/>
            </w:tcBorders>
            <w:vAlign w:val="center"/>
          </w:tcPr>
          <w:p w14:paraId="0477BEEB">
            <w:pPr>
              <w:widowControl/>
              <w:spacing w:line="276" w:lineRule="auto"/>
              <w:jc w:val="center"/>
              <w:rPr>
                <w:rFonts w:ascii="宋体" w:hAnsi="宋体" w:eastAsia="宋体" w:cs="楷体"/>
                <w:color w:val="auto"/>
                <w:sz w:val="24"/>
                <w:szCs w:val="24"/>
                <w:highlight w:val="none"/>
              </w:rPr>
            </w:pPr>
            <w:r>
              <w:rPr>
                <w:rFonts w:hint="eastAsia" w:ascii="宋体" w:hAnsi="宋体" w:eastAsia="宋体" w:cs="楷体"/>
                <w:color w:val="auto"/>
                <w:sz w:val="24"/>
                <w:szCs w:val="24"/>
                <w:highlight w:val="none"/>
              </w:rPr>
              <w:t>财务要求</w:t>
            </w:r>
          </w:p>
        </w:tc>
        <w:tc>
          <w:tcPr>
            <w:tcW w:w="5489" w:type="dxa"/>
            <w:tcBorders>
              <w:top w:val="single" w:color="auto" w:sz="4" w:space="0"/>
              <w:left w:val="single" w:color="auto" w:sz="4" w:space="0"/>
              <w:bottom w:val="single" w:color="auto" w:sz="4" w:space="0"/>
              <w:right w:val="single" w:color="auto" w:sz="4" w:space="0"/>
            </w:tcBorders>
            <w:vAlign w:val="center"/>
          </w:tcPr>
          <w:p w14:paraId="44CA17A6">
            <w:pPr>
              <w:widowControl/>
              <w:spacing w:line="276" w:lineRule="auto"/>
              <w:jc w:val="left"/>
              <w:rPr>
                <w:rFonts w:ascii="宋体" w:hAnsi="宋体" w:eastAsia="宋体" w:cs="楷体"/>
                <w:color w:val="auto"/>
                <w:sz w:val="24"/>
                <w:szCs w:val="24"/>
                <w:highlight w:val="none"/>
              </w:rPr>
            </w:pPr>
            <w:r>
              <w:rPr>
                <w:rFonts w:hint="eastAsia" w:ascii="宋体" w:hAnsi="宋体" w:eastAsia="宋体" w:cs="楷体"/>
                <w:color w:val="auto"/>
                <w:sz w:val="24"/>
                <w:szCs w:val="24"/>
                <w:highlight w:val="none"/>
              </w:rPr>
              <w:t>/</w:t>
            </w:r>
          </w:p>
        </w:tc>
      </w:tr>
      <w:tr w14:paraId="1926D6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002" w:type="dxa"/>
            <w:gridSpan w:val="2"/>
            <w:vMerge w:val="continue"/>
            <w:tcBorders>
              <w:top w:val="single" w:color="auto" w:sz="4" w:space="0"/>
              <w:left w:val="single" w:color="auto" w:sz="4" w:space="0"/>
              <w:bottom w:val="single" w:color="auto" w:sz="4" w:space="0"/>
              <w:right w:val="single" w:color="auto" w:sz="4" w:space="0"/>
            </w:tcBorders>
            <w:vAlign w:val="center"/>
          </w:tcPr>
          <w:p w14:paraId="09641130">
            <w:pPr>
              <w:widowControl/>
              <w:spacing w:line="276" w:lineRule="auto"/>
              <w:jc w:val="left"/>
              <w:rPr>
                <w:rFonts w:ascii="宋体" w:hAnsi="宋体" w:eastAsia="宋体"/>
                <w:color w:val="auto"/>
                <w:sz w:val="24"/>
                <w:szCs w:val="24"/>
                <w:highlight w:val="none"/>
              </w:rPr>
            </w:pPr>
          </w:p>
        </w:tc>
        <w:tc>
          <w:tcPr>
            <w:tcW w:w="1090" w:type="dxa"/>
            <w:vMerge w:val="continue"/>
            <w:tcBorders>
              <w:top w:val="single" w:color="auto" w:sz="4" w:space="0"/>
              <w:left w:val="single" w:color="auto" w:sz="4" w:space="0"/>
              <w:bottom w:val="single" w:color="auto" w:sz="4" w:space="0"/>
              <w:right w:val="single" w:color="auto" w:sz="4" w:space="0"/>
            </w:tcBorders>
            <w:vAlign w:val="center"/>
          </w:tcPr>
          <w:p w14:paraId="19409323">
            <w:pPr>
              <w:widowControl/>
              <w:spacing w:line="276" w:lineRule="auto"/>
              <w:jc w:val="left"/>
              <w:rPr>
                <w:rFonts w:ascii="宋体" w:hAnsi="宋体" w:eastAsia="宋体"/>
                <w:color w:val="auto"/>
                <w:sz w:val="24"/>
                <w:szCs w:val="24"/>
                <w:highlight w:val="none"/>
              </w:rPr>
            </w:pPr>
          </w:p>
        </w:tc>
        <w:tc>
          <w:tcPr>
            <w:tcW w:w="2553" w:type="dxa"/>
            <w:tcBorders>
              <w:top w:val="single" w:color="auto" w:sz="4" w:space="0"/>
              <w:left w:val="single" w:color="auto" w:sz="4" w:space="0"/>
              <w:bottom w:val="single" w:color="auto" w:sz="4" w:space="0"/>
              <w:right w:val="single" w:color="auto" w:sz="4" w:space="0"/>
            </w:tcBorders>
            <w:vAlign w:val="center"/>
          </w:tcPr>
          <w:p w14:paraId="4271FB4C">
            <w:pPr>
              <w:widowControl/>
              <w:spacing w:line="276" w:lineRule="auto"/>
              <w:jc w:val="center"/>
              <w:rPr>
                <w:rFonts w:ascii="宋体" w:hAnsi="宋体" w:eastAsia="宋体" w:cs="楷体"/>
                <w:color w:val="auto"/>
                <w:kern w:val="0"/>
                <w:sz w:val="24"/>
                <w:szCs w:val="24"/>
                <w:highlight w:val="none"/>
              </w:rPr>
            </w:pPr>
            <w:r>
              <w:rPr>
                <w:rFonts w:hint="eastAsia" w:ascii="宋体" w:hAnsi="宋体" w:eastAsia="宋体" w:cs="楷体"/>
                <w:color w:val="auto"/>
                <w:sz w:val="24"/>
                <w:szCs w:val="24"/>
                <w:highlight w:val="none"/>
              </w:rPr>
              <w:t>业绩要求</w:t>
            </w:r>
          </w:p>
        </w:tc>
        <w:tc>
          <w:tcPr>
            <w:tcW w:w="5489" w:type="dxa"/>
            <w:tcBorders>
              <w:top w:val="single" w:color="auto" w:sz="4" w:space="0"/>
              <w:left w:val="single" w:color="auto" w:sz="4" w:space="0"/>
              <w:bottom w:val="single" w:color="auto" w:sz="4" w:space="0"/>
              <w:right w:val="single" w:color="auto" w:sz="4" w:space="0"/>
            </w:tcBorders>
            <w:vAlign w:val="center"/>
          </w:tcPr>
          <w:p w14:paraId="53B8907B">
            <w:pPr>
              <w:widowControl/>
              <w:spacing w:line="276" w:lineRule="auto"/>
              <w:jc w:val="left"/>
              <w:rPr>
                <w:rFonts w:ascii="宋体" w:hAnsi="宋体" w:eastAsia="宋体" w:cs="楷体"/>
                <w:color w:val="auto"/>
                <w:kern w:val="0"/>
                <w:sz w:val="24"/>
                <w:szCs w:val="24"/>
                <w:highlight w:val="none"/>
              </w:rPr>
            </w:pPr>
            <w:r>
              <w:rPr>
                <w:rFonts w:hint="eastAsia" w:ascii="宋体" w:hAnsi="宋体" w:eastAsia="宋体" w:cs="楷体"/>
                <w:color w:val="auto"/>
                <w:sz w:val="24"/>
                <w:szCs w:val="24"/>
                <w:highlight w:val="none"/>
              </w:rPr>
              <w:t>/</w:t>
            </w:r>
          </w:p>
        </w:tc>
      </w:tr>
      <w:tr w14:paraId="5C1B9D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002" w:type="dxa"/>
            <w:gridSpan w:val="2"/>
            <w:vMerge w:val="continue"/>
            <w:tcBorders>
              <w:top w:val="single" w:color="auto" w:sz="4" w:space="0"/>
              <w:left w:val="single" w:color="auto" w:sz="4" w:space="0"/>
              <w:bottom w:val="single" w:color="auto" w:sz="4" w:space="0"/>
              <w:right w:val="single" w:color="auto" w:sz="4" w:space="0"/>
            </w:tcBorders>
            <w:vAlign w:val="center"/>
          </w:tcPr>
          <w:p w14:paraId="082630FB">
            <w:pPr>
              <w:widowControl/>
              <w:spacing w:line="276" w:lineRule="auto"/>
              <w:jc w:val="left"/>
              <w:rPr>
                <w:rFonts w:ascii="宋体" w:hAnsi="宋体" w:eastAsia="宋体"/>
                <w:color w:val="auto"/>
                <w:sz w:val="24"/>
                <w:szCs w:val="24"/>
                <w:highlight w:val="none"/>
              </w:rPr>
            </w:pPr>
          </w:p>
        </w:tc>
        <w:tc>
          <w:tcPr>
            <w:tcW w:w="1090" w:type="dxa"/>
            <w:vMerge w:val="continue"/>
            <w:tcBorders>
              <w:top w:val="single" w:color="auto" w:sz="4" w:space="0"/>
              <w:left w:val="single" w:color="auto" w:sz="4" w:space="0"/>
              <w:bottom w:val="single" w:color="auto" w:sz="4" w:space="0"/>
              <w:right w:val="single" w:color="auto" w:sz="4" w:space="0"/>
            </w:tcBorders>
            <w:vAlign w:val="center"/>
          </w:tcPr>
          <w:p w14:paraId="5CD19B8A">
            <w:pPr>
              <w:widowControl/>
              <w:spacing w:line="276" w:lineRule="auto"/>
              <w:jc w:val="left"/>
              <w:rPr>
                <w:rFonts w:ascii="宋体" w:hAnsi="宋体" w:eastAsia="宋体"/>
                <w:color w:val="auto"/>
                <w:sz w:val="24"/>
                <w:szCs w:val="24"/>
                <w:highlight w:val="none"/>
              </w:rPr>
            </w:pPr>
          </w:p>
        </w:tc>
        <w:tc>
          <w:tcPr>
            <w:tcW w:w="2553" w:type="dxa"/>
            <w:tcBorders>
              <w:top w:val="single" w:color="auto" w:sz="4" w:space="0"/>
              <w:left w:val="single" w:color="auto" w:sz="4" w:space="0"/>
              <w:bottom w:val="single" w:color="auto" w:sz="4" w:space="0"/>
              <w:right w:val="single" w:color="auto" w:sz="4" w:space="0"/>
            </w:tcBorders>
            <w:vAlign w:val="center"/>
          </w:tcPr>
          <w:p w14:paraId="6244DAD5">
            <w:pPr>
              <w:widowControl/>
              <w:spacing w:line="276" w:lineRule="auto"/>
              <w:jc w:val="center"/>
              <w:rPr>
                <w:rFonts w:ascii="宋体" w:hAnsi="宋体" w:eastAsia="宋体" w:cs="楷体"/>
                <w:color w:val="auto"/>
                <w:sz w:val="24"/>
                <w:szCs w:val="24"/>
                <w:highlight w:val="none"/>
              </w:rPr>
            </w:pPr>
            <w:r>
              <w:rPr>
                <w:rFonts w:hint="eastAsia" w:ascii="宋体" w:hAnsi="宋体" w:eastAsia="宋体" w:cs="楷体"/>
                <w:color w:val="auto"/>
                <w:sz w:val="24"/>
                <w:szCs w:val="24"/>
                <w:highlight w:val="none"/>
              </w:rPr>
              <w:t>信誉要求</w:t>
            </w:r>
          </w:p>
        </w:tc>
        <w:tc>
          <w:tcPr>
            <w:tcW w:w="5489" w:type="dxa"/>
            <w:tcBorders>
              <w:top w:val="single" w:color="auto" w:sz="4" w:space="0"/>
              <w:left w:val="single" w:color="auto" w:sz="4" w:space="0"/>
              <w:bottom w:val="single" w:color="auto" w:sz="4" w:space="0"/>
              <w:right w:val="single" w:color="auto" w:sz="4" w:space="0"/>
            </w:tcBorders>
            <w:vAlign w:val="center"/>
          </w:tcPr>
          <w:p w14:paraId="0C1FCE48">
            <w:pPr>
              <w:widowControl/>
              <w:spacing w:line="276" w:lineRule="auto"/>
              <w:jc w:val="left"/>
              <w:rPr>
                <w:rFonts w:ascii="宋体" w:hAnsi="宋体" w:eastAsia="宋体" w:cs="楷体"/>
                <w:color w:val="auto"/>
                <w:sz w:val="24"/>
                <w:szCs w:val="24"/>
                <w:highlight w:val="none"/>
              </w:rPr>
            </w:pPr>
            <w:r>
              <w:rPr>
                <w:rFonts w:hint="eastAsia" w:ascii="宋体" w:hAnsi="宋体" w:eastAsia="宋体" w:cs="楷体"/>
                <w:color w:val="auto"/>
                <w:sz w:val="24"/>
                <w:szCs w:val="24"/>
                <w:highlight w:val="none"/>
              </w:rPr>
              <w:t>/</w:t>
            </w:r>
          </w:p>
        </w:tc>
      </w:tr>
      <w:tr w14:paraId="6B2F93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002" w:type="dxa"/>
            <w:gridSpan w:val="2"/>
            <w:vMerge w:val="continue"/>
            <w:tcBorders>
              <w:top w:val="single" w:color="auto" w:sz="4" w:space="0"/>
              <w:left w:val="single" w:color="auto" w:sz="4" w:space="0"/>
              <w:bottom w:val="single" w:color="auto" w:sz="4" w:space="0"/>
              <w:right w:val="single" w:color="auto" w:sz="4" w:space="0"/>
            </w:tcBorders>
            <w:vAlign w:val="center"/>
          </w:tcPr>
          <w:p w14:paraId="43EBD250">
            <w:pPr>
              <w:widowControl/>
              <w:spacing w:line="276" w:lineRule="auto"/>
              <w:jc w:val="left"/>
              <w:rPr>
                <w:rFonts w:ascii="宋体" w:hAnsi="宋体" w:eastAsia="宋体"/>
                <w:color w:val="auto"/>
                <w:sz w:val="24"/>
                <w:szCs w:val="24"/>
                <w:highlight w:val="none"/>
              </w:rPr>
            </w:pPr>
          </w:p>
        </w:tc>
        <w:tc>
          <w:tcPr>
            <w:tcW w:w="1090" w:type="dxa"/>
            <w:vMerge w:val="continue"/>
            <w:tcBorders>
              <w:top w:val="single" w:color="auto" w:sz="4" w:space="0"/>
              <w:left w:val="single" w:color="auto" w:sz="4" w:space="0"/>
              <w:bottom w:val="single" w:color="auto" w:sz="4" w:space="0"/>
              <w:right w:val="single" w:color="auto" w:sz="4" w:space="0"/>
            </w:tcBorders>
            <w:vAlign w:val="center"/>
          </w:tcPr>
          <w:p w14:paraId="5106A556">
            <w:pPr>
              <w:widowControl/>
              <w:spacing w:line="276" w:lineRule="auto"/>
              <w:jc w:val="left"/>
              <w:rPr>
                <w:rFonts w:ascii="宋体" w:hAnsi="宋体" w:eastAsia="宋体"/>
                <w:color w:val="auto"/>
                <w:sz w:val="24"/>
                <w:szCs w:val="24"/>
                <w:highlight w:val="none"/>
              </w:rPr>
            </w:pPr>
          </w:p>
        </w:tc>
        <w:tc>
          <w:tcPr>
            <w:tcW w:w="2553" w:type="dxa"/>
            <w:tcBorders>
              <w:top w:val="single" w:color="auto" w:sz="4" w:space="0"/>
              <w:left w:val="single" w:color="auto" w:sz="4" w:space="0"/>
              <w:bottom w:val="single" w:color="auto" w:sz="4" w:space="0"/>
              <w:right w:val="single" w:color="auto" w:sz="4" w:space="0"/>
            </w:tcBorders>
            <w:vAlign w:val="center"/>
          </w:tcPr>
          <w:p w14:paraId="5F0CE1F7">
            <w:pPr>
              <w:widowControl/>
              <w:spacing w:line="276" w:lineRule="auto"/>
              <w:jc w:val="center"/>
              <w:rPr>
                <w:rFonts w:ascii="宋体" w:hAnsi="宋体" w:eastAsia="宋体" w:cs="楷体"/>
                <w:color w:val="auto"/>
                <w:kern w:val="0"/>
                <w:sz w:val="24"/>
                <w:szCs w:val="24"/>
                <w:highlight w:val="none"/>
              </w:rPr>
            </w:pPr>
            <w:r>
              <w:rPr>
                <w:rFonts w:hint="eastAsia" w:ascii="宋体" w:hAnsi="宋体" w:eastAsia="宋体" w:cs="楷体"/>
                <w:color w:val="auto"/>
                <w:sz w:val="24"/>
                <w:szCs w:val="24"/>
                <w:highlight w:val="none"/>
              </w:rPr>
              <w:t>总监理工程师</w:t>
            </w:r>
          </w:p>
        </w:tc>
        <w:tc>
          <w:tcPr>
            <w:tcW w:w="5489" w:type="dxa"/>
            <w:tcBorders>
              <w:top w:val="single" w:color="auto" w:sz="4" w:space="0"/>
              <w:left w:val="single" w:color="auto" w:sz="4" w:space="0"/>
              <w:bottom w:val="single" w:color="auto" w:sz="4" w:space="0"/>
              <w:right w:val="single" w:color="auto" w:sz="4" w:space="0"/>
            </w:tcBorders>
            <w:vAlign w:val="center"/>
          </w:tcPr>
          <w:p w14:paraId="420470A6">
            <w:pPr>
              <w:widowControl/>
              <w:spacing w:line="276" w:lineRule="auto"/>
              <w:jc w:val="left"/>
              <w:rPr>
                <w:rFonts w:ascii="宋体" w:hAnsi="宋体" w:eastAsia="宋体" w:cs="楷体"/>
                <w:color w:val="auto"/>
                <w:kern w:val="0"/>
                <w:sz w:val="24"/>
                <w:szCs w:val="24"/>
                <w:highlight w:val="none"/>
              </w:rPr>
            </w:pPr>
            <w:r>
              <w:rPr>
                <w:rFonts w:hint="eastAsia" w:ascii="宋体" w:hAnsi="宋体" w:eastAsia="宋体" w:cs="楷体"/>
                <w:color w:val="auto"/>
                <w:sz w:val="24"/>
                <w:szCs w:val="24"/>
                <w:highlight w:val="none"/>
              </w:rPr>
              <w:t>符合第二章“投标人须知”第1.4.1项规定；</w:t>
            </w:r>
          </w:p>
        </w:tc>
      </w:tr>
      <w:tr w14:paraId="055BF5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002" w:type="dxa"/>
            <w:gridSpan w:val="2"/>
            <w:vMerge w:val="continue"/>
            <w:tcBorders>
              <w:top w:val="single" w:color="auto" w:sz="4" w:space="0"/>
              <w:left w:val="single" w:color="auto" w:sz="4" w:space="0"/>
              <w:bottom w:val="single" w:color="auto" w:sz="4" w:space="0"/>
              <w:right w:val="single" w:color="auto" w:sz="4" w:space="0"/>
            </w:tcBorders>
            <w:vAlign w:val="center"/>
          </w:tcPr>
          <w:p w14:paraId="5933DEC5">
            <w:pPr>
              <w:widowControl/>
              <w:spacing w:line="276" w:lineRule="auto"/>
              <w:jc w:val="left"/>
              <w:rPr>
                <w:rFonts w:ascii="宋体" w:hAnsi="宋体" w:eastAsia="宋体"/>
                <w:color w:val="auto"/>
                <w:sz w:val="24"/>
                <w:szCs w:val="24"/>
                <w:highlight w:val="none"/>
              </w:rPr>
            </w:pPr>
          </w:p>
        </w:tc>
        <w:tc>
          <w:tcPr>
            <w:tcW w:w="1090" w:type="dxa"/>
            <w:vMerge w:val="continue"/>
            <w:tcBorders>
              <w:top w:val="single" w:color="auto" w:sz="4" w:space="0"/>
              <w:left w:val="single" w:color="auto" w:sz="4" w:space="0"/>
              <w:bottom w:val="single" w:color="auto" w:sz="4" w:space="0"/>
              <w:right w:val="single" w:color="auto" w:sz="4" w:space="0"/>
            </w:tcBorders>
            <w:vAlign w:val="center"/>
          </w:tcPr>
          <w:p w14:paraId="53C37497">
            <w:pPr>
              <w:widowControl/>
              <w:spacing w:line="276" w:lineRule="auto"/>
              <w:jc w:val="left"/>
              <w:rPr>
                <w:rFonts w:ascii="宋体" w:hAnsi="宋体" w:eastAsia="宋体"/>
                <w:color w:val="auto"/>
                <w:sz w:val="24"/>
                <w:szCs w:val="24"/>
                <w:highlight w:val="none"/>
              </w:rPr>
            </w:pPr>
          </w:p>
        </w:tc>
        <w:tc>
          <w:tcPr>
            <w:tcW w:w="2553" w:type="dxa"/>
            <w:tcBorders>
              <w:top w:val="single" w:color="auto" w:sz="4" w:space="0"/>
              <w:left w:val="single" w:color="auto" w:sz="4" w:space="0"/>
              <w:bottom w:val="single" w:color="auto" w:sz="4" w:space="0"/>
              <w:right w:val="single" w:color="auto" w:sz="4" w:space="0"/>
            </w:tcBorders>
            <w:vAlign w:val="center"/>
          </w:tcPr>
          <w:p w14:paraId="76C11911">
            <w:pPr>
              <w:widowControl/>
              <w:spacing w:line="276" w:lineRule="auto"/>
              <w:jc w:val="center"/>
              <w:rPr>
                <w:rFonts w:ascii="宋体" w:hAnsi="宋体" w:eastAsia="宋体" w:cs="楷体"/>
                <w:color w:val="auto"/>
                <w:kern w:val="0"/>
                <w:sz w:val="24"/>
                <w:szCs w:val="24"/>
                <w:highlight w:val="none"/>
              </w:rPr>
            </w:pPr>
            <w:r>
              <w:rPr>
                <w:rFonts w:hint="eastAsia" w:ascii="宋体" w:hAnsi="宋体" w:eastAsia="宋体" w:cs="楷体"/>
                <w:color w:val="auto"/>
                <w:sz w:val="24"/>
                <w:szCs w:val="24"/>
                <w:highlight w:val="none"/>
              </w:rPr>
              <w:t>其他主要人员</w:t>
            </w:r>
          </w:p>
        </w:tc>
        <w:tc>
          <w:tcPr>
            <w:tcW w:w="5489" w:type="dxa"/>
            <w:tcBorders>
              <w:top w:val="single" w:color="auto" w:sz="4" w:space="0"/>
              <w:left w:val="single" w:color="auto" w:sz="4" w:space="0"/>
              <w:bottom w:val="single" w:color="auto" w:sz="4" w:space="0"/>
              <w:right w:val="single" w:color="auto" w:sz="4" w:space="0"/>
            </w:tcBorders>
            <w:vAlign w:val="center"/>
          </w:tcPr>
          <w:p w14:paraId="3438AE67">
            <w:pPr>
              <w:widowControl/>
              <w:spacing w:line="276" w:lineRule="auto"/>
              <w:jc w:val="left"/>
              <w:rPr>
                <w:rFonts w:ascii="宋体" w:hAnsi="宋体" w:eastAsia="宋体" w:cs="楷体"/>
                <w:color w:val="auto"/>
                <w:kern w:val="0"/>
                <w:sz w:val="24"/>
                <w:szCs w:val="24"/>
                <w:highlight w:val="none"/>
              </w:rPr>
            </w:pPr>
            <w:r>
              <w:rPr>
                <w:rFonts w:hint="eastAsia" w:ascii="宋体" w:hAnsi="宋体" w:eastAsia="宋体" w:cs="楷体"/>
                <w:color w:val="auto"/>
                <w:sz w:val="24"/>
                <w:szCs w:val="24"/>
                <w:highlight w:val="none"/>
              </w:rPr>
              <w:t>/</w:t>
            </w:r>
          </w:p>
        </w:tc>
      </w:tr>
      <w:tr w14:paraId="2081F2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002" w:type="dxa"/>
            <w:gridSpan w:val="2"/>
            <w:vMerge w:val="continue"/>
            <w:tcBorders>
              <w:top w:val="single" w:color="auto" w:sz="4" w:space="0"/>
              <w:left w:val="single" w:color="auto" w:sz="4" w:space="0"/>
              <w:bottom w:val="single" w:color="auto" w:sz="4" w:space="0"/>
              <w:right w:val="single" w:color="auto" w:sz="4" w:space="0"/>
            </w:tcBorders>
            <w:vAlign w:val="center"/>
          </w:tcPr>
          <w:p w14:paraId="5FA3D0CB">
            <w:pPr>
              <w:widowControl/>
              <w:spacing w:line="276" w:lineRule="auto"/>
              <w:jc w:val="left"/>
              <w:rPr>
                <w:rFonts w:ascii="宋体" w:hAnsi="宋体" w:eastAsia="宋体"/>
                <w:color w:val="auto"/>
                <w:sz w:val="24"/>
                <w:szCs w:val="24"/>
                <w:highlight w:val="none"/>
              </w:rPr>
            </w:pPr>
          </w:p>
        </w:tc>
        <w:tc>
          <w:tcPr>
            <w:tcW w:w="1090" w:type="dxa"/>
            <w:vMerge w:val="continue"/>
            <w:tcBorders>
              <w:top w:val="single" w:color="auto" w:sz="4" w:space="0"/>
              <w:left w:val="single" w:color="auto" w:sz="4" w:space="0"/>
              <w:bottom w:val="single" w:color="auto" w:sz="4" w:space="0"/>
              <w:right w:val="single" w:color="auto" w:sz="4" w:space="0"/>
            </w:tcBorders>
            <w:vAlign w:val="center"/>
          </w:tcPr>
          <w:p w14:paraId="557FEB9C">
            <w:pPr>
              <w:widowControl/>
              <w:spacing w:line="276" w:lineRule="auto"/>
              <w:jc w:val="left"/>
              <w:rPr>
                <w:rFonts w:ascii="宋体" w:hAnsi="宋体" w:eastAsia="宋体"/>
                <w:color w:val="auto"/>
                <w:sz w:val="24"/>
                <w:szCs w:val="24"/>
                <w:highlight w:val="none"/>
              </w:rPr>
            </w:pPr>
          </w:p>
        </w:tc>
        <w:tc>
          <w:tcPr>
            <w:tcW w:w="2553" w:type="dxa"/>
            <w:tcBorders>
              <w:top w:val="single" w:color="auto" w:sz="4" w:space="0"/>
              <w:left w:val="single" w:color="auto" w:sz="4" w:space="0"/>
              <w:bottom w:val="single" w:color="auto" w:sz="4" w:space="0"/>
              <w:right w:val="single" w:color="auto" w:sz="4" w:space="0"/>
            </w:tcBorders>
            <w:vAlign w:val="center"/>
          </w:tcPr>
          <w:p w14:paraId="40688CD7">
            <w:pPr>
              <w:widowControl/>
              <w:spacing w:line="276" w:lineRule="auto"/>
              <w:jc w:val="center"/>
              <w:rPr>
                <w:rFonts w:ascii="宋体" w:hAnsi="宋体" w:eastAsia="宋体" w:cs="楷体"/>
                <w:color w:val="auto"/>
                <w:kern w:val="0"/>
                <w:sz w:val="24"/>
                <w:szCs w:val="24"/>
                <w:highlight w:val="none"/>
              </w:rPr>
            </w:pPr>
            <w:r>
              <w:rPr>
                <w:rFonts w:hint="eastAsia" w:ascii="宋体" w:hAnsi="宋体" w:eastAsia="宋体" w:cs="楷体"/>
                <w:color w:val="auto"/>
                <w:sz w:val="24"/>
                <w:szCs w:val="24"/>
                <w:highlight w:val="none"/>
              </w:rPr>
              <w:t>试验检测仪器设备</w:t>
            </w:r>
          </w:p>
        </w:tc>
        <w:tc>
          <w:tcPr>
            <w:tcW w:w="5489" w:type="dxa"/>
            <w:tcBorders>
              <w:top w:val="single" w:color="auto" w:sz="4" w:space="0"/>
              <w:left w:val="single" w:color="auto" w:sz="4" w:space="0"/>
              <w:bottom w:val="single" w:color="auto" w:sz="4" w:space="0"/>
              <w:right w:val="single" w:color="auto" w:sz="4" w:space="0"/>
            </w:tcBorders>
            <w:vAlign w:val="center"/>
          </w:tcPr>
          <w:p w14:paraId="6939E2F4">
            <w:pPr>
              <w:widowControl/>
              <w:spacing w:line="276" w:lineRule="auto"/>
              <w:jc w:val="left"/>
              <w:rPr>
                <w:rFonts w:ascii="宋体" w:hAnsi="宋体" w:eastAsia="宋体" w:cs="楷体"/>
                <w:color w:val="auto"/>
                <w:kern w:val="0"/>
                <w:sz w:val="24"/>
                <w:szCs w:val="24"/>
                <w:highlight w:val="none"/>
              </w:rPr>
            </w:pPr>
            <w:r>
              <w:rPr>
                <w:rFonts w:hint="eastAsia" w:ascii="宋体" w:hAnsi="宋体" w:eastAsia="宋体" w:cs="楷体"/>
                <w:color w:val="auto"/>
                <w:sz w:val="24"/>
                <w:szCs w:val="24"/>
                <w:highlight w:val="none"/>
              </w:rPr>
              <w:t>/</w:t>
            </w:r>
          </w:p>
        </w:tc>
      </w:tr>
      <w:tr w14:paraId="30FD5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002" w:type="dxa"/>
            <w:gridSpan w:val="2"/>
            <w:vMerge w:val="continue"/>
            <w:tcBorders>
              <w:top w:val="single" w:color="auto" w:sz="4" w:space="0"/>
              <w:left w:val="single" w:color="auto" w:sz="4" w:space="0"/>
              <w:bottom w:val="single" w:color="auto" w:sz="4" w:space="0"/>
              <w:right w:val="single" w:color="auto" w:sz="4" w:space="0"/>
            </w:tcBorders>
            <w:vAlign w:val="center"/>
          </w:tcPr>
          <w:p w14:paraId="68567F13">
            <w:pPr>
              <w:widowControl/>
              <w:spacing w:line="276" w:lineRule="auto"/>
              <w:jc w:val="left"/>
              <w:rPr>
                <w:rFonts w:ascii="宋体" w:hAnsi="宋体" w:eastAsia="宋体"/>
                <w:color w:val="auto"/>
                <w:sz w:val="24"/>
                <w:szCs w:val="24"/>
                <w:highlight w:val="none"/>
              </w:rPr>
            </w:pPr>
          </w:p>
        </w:tc>
        <w:tc>
          <w:tcPr>
            <w:tcW w:w="1090" w:type="dxa"/>
            <w:vMerge w:val="continue"/>
            <w:tcBorders>
              <w:top w:val="single" w:color="auto" w:sz="4" w:space="0"/>
              <w:left w:val="single" w:color="auto" w:sz="4" w:space="0"/>
              <w:bottom w:val="single" w:color="auto" w:sz="4" w:space="0"/>
              <w:right w:val="single" w:color="auto" w:sz="4" w:space="0"/>
            </w:tcBorders>
            <w:vAlign w:val="center"/>
          </w:tcPr>
          <w:p w14:paraId="7CACA741">
            <w:pPr>
              <w:widowControl/>
              <w:spacing w:line="276" w:lineRule="auto"/>
              <w:jc w:val="left"/>
              <w:rPr>
                <w:rFonts w:ascii="宋体" w:hAnsi="宋体" w:eastAsia="宋体"/>
                <w:color w:val="auto"/>
                <w:sz w:val="24"/>
                <w:szCs w:val="24"/>
                <w:highlight w:val="none"/>
              </w:rPr>
            </w:pPr>
          </w:p>
        </w:tc>
        <w:tc>
          <w:tcPr>
            <w:tcW w:w="2553" w:type="dxa"/>
            <w:tcBorders>
              <w:top w:val="single" w:color="auto" w:sz="4" w:space="0"/>
              <w:left w:val="single" w:color="auto" w:sz="4" w:space="0"/>
              <w:bottom w:val="single" w:color="auto" w:sz="4" w:space="0"/>
              <w:right w:val="single" w:color="auto" w:sz="4" w:space="0"/>
            </w:tcBorders>
            <w:vAlign w:val="center"/>
          </w:tcPr>
          <w:p w14:paraId="16D807DA">
            <w:pPr>
              <w:widowControl/>
              <w:spacing w:line="276" w:lineRule="auto"/>
              <w:jc w:val="center"/>
              <w:rPr>
                <w:rFonts w:ascii="宋体" w:hAnsi="宋体" w:eastAsia="宋体" w:cs="楷体"/>
                <w:color w:val="auto"/>
                <w:kern w:val="0"/>
                <w:sz w:val="24"/>
                <w:szCs w:val="24"/>
                <w:highlight w:val="none"/>
              </w:rPr>
            </w:pPr>
            <w:r>
              <w:rPr>
                <w:rFonts w:hint="eastAsia" w:ascii="宋体" w:hAnsi="宋体" w:eastAsia="宋体" w:cs="楷体"/>
                <w:color w:val="auto"/>
                <w:sz w:val="24"/>
                <w:szCs w:val="24"/>
                <w:highlight w:val="none"/>
              </w:rPr>
              <w:t>其他要求</w:t>
            </w:r>
          </w:p>
        </w:tc>
        <w:tc>
          <w:tcPr>
            <w:tcW w:w="5489" w:type="dxa"/>
            <w:tcBorders>
              <w:top w:val="single" w:color="auto" w:sz="4" w:space="0"/>
              <w:left w:val="single" w:color="auto" w:sz="4" w:space="0"/>
              <w:bottom w:val="single" w:color="auto" w:sz="4" w:space="0"/>
              <w:right w:val="single" w:color="auto" w:sz="4" w:space="0"/>
            </w:tcBorders>
            <w:vAlign w:val="center"/>
          </w:tcPr>
          <w:p w14:paraId="1F3FBC93">
            <w:pPr>
              <w:widowControl/>
              <w:spacing w:line="276" w:lineRule="auto"/>
              <w:jc w:val="left"/>
              <w:rPr>
                <w:rFonts w:ascii="宋体" w:hAnsi="宋体" w:eastAsia="宋体" w:cs="楷体"/>
                <w:color w:val="auto"/>
                <w:kern w:val="0"/>
                <w:sz w:val="24"/>
                <w:szCs w:val="24"/>
                <w:highlight w:val="none"/>
              </w:rPr>
            </w:pPr>
            <w:r>
              <w:rPr>
                <w:rFonts w:hint="eastAsia" w:ascii="宋体" w:hAnsi="宋体" w:eastAsia="宋体" w:cs="楷体"/>
                <w:color w:val="auto"/>
                <w:sz w:val="24"/>
                <w:szCs w:val="24"/>
                <w:highlight w:val="none"/>
              </w:rPr>
              <w:t>符合第二章“投标人须知”第1.4.1项规定；</w:t>
            </w:r>
          </w:p>
        </w:tc>
      </w:tr>
      <w:tr w14:paraId="0DF646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002" w:type="dxa"/>
            <w:gridSpan w:val="2"/>
            <w:vMerge w:val="continue"/>
            <w:tcBorders>
              <w:top w:val="single" w:color="auto" w:sz="4" w:space="0"/>
              <w:left w:val="single" w:color="auto" w:sz="4" w:space="0"/>
              <w:bottom w:val="single" w:color="auto" w:sz="4" w:space="0"/>
              <w:right w:val="single" w:color="auto" w:sz="4" w:space="0"/>
            </w:tcBorders>
            <w:vAlign w:val="center"/>
          </w:tcPr>
          <w:p w14:paraId="25D5E8C6">
            <w:pPr>
              <w:widowControl/>
              <w:spacing w:line="276" w:lineRule="auto"/>
              <w:jc w:val="left"/>
              <w:rPr>
                <w:rFonts w:ascii="宋体" w:hAnsi="宋体" w:eastAsia="宋体"/>
                <w:color w:val="auto"/>
                <w:sz w:val="24"/>
                <w:szCs w:val="24"/>
                <w:highlight w:val="none"/>
              </w:rPr>
            </w:pPr>
          </w:p>
        </w:tc>
        <w:tc>
          <w:tcPr>
            <w:tcW w:w="1090" w:type="dxa"/>
            <w:vMerge w:val="continue"/>
            <w:tcBorders>
              <w:top w:val="single" w:color="auto" w:sz="4" w:space="0"/>
              <w:left w:val="single" w:color="auto" w:sz="4" w:space="0"/>
              <w:bottom w:val="single" w:color="auto" w:sz="4" w:space="0"/>
              <w:right w:val="single" w:color="auto" w:sz="4" w:space="0"/>
            </w:tcBorders>
            <w:vAlign w:val="center"/>
          </w:tcPr>
          <w:p w14:paraId="0B935249">
            <w:pPr>
              <w:widowControl/>
              <w:spacing w:line="276" w:lineRule="auto"/>
              <w:jc w:val="left"/>
              <w:rPr>
                <w:rFonts w:ascii="宋体" w:hAnsi="宋体" w:eastAsia="宋体"/>
                <w:color w:val="auto"/>
                <w:sz w:val="24"/>
                <w:szCs w:val="24"/>
                <w:highlight w:val="none"/>
              </w:rPr>
            </w:pPr>
          </w:p>
        </w:tc>
        <w:tc>
          <w:tcPr>
            <w:tcW w:w="2553" w:type="dxa"/>
            <w:tcBorders>
              <w:top w:val="single" w:color="auto" w:sz="4" w:space="0"/>
              <w:left w:val="single" w:color="auto" w:sz="4" w:space="0"/>
              <w:bottom w:val="single" w:color="auto" w:sz="4" w:space="0"/>
              <w:right w:val="single" w:color="auto" w:sz="4" w:space="0"/>
            </w:tcBorders>
            <w:vAlign w:val="center"/>
          </w:tcPr>
          <w:p w14:paraId="1B2AE8ED">
            <w:pPr>
              <w:widowControl/>
              <w:spacing w:line="276" w:lineRule="auto"/>
              <w:jc w:val="center"/>
              <w:rPr>
                <w:rFonts w:ascii="宋体" w:hAnsi="宋体" w:eastAsia="宋体" w:cs="楷体"/>
                <w:color w:val="auto"/>
                <w:sz w:val="24"/>
                <w:szCs w:val="24"/>
                <w:highlight w:val="none"/>
              </w:rPr>
            </w:pPr>
            <w:r>
              <w:rPr>
                <w:rFonts w:hint="eastAsia" w:ascii="宋体" w:hAnsi="宋体" w:eastAsia="宋体" w:cs="楷体"/>
                <w:color w:val="auto"/>
                <w:sz w:val="24"/>
                <w:szCs w:val="24"/>
                <w:highlight w:val="none"/>
              </w:rPr>
              <w:t>联合体投标人</w:t>
            </w:r>
          </w:p>
        </w:tc>
        <w:tc>
          <w:tcPr>
            <w:tcW w:w="5489" w:type="dxa"/>
            <w:tcBorders>
              <w:top w:val="single" w:color="auto" w:sz="4" w:space="0"/>
              <w:left w:val="single" w:color="auto" w:sz="4" w:space="0"/>
              <w:bottom w:val="single" w:color="auto" w:sz="4" w:space="0"/>
              <w:right w:val="single" w:color="auto" w:sz="4" w:space="0"/>
            </w:tcBorders>
            <w:vAlign w:val="center"/>
          </w:tcPr>
          <w:p w14:paraId="7298B1A1">
            <w:pPr>
              <w:widowControl/>
              <w:spacing w:line="276" w:lineRule="auto"/>
              <w:jc w:val="left"/>
              <w:rPr>
                <w:rFonts w:ascii="宋体" w:hAnsi="宋体" w:eastAsia="宋体" w:cs="楷体"/>
                <w:color w:val="auto"/>
                <w:sz w:val="24"/>
                <w:szCs w:val="24"/>
                <w:highlight w:val="none"/>
              </w:rPr>
            </w:pPr>
            <w:r>
              <w:rPr>
                <w:rFonts w:hint="eastAsia" w:ascii="宋体" w:hAnsi="宋体" w:eastAsia="宋体" w:cs="楷体"/>
                <w:color w:val="auto"/>
                <w:sz w:val="24"/>
                <w:szCs w:val="24"/>
                <w:highlight w:val="none"/>
                <w:u w:val="single"/>
              </w:rPr>
              <w:t>不接受联合体投标；</w:t>
            </w:r>
          </w:p>
        </w:tc>
      </w:tr>
      <w:tr w14:paraId="4A90D2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002" w:type="dxa"/>
            <w:gridSpan w:val="2"/>
            <w:vMerge w:val="continue"/>
            <w:tcBorders>
              <w:top w:val="single" w:color="auto" w:sz="4" w:space="0"/>
              <w:left w:val="single" w:color="auto" w:sz="4" w:space="0"/>
              <w:bottom w:val="single" w:color="auto" w:sz="4" w:space="0"/>
              <w:right w:val="single" w:color="auto" w:sz="4" w:space="0"/>
            </w:tcBorders>
            <w:vAlign w:val="center"/>
          </w:tcPr>
          <w:p w14:paraId="42FFBFE4">
            <w:pPr>
              <w:widowControl/>
              <w:spacing w:line="276" w:lineRule="auto"/>
              <w:jc w:val="left"/>
              <w:rPr>
                <w:rFonts w:ascii="宋体" w:hAnsi="宋体" w:eastAsia="宋体"/>
                <w:color w:val="auto"/>
                <w:sz w:val="24"/>
                <w:szCs w:val="24"/>
                <w:highlight w:val="none"/>
              </w:rPr>
            </w:pPr>
          </w:p>
        </w:tc>
        <w:tc>
          <w:tcPr>
            <w:tcW w:w="1090" w:type="dxa"/>
            <w:vMerge w:val="continue"/>
            <w:tcBorders>
              <w:top w:val="single" w:color="auto" w:sz="4" w:space="0"/>
              <w:left w:val="single" w:color="auto" w:sz="4" w:space="0"/>
              <w:bottom w:val="single" w:color="auto" w:sz="4" w:space="0"/>
              <w:right w:val="single" w:color="auto" w:sz="4" w:space="0"/>
            </w:tcBorders>
            <w:vAlign w:val="center"/>
          </w:tcPr>
          <w:p w14:paraId="550B903E">
            <w:pPr>
              <w:widowControl/>
              <w:spacing w:line="276" w:lineRule="auto"/>
              <w:jc w:val="left"/>
              <w:rPr>
                <w:rFonts w:ascii="宋体" w:hAnsi="宋体" w:eastAsia="宋体"/>
                <w:color w:val="auto"/>
                <w:sz w:val="24"/>
                <w:szCs w:val="24"/>
                <w:highlight w:val="none"/>
              </w:rPr>
            </w:pPr>
          </w:p>
        </w:tc>
        <w:tc>
          <w:tcPr>
            <w:tcW w:w="2553" w:type="dxa"/>
            <w:tcBorders>
              <w:top w:val="single" w:color="auto" w:sz="4" w:space="0"/>
              <w:left w:val="single" w:color="auto" w:sz="4" w:space="0"/>
              <w:bottom w:val="single" w:color="auto" w:sz="4" w:space="0"/>
              <w:right w:val="single" w:color="auto" w:sz="4" w:space="0"/>
            </w:tcBorders>
            <w:vAlign w:val="center"/>
          </w:tcPr>
          <w:p w14:paraId="33AC5789">
            <w:pPr>
              <w:widowControl/>
              <w:spacing w:line="276" w:lineRule="auto"/>
              <w:jc w:val="center"/>
              <w:rPr>
                <w:rFonts w:ascii="宋体" w:hAnsi="宋体" w:eastAsia="宋体" w:cs="楷体"/>
                <w:color w:val="auto"/>
                <w:kern w:val="0"/>
                <w:sz w:val="24"/>
                <w:szCs w:val="24"/>
                <w:highlight w:val="none"/>
              </w:rPr>
            </w:pPr>
            <w:r>
              <w:rPr>
                <w:rFonts w:hint="eastAsia" w:ascii="宋体" w:hAnsi="宋体" w:eastAsia="宋体" w:cs="楷体"/>
                <w:color w:val="auto"/>
                <w:sz w:val="24"/>
                <w:szCs w:val="24"/>
                <w:highlight w:val="none"/>
              </w:rPr>
              <w:t>不存在禁止投标的情形</w:t>
            </w:r>
          </w:p>
        </w:tc>
        <w:tc>
          <w:tcPr>
            <w:tcW w:w="5489" w:type="dxa"/>
            <w:tcBorders>
              <w:top w:val="single" w:color="auto" w:sz="4" w:space="0"/>
              <w:left w:val="single" w:color="auto" w:sz="4" w:space="0"/>
              <w:bottom w:val="single" w:color="auto" w:sz="4" w:space="0"/>
              <w:right w:val="single" w:color="auto" w:sz="4" w:space="0"/>
            </w:tcBorders>
            <w:vAlign w:val="center"/>
          </w:tcPr>
          <w:p w14:paraId="67AABE45">
            <w:pPr>
              <w:widowControl/>
              <w:spacing w:line="276" w:lineRule="auto"/>
              <w:jc w:val="left"/>
              <w:rPr>
                <w:rFonts w:ascii="宋体" w:hAnsi="宋体" w:eastAsia="宋体" w:cs="楷体"/>
                <w:color w:val="auto"/>
                <w:kern w:val="0"/>
                <w:sz w:val="24"/>
                <w:szCs w:val="24"/>
                <w:highlight w:val="none"/>
              </w:rPr>
            </w:pPr>
            <w:r>
              <w:rPr>
                <w:rFonts w:hint="eastAsia" w:ascii="宋体" w:hAnsi="宋体" w:eastAsia="宋体" w:cs="楷体"/>
                <w:color w:val="auto"/>
                <w:sz w:val="24"/>
                <w:szCs w:val="24"/>
                <w:highlight w:val="none"/>
              </w:rPr>
              <w:t>不存在第二章“投标人须知”第1.4.3项规定的任何一种情形。</w:t>
            </w:r>
          </w:p>
        </w:tc>
      </w:tr>
      <w:tr w14:paraId="5408E2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002" w:type="dxa"/>
            <w:gridSpan w:val="2"/>
            <w:vMerge w:val="restart"/>
            <w:tcBorders>
              <w:top w:val="single" w:color="auto" w:sz="4" w:space="0"/>
              <w:left w:val="single" w:color="auto" w:sz="4" w:space="0"/>
              <w:bottom w:val="single" w:color="auto" w:sz="4" w:space="0"/>
              <w:right w:val="single" w:color="auto" w:sz="4" w:space="0"/>
            </w:tcBorders>
            <w:vAlign w:val="center"/>
          </w:tcPr>
          <w:p w14:paraId="3B2A2493">
            <w:pPr>
              <w:spacing w:line="276" w:lineRule="auto"/>
              <w:jc w:val="center"/>
              <w:rPr>
                <w:rFonts w:ascii="宋体" w:hAnsi="宋体" w:eastAsia="宋体"/>
                <w:color w:val="auto"/>
                <w:sz w:val="24"/>
                <w:szCs w:val="24"/>
                <w:highlight w:val="none"/>
              </w:rPr>
            </w:pPr>
            <w:r>
              <w:rPr>
                <w:rFonts w:ascii="宋体" w:hAnsi="宋体" w:eastAsia="宋体"/>
                <w:color w:val="auto"/>
                <w:sz w:val="24"/>
                <w:szCs w:val="24"/>
                <w:highlight w:val="none"/>
              </w:rPr>
              <w:t>2.1.3</w:t>
            </w:r>
          </w:p>
        </w:tc>
        <w:tc>
          <w:tcPr>
            <w:tcW w:w="1090" w:type="dxa"/>
            <w:vMerge w:val="restart"/>
            <w:tcBorders>
              <w:top w:val="single" w:color="auto" w:sz="4" w:space="0"/>
              <w:left w:val="single" w:color="auto" w:sz="4" w:space="0"/>
              <w:bottom w:val="single" w:color="auto" w:sz="4" w:space="0"/>
              <w:right w:val="single" w:color="auto" w:sz="4" w:space="0"/>
            </w:tcBorders>
            <w:vAlign w:val="center"/>
          </w:tcPr>
          <w:p w14:paraId="3C0C2377">
            <w:pPr>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响应性评审标准</w:t>
            </w:r>
          </w:p>
        </w:tc>
        <w:tc>
          <w:tcPr>
            <w:tcW w:w="2553" w:type="dxa"/>
            <w:tcBorders>
              <w:top w:val="single" w:color="auto" w:sz="4" w:space="0"/>
              <w:left w:val="single" w:color="auto" w:sz="4" w:space="0"/>
              <w:bottom w:val="single" w:color="auto" w:sz="4" w:space="0"/>
              <w:right w:val="single" w:color="auto" w:sz="4" w:space="0"/>
            </w:tcBorders>
            <w:vAlign w:val="center"/>
          </w:tcPr>
          <w:p w14:paraId="1B573E65">
            <w:pPr>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投标文件</w:t>
            </w:r>
          </w:p>
        </w:tc>
        <w:tc>
          <w:tcPr>
            <w:tcW w:w="5489" w:type="dxa"/>
            <w:tcBorders>
              <w:top w:val="single" w:color="auto" w:sz="4" w:space="0"/>
              <w:left w:val="single" w:color="auto" w:sz="4" w:space="0"/>
              <w:bottom w:val="single" w:color="auto" w:sz="4" w:space="0"/>
              <w:right w:val="single" w:color="auto" w:sz="4" w:space="0"/>
            </w:tcBorders>
            <w:vAlign w:val="center"/>
          </w:tcPr>
          <w:p w14:paraId="1B7C3669">
            <w:pPr>
              <w:spacing w:line="276" w:lineRule="auto"/>
              <w:rPr>
                <w:rFonts w:ascii="宋体" w:hAnsi="宋体" w:eastAsia="宋体"/>
                <w:color w:val="auto"/>
                <w:sz w:val="24"/>
                <w:szCs w:val="24"/>
                <w:highlight w:val="none"/>
              </w:rPr>
            </w:pPr>
            <w:r>
              <w:rPr>
                <w:rFonts w:hint="eastAsia" w:ascii="宋体" w:hAnsi="宋体" w:eastAsia="宋体"/>
                <w:color w:val="auto"/>
                <w:sz w:val="24"/>
                <w:szCs w:val="24"/>
                <w:highlight w:val="none"/>
              </w:rPr>
              <w:t>投标文件所列投标人名称与投标登记时一致；</w:t>
            </w:r>
          </w:p>
        </w:tc>
      </w:tr>
      <w:tr w14:paraId="1A1308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002" w:type="dxa"/>
            <w:gridSpan w:val="2"/>
            <w:vMerge w:val="continue"/>
            <w:tcBorders>
              <w:top w:val="single" w:color="auto" w:sz="4" w:space="0"/>
              <w:left w:val="single" w:color="auto" w:sz="4" w:space="0"/>
              <w:bottom w:val="single" w:color="auto" w:sz="4" w:space="0"/>
              <w:right w:val="single" w:color="auto" w:sz="4" w:space="0"/>
            </w:tcBorders>
            <w:vAlign w:val="center"/>
          </w:tcPr>
          <w:p w14:paraId="119D0897">
            <w:pPr>
              <w:widowControl/>
              <w:spacing w:line="276" w:lineRule="auto"/>
              <w:jc w:val="left"/>
              <w:rPr>
                <w:rFonts w:ascii="宋体" w:hAnsi="宋体" w:eastAsia="宋体"/>
                <w:color w:val="auto"/>
                <w:sz w:val="24"/>
                <w:szCs w:val="24"/>
                <w:highlight w:val="none"/>
              </w:rPr>
            </w:pPr>
          </w:p>
        </w:tc>
        <w:tc>
          <w:tcPr>
            <w:tcW w:w="1090" w:type="dxa"/>
            <w:vMerge w:val="continue"/>
            <w:tcBorders>
              <w:top w:val="single" w:color="auto" w:sz="4" w:space="0"/>
              <w:left w:val="single" w:color="auto" w:sz="4" w:space="0"/>
              <w:bottom w:val="single" w:color="auto" w:sz="4" w:space="0"/>
              <w:right w:val="single" w:color="auto" w:sz="4" w:space="0"/>
            </w:tcBorders>
            <w:vAlign w:val="center"/>
          </w:tcPr>
          <w:p w14:paraId="231ABE89">
            <w:pPr>
              <w:widowControl/>
              <w:spacing w:line="276" w:lineRule="auto"/>
              <w:jc w:val="left"/>
              <w:rPr>
                <w:rFonts w:ascii="宋体" w:hAnsi="宋体" w:eastAsia="宋体"/>
                <w:color w:val="auto"/>
                <w:sz w:val="24"/>
                <w:szCs w:val="24"/>
                <w:highlight w:val="none"/>
              </w:rPr>
            </w:pPr>
          </w:p>
        </w:tc>
        <w:tc>
          <w:tcPr>
            <w:tcW w:w="2553" w:type="dxa"/>
            <w:tcBorders>
              <w:top w:val="single" w:color="auto" w:sz="4" w:space="0"/>
              <w:left w:val="single" w:color="auto" w:sz="4" w:space="0"/>
              <w:bottom w:val="single" w:color="auto" w:sz="4" w:space="0"/>
              <w:right w:val="single" w:color="auto" w:sz="4" w:space="0"/>
            </w:tcBorders>
            <w:vAlign w:val="center"/>
          </w:tcPr>
          <w:p w14:paraId="6CF50743">
            <w:pPr>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投标报价</w:t>
            </w:r>
          </w:p>
        </w:tc>
        <w:tc>
          <w:tcPr>
            <w:tcW w:w="5489" w:type="dxa"/>
            <w:tcBorders>
              <w:top w:val="single" w:color="auto" w:sz="4" w:space="0"/>
              <w:left w:val="single" w:color="auto" w:sz="4" w:space="0"/>
              <w:bottom w:val="single" w:color="auto" w:sz="4" w:space="0"/>
              <w:right w:val="single" w:color="auto" w:sz="4" w:space="0"/>
            </w:tcBorders>
            <w:vAlign w:val="center"/>
          </w:tcPr>
          <w:p w14:paraId="5BCDE522">
            <w:pPr>
              <w:spacing w:line="276" w:lineRule="auto"/>
              <w:rPr>
                <w:rFonts w:ascii="宋体" w:hAnsi="宋体" w:eastAsia="宋体"/>
                <w:color w:val="auto"/>
                <w:sz w:val="24"/>
                <w:szCs w:val="24"/>
                <w:highlight w:val="none"/>
              </w:rPr>
            </w:pPr>
            <w:r>
              <w:rPr>
                <w:rFonts w:hint="eastAsia" w:ascii="宋体" w:hAnsi="宋体" w:eastAsia="宋体"/>
                <w:color w:val="auto"/>
                <w:sz w:val="24"/>
                <w:szCs w:val="24"/>
                <w:highlight w:val="none"/>
              </w:rPr>
              <w:t>符合第二章</w:t>
            </w:r>
            <w:r>
              <w:rPr>
                <w:rFonts w:ascii="宋体" w:hAnsi="宋体" w:eastAsia="宋体"/>
                <w:color w:val="auto"/>
                <w:sz w:val="24"/>
                <w:szCs w:val="24"/>
                <w:highlight w:val="none"/>
              </w:rPr>
              <w:t>“</w:t>
            </w:r>
            <w:r>
              <w:rPr>
                <w:rFonts w:hint="eastAsia" w:ascii="宋体" w:hAnsi="宋体" w:eastAsia="宋体"/>
                <w:color w:val="auto"/>
                <w:sz w:val="24"/>
                <w:szCs w:val="24"/>
                <w:highlight w:val="none"/>
              </w:rPr>
              <w:t>投标人须知</w:t>
            </w:r>
            <w:r>
              <w:rPr>
                <w:rFonts w:ascii="宋体" w:hAnsi="宋体" w:eastAsia="宋体"/>
                <w:color w:val="auto"/>
                <w:sz w:val="24"/>
                <w:szCs w:val="24"/>
                <w:highlight w:val="none"/>
              </w:rPr>
              <w:t>”</w:t>
            </w:r>
            <w:r>
              <w:rPr>
                <w:rFonts w:hint="eastAsia" w:ascii="宋体" w:hAnsi="宋体" w:eastAsia="宋体"/>
                <w:color w:val="auto"/>
                <w:sz w:val="24"/>
                <w:szCs w:val="24"/>
                <w:highlight w:val="none"/>
              </w:rPr>
              <w:t>第</w:t>
            </w:r>
            <w:r>
              <w:rPr>
                <w:rFonts w:ascii="宋体" w:hAnsi="宋体" w:eastAsia="宋体"/>
                <w:color w:val="auto"/>
                <w:sz w:val="24"/>
                <w:szCs w:val="24"/>
                <w:highlight w:val="none"/>
              </w:rPr>
              <w:t>3.2</w:t>
            </w:r>
            <w:r>
              <w:rPr>
                <w:rFonts w:hint="eastAsia" w:ascii="宋体" w:hAnsi="宋体" w:eastAsia="宋体"/>
                <w:color w:val="auto"/>
                <w:sz w:val="24"/>
                <w:szCs w:val="24"/>
                <w:highlight w:val="none"/>
              </w:rPr>
              <w:t>款规定</w:t>
            </w:r>
            <w:r>
              <w:rPr>
                <w:rFonts w:hint="eastAsia" w:ascii="宋体" w:hAnsi="宋体" w:eastAsia="宋体"/>
                <w:color w:val="auto"/>
                <w:sz w:val="24"/>
                <w:szCs w:val="24"/>
                <w:highlight w:val="none"/>
                <w:u w:val="single"/>
              </w:rPr>
              <w:t>，对同一招标项目没有出现：两个或以上的投标报价，且修正无依据</w:t>
            </w:r>
            <w:r>
              <w:rPr>
                <w:rFonts w:hint="eastAsia" w:ascii="宋体" w:hAnsi="宋体" w:eastAsia="宋体"/>
                <w:color w:val="auto"/>
                <w:sz w:val="24"/>
                <w:szCs w:val="24"/>
                <w:highlight w:val="none"/>
              </w:rPr>
              <w:t>；</w:t>
            </w:r>
          </w:p>
        </w:tc>
      </w:tr>
      <w:tr w14:paraId="462947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002" w:type="dxa"/>
            <w:gridSpan w:val="2"/>
            <w:vMerge w:val="continue"/>
            <w:tcBorders>
              <w:top w:val="single" w:color="auto" w:sz="4" w:space="0"/>
              <w:left w:val="single" w:color="auto" w:sz="4" w:space="0"/>
              <w:bottom w:val="single" w:color="auto" w:sz="4" w:space="0"/>
              <w:right w:val="single" w:color="auto" w:sz="4" w:space="0"/>
            </w:tcBorders>
            <w:vAlign w:val="center"/>
          </w:tcPr>
          <w:p w14:paraId="7B66FE3A">
            <w:pPr>
              <w:widowControl/>
              <w:spacing w:line="276" w:lineRule="auto"/>
              <w:jc w:val="left"/>
              <w:rPr>
                <w:rFonts w:ascii="宋体" w:hAnsi="宋体" w:eastAsia="宋体"/>
                <w:color w:val="auto"/>
                <w:sz w:val="24"/>
                <w:szCs w:val="24"/>
                <w:highlight w:val="none"/>
              </w:rPr>
            </w:pPr>
          </w:p>
        </w:tc>
        <w:tc>
          <w:tcPr>
            <w:tcW w:w="1090" w:type="dxa"/>
            <w:vMerge w:val="continue"/>
            <w:tcBorders>
              <w:top w:val="single" w:color="auto" w:sz="4" w:space="0"/>
              <w:left w:val="single" w:color="auto" w:sz="4" w:space="0"/>
              <w:bottom w:val="single" w:color="auto" w:sz="4" w:space="0"/>
              <w:right w:val="single" w:color="auto" w:sz="4" w:space="0"/>
            </w:tcBorders>
            <w:vAlign w:val="center"/>
          </w:tcPr>
          <w:p w14:paraId="25DAC741">
            <w:pPr>
              <w:widowControl/>
              <w:spacing w:line="276" w:lineRule="auto"/>
              <w:jc w:val="left"/>
              <w:rPr>
                <w:rFonts w:ascii="宋体" w:hAnsi="宋体" w:eastAsia="宋体"/>
                <w:color w:val="auto"/>
                <w:sz w:val="24"/>
                <w:szCs w:val="24"/>
                <w:highlight w:val="none"/>
              </w:rPr>
            </w:pPr>
          </w:p>
        </w:tc>
        <w:tc>
          <w:tcPr>
            <w:tcW w:w="2553" w:type="dxa"/>
            <w:tcBorders>
              <w:top w:val="single" w:color="auto" w:sz="4" w:space="0"/>
              <w:left w:val="single" w:color="auto" w:sz="4" w:space="0"/>
              <w:bottom w:val="single" w:color="auto" w:sz="4" w:space="0"/>
              <w:right w:val="single" w:color="auto" w:sz="4" w:space="0"/>
            </w:tcBorders>
            <w:vAlign w:val="center"/>
          </w:tcPr>
          <w:p w14:paraId="74DFD1C0">
            <w:pPr>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投标内容</w:t>
            </w:r>
          </w:p>
        </w:tc>
        <w:tc>
          <w:tcPr>
            <w:tcW w:w="5489" w:type="dxa"/>
            <w:tcBorders>
              <w:top w:val="single" w:color="auto" w:sz="4" w:space="0"/>
              <w:left w:val="single" w:color="auto" w:sz="4" w:space="0"/>
              <w:bottom w:val="single" w:color="auto" w:sz="4" w:space="0"/>
              <w:right w:val="single" w:color="auto" w:sz="4" w:space="0"/>
            </w:tcBorders>
            <w:vAlign w:val="center"/>
          </w:tcPr>
          <w:p w14:paraId="2C06C215">
            <w:pPr>
              <w:spacing w:line="276" w:lineRule="auto"/>
              <w:rPr>
                <w:rFonts w:ascii="宋体" w:hAnsi="宋体" w:eastAsia="宋体"/>
                <w:color w:val="auto"/>
                <w:sz w:val="24"/>
                <w:szCs w:val="24"/>
                <w:highlight w:val="none"/>
              </w:rPr>
            </w:pPr>
            <w:r>
              <w:rPr>
                <w:rFonts w:hint="eastAsia" w:ascii="宋体" w:hAnsi="宋体" w:eastAsia="宋体"/>
                <w:color w:val="auto"/>
                <w:sz w:val="24"/>
                <w:szCs w:val="24"/>
                <w:highlight w:val="none"/>
              </w:rPr>
              <w:t>符合第二章“投标人须知”第1.3.1项规定；</w:t>
            </w:r>
          </w:p>
        </w:tc>
      </w:tr>
      <w:tr w14:paraId="3F9380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002" w:type="dxa"/>
            <w:gridSpan w:val="2"/>
            <w:vMerge w:val="continue"/>
            <w:tcBorders>
              <w:top w:val="single" w:color="auto" w:sz="4" w:space="0"/>
              <w:left w:val="single" w:color="auto" w:sz="4" w:space="0"/>
              <w:bottom w:val="single" w:color="auto" w:sz="4" w:space="0"/>
              <w:right w:val="single" w:color="auto" w:sz="4" w:space="0"/>
            </w:tcBorders>
            <w:vAlign w:val="center"/>
          </w:tcPr>
          <w:p w14:paraId="336C1807">
            <w:pPr>
              <w:widowControl/>
              <w:spacing w:line="276" w:lineRule="auto"/>
              <w:jc w:val="left"/>
              <w:rPr>
                <w:rFonts w:ascii="宋体" w:hAnsi="宋体" w:eastAsia="宋体"/>
                <w:color w:val="auto"/>
                <w:sz w:val="24"/>
                <w:szCs w:val="24"/>
                <w:highlight w:val="none"/>
              </w:rPr>
            </w:pPr>
          </w:p>
        </w:tc>
        <w:tc>
          <w:tcPr>
            <w:tcW w:w="1090" w:type="dxa"/>
            <w:vMerge w:val="continue"/>
            <w:tcBorders>
              <w:top w:val="single" w:color="auto" w:sz="4" w:space="0"/>
              <w:left w:val="single" w:color="auto" w:sz="4" w:space="0"/>
              <w:bottom w:val="single" w:color="auto" w:sz="4" w:space="0"/>
              <w:right w:val="single" w:color="auto" w:sz="4" w:space="0"/>
            </w:tcBorders>
            <w:vAlign w:val="center"/>
          </w:tcPr>
          <w:p w14:paraId="1C1B3394">
            <w:pPr>
              <w:widowControl/>
              <w:spacing w:line="276" w:lineRule="auto"/>
              <w:jc w:val="left"/>
              <w:rPr>
                <w:rFonts w:ascii="宋体" w:hAnsi="宋体" w:eastAsia="宋体"/>
                <w:color w:val="auto"/>
                <w:sz w:val="24"/>
                <w:szCs w:val="24"/>
                <w:highlight w:val="none"/>
              </w:rPr>
            </w:pPr>
          </w:p>
        </w:tc>
        <w:tc>
          <w:tcPr>
            <w:tcW w:w="2553" w:type="dxa"/>
            <w:tcBorders>
              <w:top w:val="single" w:color="auto" w:sz="4" w:space="0"/>
              <w:left w:val="single" w:color="auto" w:sz="4" w:space="0"/>
              <w:bottom w:val="single" w:color="auto" w:sz="4" w:space="0"/>
              <w:right w:val="single" w:color="auto" w:sz="4" w:space="0"/>
            </w:tcBorders>
            <w:vAlign w:val="center"/>
          </w:tcPr>
          <w:p w14:paraId="4CFB7C68">
            <w:pPr>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监理服务期限</w:t>
            </w:r>
          </w:p>
        </w:tc>
        <w:tc>
          <w:tcPr>
            <w:tcW w:w="5489" w:type="dxa"/>
            <w:tcBorders>
              <w:top w:val="single" w:color="auto" w:sz="4" w:space="0"/>
              <w:left w:val="single" w:color="auto" w:sz="4" w:space="0"/>
              <w:bottom w:val="single" w:color="auto" w:sz="4" w:space="0"/>
              <w:right w:val="single" w:color="auto" w:sz="4" w:space="0"/>
            </w:tcBorders>
            <w:vAlign w:val="center"/>
          </w:tcPr>
          <w:p w14:paraId="77CAB668">
            <w:pPr>
              <w:spacing w:line="276" w:lineRule="auto"/>
              <w:rPr>
                <w:rFonts w:ascii="宋体" w:hAnsi="宋体" w:eastAsia="宋体"/>
                <w:color w:val="auto"/>
                <w:sz w:val="24"/>
                <w:szCs w:val="24"/>
                <w:highlight w:val="none"/>
              </w:rPr>
            </w:pPr>
            <w:r>
              <w:rPr>
                <w:rFonts w:hint="eastAsia" w:ascii="宋体" w:hAnsi="宋体" w:eastAsia="宋体"/>
                <w:color w:val="auto"/>
                <w:sz w:val="24"/>
                <w:szCs w:val="24"/>
                <w:highlight w:val="none"/>
              </w:rPr>
              <w:t>符合第二章</w:t>
            </w:r>
            <w:r>
              <w:rPr>
                <w:rFonts w:ascii="宋体" w:hAnsi="宋体" w:eastAsia="宋体"/>
                <w:color w:val="auto"/>
                <w:sz w:val="24"/>
                <w:szCs w:val="24"/>
                <w:highlight w:val="none"/>
              </w:rPr>
              <w:t>“</w:t>
            </w:r>
            <w:r>
              <w:rPr>
                <w:rFonts w:hint="eastAsia" w:ascii="宋体" w:hAnsi="宋体" w:eastAsia="宋体"/>
                <w:color w:val="auto"/>
                <w:sz w:val="24"/>
                <w:szCs w:val="24"/>
                <w:highlight w:val="none"/>
              </w:rPr>
              <w:t>投标人须知</w:t>
            </w:r>
            <w:r>
              <w:rPr>
                <w:rFonts w:ascii="宋体" w:hAnsi="宋体" w:eastAsia="宋体"/>
                <w:color w:val="auto"/>
                <w:sz w:val="24"/>
                <w:szCs w:val="24"/>
                <w:highlight w:val="none"/>
              </w:rPr>
              <w:t>”</w:t>
            </w:r>
            <w:r>
              <w:rPr>
                <w:rFonts w:hint="eastAsia" w:ascii="宋体" w:hAnsi="宋体" w:eastAsia="宋体"/>
                <w:color w:val="auto"/>
                <w:sz w:val="24"/>
                <w:szCs w:val="24"/>
                <w:highlight w:val="none"/>
              </w:rPr>
              <w:t>第</w:t>
            </w:r>
            <w:r>
              <w:rPr>
                <w:rFonts w:ascii="宋体" w:hAnsi="宋体" w:eastAsia="宋体"/>
                <w:color w:val="auto"/>
                <w:sz w:val="24"/>
                <w:szCs w:val="24"/>
                <w:highlight w:val="none"/>
              </w:rPr>
              <w:t>1.3.2</w:t>
            </w:r>
            <w:r>
              <w:rPr>
                <w:rFonts w:hint="eastAsia" w:ascii="宋体" w:hAnsi="宋体" w:eastAsia="宋体"/>
                <w:color w:val="auto"/>
                <w:sz w:val="24"/>
                <w:szCs w:val="24"/>
                <w:highlight w:val="none"/>
              </w:rPr>
              <w:t>项规定；</w:t>
            </w:r>
          </w:p>
        </w:tc>
      </w:tr>
      <w:tr w14:paraId="669620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002" w:type="dxa"/>
            <w:gridSpan w:val="2"/>
            <w:vMerge w:val="continue"/>
            <w:tcBorders>
              <w:top w:val="single" w:color="auto" w:sz="4" w:space="0"/>
              <w:left w:val="single" w:color="auto" w:sz="4" w:space="0"/>
              <w:bottom w:val="single" w:color="auto" w:sz="4" w:space="0"/>
              <w:right w:val="single" w:color="auto" w:sz="4" w:space="0"/>
            </w:tcBorders>
            <w:vAlign w:val="center"/>
          </w:tcPr>
          <w:p w14:paraId="6A833464">
            <w:pPr>
              <w:widowControl/>
              <w:spacing w:line="276" w:lineRule="auto"/>
              <w:jc w:val="left"/>
              <w:rPr>
                <w:rFonts w:ascii="宋体" w:hAnsi="宋体" w:eastAsia="宋体"/>
                <w:color w:val="auto"/>
                <w:sz w:val="24"/>
                <w:szCs w:val="24"/>
                <w:highlight w:val="none"/>
              </w:rPr>
            </w:pPr>
          </w:p>
        </w:tc>
        <w:tc>
          <w:tcPr>
            <w:tcW w:w="1090" w:type="dxa"/>
            <w:vMerge w:val="continue"/>
            <w:tcBorders>
              <w:top w:val="single" w:color="auto" w:sz="4" w:space="0"/>
              <w:left w:val="single" w:color="auto" w:sz="4" w:space="0"/>
              <w:bottom w:val="single" w:color="auto" w:sz="4" w:space="0"/>
              <w:right w:val="single" w:color="auto" w:sz="4" w:space="0"/>
            </w:tcBorders>
            <w:vAlign w:val="center"/>
          </w:tcPr>
          <w:p w14:paraId="6A3BFC6B">
            <w:pPr>
              <w:widowControl/>
              <w:spacing w:line="276" w:lineRule="auto"/>
              <w:jc w:val="left"/>
              <w:rPr>
                <w:rFonts w:ascii="宋体" w:hAnsi="宋体" w:eastAsia="宋体"/>
                <w:color w:val="auto"/>
                <w:sz w:val="24"/>
                <w:szCs w:val="24"/>
                <w:highlight w:val="none"/>
              </w:rPr>
            </w:pPr>
          </w:p>
        </w:tc>
        <w:tc>
          <w:tcPr>
            <w:tcW w:w="2553" w:type="dxa"/>
            <w:tcBorders>
              <w:top w:val="single" w:color="auto" w:sz="4" w:space="0"/>
              <w:left w:val="single" w:color="auto" w:sz="4" w:space="0"/>
              <w:bottom w:val="single" w:color="auto" w:sz="4" w:space="0"/>
              <w:right w:val="single" w:color="auto" w:sz="4" w:space="0"/>
            </w:tcBorders>
            <w:vAlign w:val="center"/>
          </w:tcPr>
          <w:p w14:paraId="7C98CEC0">
            <w:pPr>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质量标准</w:t>
            </w:r>
          </w:p>
        </w:tc>
        <w:tc>
          <w:tcPr>
            <w:tcW w:w="5489" w:type="dxa"/>
            <w:tcBorders>
              <w:top w:val="single" w:color="auto" w:sz="4" w:space="0"/>
              <w:left w:val="single" w:color="auto" w:sz="4" w:space="0"/>
              <w:bottom w:val="single" w:color="auto" w:sz="4" w:space="0"/>
              <w:right w:val="single" w:color="auto" w:sz="4" w:space="0"/>
            </w:tcBorders>
            <w:vAlign w:val="center"/>
          </w:tcPr>
          <w:p w14:paraId="04A65FB7">
            <w:pPr>
              <w:spacing w:line="276" w:lineRule="auto"/>
              <w:rPr>
                <w:rFonts w:ascii="宋体" w:hAnsi="宋体" w:eastAsia="宋体"/>
                <w:color w:val="auto"/>
                <w:sz w:val="24"/>
                <w:szCs w:val="24"/>
                <w:highlight w:val="none"/>
              </w:rPr>
            </w:pPr>
            <w:r>
              <w:rPr>
                <w:rFonts w:hint="eastAsia" w:ascii="宋体" w:hAnsi="宋体" w:eastAsia="宋体"/>
                <w:color w:val="auto"/>
                <w:sz w:val="24"/>
                <w:szCs w:val="24"/>
                <w:highlight w:val="none"/>
              </w:rPr>
              <w:t>符合第二章</w:t>
            </w:r>
            <w:r>
              <w:rPr>
                <w:rFonts w:ascii="宋体" w:hAnsi="宋体" w:eastAsia="宋体"/>
                <w:color w:val="auto"/>
                <w:sz w:val="24"/>
                <w:szCs w:val="24"/>
                <w:highlight w:val="none"/>
              </w:rPr>
              <w:t>“</w:t>
            </w:r>
            <w:r>
              <w:rPr>
                <w:rFonts w:hint="eastAsia" w:ascii="宋体" w:hAnsi="宋体" w:eastAsia="宋体"/>
                <w:color w:val="auto"/>
                <w:sz w:val="24"/>
                <w:szCs w:val="24"/>
                <w:highlight w:val="none"/>
              </w:rPr>
              <w:t>投标人须知</w:t>
            </w:r>
            <w:r>
              <w:rPr>
                <w:rFonts w:ascii="宋体" w:hAnsi="宋体" w:eastAsia="宋体"/>
                <w:color w:val="auto"/>
                <w:sz w:val="24"/>
                <w:szCs w:val="24"/>
                <w:highlight w:val="none"/>
              </w:rPr>
              <w:t>”</w:t>
            </w:r>
            <w:r>
              <w:rPr>
                <w:rFonts w:hint="eastAsia" w:ascii="宋体" w:hAnsi="宋体" w:eastAsia="宋体"/>
                <w:color w:val="auto"/>
                <w:sz w:val="24"/>
                <w:szCs w:val="24"/>
                <w:highlight w:val="none"/>
              </w:rPr>
              <w:t>第</w:t>
            </w:r>
            <w:r>
              <w:rPr>
                <w:rFonts w:ascii="宋体" w:hAnsi="宋体" w:eastAsia="宋体"/>
                <w:color w:val="auto"/>
                <w:sz w:val="24"/>
                <w:szCs w:val="24"/>
                <w:highlight w:val="none"/>
              </w:rPr>
              <w:t>1.3.3</w:t>
            </w:r>
            <w:r>
              <w:rPr>
                <w:rFonts w:hint="eastAsia" w:ascii="宋体" w:hAnsi="宋体" w:eastAsia="宋体"/>
                <w:color w:val="auto"/>
                <w:sz w:val="24"/>
                <w:szCs w:val="24"/>
                <w:highlight w:val="none"/>
              </w:rPr>
              <w:t>项规定；</w:t>
            </w:r>
          </w:p>
        </w:tc>
      </w:tr>
      <w:tr w14:paraId="48F95E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002" w:type="dxa"/>
            <w:gridSpan w:val="2"/>
            <w:vMerge w:val="continue"/>
            <w:tcBorders>
              <w:top w:val="single" w:color="auto" w:sz="4" w:space="0"/>
              <w:left w:val="single" w:color="auto" w:sz="4" w:space="0"/>
              <w:bottom w:val="single" w:color="auto" w:sz="4" w:space="0"/>
              <w:right w:val="single" w:color="auto" w:sz="4" w:space="0"/>
            </w:tcBorders>
            <w:vAlign w:val="center"/>
          </w:tcPr>
          <w:p w14:paraId="484D598C">
            <w:pPr>
              <w:widowControl/>
              <w:spacing w:line="276" w:lineRule="auto"/>
              <w:jc w:val="left"/>
              <w:rPr>
                <w:rFonts w:ascii="宋体" w:hAnsi="宋体" w:eastAsia="宋体"/>
                <w:color w:val="auto"/>
                <w:sz w:val="24"/>
                <w:szCs w:val="24"/>
                <w:highlight w:val="none"/>
              </w:rPr>
            </w:pPr>
          </w:p>
        </w:tc>
        <w:tc>
          <w:tcPr>
            <w:tcW w:w="1090" w:type="dxa"/>
            <w:vMerge w:val="continue"/>
            <w:tcBorders>
              <w:top w:val="single" w:color="auto" w:sz="4" w:space="0"/>
              <w:left w:val="single" w:color="auto" w:sz="4" w:space="0"/>
              <w:bottom w:val="single" w:color="auto" w:sz="4" w:space="0"/>
              <w:right w:val="single" w:color="auto" w:sz="4" w:space="0"/>
            </w:tcBorders>
            <w:vAlign w:val="center"/>
          </w:tcPr>
          <w:p w14:paraId="69F0326E">
            <w:pPr>
              <w:widowControl/>
              <w:spacing w:line="276" w:lineRule="auto"/>
              <w:jc w:val="left"/>
              <w:rPr>
                <w:rFonts w:ascii="宋体" w:hAnsi="宋体" w:eastAsia="宋体"/>
                <w:color w:val="auto"/>
                <w:sz w:val="24"/>
                <w:szCs w:val="24"/>
                <w:highlight w:val="none"/>
              </w:rPr>
            </w:pPr>
          </w:p>
        </w:tc>
        <w:tc>
          <w:tcPr>
            <w:tcW w:w="2553" w:type="dxa"/>
            <w:tcBorders>
              <w:top w:val="single" w:color="auto" w:sz="4" w:space="0"/>
              <w:left w:val="single" w:color="auto" w:sz="4" w:space="0"/>
              <w:bottom w:val="single" w:color="auto" w:sz="4" w:space="0"/>
              <w:right w:val="single" w:color="auto" w:sz="4" w:space="0"/>
            </w:tcBorders>
          </w:tcPr>
          <w:p w14:paraId="3E376387">
            <w:pPr>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投标有效期</w:t>
            </w:r>
          </w:p>
        </w:tc>
        <w:tc>
          <w:tcPr>
            <w:tcW w:w="5489" w:type="dxa"/>
            <w:tcBorders>
              <w:top w:val="single" w:color="auto" w:sz="4" w:space="0"/>
              <w:left w:val="single" w:color="auto" w:sz="4" w:space="0"/>
              <w:bottom w:val="single" w:color="auto" w:sz="4" w:space="0"/>
              <w:right w:val="single" w:color="auto" w:sz="4" w:space="0"/>
            </w:tcBorders>
          </w:tcPr>
          <w:p w14:paraId="776A65ED">
            <w:pPr>
              <w:spacing w:line="276" w:lineRule="auto"/>
              <w:rPr>
                <w:rFonts w:ascii="宋体" w:hAnsi="宋体" w:eastAsia="宋体"/>
                <w:color w:val="auto"/>
                <w:sz w:val="24"/>
                <w:szCs w:val="24"/>
                <w:highlight w:val="none"/>
              </w:rPr>
            </w:pPr>
            <w:r>
              <w:rPr>
                <w:rFonts w:hint="eastAsia" w:ascii="宋体" w:hAnsi="宋体" w:eastAsia="宋体"/>
                <w:color w:val="auto"/>
                <w:sz w:val="24"/>
                <w:szCs w:val="24"/>
                <w:highlight w:val="none"/>
              </w:rPr>
              <w:t>符合第二章</w:t>
            </w:r>
            <w:r>
              <w:rPr>
                <w:rFonts w:ascii="宋体" w:hAnsi="宋体" w:eastAsia="宋体"/>
                <w:color w:val="auto"/>
                <w:sz w:val="24"/>
                <w:szCs w:val="24"/>
                <w:highlight w:val="none"/>
              </w:rPr>
              <w:t>“</w:t>
            </w:r>
            <w:r>
              <w:rPr>
                <w:rFonts w:hint="eastAsia" w:ascii="宋体" w:hAnsi="宋体" w:eastAsia="宋体"/>
                <w:color w:val="auto"/>
                <w:sz w:val="24"/>
                <w:szCs w:val="24"/>
                <w:highlight w:val="none"/>
              </w:rPr>
              <w:t>投标人须知</w:t>
            </w:r>
            <w:r>
              <w:rPr>
                <w:rFonts w:ascii="宋体" w:hAnsi="宋体" w:eastAsia="宋体"/>
                <w:color w:val="auto"/>
                <w:sz w:val="24"/>
                <w:szCs w:val="24"/>
                <w:highlight w:val="none"/>
              </w:rPr>
              <w:t>”</w:t>
            </w:r>
            <w:r>
              <w:rPr>
                <w:rFonts w:hint="eastAsia" w:ascii="宋体" w:hAnsi="宋体" w:eastAsia="宋体"/>
                <w:color w:val="auto"/>
                <w:sz w:val="24"/>
                <w:szCs w:val="24"/>
                <w:highlight w:val="none"/>
              </w:rPr>
              <w:t>第</w:t>
            </w:r>
            <w:r>
              <w:rPr>
                <w:rFonts w:ascii="宋体" w:hAnsi="宋体" w:eastAsia="宋体"/>
                <w:color w:val="auto"/>
                <w:sz w:val="24"/>
                <w:szCs w:val="24"/>
                <w:highlight w:val="none"/>
              </w:rPr>
              <w:t>3.3.1</w:t>
            </w:r>
            <w:r>
              <w:rPr>
                <w:rFonts w:hint="eastAsia" w:ascii="宋体" w:hAnsi="宋体" w:eastAsia="宋体"/>
                <w:color w:val="auto"/>
                <w:sz w:val="24"/>
                <w:szCs w:val="24"/>
                <w:highlight w:val="none"/>
              </w:rPr>
              <w:t>项规定；</w:t>
            </w:r>
          </w:p>
        </w:tc>
      </w:tr>
      <w:tr w14:paraId="6EEF06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7" w:hRule="atLeast"/>
        </w:trPr>
        <w:tc>
          <w:tcPr>
            <w:tcW w:w="1002" w:type="dxa"/>
            <w:gridSpan w:val="2"/>
            <w:vMerge w:val="continue"/>
            <w:tcBorders>
              <w:top w:val="single" w:color="auto" w:sz="4" w:space="0"/>
              <w:left w:val="single" w:color="auto" w:sz="4" w:space="0"/>
              <w:bottom w:val="single" w:color="auto" w:sz="4" w:space="0"/>
              <w:right w:val="single" w:color="auto" w:sz="4" w:space="0"/>
            </w:tcBorders>
            <w:vAlign w:val="center"/>
          </w:tcPr>
          <w:p w14:paraId="2CD8FF79">
            <w:pPr>
              <w:widowControl/>
              <w:spacing w:line="276" w:lineRule="auto"/>
              <w:jc w:val="left"/>
              <w:rPr>
                <w:rFonts w:ascii="宋体" w:hAnsi="宋体" w:eastAsia="宋体"/>
                <w:color w:val="auto"/>
                <w:sz w:val="24"/>
                <w:szCs w:val="24"/>
                <w:highlight w:val="none"/>
              </w:rPr>
            </w:pPr>
          </w:p>
        </w:tc>
        <w:tc>
          <w:tcPr>
            <w:tcW w:w="1090" w:type="dxa"/>
            <w:vMerge w:val="continue"/>
            <w:tcBorders>
              <w:top w:val="single" w:color="auto" w:sz="4" w:space="0"/>
              <w:left w:val="single" w:color="auto" w:sz="4" w:space="0"/>
              <w:bottom w:val="single" w:color="auto" w:sz="4" w:space="0"/>
              <w:right w:val="single" w:color="auto" w:sz="4" w:space="0"/>
            </w:tcBorders>
            <w:vAlign w:val="center"/>
          </w:tcPr>
          <w:p w14:paraId="6EF92EFF">
            <w:pPr>
              <w:widowControl/>
              <w:spacing w:line="276" w:lineRule="auto"/>
              <w:jc w:val="left"/>
              <w:rPr>
                <w:rFonts w:ascii="宋体" w:hAnsi="宋体" w:eastAsia="宋体"/>
                <w:color w:val="auto"/>
                <w:sz w:val="24"/>
                <w:szCs w:val="24"/>
                <w:highlight w:val="none"/>
              </w:rPr>
            </w:pPr>
          </w:p>
        </w:tc>
        <w:tc>
          <w:tcPr>
            <w:tcW w:w="2553" w:type="dxa"/>
            <w:tcBorders>
              <w:top w:val="single" w:color="auto" w:sz="4" w:space="0"/>
              <w:left w:val="single" w:color="auto" w:sz="4" w:space="0"/>
              <w:bottom w:val="nil"/>
              <w:right w:val="single" w:color="auto" w:sz="4" w:space="0"/>
            </w:tcBorders>
          </w:tcPr>
          <w:p w14:paraId="3543D276">
            <w:pPr>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投标保证金</w:t>
            </w:r>
          </w:p>
        </w:tc>
        <w:tc>
          <w:tcPr>
            <w:tcW w:w="5489" w:type="dxa"/>
            <w:tcBorders>
              <w:top w:val="single" w:color="auto" w:sz="4" w:space="0"/>
              <w:left w:val="single" w:color="auto" w:sz="4" w:space="0"/>
              <w:bottom w:val="nil"/>
              <w:right w:val="single" w:color="auto" w:sz="4" w:space="0"/>
            </w:tcBorders>
          </w:tcPr>
          <w:p w14:paraId="01D85042">
            <w:pPr>
              <w:spacing w:line="276" w:lineRule="auto"/>
              <w:rPr>
                <w:rFonts w:ascii="宋体" w:hAnsi="宋体" w:eastAsia="宋体"/>
                <w:color w:val="auto"/>
                <w:sz w:val="24"/>
                <w:szCs w:val="24"/>
                <w:highlight w:val="none"/>
              </w:rPr>
            </w:pPr>
            <w:r>
              <w:rPr>
                <w:rFonts w:hint="eastAsia" w:ascii="宋体" w:hAnsi="宋体" w:eastAsia="宋体"/>
                <w:color w:val="auto"/>
                <w:sz w:val="24"/>
                <w:szCs w:val="24"/>
                <w:highlight w:val="none"/>
              </w:rPr>
              <w:t>符合第二章</w:t>
            </w:r>
            <w:r>
              <w:rPr>
                <w:rFonts w:ascii="宋体" w:hAnsi="宋体" w:eastAsia="宋体"/>
                <w:color w:val="auto"/>
                <w:sz w:val="24"/>
                <w:szCs w:val="24"/>
                <w:highlight w:val="none"/>
              </w:rPr>
              <w:t>“</w:t>
            </w:r>
            <w:r>
              <w:rPr>
                <w:rFonts w:hint="eastAsia" w:ascii="宋体" w:hAnsi="宋体" w:eastAsia="宋体"/>
                <w:color w:val="auto"/>
                <w:sz w:val="24"/>
                <w:szCs w:val="24"/>
                <w:highlight w:val="none"/>
              </w:rPr>
              <w:t>投标人须知</w:t>
            </w:r>
            <w:r>
              <w:rPr>
                <w:rFonts w:ascii="宋体" w:hAnsi="宋体" w:eastAsia="宋体"/>
                <w:color w:val="auto"/>
                <w:sz w:val="24"/>
                <w:szCs w:val="24"/>
                <w:highlight w:val="none"/>
              </w:rPr>
              <w:t>”</w:t>
            </w:r>
            <w:r>
              <w:rPr>
                <w:rFonts w:hint="eastAsia" w:ascii="宋体" w:hAnsi="宋体" w:eastAsia="宋体"/>
                <w:color w:val="auto"/>
                <w:sz w:val="24"/>
                <w:szCs w:val="24"/>
                <w:highlight w:val="none"/>
              </w:rPr>
              <w:t>第</w:t>
            </w:r>
            <w:r>
              <w:rPr>
                <w:rFonts w:ascii="宋体" w:hAnsi="宋体" w:eastAsia="宋体"/>
                <w:color w:val="auto"/>
                <w:sz w:val="24"/>
                <w:szCs w:val="24"/>
                <w:highlight w:val="none"/>
              </w:rPr>
              <w:t>3.4.1</w:t>
            </w:r>
            <w:r>
              <w:rPr>
                <w:rFonts w:hint="eastAsia" w:ascii="宋体" w:hAnsi="宋体" w:eastAsia="宋体"/>
                <w:color w:val="auto"/>
                <w:sz w:val="24"/>
                <w:szCs w:val="24"/>
                <w:highlight w:val="none"/>
              </w:rPr>
              <w:t>项规定；</w:t>
            </w:r>
          </w:p>
        </w:tc>
      </w:tr>
      <w:tr w14:paraId="46B254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7" w:hRule="atLeast"/>
        </w:trPr>
        <w:tc>
          <w:tcPr>
            <w:tcW w:w="1002" w:type="dxa"/>
            <w:gridSpan w:val="2"/>
            <w:vMerge w:val="continue"/>
            <w:tcBorders>
              <w:top w:val="single" w:color="auto" w:sz="4" w:space="0"/>
              <w:left w:val="single" w:color="auto" w:sz="4" w:space="0"/>
              <w:bottom w:val="single" w:color="auto" w:sz="4" w:space="0"/>
              <w:right w:val="single" w:color="auto" w:sz="4" w:space="0"/>
            </w:tcBorders>
            <w:vAlign w:val="center"/>
          </w:tcPr>
          <w:p w14:paraId="0DEF45D9">
            <w:pPr>
              <w:widowControl/>
              <w:spacing w:line="276" w:lineRule="auto"/>
              <w:jc w:val="left"/>
              <w:rPr>
                <w:rFonts w:ascii="宋体" w:hAnsi="宋体" w:eastAsia="宋体"/>
                <w:color w:val="auto"/>
                <w:sz w:val="24"/>
                <w:szCs w:val="24"/>
                <w:highlight w:val="none"/>
              </w:rPr>
            </w:pPr>
          </w:p>
        </w:tc>
        <w:tc>
          <w:tcPr>
            <w:tcW w:w="1090" w:type="dxa"/>
            <w:vMerge w:val="continue"/>
            <w:tcBorders>
              <w:top w:val="single" w:color="auto" w:sz="4" w:space="0"/>
              <w:left w:val="single" w:color="auto" w:sz="4" w:space="0"/>
              <w:bottom w:val="single" w:color="auto" w:sz="4" w:space="0"/>
              <w:right w:val="single" w:color="auto" w:sz="4" w:space="0"/>
            </w:tcBorders>
            <w:vAlign w:val="center"/>
          </w:tcPr>
          <w:p w14:paraId="39FBD2D6">
            <w:pPr>
              <w:widowControl/>
              <w:spacing w:line="276" w:lineRule="auto"/>
              <w:jc w:val="left"/>
              <w:rPr>
                <w:rFonts w:ascii="宋体" w:hAnsi="宋体" w:eastAsia="宋体"/>
                <w:color w:val="auto"/>
                <w:sz w:val="24"/>
                <w:szCs w:val="24"/>
                <w:highlight w:val="none"/>
              </w:rPr>
            </w:pPr>
          </w:p>
        </w:tc>
        <w:tc>
          <w:tcPr>
            <w:tcW w:w="2553" w:type="dxa"/>
            <w:tcBorders>
              <w:top w:val="single" w:color="auto" w:sz="4" w:space="0"/>
              <w:left w:val="single" w:color="auto" w:sz="4" w:space="0"/>
              <w:bottom w:val="nil"/>
              <w:right w:val="single" w:color="auto" w:sz="4" w:space="0"/>
            </w:tcBorders>
            <w:vAlign w:val="center"/>
          </w:tcPr>
          <w:p w14:paraId="1C3F28A0">
            <w:pPr>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串通投标情形</w:t>
            </w:r>
          </w:p>
        </w:tc>
        <w:tc>
          <w:tcPr>
            <w:tcW w:w="5489" w:type="dxa"/>
            <w:tcBorders>
              <w:top w:val="single" w:color="auto" w:sz="4" w:space="0"/>
              <w:left w:val="single" w:color="auto" w:sz="4" w:space="0"/>
              <w:bottom w:val="nil"/>
              <w:right w:val="single" w:color="auto" w:sz="4" w:space="0"/>
            </w:tcBorders>
          </w:tcPr>
          <w:p w14:paraId="5947AF99">
            <w:pPr>
              <w:spacing w:line="276" w:lineRule="auto"/>
              <w:rPr>
                <w:rFonts w:ascii="宋体" w:hAnsi="宋体" w:eastAsia="宋体"/>
                <w:color w:val="auto"/>
                <w:sz w:val="24"/>
                <w:szCs w:val="24"/>
                <w:highlight w:val="none"/>
              </w:rPr>
            </w:pPr>
            <w:r>
              <w:rPr>
                <w:rFonts w:hint="eastAsia" w:ascii="宋体" w:hAnsi="宋体" w:eastAsia="宋体"/>
                <w:color w:val="auto"/>
                <w:sz w:val="24"/>
                <w:szCs w:val="24"/>
                <w:highlight w:val="none"/>
              </w:rPr>
              <w:t>不存在串通投标情形（串通投标情形以《中华人民共和国招标投标法实施条例》的规定为准）。</w:t>
            </w:r>
          </w:p>
        </w:tc>
      </w:tr>
      <w:tr w14:paraId="1957BC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2092" w:type="dxa"/>
            <w:gridSpan w:val="3"/>
            <w:tcBorders>
              <w:top w:val="single" w:color="auto" w:sz="4" w:space="0"/>
              <w:left w:val="single" w:color="auto" w:sz="4" w:space="0"/>
              <w:bottom w:val="single" w:color="auto" w:sz="4" w:space="0"/>
              <w:right w:val="single" w:color="auto" w:sz="4" w:space="0"/>
            </w:tcBorders>
            <w:vAlign w:val="center"/>
          </w:tcPr>
          <w:p w14:paraId="62F64C82">
            <w:pPr>
              <w:spacing w:line="276" w:lineRule="auto"/>
              <w:jc w:val="center"/>
              <w:rPr>
                <w:rFonts w:ascii="宋体" w:hAnsi="宋体" w:eastAsia="宋体"/>
                <w:b/>
                <w:color w:val="auto"/>
                <w:sz w:val="24"/>
                <w:szCs w:val="24"/>
                <w:highlight w:val="none"/>
              </w:rPr>
            </w:pPr>
            <w:r>
              <w:rPr>
                <w:rFonts w:hint="eastAsia" w:ascii="宋体" w:hAnsi="宋体" w:eastAsia="宋体"/>
                <w:b/>
                <w:color w:val="auto"/>
                <w:sz w:val="24"/>
                <w:szCs w:val="24"/>
                <w:highlight w:val="none"/>
              </w:rPr>
              <w:t>条款号</w:t>
            </w:r>
          </w:p>
        </w:tc>
        <w:tc>
          <w:tcPr>
            <w:tcW w:w="2553" w:type="dxa"/>
            <w:tcBorders>
              <w:top w:val="single" w:color="auto" w:sz="4" w:space="0"/>
              <w:left w:val="single" w:color="auto" w:sz="4" w:space="0"/>
              <w:bottom w:val="single" w:color="auto" w:sz="4" w:space="0"/>
              <w:right w:val="single" w:color="auto" w:sz="4" w:space="0"/>
            </w:tcBorders>
            <w:vAlign w:val="center"/>
          </w:tcPr>
          <w:p w14:paraId="10377B99">
            <w:pPr>
              <w:spacing w:line="276" w:lineRule="auto"/>
              <w:jc w:val="center"/>
              <w:rPr>
                <w:rFonts w:ascii="宋体" w:hAnsi="宋体" w:eastAsia="宋体"/>
                <w:b/>
                <w:color w:val="auto"/>
                <w:sz w:val="24"/>
                <w:szCs w:val="24"/>
                <w:highlight w:val="none"/>
              </w:rPr>
            </w:pPr>
            <w:r>
              <w:rPr>
                <w:rFonts w:hint="eastAsia" w:ascii="宋体" w:hAnsi="宋体" w:eastAsia="宋体"/>
                <w:b/>
                <w:color w:val="auto"/>
                <w:sz w:val="24"/>
                <w:szCs w:val="24"/>
                <w:highlight w:val="none"/>
              </w:rPr>
              <w:t>条款内容</w:t>
            </w:r>
          </w:p>
        </w:tc>
        <w:tc>
          <w:tcPr>
            <w:tcW w:w="5489" w:type="dxa"/>
            <w:tcBorders>
              <w:top w:val="single" w:color="auto" w:sz="4" w:space="0"/>
              <w:left w:val="single" w:color="auto" w:sz="4" w:space="0"/>
              <w:bottom w:val="single" w:color="auto" w:sz="4" w:space="0"/>
              <w:right w:val="single" w:color="auto" w:sz="4" w:space="0"/>
            </w:tcBorders>
            <w:vAlign w:val="center"/>
          </w:tcPr>
          <w:p w14:paraId="44BF40DA">
            <w:pPr>
              <w:spacing w:line="276" w:lineRule="auto"/>
              <w:jc w:val="center"/>
              <w:rPr>
                <w:rFonts w:ascii="宋体" w:hAnsi="宋体" w:eastAsia="宋体"/>
                <w:b/>
                <w:color w:val="auto"/>
                <w:sz w:val="24"/>
                <w:szCs w:val="24"/>
                <w:highlight w:val="none"/>
              </w:rPr>
            </w:pPr>
            <w:r>
              <w:rPr>
                <w:rFonts w:hint="eastAsia" w:ascii="宋体" w:hAnsi="宋体" w:eastAsia="宋体"/>
                <w:b/>
                <w:color w:val="auto"/>
                <w:sz w:val="24"/>
                <w:szCs w:val="24"/>
                <w:highlight w:val="none"/>
              </w:rPr>
              <w:t>编列内容</w:t>
            </w:r>
          </w:p>
        </w:tc>
      </w:tr>
      <w:tr w14:paraId="3101B7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9" w:hRule="atLeast"/>
        </w:trPr>
        <w:tc>
          <w:tcPr>
            <w:tcW w:w="2092" w:type="dxa"/>
            <w:gridSpan w:val="3"/>
            <w:tcBorders>
              <w:top w:val="nil"/>
              <w:left w:val="single" w:color="auto" w:sz="4" w:space="0"/>
              <w:bottom w:val="single" w:color="auto" w:sz="4" w:space="0"/>
              <w:right w:val="single" w:color="auto" w:sz="4" w:space="0"/>
            </w:tcBorders>
            <w:vAlign w:val="center"/>
          </w:tcPr>
          <w:p w14:paraId="2B7770B9">
            <w:pPr>
              <w:spacing w:line="276" w:lineRule="auto"/>
              <w:jc w:val="center"/>
              <w:rPr>
                <w:rFonts w:ascii="宋体" w:hAnsi="宋体" w:eastAsia="宋体"/>
                <w:color w:val="auto"/>
                <w:sz w:val="24"/>
                <w:szCs w:val="24"/>
                <w:highlight w:val="none"/>
              </w:rPr>
            </w:pPr>
            <w:r>
              <w:rPr>
                <w:rFonts w:ascii="宋体" w:hAnsi="宋体" w:eastAsia="宋体"/>
                <w:color w:val="auto"/>
                <w:sz w:val="24"/>
                <w:szCs w:val="24"/>
                <w:highlight w:val="none"/>
              </w:rPr>
              <w:t>2.2.1</w:t>
            </w:r>
          </w:p>
        </w:tc>
        <w:tc>
          <w:tcPr>
            <w:tcW w:w="2553" w:type="dxa"/>
            <w:tcBorders>
              <w:top w:val="single" w:color="auto" w:sz="4" w:space="0"/>
              <w:left w:val="single" w:color="auto" w:sz="4" w:space="0"/>
              <w:bottom w:val="single" w:color="auto" w:sz="4" w:space="0"/>
              <w:right w:val="single" w:color="auto" w:sz="4" w:space="0"/>
            </w:tcBorders>
            <w:vAlign w:val="center"/>
          </w:tcPr>
          <w:p w14:paraId="474E3BC3">
            <w:pPr>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分值构成</w:t>
            </w:r>
          </w:p>
          <w:p w14:paraId="7EF03126">
            <w:pPr>
              <w:spacing w:line="276" w:lineRule="auto"/>
              <w:jc w:val="center"/>
              <w:rPr>
                <w:rFonts w:ascii="宋体" w:hAnsi="宋体" w:eastAsia="宋体"/>
                <w:color w:val="auto"/>
                <w:sz w:val="24"/>
                <w:szCs w:val="24"/>
                <w:highlight w:val="none"/>
              </w:rPr>
            </w:pPr>
            <w:r>
              <w:rPr>
                <w:rFonts w:ascii="宋体" w:hAnsi="宋体" w:eastAsia="宋体"/>
                <w:color w:val="auto"/>
                <w:sz w:val="24"/>
                <w:szCs w:val="24"/>
                <w:highlight w:val="none"/>
              </w:rPr>
              <w:t>(</w:t>
            </w:r>
            <w:r>
              <w:rPr>
                <w:rFonts w:hint="eastAsia" w:ascii="宋体" w:hAnsi="宋体" w:eastAsia="宋体"/>
                <w:color w:val="auto"/>
                <w:sz w:val="24"/>
                <w:szCs w:val="24"/>
                <w:highlight w:val="none"/>
              </w:rPr>
              <w:t>总分</w:t>
            </w:r>
            <w:r>
              <w:rPr>
                <w:rFonts w:ascii="宋体" w:hAnsi="宋体" w:eastAsia="宋体"/>
                <w:color w:val="auto"/>
                <w:sz w:val="24"/>
                <w:szCs w:val="24"/>
                <w:highlight w:val="none"/>
              </w:rPr>
              <w:t>100</w:t>
            </w:r>
            <w:r>
              <w:rPr>
                <w:rFonts w:hint="eastAsia" w:ascii="宋体" w:hAnsi="宋体" w:eastAsia="宋体"/>
                <w:color w:val="auto"/>
                <w:sz w:val="24"/>
                <w:szCs w:val="24"/>
                <w:highlight w:val="none"/>
              </w:rPr>
              <w:t>分</w:t>
            </w:r>
            <w:r>
              <w:rPr>
                <w:rFonts w:ascii="宋体" w:hAnsi="宋体" w:eastAsia="宋体"/>
                <w:color w:val="auto"/>
                <w:sz w:val="24"/>
                <w:szCs w:val="24"/>
                <w:highlight w:val="none"/>
              </w:rPr>
              <w:t>)</w:t>
            </w:r>
          </w:p>
        </w:tc>
        <w:tc>
          <w:tcPr>
            <w:tcW w:w="5489" w:type="dxa"/>
            <w:tcBorders>
              <w:top w:val="single" w:color="auto" w:sz="4" w:space="0"/>
              <w:left w:val="single" w:color="auto" w:sz="4" w:space="0"/>
              <w:bottom w:val="single" w:color="auto" w:sz="4" w:space="0"/>
              <w:right w:val="single" w:color="auto" w:sz="4" w:space="0"/>
            </w:tcBorders>
            <w:vAlign w:val="center"/>
          </w:tcPr>
          <w:p w14:paraId="519283F5">
            <w:pPr>
              <w:spacing w:line="276" w:lineRule="auto"/>
              <w:rPr>
                <w:rFonts w:ascii="宋体" w:hAnsi="宋体" w:eastAsia="宋体"/>
                <w:color w:val="auto"/>
                <w:sz w:val="24"/>
                <w:szCs w:val="24"/>
                <w:highlight w:val="none"/>
              </w:rPr>
            </w:pPr>
            <w:r>
              <w:rPr>
                <w:rFonts w:hint="eastAsia" w:ascii="宋体" w:hAnsi="宋体" w:eastAsia="宋体"/>
                <w:color w:val="auto"/>
                <w:sz w:val="24"/>
                <w:szCs w:val="24"/>
                <w:highlight w:val="none"/>
              </w:rPr>
              <w:t>资信业绩部分：</w:t>
            </w:r>
            <w:r>
              <w:rPr>
                <w:rFonts w:hint="eastAsia" w:ascii="宋体" w:hAnsi="宋体" w:eastAsia="宋体"/>
                <w:color w:val="auto"/>
                <w:sz w:val="24"/>
                <w:szCs w:val="24"/>
                <w:highlight w:val="none"/>
                <w:u w:val="single"/>
              </w:rPr>
              <w:t>35</w:t>
            </w:r>
            <w:r>
              <w:rPr>
                <w:rFonts w:hint="eastAsia" w:ascii="宋体" w:hAnsi="宋体" w:eastAsia="宋体"/>
                <w:color w:val="auto"/>
                <w:sz w:val="24"/>
                <w:szCs w:val="24"/>
                <w:highlight w:val="none"/>
              </w:rPr>
              <w:t>分</w:t>
            </w:r>
          </w:p>
          <w:p w14:paraId="655F31D3">
            <w:pPr>
              <w:spacing w:line="276" w:lineRule="auto"/>
              <w:rPr>
                <w:rFonts w:ascii="宋体" w:hAnsi="宋体" w:eastAsia="宋体"/>
                <w:color w:val="auto"/>
                <w:sz w:val="24"/>
                <w:szCs w:val="24"/>
                <w:highlight w:val="none"/>
              </w:rPr>
            </w:pPr>
            <w:r>
              <w:rPr>
                <w:rFonts w:hint="eastAsia" w:ascii="宋体" w:hAnsi="宋体" w:eastAsia="宋体"/>
                <w:color w:val="auto"/>
                <w:sz w:val="24"/>
                <w:szCs w:val="24"/>
                <w:highlight w:val="none"/>
              </w:rPr>
              <w:t>监理大纲部分：</w:t>
            </w:r>
            <w:r>
              <w:rPr>
                <w:rFonts w:hint="eastAsia" w:ascii="宋体" w:hAnsi="宋体" w:eastAsia="宋体"/>
                <w:color w:val="auto"/>
                <w:sz w:val="24"/>
                <w:szCs w:val="24"/>
                <w:highlight w:val="none"/>
                <w:u w:val="single"/>
              </w:rPr>
              <w:t>35</w:t>
            </w:r>
            <w:r>
              <w:rPr>
                <w:rFonts w:hint="eastAsia" w:ascii="宋体" w:hAnsi="宋体" w:eastAsia="宋体"/>
                <w:color w:val="auto"/>
                <w:sz w:val="24"/>
                <w:szCs w:val="24"/>
                <w:highlight w:val="none"/>
              </w:rPr>
              <w:t>分</w:t>
            </w:r>
          </w:p>
          <w:p w14:paraId="41E7F591">
            <w:pPr>
              <w:spacing w:line="276" w:lineRule="auto"/>
              <w:rPr>
                <w:rFonts w:ascii="宋体" w:hAnsi="宋体" w:eastAsia="宋体"/>
                <w:color w:val="auto"/>
                <w:sz w:val="24"/>
                <w:szCs w:val="24"/>
                <w:highlight w:val="none"/>
              </w:rPr>
            </w:pPr>
            <w:r>
              <w:rPr>
                <w:rFonts w:hint="eastAsia" w:ascii="宋体" w:hAnsi="宋体" w:eastAsia="宋体"/>
                <w:color w:val="auto"/>
                <w:sz w:val="24"/>
                <w:szCs w:val="24"/>
                <w:highlight w:val="none"/>
              </w:rPr>
              <w:t>投标报价：</w:t>
            </w:r>
            <w:r>
              <w:rPr>
                <w:rFonts w:hint="eastAsia" w:ascii="宋体" w:hAnsi="宋体" w:eastAsia="宋体"/>
                <w:color w:val="auto"/>
                <w:sz w:val="24"/>
                <w:szCs w:val="24"/>
                <w:highlight w:val="none"/>
                <w:u w:val="single"/>
              </w:rPr>
              <w:t>30</w:t>
            </w:r>
            <w:r>
              <w:rPr>
                <w:rFonts w:hint="eastAsia" w:ascii="宋体" w:hAnsi="宋体" w:eastAsia="宋体"/>
                <w:color w:val="auto"/>
                <w:sz w:val="24"/>
                <w:szCs w:val="24"/>
                <w:highlight w:val="none"/>
              </w:rPr>
              <w:t>分</w:t>
            </w:r>
          </w:p>
          <w:p w14:paraId="296A9C16">
            <w:pPr>
              <w:spacing w:line="276" w:lineRule="auto"/>
              <w:rPr>
                <w:rFonts w:ascii="宋体" w:hAnsi="宋体" w:eastAsia="宋体"/>
                <w:color w:val="auto"/>
                <w:sz w:val="24"/>
                <w:szCs w:val="24"/>
                <w:highlight w:val="none"/>
              </w:rPr>
            </w:pPr>
            <w:r>
              <w:rPr>
                <w:rFonts w:hint="eastAsia" w:ascii="宋体" w:hAnsi="宋体" w:eastAsia="宋体"/>
                <w:color w:val="auto"/>
                <w:sz w:val="24"/>
                <w:szCs w:val="24"/>
                <w:highlight w:val="none"/>
              </w:rPr>
              <w:t>其他评分因素：</w:t>
            </w:r>
            <w:r>
              <w:rPr>
                <w:rFonts w:hint="eastAsia" w:ascii="宋体" w:hAnsi="宋体" w:eastAsia="宋体"/>
                <w:color w:val="auto"/>
                <w:sz w:val="24"/>
                <w:szCs w:val="24"/>
                <w:highlight w:val="none"/>
                <w:u w:val="single"/>
              </w:rPr>
              <w:t xml:space="preserve">  /  </w:t>
            </w:r>
          </w:p>
        </w:tc>
      </w:tr>
      <w:tr w14:paraId="341671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0" w:hRule="atLeast"/>
        </w:trPr>
        <w:tc>
          <w:tcPr>
            <w:tcW w:w="2092" w:type="dxa"/>
            <w:gridSpan w:val="3"/>
            <w:tcBorders>
              <w:top w:val="single" w:color="auto" w:sz="4" w:space="0"/>
              <w:left w:val="single" w:color="auto" w:sz="4" w:space="0"/>
              <w:bottom w:val="single" w:color="auto" w:sz="4" w:space="0"/>
              <w:right w:val="single" w:color="auto" w:sz="4" w:space="0"/>
            </w:tcBorders>
            <w:vAlign w:val="center"/>
          </w:tcPr>
          <w:p w14:paraId="4D84C0CC">
            <w:pPr>
              <w:spacing w:line="276" w:lineRule="auto"/>
              <w:jc w:val="center"/>
              <w:rPr>
                <w:rFonts w:ascii="宋体" w:hAnsi="宋体" w:eastAsia="宋体"/>
                <w:color w:val="auto"/>
                <w:sz w:val="24"/>
                <w:szCs w:val="24"/>
                <w:highlight w:val="none"/>
              </w:rPr>
            </w:pPr>
            <w:r>
              <w:rPr>
                <w:rFonts w:ascii="宋体" w:hAnsi="宋体" w:eastAsia="宋体"/>
                <w:color w:val="auto"/>
                <w:sz w:val="24"/>
                <w:szCs w:val="24"/>
                <w:highlight w:val="none"/>
              </w:rPr>
              <w:t>2.2.2</w:t>
            </w:r>
          </w:p>
        </w:tc>
        <w:tc>
          <w:tcPr>
            <w:tcW w:w="2553" w:type="dxa"/>
            <w:tcBorders>
              <w:top w:val="single" w:color="auto" w:sz="4" w:space="0"/>
              <w:left w:val="single" w:color="auto" w:sz="4" w:space="0"/>
              <w:bottom w:val="single" w:color="auto" w:sz="4" w:space="0"/>
              <w:right w:val="single" w:color="auto" w:sz="4" w:space="0"/>
            </w:tcBorders>
            <w:vAlign w:val="center"/>
          </w:tcPr>
          <w:p w14:paraId="264003A0">
            <w:pPr>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评标基准价计算方法</w:t>
            </w:r>
          </w:p>
        </w:tc>
        <w:tc>
          <w:tcPr>
            <w:tcW w:w="5489" w:type="dxa"/>
            <w:tcBorders>
              <w:top w:val="single" w:color="auto" w:sz="4" w:space="0"/>
              <w:left w:val="single" w:color="auto" w:sz="4" w:space="0"/>
              <w:bottom w:val="single" w:color="auto" w:sz="4" w:space="0"/>
              <w:right w:val="single" w:color="auto" w:sz="4" w:space="0"/>
            </w:tcBorders>
            <w:vAlign w:val="center"/>
          </w:tcPr>
          <w:p w14:paraId="28CFEF8B">
            <w:pPr>
              <w:spacing w:line="276" w:lineRule="auto"/>
              <w:rPr>
                <w:rFonts w:ascii="宋体" w:hAnsi="宋体" w:eastAsia="宋体"/>
                <w:color w:val="auto"/>
                <w:sz w:val="24"/>
                <w:szCs w:val="24"/>
                <w:highlight w:val="none"/>
                <w:u w:val="single"/>
              </w:rPr>
            </w:pPr>
            <w:r>
              <w:rPr>
                <w:rFonts w:hint="eastAsia" w:ascii="宋体" w:hAnsi="宋体" w:eastAsia="宋体"/>
                <w:color w:val="auto"/>
                <w:sz w:val="24"/>
                <w:szCs w:val="24"/>
                <w:highlight w:val="none"/>
                <w:u w:val="single"/>
              </w:rPr>
              <w:t>当通过初步审查的有效投标人大于5名时，去掉一个最高价和一个最低价，取余下有效投标总报价的算数平均值作为评标基准价。当通过初步审查的有效投标人小于或等于5名时，取所有入围的有效投标总报价的算术平均值作为评标基准价。(正常报价范围为[最高投标限价×80%，最高投标限价]，超过此范围的报价不参与评标基准价的计算)</w:t>
            </w:r>
          </w:p>
        </w:tc>
      </w:tr>
      <w:tr w14:paraId="5A4D44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93" w:hRule="atLeast"/>
        </w:trPr>
        <w:tc>
          <w:tcPr>
            <w:tcW w:w="209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BFC4F04">
            <w:pPr>
              <w:spacing w:line="276" w:lineRule="auto"/>
              <w:jc w:val="center"/>
              <w:rPr>
                <w:rFonts w:ascii="宋体" w:hAnsi="宋体" w:eastAsia="宋体"/>
                <w:color w:val="auto"/>
                <w:sz w:val="24"/>
                <w:szCs w:val="24"/>
                <w:highlight w:val="none"/>
              </w:rPr>
            </w:pPr>
            <w:r>
              <w:rPr>
                <w:rFonts w:ascii="宋体" w:hAnsi="宋体" w:eastAsia="宋体"/>
                <w:color w:val="auto"/>
                <w:sz w:val="24"/>
                <w:szCs w:val="24"/>
                <w:highlight w:val="none"/>
              </w:rPr>
              <w:t>2.2.3</w:t>
            </w:r>
          </w:p>
        </w:tc>
        <w:tc>
          <w:tcPr>
            <w:tcW w:w="2553" w:type="dxa"/>
            <w:tcBorders>
              <w:top w:val="single" w:color="auto" w:sz="4" w:space="0"/>
              <w:left w:val="single" w:color="auto" w:sz="4" w:space="0"/>
              <w:bottom w:val="single" w:color="auto" w:sz="4" w:space="0"/>
              <w:right w:val="single" w:color="auto" w:sz="4" w:space="0"/>
            </w:tcBorders>
            <w:shd w:val="clear" w:color="auto" w:fill="auto"/>
            <w:vAlign w:val="center"/>
          </w:tcPr>
          <w:p w14:paraId="0A47532B">
            <w:pPr>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投标报价的偏差率</w:t>
            </w:r>
          </w:p>
          <w:p w14:paraId="77841213">
            <w:pPr>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计算公式</w:t>
            </w:r>
          </w:p>
        </w:tc>
        <w:tc>
          <w:tcPr>
            <w:tcW w:w="5489" w:type="dxa"/>
            <w:tcBorders>
              <w:top w:val="single" w:color="auto" w:sz="4" w:space="0"/>
              <w:left w:val="single" w:color="auto" w:sz="4" w:space="0"/>
              <w:bottom w:val="single" w:color="auto" w:sz="4" w:space="0"/>
              <w:right w:val="single" w:color="auto" w:sz="4" w:space="0"/>
            </w:tcBorders>
            <w:shd w:val="clear" w:color="auto" w:fill="auto"/>
            <w:vAlign w:val="center"/>
          </w:tcPr>
          <w:p w14:paraId="7AAD1A90">
            <w:pPr>
              <w:spacing w:line="276" w:lineRule="auto"/>
              <w:rPr>
                <w:rFonts w:ascii="宋体" w:hAnsi="宋体" w:eastAsia="宋体"/>
                <w:b/>
                <w:color w:val="auto"/>
                <w:sz w:val="24"/>
                <w:szCs w:val="24"/>
                <w:highlight w:val="none"/>
                <w:u w:val="single"/>
              </w:rPr>
            </w:pPr>
            <w:r>
              <w:rPr>
                <w:rFonts w:hint="eastAsia" w:ascii="宋体" w:hAnsi="宋体" w:eastAsia="宋体" w:cs="宋体"/>
                <w:color w:val="auto"/>
                <w:sz w:val="24"/>
                <w:szCs w:val="24"/>
                <w:highlight w:val="none"/>
                <w:u w:val="single"/>
              </w:rPr>
              <w:t>偏差率</w:t>
            </w:r>
            <w:r>
              <w:rPr>
                <w:rFonts w:ascii="宋体" w:hAnsi="宋体" w:eastAsia="宋体"/>
                <w:color w:val="auto"/>
                <w:sz w:val="24"/>
                <w:szCs w:val="24"/>
                <w:highlight w:val="none"/>
                <w:u w:val="single"/>
              </w:rPr>
              <w:t>=100% ×|</w:t>
            </w:r>
            <w:r>
              <w:rPr>
                <w:rFonts w:hint="eastAsia" w:ascii="宋体" w:hAnsi="宋体" w:eastAsia="宋体" w:cs="宋体"/>
                <w:color w:val="auto"/>
                <w:sz w:val="24"/>
                <w:szCs w:val="24"/>
                <w:highlight w:val="none"/>
                <w:u w:val="single"/>
              </w:rPr>
              <w:t>（投标人有效投标报价-评标基准价）|</w:t>
            </w:r>
            <w:r>
              <w:rPr>
                <w:rFonts w:ascii="宋体" w:hAnsi="宋体" w:eastAsia="宋体"/>
                <w:color w:val="auto"/>
                <w:sz w:val="24"/>
                <w:szCs w:val="24"/>
                <w:highlight w:val="none"/>
                <w:u w:val="single"/>
              </w:rPr>
              <w:t>/</w:t>
            </w:r>
            <w:r>
              <w:rPr>
                <w:rFonts w:hint="eastAsia" w:ascii="宋体" w:hAnsi="宋体" w:eastAsia="宋体" w:cs="宋体"/>
                <w:color w:val="auto"/>
                <w:sz w:val="24"/>
                <w:szCs w:val="24"/>
                <w:highlight w:val="none"/>
                <w:u w:val="single"/>
              </w:rPr>
              <w:t>评标基准价（偏差率以四舍五入保留1位小数点，报价偏差率不足1%的，按直线内插法计算投标报价得分）</w:t>
            </w:r>
          </w:p>
        </w:tc>
      </w:tr>
      <w:tr w14:paraId="42510B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6" w:type="dxa"/>
            <w:vMerge w:val="restart"/>
            <w:tcBorders>
              <w:left w:val="single" w:color="auto" w:sz="4" w:space="0"/>
              <w:right w:val="single" w:color="auto" w:sz="4" w:space="0"/>
            </w:tcBorders>
            <w:shd w:val="clear" w:color="auto" w:fill="auto"/>
            <w:vAlign w:val="center"/>
          </w:tcPr>
          <w:p w14:paraId="435E9645">
            <w:pPr>
              <w:widowControl/>
              <w:spacing w:line="276" w:lineRule="auto"/>
              <w:jc w:val="left"/>
              <w:rPr>
                <w:rFonts w:ascii="宋体" w:hAnsi="宋体" w:eastAsia="宋体" w:cs="楷体"/>
                <w:color w:val="auto"/>
                <w:kern w:val="0"/>
                <w:sz w:val="24"/>
                <w:szCs w:val="24"/>
                <w:highlight w:val="none"/>
              </w:rPr>
            </w:pPr>
            <w:r>
              <w:rPr>
                <w:rFonts w:hint="eastAsia" w:ascii="宋体" w:hAnsi="宋体" w:eastAsia="宋体" w:cs="楷体"/>
                <w:color w:val="auto"/>
                <w:kern w:val="0"/>
                <w:sz w:val="24"/>
                <w:szCs w:val="24"/>
                <w:highlight w:val="none"/>
              </w:rPr>
              <w:t>2.2.4（1）</w:t>
            </w:r>
          </w:p>
        </w:tc>
        <w:tc>
          <w:tcPr>
            <w:tcW w:w="1276" w:type="dxa"/>
            <w:gridSpan w:val="2"/>
            <w:vMerge w:val="restart"/>
            <w:tcBorders>
              <w:left w:val="single" w:color="auto" w:sz="4" w:space="0"/>
              <w:right w:val="single" w:color="auto" w:sz="4" w:space="0"/>
            </w:tcBorders>
            <w:shd w:val="clear" w:color="auto" w:fill="auto"/>
            <w:vAlign w:val="center"/>
          </w:tcPr>
          <w:p w14:paraId="5FDBC618">
            <w:pPr>
              <w:spacing w:line="276" w:lineRule="auto"/>
              <w:jc w:val="center"/>
              <w:rPr>
                <w:rFonts w:ascii="宋体" w:hAnsi="宋体" w:eastAsia="宋体" w:cs="楷体"/>
                <w:color w:val="auto"/>
                <w:sz w:val="24"/>
                <w:szCs w:val="24"/>
                <w:highlight w:val="none"/>
              </w:rPr>
            </w:pPr>
            <w:r>
              <w:rPr>
                <w:rFonts w:hint="eastAsia" w:ascii="宋体" w:hAnsi="宋体" w:eastAsia="宋体" w:cs="楷体"/>
                <w:color w:val="auto"/>
                <w:sz w:val="24"/>
                <w:szCs w:val="24"/>
                <w:highlight w:val="none"/>
              </w:rPr>
              <w:t>资信业绩</w:t>
            </w:r>
          </w:p>
          <w:p w14:paraId="6765195F">
            <w:pPr>
              <w:spacing w:line="276" w:lineRule="auto"/>
              <w:jc w:val="center"/>
              <w:rPr>
                <w:rFonts w:ascii="宋体" w:hAnsi="宋体" w:eastAsia="宋体" w:cs="楷体"/>
                <w:color w:val="auto"/>
                <w:sz w:val="24"/>
                <w:szCs w:val="24"/>
                <w:highlight w:val="none"/>
              </w:rPr>
            </w:pPr>
            <w:r>
              <w:rPr>
                <w:rFonts w:hint="eastAsia" w:ascii="宋体" w:hAnsi="宋体" w:eastAsia="宋体" w:cs="楷体"/>
                <w:color w:val="auto"/>
                <w:sz w:val="24"/>
                <w:szCs w:val="24"/>
                <w:highlight w:val="none"/>
              </w:rPr>
              <w:t>部分</w:t>
            </w:r>
          </w:p>
          <w:p w14:paraId="15C5241D">
            <w:pPr>
              <w:spacing w:line="276" w:lineRule="auto"/>
              <w:jc w:val="center"/>
              <w:rPr>
                <w:rFonts w:ascii="宋体" w:hAnsi="宋体" w:eastAsia="宋体" w:cs="楷体"/>
                <w:color w:val="auto"/>
                <w:sz w:val="24"/>
                <w:szCs w:val="24"/>
                <w:highlight w:val="none"/>
              </w:rPr>
            </w:pPr>
            <w:r>
              <w:rPr>
                <w:rFonts w:hint="eastAsia" w:ascii="宋体" w:hAnsi="宋体" w:eastAsia="宋体" w:cs="楷体"/>
                <w:color w:val="auto"/>
                <w:sz w:val="24"/>
                <w:szCs w:val="24"/>
                <w:highlight w:val="none"/>
              </w:rPr>
              <w:t>（35分）</w:t>
            </w:r>
          </w:p>
        </w:tc>
        <w:tc>
          <w:tcPr>
            <w:tcW w:w="2553" w:type="dxa"/>
            <w:vMerge w:val="restart"/>
            <w:tcBorders>
              <w:top w:val="single" w:color="auto" w:sz="4" w:space="0"/>
              <w:left w:val="single" w:color="auto" w:sz="4" w:space="0"/>
              <w:right w:val="single" w:color="auto" w:sz="4" w:space="0"/>
            </w:tcBorders>
            <w:shd w:val="clear" w:color="auto" w:fill="auto"/>
            <w:vAlign w:val="center"/>
          </w:tcPr>
          <w:p w14:paraId="62E9BDF6">
            <w:pPr>
              <w:spacing w:line="276" w:lineRule="auto"/>
              <w:jc w:val="center"/>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企业业绩（3）</w:t>
            </w:r>
          </w:p>
        </w:tc>
        <w:tc>
          <w:tcPr>
            <w:tcW w:w="5489" w:type="dxa"/>
            <w:tcBorders>
              <w:top w:val="single" w:color="auto" w:sz="4" w:space="0"/>
              <w:left w:val="single" w:color="auto" w:sz="4" w:space="0"/>
              <w:right w:val="single" w:color="auto" w:sz="4" w:space="0"/>
            </w:tcBorders>
            <w:shd w:val="clear" w:color="auto" w:fill="auto"/>
            <w:vAlign w:val="center"/>
          </w:tcPr>
          <w:p w14:paraId="0EEB7B35">
            <w:pPr>
              <w:spacing w:line="276" w:lineRule="auto"/>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自2022年1月1日至今独立完成过质量合格的设计压力≥4.0MPa</w:t>
            </w:r>
            <w:r>
              <w:rPr>
                <w:rFonts w:hint="eastAsia" w:ascii="宋体" w:hAnsi="宋体" w:eastAsia="宋体"/>
                <w:color w:val="auto"/>
                <w:sz w:val="24"/>
                <w:szCs w:val="24"/>
                <w:highlight w:val="none"/>
                <w:lang w:val="en-US" w:eastAsia="zh-CN"/>
              </w:rPr>
              <w:t>且长度</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1公里</w:t>
            </w:r>
            <w:r>
              <w:rPr>
                <w:rFonts w:hint="eastAsia" w:ascii="宋体" w:hAnsi="宋体" w:eastAsia="宋体"/>
                <w:color w:val="auto"/>
                <w:sz w:val="24"/>
                <w:szCs w:val="24"/>
                <w:highlight w:val="none"/>
              </w:rPr>
              <w:t>的</w:t>
            </w:r>
            <w:r>
              <w:rPr>
                <w:rFonts w:hint="eastAsia" w:ascii="宋体" w:hAnsi="宋体" w:eastAsia="宋体"/>
                <w:color w:val="auto"/>
                <w:sz w:val="24"/>
                <w:szCs w:val="24"/>
                <w:highlight w:val="none"/>
                <w:lang w:val="en-US" w:eastAsia="zh-CN"/>
              </w:rPr>
              <w:t>天然气</w:t>
            </w:r>
            <w:r>
              <w:rPr>
                <w:rFonts w:hint="eastAsia" w:ascii="宋体" w:hAnsi="宋体" w:eastAsia="宋体"/>
                <w:color w:val="auto"/>
                <w:sz w:val="24"/>
                <w:szCs w:val="24"/>
                <w:highlight w:val="none"/>
              </w:rPr>
              <w:t>管道工程监理业绩，每项得1分，最多得3分。（以竣工或完工验收时间为准）</w:t>
            </w:r>
          </w:p>
        </w:tc>
      </w:tr>
      <w:tr w14:paraId="5440D1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16" w:type="dxa"/>
            <w:vMerge w:val="continue"/>
            <w:tcBorders>
              <w:left w:val="single" w:color="auto" w:sz="4" w:space="0"/>
              <w:right w:val="single" w:color="auto" w:sz="4" w:space="0"/>
            </w:tcBorders>
            <w:shd w:val="clear" w:color="auto" w:fill="auto"/>
            <w:vAlign w:val="center"/>
          </w:tcPr>
          <w:p w14:paraId="03F94827">
            <w:pPr>
              <w:widowControl/>
              <w:spacing w:line="276" w:lineRule="auto"/>
              <w:jc w:val="left"/>
              <w:rPr>
                <w:rFonts w:ascii="宋体" w:hAnsi="宋体" w:eastAsia="宋体" w:cs="楷体"/>
                <w:color w:val="auto"/>
                <w:kern w:val="0"/>
                <w:sz w:val="24"/>
                <w:szCs w:val="24"/>
                <w:highlight w:val="none"/>
              </w:rPr>
            </w:pPr>
          </w:p>
        </w:tc>
        <w:tc>
          <w:tcPr>
            <w:tcW w:w="1276" w:type="dxa"/>
            <w:gridSpan w:val="2"/>
            <w:vMerge w:val="continue"/>
            <w:tcBorders>
              <w:left w:val="single" w:color="auto" w:sz="4" w:space="0"/>
              <w:right w:val="single" w:color="auto" w:sz="4" w:space="0"/>
            </w:tcBorders>
            <w:shd w:val="clear" w:color="auto" w:fill="auto"/>
            <w:vAlign w:val="center"/>
          </w:tcPr>
          <w:p w14:paraId="5FF3D80F">
            <w:pPr>
              <w:widowControl/>
              <w:spacing w:line="276" w:lineRule="auto"/>
              <w:jc w:val="left"/>
              <w:rPr>
                <w:rFonts w:ascii="宋体" w:hAnsi="宋体" w:eastAsia="宋体" w:cs="楷体"/>
                <w:color w:val="auto"/>
                <w:sz w:val="24"/>
                <w:szCs w:val="24"/>
                <w:highlight w:val="none"/>
              </w:rPr>
            </w:pPr>
          </w:p>
        </w:tc>
        <w:tc>
          <w:tcPr>
            <w:tcW w:w="2553" w:type="dxa"/>
            <w:vMerge w:val="restart"/>
            <w:tcBorders>
              <w:top w:val="single" w:color="auto" w:sz="4" w:space="0"/>
              <w:left w:val="single" w:color="auto" w:sz="4" w:space="0"/>
              <w:right w:val="single" w:color="auto" w:sz="4" w:space="0"/>
            </w:tcBorders>
            <w:shd w:val="clear" w:color="auto" w:fill="auto"/>
            <w:vAlign w:val="center"/>
          </w:tcPr>
          <w:p w14:paraId="572AD2BA">
            <w:pPr>
              <w:spacing w:line="276" w:lineRule="auto"/>
              <w:jc w:val="center"/>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总监理工程师资历和业绩（12）</w:t>
            </w:r>
          </w:p>
        </w:tc>
        <w:tc>
          <w:tcPr>
            <w:tcW w:w="5489" w:type="dxa"/>
            <w:tcBorders>
              <w:top w:val="single" w:color="auto" w:sz="4" w:space="0"/>
              <w:left w:val="single" w:color="auto" w:sz="4" w:space="0"/>
              <w:right w:val="single" w:color="auto" w:sz="4" w:space="0"/>
            </w:tcBorders>
            <w:shd w:val="clear" w:color="auto" w:fill="auto"/>
            <w:vAlign w:val="center"/>
          </w:tcPr>
          <w:p w14:paraId="62958BD7">
            <w:pPr>
              <w:spacing w:line="276" w:lineRule="auto"/>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具备</w:t>
            </w:r>
            <w:r>
              <w:rPr>
                <w:rFonts w:hint="eastAsia" w:ascii="宋体" w:hAnsi="宋体" w:eastAsia="宋体"/>
                <w:color w:val="auto"/>
                <w:sz w:val="24"/>
                <w:szCs w:val="24"/>
                <w:highlight w:val="none"/>
                <w:lang w:val="en-US" w:eastAsia="zh-CN"/>
              </w:rPr>
              <w:t>高</w:t>
            </w:r>
            <w:r>
              <w:rPr>
                <w:rFonts w:hint="eastAsia" w:ascii="宋体" w:hAnsi="宋体" w:eastAsia="宋体"/>
                <w:color w:val="auto"/>
                <w:sz w:val="24"/>
                <w:szCs w:val="24"/>
                <w:highlight w:val="none"/>
              </w:rPr>
              <w:t>级工程师职称</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燃气工程或石油化工工程专业</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的得</w:t>
            </w:r>
            <w:r>
              <w:rPr>
                <w:rFonts w:hint="eastAsia" w:ascii="宋体" w:hAnsi="宋体" w:eastAsia="宋体"/>
                <w:color w:val="auto"/>
                <w:sz w:val="24"/>
                <w:szCs w:val="24"/>
                <w:highlight w:val="none"/>
                <w:lang w:val="en-US" w:eastAsia="zh-CN"/>
              </w:rPr>
              <w:t>3</w:t>
            </w:r>
            <w:r>
              <w:rPr>
                <w:rFonts w:hint="eastAsia" w:ascii="宋体" w:hAnsi="宋体" w:eastAsia="宋体"/>
                <w:color w:val="auto"/>
                <w:sz w:val="24"/>
                <w:szCs w:val="24"/>
                <w:highlight w:val="none"/>
              </w:rPr>
              <w:t>分</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本项最多得3分。（须提供相关证书的扫描件，不提供不得分）</w:t>
            </w:r>
          </w:p>
        </w:tc>
      </w:tr>
      <w:tr w14:paraId="215D2D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16" w:type="dxa"/>
            <w:vMerge w:val="continue"/>
            <w:tcBorders>
              <w:left w:val="single" w:color="auto" w:sz="4" w:space="0"/>
              <w:right w:val="single" w:color="auto" w:sz="4" w:space="0"/>
            </w:tcBorders>
            <w:shd w:val="clear" w:color="auto" w:fill="auto"/>
            <w:vAlign w:val="center"/>
          </w:tcPr>
          <w:p w14:paraId="6C9DB239">
            <w:pPr>
              <w:widowControl/>
              <w:spacing w:line="276" w:lineRule="auto"/>
              <w:jc w:val="left"/>
              <w:rPr>
                <w:rFonts w:ascii="宋体" w:hAnsi="宋体" w:eastAsia="宋体" w:cs="楷体"/>
                <w:color w:val="auto"/>
                <w:kern w:val="0"/>
                <w:sz w:val="24"/>
                <w:szCs w:val="24"/>
                <w:highlight w:val="none"/>
              </w:rPr>
            </w:pPr>
          </w:p>
        </w:tc>
        <w:tc>
          <w:tcPr>
            <w:tcW w:w="1276" w:type="dxa"/>
            <w:gridSpan w:val="2"/>
            <w:vMerge w:val="continue"/>
            <w:tcBorders>
              <w:left w:val="single" w:color="auto" w:sz="4" w:space="0"/>
              <w:right w:val="single" w:color="auto" w:sz="4" w:space="0"/>
            </w:tcBorders>
            <w:shd w:val="clear" w:color="auto" w:fill="auto"/>
            <w:vAlign w:val="center"/>
          </w:tcPr>
          <w:p w14:paraId="72EA29DD">
            <w:pPr>
              <w:widowControl/>
              <w:spacing w:line="276" w:lineRule="auto"/>
              <w:jc w:val="left"/>
              <w:rPr>
                <w:rFonts w:ascii="宋体" w:hAnsi="宋体" w:eastAsia="宋体" w:cs="楷体"/>
                <w:color w:val="auto"/>
                <w:sz w:val="24"/>
                <w:szCs w:val="24"/>
                <w:highlight w:val="none"/>
              </w:rPr>
            </w:pPr>
          </w:p>
        </w:tc>
        <w:tc>
          <w:tcPr>
            <w:tcW w:w="2553" w:type="dxa"/>
            <w:vMerge w:val="continue"/>
            <w:tcBorders>
              <w:top w:val="single" w:color="auto" w:sz="4" w:space="0"/>
              <w:left w:val="single" w:color="auto" w:sz="4" w:space="0"/>
              <w:right w:val="single" w:color="auto" w:sz="4" w:space="0"/>
            </w:tcBorders>
            <w:shd w:val="clear" w:color="auto" w:fill="auto"/>
            <w:vAlign w:val="center"/>
          </w:tcPr>
          <w:p w14:paraId="79BC1861">
            <w:pPr>
              <w:spacing w:line="276" w:lineRule="auto"/>
              <w:jc w:val="center"/>
              <w:rPr>
                <w:rFonts w:hint="eastAsia" w:ascii="宋体" w:hAnsi="宋体" w:eastAsia="宋体"/>
                <w:color w:val="auto"/>
                <w:sz w:val="24"/>
                <w:szCs w:val="24"/>
                <w:highlight w:val="none"/>
              </w:rPr>
            </w:pPr>
          </w:p>
        </w:tc>
        <w:tc>
          <w:tcPr>
            <w:tcW w:w="5489" w:type="dxa"/>
            <w:tcBorders>
              <w:top w:val="single" w:color="auto" w:sz="4" w:space="0"/>
              <w:left w:val="single" w:color="auto" w:sz="4" w:space="0"/>
              <w:right w:val="single" w:color="auto" w:sz="4" w:space="0"/>
            </w:tcBorders>
            <w:shd w:val="clear" w:color="auto" w:fill="auto"/>
            <w:vAlign w:val="center"/>
          </w:tcPr>
          <w:p w14:paraId="00AB5725">
            <w:pPr>
              <w:spacing w:line="276" w:lineRule="auto"/>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取得监理工程师注册执业资格证书满15年的，得3分；满10年不满15年的，得1分；其它不得分；</w:t>
            </w:r>
          </w:p>
        </w:tc>
      </w:tr>
      <w:tr w14:paraId="07579F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16" w:type="dxa"/>
            <w:vMerge w:val="continue"/>
            <w:tcBorders>
              <w:left w:val="single" w:color="auto" w:sz="4" w:space="0"/>
              <w:right w:val="single" w:color="auto" w:sz="4" w:space="0"/>
            </w:tcBorders>
            <w:shd w:val="clear" w:color="auto" w:fill="auto"/>
            <w:vAlign w:val="center"/>
          </w:tcPr>
          <w:p w14:paraId="6C262EC2">
            <w:pPr>
              <w:widowControl/>
              <w:spacing w:line="276" w:lineRule="auto"/>
              <w:jc w:val="left"/>
              <w:rPr>
                <w:rFonts w:ascii="宋体" w:hAnsi="宋体" w:eastAsia="宋体" w:cs="楷体"/>
                <w:color w:val="auto"/>
                <w:kern w:val="0"/>
                <w:sz w:val="24"/>
                <w:szCs w:val="24"/>
                <w:highlight w:val="none"/>
              </w:rPr>
            </w:pPr>
          </w:p>
        </w:tc>
        <w:tc>
          <w:tcPr>
            <w:tcW w:w="1276" w:type="dxa"/>
            <w:gridSpan w:val="2"/>
            <w:vMerge w:val="continue"/>
            <w:tcBorders>
              <w:left w:val="single" w:color="auto" w:sz="4" w:space="0"/>
              <w:right w:val="single" w:color="auto" w:sz="4" w:space="0"/>
            </w:tcBorders>
            <w:shd w:val="clear" w:color="auto" w:fill="auto"/>
            <w:vAlign w:val="center"/>
          </w:tcPr>
          <w:p w14:paraId="4A335EE1">
            <w:pPr>
              <w:spacing w:line="276" w:lineRule="auto"/>
              <w:jc w:val="center"/>
              <w:rPr>
                <w:rFonts w:ascii="宋体" w:hAnsi="宋体" w:eastAsia="宋体" w:cs="楷体"/>
                <w:color w:val="auto"/>
                <w:sz w:val="24"/>
                <w:szCs w:val="24"/>
                <w:highlight w:val="none"/>
              </w:rPr>
            </w:pPr>
          </w:p>
        </w:tc>
        <w:tc>
          <w:tcPr>
            <w:tcW w:w="25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B59A06">
            <w:pPr>
              <w:spacing w:line="276" w:lineRule="auto"/>
              <w:jc w:val="center"/>
              <w:rPr>
                <w:rFonts w:hint="eastAsia" w:ascii="宋体" w:hAnsi="宋体" w:eastAsia="宋体"/>
                <w:color w:val="auto"/>
                <w:sz w:val="24"/>
                <w:szCs w:val="24"/>
                <w:highlight w:val="none"/>
              </w:rPr>
            </w:pPr>
          </w:p>
        </w:tc>
        <w:tc>
          <w:tcPr>
            <w:tcW w:w="5489" w:type="dxa"/>
            <w:tcBorders>
              <w:top w:val="single" w:color="auto" w:sz="4" w:space="0"/>
              <w:left w:val="single" w:color="auto" w:sz="4" w:space="0"/>
              <w:bottom w:val="single" w:color="auto" w:sz="4" w:space="0"/>
              <w:right w:val="single" w:color="auto" w:sz="4" w:space="0"/>
            </w:tcBorders>
            <w:shd w:val="clear" w:color="auto" w:fill="auto"/>
            <w:vAlign w:val="center"/>
          </w:tcPr>
          <w:p w14:paraId="215D8555">
            <w:pPr>
              <w:spacing w:line="276" w:lineRule="auto"/>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2022年1月1日至今完成过质量合格的设计压力≥4.0MPa的</w:t>
            </w:r>
            <w:r>
              <w:rPr>
                <w:rFonts w:hint="eastAsia" w:ascii="宋体" w:hAnsi="宋体" w:eastAsia="宋体"/>
                <w:color w:val="auto"/>
                <w:sz w:val="24"/>
                <w:szCs w:val="24"/>
                <w:highlight w:val="none"/>
                <w:lang w:val="en-US" w:eastAsia="zh-CN"/>
              </w:rPr>
              <w:t>天然气</w:t>
            </w:r>
            <w:r>
              <w:rPr>
                <w:rFonts w:hint="eastAsia" w:ascii="宋体" w:hAnsi="宋体" w:eastAsia="宋体"/>
                <w:color w:val="auto"/>
                <w:sz w:val="24"/>
                <w:szCs w:val="24"/>
                <w:highlight w:val="none"/>
              </w:rPr>
              <w:t>管道工程监理业绩，</w:t>
            </w:r>
            <w:r>
              <w:rPr>
                <w:rFonts w:hint="eastAsia" w:ascii="宋体" w:hAnsi="宋体" w:eastAsia="宋体"/>
                <w:color w:val="auto"/>
                <w:sz w:val="24"/>
                <w:szCs w:val="24"/>
                <w:highlight w:val="none"/>
                <w:lang w:val="en-US" w:eastAsia="zh-CN"/>
              </w:rPr>
              <w:t>在工程中担任总监工作</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每项得1.5分，本项最多得3分。（以竣工或完工验收时间为准）</w:t>
            </w:r>
          </w:p>
        </w:tc>
      </w:tr>
      <w:tr w14:paraId="48177D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16" w:type="dxa"/>
            <w:vMerge w:val="continue"/>
            <w:tcBorders>
              <w:left w:val="single" w:color="auto" w:sz="4" w:space="0"/>
              <w:right w:val="single" w:color="auto" w:sz="4" w:space="0"/>
            </w:tcBorders>
            <w:shd w:val="clear" w:color="auto" w:fill="auto"/>
            <w:vAlign w:val="center"/>
          </w:tcPr>
          <w:p w14:paraId="77A299AA">
            <w:pPr>
              <w:widowControl/>
              <w:spacing w:line="276" w:lineRule="auto"/>
              <w:jc w:val="left"/>
              <w:rPr>
                <w:rFonts w:ascii="宋体" w:hAnsi="宋体" w:eastAsia="宋体" w:cs="楷体"/>
                <w:color w:val="auto"/>
                <w:kern w:val="0"/>
                <w:sz w:val="24"/>
                <w:szCs w:val="24"/>
                <w:highlight w:val="none"/>
              </w:rPr>
            </w:pPr>
          </w:p>
        </w:tc>
        <w:tc>
          <w:tcPr>
            <w:tcW w:w="1276" w:type="dxa"/>
            <w:gridSpan w:val="2"/>
            <w:vMerge w:val="continue"/>
            <w:tcBorders>
              <w:left w:val="single" w:color="auto" w:sz="4" w:space="0"/>
              <w:right w:val="single" w:color="auto" w:sz="4" w:space="0"/>
            </w:tcBorders>
            <w:shd w:val="clear" w:color="auto" w:fill="auto"/>
            <w:vAlign w:val="center"/>
          </w:tcPr>
          <w:p w14:paraId="783800BD">
            <w:pPr>
              <w:spacing w:line="276" w:lineRule="auto"/>
              <w:jc w:val="center"/>
              <w:rPr>
                <w:rFonts w:ascii="宋体" w:hAnsi="宋体" w:eastAsia="宋体" w:cs="楷体"/>
                <w:color w:val="auto"/>
                <w:sz w:val="24"/>
                <w:szCs w:val="24"/>
                <w:highlight w:val="none"/>
              </w:rPr>
            </w:pPr>
          </w:p>
        </w:tc>
        <w:tc>
          <w:tcPr>
            <w:tcW w:w="25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543BBD">
            <w:pPr>
              <w:spacing w:line="276" w:lineRule="auto"/>
              <w:jc w:val="center"/>
              <w:rPr>
                <w:rFonts w:hint="eastAsia" w:ascii="宋体" w:hAnsi="宋体" w:eastAsia="宋体"/>
                <w:color w:val="auto"/>
                <w:sz w:val="24"/>
                <w:szCs w:val="24"/>
                <w:highlight w:val="none"/>
              </w:rPr>
            </w:pPr>
          </w:p>
        </w:tc>
        <w:tc>
          <w:tcPr>
            <w:tcW w:w="5489" w:type="dxa"/>
            <w:tcBorders>
              <w:top w:val="single" w:color="auto" w:sz="4" w:space="0"/>
              <w:left w:val="single" w:color="auto" w:sz="4" w:space="0"/>
              <w:bottom w:val="single" w:color="auto" w:sz="4" w:space="0"/>
              <w:right w:val="single" w:color="auto" w:sz="4" w:space="0"/>
            </w:tcBorders>
            <w:shd w:val="clear" w:color="auto" w:fill="auto"/>
            <w:vAlign w:val="center"/>
          </w:tcPr>
          <w:p w14:paraId="337071D0">
            <w:pPr>
              <w:spacing w:line="276" w:lineRule="auto"/>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具有投标人企业注册一级造价师、注册一级建造师、注册安全工程师等注册执业证书的，每具有一项得1分，最高得3分，未提供的不得分。</w:t>
            </w:r>
          </w:p>
        </w:tc>
      </w:tr>
      <w:tr w14:paraId="5FAA5E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16" w:type="dxa"/>
            <w:vMerge w:val="continue"/>
            <w:tcBorders>
              <w:left w:val="single" w:color="auto" w:sz="4" w:space="0"/>
              <w:right w:val="single" w:color="auto" w:sz="4" w:space="0"/>
            </w:tcBorders>
            <w:shd w:val="clear" w:color="auto" w:fill="auto"/>
            <w:vAlign w:val="center"/>
          </w:tcPr>
          <w:p w14:paraId="5F5387F0">
            <w:pPr>
              <w:spacing w:line="276" w:lineRule="auto"/>
              <w:jc w:val="left"/>
              <w:rPr>
                <w:color w:val="auto"/>
                <w:highlight w:val="none"/>
              </w:rPr>
            </w:pPr>
          </w:p>
        </w:tc>
        <w:tc>
          <w:tcPr>
            <w:tcW w:w="1276" w:type="dxa"/>
            <w:gridSpan w:val="2"/>
            <w:vMerge w:val="continue"/>
            <w:tcBorders>
              <w:left w:val="single" w:color="auto" w:sz="4" w:space="0"/>
              <w:right w:val="single" w:color="auto" w:sz="4" w:space="0"/>
            </w:tcBorders>
            <w:shd w:val="clear" w:color="auto" w:fill="auto"/>
            <w:vAlign w:val="center"/>
          </w:tcPr>
          <w:p w14:paraId="6DAE6E27">
            <w:pPr>
              <w:spacing w:line="276" w:lineRule="auto"/>
              <w:jc w:val="left"/>
              <w:rPr>
                <w:color w:val="auto"/>
                <w:highlight w:val="none"/>
              </w:rPr>
            </w:pPr>
          </w:p>
        </w:tc>
        <w:tc>
          <w:tcPr>
            <w:tcW w:w="2553" w:type="dxa"/>
            <w:vMerge w:val="continue"/>
            <w:tcBorders>
              <w:left w:val="single" w:color="auto" w:sz="4" w:space="0"/>
              <w:bottom w:val="single" w:color="auto" w:sz="4" w:space="0"/>
              <w:right w:val="single" w:color="auto" w:sz="4" w:space="0"/>
            </w:tcBorders>
            <w:shd w:val="clear" w:color="auto" w:fill="auto"/>
            <w:vAlign w:val="center"/>
          </w:tcPr>
          <w:p w14:paraId="6C8B8E46">
            <w:pPr>
              <w:spacing w:line="276" w:lineRule="auto"/>
              <w:jc w:val="left"/>
              <w:rPr>
                <w:color w:val="auto"/>
                <w:highlight w:val="none"/>
              </w:rPr>
            </w:pPr>
          </w:p>
        </w:tc>
        <w:tc>
          <w:tcPr>
            <w:tcW w:w="5489" w:type="dxa"/>
            <w:tcBorders>
              <w:top w:val="single" w:color="auto" w:sz="4" w:space="0"/>
              <w:left w:val="single" w:color="auto" w:sz="4" w:space="0"/>
              <w:bottom w:val="single" w:color="auto" w:sz="4" w:space="0"/>
              <w:right w:val="single" w:color="auto" w:sz="4" w:space="0"/>
            </w:tcBorders>
            <w:shd w:val="clear" w:color="auto" w:fill="auto"/>
            <w:vAlign w:val="center"/>
          </w:tcPr>
          <w:p w14:paraId="770AE9FA">
            <w:pPr>
              <w:spacing w:line="276" w:lineRule="auto"/>
              <w:jc w:val="left"/>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注：</w:t>
            </w:r>
            <w:r>
              <w:rPr>
                <w:rFonts w:hint="eastAsia" w:ascii="宋体" w:hAnsi="宋体" w:eastAsia="宋体"/>
                <w:color w:val="auto"/>
                <w:sz w:val="24"/>
                <w:szCs w:val="24"/>
                <w:highlight w:val="none"/>
                <w:lang w:val="en-US" w:eastAsia="zh-CN"/>
              </w:rPr>
              <w:t>投标人需</w:t>
            </w:r>
            <w:r>
              <w:rPr>
                <w:rFonts w:hint="eastAsia" w:ascii="宋体" w:hAnsi="宋体" w:eastAsia="宋体"/>
                <w:color w:val="auto"/>
                <w:sz w:val="24"/>
                <w:szCs w:val="24"/>
                <w:highlight w:val="none"/>
              </w:rPr>
              <w:t>提供</w:t>
            </w:r>
            <w:r>
              <w:rPr>
                <w:rFonts w:hint="eastAsia" w:ascii="宋体" w:hAnsi="宋体" w:eastAsia="宋体"/>
                <w:color w:val="auto"/>
                <w:sz w:val="24"/>
                <w:szCs w:val="24"/>
                <w:highlight w:val="none"/>
                <w:lang w:val="en-US" w:eastAsia="zh-CN"/>
              </w:rPr>
              <w:t>总监理工程师</w:t>
            </w:r>
            <w:r>
              <w:rPr>
                <w:rFonts w:hint="eastAsia" w:ascii="宋体" w:hAnsi="宋体" w:eastAsia="宋体"/>
                <w:color w:val="auto"/>
                <w:sz w:val="24"/>
                <w:szCs w:val="24"/>
                <w:highlight w:val="none"/>
              </w:rPr>
              <w:t>相关证书复印件（加盖投标人公章）和提供近1个月（即</w:t>
            </w:r>
            <w:r>
              <w:rPr>
                <w:rFonts w:hint="eastAsia" w:ascii="宋体" w:hAnsi="宋体" w:eastAsia="宋体"/>
                <w:color w:val="auto"/>
                <w:sz w:val="24"/>
                <w:szCs w:val="24"/>
                <w:highlight w:val="none"/>
                <w:lang w:eastAsia="zh-CN"/>
              </w:rPr>
              <w:t>2025</w:t>
            </w:r>
            <w:r>
              <w:rPr>
                <w:rFonts w:hint="eastAsia" w:ascii="宋体" w:hAnsi="宋体" w:eastAsia="宋体"/>
                <w:color w:val="auto"/>
                <w:sz w:val="24"/>
                <w:szCs w:val="24"/>
                <w:highlight w:val="none"/>
              </w:rPr>
              <w:t>年</w:t>
            </w:r>
            <w:r>
              <w:rPr>
                <w:rFonts w:hint="eastAsia" w:ascii="宋体" w:hAnsi="宋体" w:eastAsia="宋体"/>
                <w:color w:val="auto"/>
                <w:sz w:val="24"/>
                <w:szCs w:val="24"/>
                <w:highlight w:val="none"/>
                <w:lang w:val="en-US" w:eastAsia="zh-CN"/>
              </w:rPr>
              <w:t>6</w:t>
            </w:r>
            <w:r>
              <w:rPr>
                <w:rFonts w:hint="eastAsia" w:ascii="宋体" w:hAnsi="宋体" w:eastAsia="宋体"/>
                <w:color w:val="auto"/>
                <w:sz w:val="24"/>
                <w:szCs w:val="24"/>
                <w:highlight w:val="none"/>
              </w:rPr>
              <w:t>月）在投标人单位（不含投标人的子公司或母公司）参保的社保缴纳记录证明原件扫描件。</w:t>
            </w:r>
            <w:r>
              <w:rPr>
                <w:rFonts w:ascii="宋体" w:hAnsi="宋体" w:eastAsia="宋体" w:cs="宋体"/>
                <w:color w:val="auto"/>
                <w:sz w:val="24"/>
                <w:szCs w:val="24"/>
                <w:highlight w:val="none"/>
              </w:rPr>
              <w:t>如未按要求提供上述资料，“总监理工程师资历和业绩”评分项不得分</w:t>
            </w:r>
            <w:r>
              <w:rPr>
                <w:rFonts w:hint="eastAsia" w:ascii="宋体" w:hAnsi="宋体" w:eastAsia="宋体"/>
                <w:color w:val="auto"/>
                <w:sz w:val="24"/>
                <w:szCs w:val="24"/>
                <w:highlight w:val="none"/>
                <w:lang w:eastAsia="zh-CN"/>
              </w:rPr>
              <w:t>。</w:t>
            </w:r>
          </w:p>
        </w:tc>
      </w:tr>
      <w:tr w14:paraId="16B14F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16" w:type="dxa"/>
            <w:vMerge w:val="continue"/>
            <w:tcBorders>
              <w:left w:val="single" w:color="auto" w:sz="4" w:space="0"/>
              <w:bottom w:val="single" w:color="auto" w:sz="4" w:space="0"/>
              <w:right w:val="single" w:color="auto" w:sz="4" w:space="0"/>
            </w:tcBorders>
            <w:shd w:val="clear" w:color="auto" w:fill="auto"/>
            <w:vAlign w:val="center"/>
          </w:tcPr>
          <w:p w14:paraId="162F7005">
            <w:pPr>
              <w:widowControl/>
              <w:spacing w:line="276" w:lineRule="auto"/>
              <w:jc w:val="left"/>
              <w:rPr>
                <w:rFonts w:ascii="宋体" w:hAnsi="宋体" w:eastAsia="宋体" w:cs="楷体"/>
                <w:color w:val="auto"/>
                <w:kern w:val="0"/>
                <w:sz w:val="24"/>
                <w:szCs w:val="24"/>
                <w:highlight w:val="none"/>
              </w:rPr>
            </w:pPr>
          </w:p>
        </w:tc>
        <w:tc>
          <w:tcPr>
            <w:tcW w:w="1276" w:type="dxa"/>
            <w:gridSpan w:val="2"/>
            <w:vMerge w:val="continue"/>
            <w:tcBorders>
              <w:left w:val="single" w:color="auto" w:sz="4" w:space="0"/>
              <w:bottom w:val="single" w:color="auto" w:sz="4" w:space="0"/>
              <w:right w:val="single" w:color="auto" w:sz="4" w:space="0"/>
            </w:tcBorders>
            <w:shd w:val="clear" w:color="auto" w:fill="auto"/>
            <w:vAlign w:val="center"/>
          </w:tcPr>
          <w:p w14:paraId="0C39C56D">
            <w:pPr>
              <w:spacing w:line="276" w:lineRule="auto"/>
              <w:jc w:val="center"/>
              <w:rPr>
                <w:rFonts w:ascii="宋体" w:hAnsi="宋体" w:eastAsia="宋体" w:cs="楷体"/>
                <w:color w:val="auto"/>
                <w:sz w:val="24"/>
                <w:szCs w:val="24"/>
                <w:highlight w:val="none"/>
              </w:rPr>
            </w:pPr>
          </w:p>
        </w:tc>
        <w:tc>
          <w:tcPr>
            <w:tcW w:w="2553" w:type="dxa"/>
            <w:vMerge w:val="restart"/>
            <w:tcBorders>
              <w:top w:val="single" w:color="auto" w:sz="4" w:space="0"/>
              <w:left w:val="single" w:color="auto" w:sz="4" w:space="0"/>
              <w:right w:val="single" w:color="auto" w:sz="4" w:space="0"/>
            </w:tcBorders>
            <w:shd w:val="clear" w:color="auto" w:fill="auto"/>
            <w:vAlign w:val="center"/>
          </w:tcPr>
          <w:p w14:paraId="7EBBB0D5">
            <w:pPr>
              <w:spacing w:line="276" w:lineRule="auto"/>
              <w:jc w:val="center"/>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其他主要人员资历和业绩（</w:t>
            </w:r>
            <w:r>
              <w:rPr>
                <w:rFonts w:hint="eastAsia" w:ascii="宋体" w:hAnsi="宋体" w:eastAsia="宋体"/>
                <w:color w:val="auto"/>
                <w:sz w:val="24"/>
                <w:szCs w:val="24"/>
                <w:highlight w:val="none"/>
                <w:lang w:val="en-US" w:eastAsia="zh-CN"/>
              </w:rPr>
              <w:t>20</w:t>
            </w:r>
            <w:r>
              <w:rPr>
                <w:rFonts w:hint="eastAsia" w:ascii="宋体" w:hAnsi="宋体" w:eastAsia="宋体"/>
                <w:color w:val="auto"/>
                <w:sz w:val="24"/>
                <w:szCs w:val="24"/>
                <w:highlight w:val="none"/>
              </w:rPr>
              <w:t>）</w:t>
            </w:r>
          </w:p>
        </w:tc>
        <w:tc>
          <w:tcPr>
            <w:tcW w:w="5489" w:type="dxa"/>
            <w:tcBorders>
              <w:top w:val="single" w:color="auto" w:sz="4" w:space="0"/>
              <w:left w:val="single" w:color="auto" w:sz="4" w:space="0"/>
              <w:bottom w:val="single" w:color="auto" w:sz="4" w:space="0"/>
              <w:right w:val="single" w:color="auto" w:sz="4" w:space="0"/>
            </w:tcBorders>
            <w:shd w:val="clear" w:color="auto" w:fill="auto"/>
            <w:vAlign w:val="center"/>
          </w:tcPr>
          <w:p w14:paraId="62F31E0B">
            <w:pPr>
              <w:spacing w:line="276" w:lineRule="auto"/>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1.市政专业</w:t>
            </w:r>
            <w:r>
              <w:rPr>
                <w:rFonts w:hint="eastAsia" w:ascii="宋体" w:hAnsi="宋体" w:eastAsia="宋体"/>
                <w:color w:val="auto"/>
                <w:sz w:val="24"/>
                <w:szCs w:val="24"/>
                <w:highlight w:val="none"/>
                <w:lang w:val="en-US" w:eastAsia="zh-CN"/>
              </w:rPr>
              <w:t>或石油化工专业</w:t>
            </w:r>
            <w:r>
              <w:rPr>
                <w:rFonts w:hint="eastAsia" w:ascii="宋体" w:hAnsi="宋体" w:eastAsia="宋体"/>
                <w:color w:val="auto"/>
                <w:sz w:val="24"/>
                <w:szCs w:val="24"/>
                <w:highlight w:val="none"/>
              </w:rPr>
              <w:t>监理工程师</w:t>
            </w:r>
            <w:r>
              <w:rPr>
                <w:rFonts w:hint="eastAsia" w:ascii="宋体" w:hAnsi="宋体" w:eastAsia="宋体"/>
                <w:color w:val="auto"/>
                <w:sz w:val="24"/>
                <w:szCs w:val="24"/>
                <w:highlight w:val="none"/>
                <w:lang w:val="en-US" w:eastAsia="zh-CN"/>
              </w:rPr>
              <w:t>3</w:t>
            </w:r>
            <w:r>
              <w:rPr>
                <w:rFonts w:hint="eastAsia" w:ascii="宋体" w:hAnsi="宋体" w:eastAsia="宋体"/>
                <w:color w:val="auto"/>
                <w:sz w:val="24"/>
                <w:szCs w:val="24"/>
                <w:highlight w:val="none"/>
              </w:rPr>
              <w:t>名：</w:t>
            </w:r>
          </w:p>
          <w:p w14:paraId="45CE0C0F">
            <w:pPr>
              <w:spacing w:line="276" w:lineRule="auto"/>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同时具备注册监理工程师证书（市政公用工程专业</w:t>
            </w:r>
            <w:r>
              <w:rPr>
                <w:rFonts w:hint="eastAsia" w:ascii="宋体" w:hAnsi="宋体" w:eastAsia="宋体"/>
                <w:color w:val="auto"/>
                <w:sz w:val="24"/>
                <w:szCs w:val="24"/>
                <w:highlight w:val="none"/>
                <w:lang w:val="en-US" w:eastAsia="zh-CN"/>
              </w:rPr>
              <w:t>或</w:t>
            </w:r>
            <w:r>
              <w:rPr>
                <w:rFonts w:hint="eastAsia" w:ascii="宋体" w:hAnsi="宋体" w:eastAsia="宋体"/>
                <w:color w:val="auto"/>
                <w:sz w:val="24"/>
                <w:szCs w:val="24"/>
                <w:highlight w:val="none"/>
              </w:rPr>
              <w:t>石油化工工程专业）、注册一级建造师证书（市政公用</w:t>
            </w:r>
            <w:r>
              <w:rPr>
                <w:rFonts w:hint="eastAsia" w:ascii="宋体" w:hAnsi="宋体" w:eastAsia="宋体"/>
                <w:color w:val="auto"/>
                <w:sz w:val="24"/>
                <w:szCs w:val="24"/>
                <w:highlight w:val="none"/>
                <w:lang w:val="en-US" w:eastAsia="zh-CN"/>
              </w:rPr>
              <w:t>工程或机电</w:t>
            </w:r>
            <w:r>
              <w:rPr>
                <w:rFonts w:hint="eastAsia" w:ascii="宋体" w:hAnsi="宋体" w:eastAsia="宋体"/>
                <w:color w:val="auto"/>
                <w:sz w:val="24"/>
                <w:szCs w:val="24"/>
                <w:highlight w:val="none"/>
              </w:rPr>
              <w:t>工程专业）、</w:t>
            </w:r>
            <w:r>
              <w:rPr>
                <w:rFonts w:hint="eastAsia" w:ascii="宋体" w:hAnsi="宋体" w:eastAsia="宋体"/>
                <w:color w:val="auto"/>
                <w:sz w:val="24"/>
                <w:szCs w:val="24"/>
                <w:highlight w:val="none"/>
                <w:lang w:val="en-US" w:eastAsia="zh-CN"/>
              </w:rPr>
              <w:t>市政公用</w:t>
            </w:r>
            <w:r>
              <w:rPr>
                <w:rFonts w:hint="eastAsia" w:ascii="宋体" w:hAnsi="宋体" w:eastAsia="宋体"/>
                <w:color w:val="auto"/>
                <w:sz w:val="24"/>
                <w:szCs w:val="24"/>
                <w:highlight w:val="none"/>
              </w:rPr>
              <w:t>工程</w:t>
            </w:r>
            <w:r>
              <w:rPr>
                <w:rFonts w:hint="eastAsia" w:ascii="宋体" w:hAnsi="宋体" w:eastAsia="宋体"/>
                <w:color w:val="auto"/>
                <w:sz w:val="24"/>
                <w:szCs w:val="24"/>
                <w:highlight w:val="none"/>
                <w:lang w:val="en-US" w:eastAsia="zh-CN"/>
              </w:rPr>
              <w:t>或</w:t>
            </w:r>
            <w:r>
              <w:rPr>
                <w:rFonts w:hint="eastAsia" w:ascii="宋体" w:hAnsi="宋体" w:eastAsia="宋体"/>
                <w:color w:val="auto"/>
                <w:sz w:val="24"/>
                <w:szCs w:val="24"/>
                <w:highlight w:val="none"/>
              </w:rPr>
              <w:t>石油化工类中级或以上职称三项证书的，得</w:t>
            </w:r>
            <w:r>
              <w:rPr>
                <w:rFonts w:hint="eastAsia" w:ascii="宋体" w:hAnsi="宋体" w:eastAsia="宋体"/>
                <w:color w:val="auto"/>
                <w:sz w:val="24"/>
                <w:szCs w:val="24"/>
                <w:highlight w:val="none"/>
                <w:lang w:val="en-US" w:eastAsia="zh-CN"/>
              </w:rPr>
              <w:t>2</w:t>
            </w:r>
            <w:r>
              <w:rPr>
                <w:rFonts w:hint="eastAsia" w:ascii="宋体" w:hAnsi="宋体" w:eastAsia="宋体"/>
                <w:color w:val="auto"/>
                <w:sz w:val="24"/>
                <w:szCs w:val="24"/>
                <w:highlight w:val="none"/>
              </w:rPr>
              <w:t>分</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具有注册监理工程师证书（市政公用工程专业</w:t>
            </w:r>
            <w:r>
              <w:rPr>
                <w:rFonts w:hint="eastAsia" w:ascii="宋体" w:hAnsi="宋体" w:eastAsia="宋体"/>
                <w:color w:val="auto"/>
                <w:sz w:val="24"/>
                <w:szCs w:val="24"/>
                <w:highlight w:val="none"/>
                <w:lang w:val="en-US" w:eastAsia="zh-CN"/>
              </w:rPr>
              <w:t>或</w:t>
            </w:r>
            <w:r>
              <w:rPr>
                <w:rFonts w:hint="eastAsia" w:ascii="宋体" w:hAnsi="宋体" w:eastAsia="宋体"/>
                <w:color w:val="auto"/>
                <w:sz w:val="24"/>
                <w:szCs w:val="24"/>
                <w:highlight w:val="none"/>
              </w:rPr>
              <w:t>石油化工工程专业）</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同时具有</w:t>
            </w:r>
            <w:r>
              <w:rPr>
                <w:rFonts w:hint="eastAsia" w:ascii="宋体" w:hAnsi="宋体" w:eastAsia="宋体"/>
                <w:color w:val="auto"/>
                <w:sz w:val="24"/>
                <w:szCs w:val="24"/>
                <w:highlight w:val="none"/>
              </w:rPr>
              <w:t>注册一级建造师证书（市政公用工程</w:t>
            </w:r>
            <w:r>
              <w:rPr>
                <w:rFonts w:hint="eastAsia" w:ascii="宋体" w:hAnsi="宋体" w:eastAsia="宋体"/>
                <w:color w:val="auto"/>
                <w:sz w:val="24"/>
                <w:szCs w:val="24"/>
                <w:highlight w:val="none"/>
                <w:lang w:val="en-US" w:eastAsia="zh-CN"/>
              </w:rPr>
              <w:t>或机电</w:t>
            </w:r>
            <w:r>
              <w:rPr>
                <w:rFonts w:hint="eastAsia" w:ascii="宋体" w:hAnsi="宋体" w:eastAsia="宋体"/>
                <w:color w:val="auto"/>
                <w:sz w:val="24"/>
                <w:szCs w:val="24"/>
                <w:highlight w:val="none"/>
              </w:rPr>
              <w:t>工程专业）、</w:t>
            </w:r>
            <w:r>
              <w:rPr>
                <w:rFonts w:hint="eastAsia" w:ascii="宋体" w:hAnsi="宋体" w:eastAsia="宋体"/>
                <w:color w:val="auto"/>
                <w:sz w:val="24"/>
                <w:szCs w:val="24"/>
                <w:highlight w:val="none"/>
                <w:lang w:val="en-US" w:eastAsia="zh-CN"/>
              </w:rPr>
              <w:t>市政公用</w:t>
            </w:r>
            <w:r>
              <w:rPr>
                <w:rFonts w:hint="eastAsia" w:ascii="宋体" w:hAnsi="宋体" w:eastAsia="宋体"/>
                <w:color w:val="auto"/>
                <w:sz w:val="24"/>
                <w:szCs w:val="24"/>
                <w:highlight w:val="none"/>
              </w:rPr>
              <w:t>工程</w:t>
            </w:r>
            <w:r>
              <w:rPr>
                <w:rFonts w:hint="eastAsia" w:ascii="宋体" w:hAnsi="宋体" w:eastAsia="宋体"/>
                <w:color w:val="auto"/>
                <w:sz w:val="24"/>
                <w:szCs w:val="24"/>
                <w:highlight w:val="none"/>
                <w:lang w:val="en-US" w:eastAsia="zh-CN"/>
              </w:rPr>
              <w:t>或</w:t>
            </w:r>
            <w:r>
              <w:rPr>
                <w:rFonts w:hint="eastAsia" w:ascii="宋体" w:hAnsi="宋体" w:eastAsia="宋体"/>
                <w:color w:val="auto"/>
                <w:sz w:val="24"/>
                <w:szCs w:val="24"/>
                <w:highlight w:val="none"/>
              </w:rPr>
              <w:t>石油化工类中级或以上职称</w:t>
            </w:r>
            <w:r>
              <w:rPr>
                <w:rFonts w:hint="eastAsia" w:ascii="宋体" w:hAnsi="宋体" w:eastAsia="宋体"/>
                <w:color w:val="auto"/>
                <w:sz w:val="24"/>
                <w:szCs w:val="24"/>
                <w:highlight w:val="none"/>
                <w:lang w:val="en-US" w:eastAsia="zh-CN"/>
              </w:rPr>
              <w:t>证书其中一项</w:t>
            </w:r>
            <w:r>
              <w:rPr>
                <w:rFonts w:hint="eastAsia" w:ascii="宋体" w:hAnsi="宋体" w:eastAsia="宋体"/>
                <w:color w:val="auto"/>
                <w:sz w:val="24"/>
                <w:szCs w:val="24"/>
                <w:highlight w:val="none"/>
              </w:rPr>
              <w:t>的，得1分，其他不得分。本小项累计最多得</w:t>
            </w:r>
            <w:r>
              <w:rPr>
                <w:rFonts w:hint="eastAsia" w:ascii="宋体" w:hAnsi="宋体" w:eastAsia="宋体"/>
                <w:color w:val="auto"/>
                <w:sz w:val="24"/>
                <w:szCs w:val="24"/>
                <w:highlight w:val="none"/>
                <w:lang w:val="en-US" w:eastAsia="zh-CN"/>
              </w:rPr>
              <w:t>6</w:t>
            </w:r>
            <w:r>
              <w:rPr>
                <w:rFonts w:hint="eastAsia" w:ascii="宋体" w:hAnsi="宋体" w:eastAsia="宋体"/>
                <w:color w:val="auto"/>
                <w:sz w:val="24"/>
                <w:szCs w:val="24"/>
                <w:highlight w:val="none"/>
              </w:rPr>
              <w:t>分。</w:t>
            </w:r>
          </w:p>
        </w:tc>
      </w:tr>
      <w:tr w14:paraId="0E6E6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16" w:type="dxa"/>
            <w:vMerge w:val="continue"/>
            <w:tcBorders>
              <w:left w:val="single" w:color="auto" w:sz="4" w:space="0"/>
              <w:bottom w:val="single" w:color="auto" w:sz="4" w:space="0"/>
              <w:right w:val="single" w:color="auto" w:sz="4" w:space="0"/>
            </w:tcBorders>
            <w:shd w:val="clear" w:color="auto" w:fill="auto"/>
            <w:vAlign w:val="center"/>
          </w:tcPr>
          <w:p w14:paraId="14B1BC89">
            <w:pPr>
              <w:spacing w:line="276" w:lineRule="auto"/>
              <w:jc w:val="left"/>
              <w:rPr>
                <w:color w:val="auto"/>
                <w:highlight w:val="none"/>
              </w:rPr>
            </w:pPr>
          </w:p>
        </w:tc>
        <w:tc>
          <w:tcPr>
            <w:tcW w:w="1276" w:type="dxa"/>
            <w:gridSpan w:val="2"/>
            <w:vMerge w:val="continue"/>
            <w:tcBorders>
              <w:left w:val="single" w:color="auto" w:sz="4" w:space="0"/>
              <w:bottom w:val="single" w:color="auto" w:sz="4" w:space="0"/>
              <w:right w:val="single" w:color="auto" w:sz="4" w:space="0"/>
            </w:tcBorders>
            <w:shd w:val="clear" w:color="auto" w:fill="auto"/>
            <w:vAlign w:val="center"/>
          </w:tcPr>
          <w:p w14:paraId="16026242">
            <w:pPr>
              <w:spacing w:line="276" w:lineRule="auto"/>
              <w:jc w:val="left"/>
              <w:rPr>
                <w:color w:val="auto"/>
                <w:highlight w:val="none"/>
              </w:rPr>
            </w:pPr>
          </w:p>
        </w:tc>
        <w:tc>
          <w:tcPr>
            <w:tcW w:w="2553" w:type="dxa"/>
            <w:vMerge w:val="continue"/>
            <w:tcBorders>
              <w:left w:val="single" w:color="auto" w:sz="4" w:space="0"/>
              <w:right w:val="single" w:color="auto" w:sz="4" w:space="0"/>
            </w:tcBorders>
            <w:shd w:val="clear" w:color="auto" w:fill="auto"/>
            <w:vAlign w:val="center"/>
          </w:tcPr>
          <w:p w14:paraId="7BE04CAE">
            <w:pPr>
              <w:spacing w:line="276" w:lineRule="auto"/>
              <w:jc w:val="left"/>
              <w:rPr>
                <w:color w:val="auto"/>
                <w:highlight w:val="none"/>
              </w:rPr>
            </w:pPr>
          </w:p>
        </w:tc>
        <w:tc>
          <w:tcPr>
            <w:tcW w:w="5489" w:type="dxa"/>
            <w:tcBorders>
              <w:top w:val="single" w:color="auto" w:sz="4" w:space="0"/>
              <w:left w:val="single" w:color="auto" w:sz="4" w:space="0"/>
              <w:bottom w:val="single" w:color="auto" w:sz="4" w:space="0"/>
              <w:right w:val="single" w:color="auto" w:sz="4" w:space="0"/>
            </w:tcBorders>
            <w:shd w:val="clear" w:color="auto" w:fill="auto"/>
            <w:vAlign w:val="center"/>
          </w:tcPr>
          <w:p w14:paraId="09CB0FF6">
            <w:pPr>
              <w:spacing w:line="276" w:lineRule="auto"/>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w:t>
            </w:r>
            <w:r>
              <w:rPr>
                <w:rFonts w:ascii="宋体" w:hAnsi="宋体" w:eastAsia="宋体"/>
                <w:color w:val="auto"/>
                <w:sz w:val="24"/>
                <w:szCs w:val="24"/>
                <w:highlight w:val="none"/>
              </w:rPr>
              <w:t>建筑工程</w:t>
            </w:r>
            <w:r>
              <w:rPr>
                <w:rFonts w:hint="eastAsia" w:ascii="宋体" w:hAnsi="宋体" w:eastAsia="宋体"/>
                <w:color w:val="auto"/>
                <w:sz w:val="24"/>
                <w:szCs w:val="24"/>
                <w:highlight w:val="none"/>
              </w:rPr>
              <w:t>专业监理工程师1名：</w:t>
            </w:r>
          </w:p>
          <w:p w14:paraId="2A191121">
            <w:pPr>
              <w:spacing w:line="276" w:lineRule="auto"/>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同时具有注册监理工程师证书（</w:t>
            </w:r>
            <w:r>
              <w:rPr>
                <w:rFonts w:ascii="宋体" w:hAnsi="宋体" w:eastAsia="宋体"/>
                <w:color w:val="auto"/>
                <w:sz w:val="24"/>
                <w:szCs w:val="24"/>
                <w:highlight w:val="none"/>
              </w:rPr>
              <w:t>建筑工程</w:t>
            </w:r>
            <w:r>
              <w:rPr>
                <w:rFonts w:hint="eastAsia" w:ascii="宋体" w:hAnsi="宋体" w:eastAsia="宋体"/>
                <w:color w:val="auto"/>
                <w:sz w:val="24"/>
                <w:szCs w:val="24"/>
                <w:highlight w:val="none"/>
              </w:rPr>
              <w:t>专业）、</w:t>
            </w:r>
            <w:r>
              <w:rPr>
                <w:rFonts w:ascii="宋体" w:hAnsi="宋体" w:eastAsia="宋体"/>
                <w:color w:val="auto"/>
                <w:sz w:val="24"/>
                <w:szCs w:val="24"/>
                <w:highlight w:val="none"/>
              </w:rPr>
              <w:t>建筑工程专业注册安全工程师证书</w:t>
            </w:r>
            <w:r>
              <w:rPr>
                <w:rFonts w:hint="eastAsia" w:ascii="宋体" w:hAnsi="宋体" w:eastAsia="宋体"/>
                <w:color w:val="auto"/>
                <w:sz w:val="24"/>
                <w:szCs w:val="24"/>
                <w:highlight w:val="none"/>
              </w:rPr>
              <w:t>、</w:t>
            </w:r>
            <w:r>
              <w:rPr>
                <w:rFonts w:ascii="宋体" w:hAnsi="宋体" w:eastAsia="宋体"/>
                <w:color w:val="auto"/>
                <w:sz w:val="24"/>
                <w:szCs w:val="24"/>
                <w:highlight w:val="none"/>
              </w:rPr>
              <w:t>建筑工程</w:t>
            </w:r>
            <w:r>
              <w:rPr>
                <w:rFonts w:hint="eastAsia" w:ascii="宋体" w:hAnsi="宋体" w:eastAsia="宋体"/>
                <w:color w:val="auto"/>
                <w:sz w:val="24"/>
                <w:szCs w:val="24"/>
                <w:highlight w:val="none"/>
              </w:rPr>
              <w:t>类中级或以上职称三项证书的，得</w:t>
            </w:r>
            <w:r>
              <w:rPr>
                <w:rFonts w:hint="eastAsia" w:ascii="宋体" w:hAnsi="宋体" w:eastAsia="宋体"/>
                <w:color w:val="auto"/>
                <w:sz w:val="24"/>
                <w:szCs w:val="24"/>
                <w:highlight w:val="none"/>
                <w:lang w:val="en-US" w:eastAsia="zh-CN"/>
              </w:rPr>
              <w:t>2</w:t>
            </w:r>
            <w:r>
              <w:rPr>
                <w:rFonts w:hint="eastAsia" w:ascii="宋体" w:hAnsi="宋体" w:eastAsia="宋体"/>
                <w:color w:val="auto"/>
                <w:sz w:val="24"/>
                <w:szCs w:val="24"/>
                <w:highlight w:val="none"/>
              </w:rPr>
              <w:t>分</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具有注册监理工程师证书（</w:t>
            </w:r>
            <w:r>
              <w:rPr>
                <w:rFonts w:ascii="宋体" w:hAnsi="宋体" w:eastAsia="宋体"/>
                <w:color w:val="auto"/>
                <w:sz w:val="24"/>
                <w:szCs w:val="24"/>
                <w:highlight w:val="none"/>
              </w:rPr>
              <w:t>建筑工程</w:t>
            </w:r>
            <w:r>
              <w:rPr>
                <w:rFonts w:hint="eastAsia" w:ascii="宋体" w:hAnsi="宋体" w:eastAsia="宋体"/>
                <w:color w:val="auto"/>
                <w:sz w:val="24"/>
                <w:szCs w:val="24"/>
                <w:highlight w:val="none"/>
              </w:rPr>
              <w:t>专业）</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同时具有</w:t>
            </w:r>
            <w:r>
              <w:rPr>
                <w:rFonts w:ascii="宋体" w:hAnsi="宋体" w:eastAsia="宋体"/>
                <w:color w:val="auto"/>
                <w:sz w:val="24"/>
                <w:szCs w:val="24"/>
                <w:highlight w:val="none"/>
              </w:rPr>
              <w:t>建筑工程专业注册安全工程师证书</w:t>
            </w:r>
            <w:r>
              <w:rPr>
                <w:rFonts w:hint="eastAsia" w:ascii="宋体" w:hAnsi="宋体" w:eastAsia="宋体"/>
                <w:color w:val="auto"/>
                <w:sz w:val="24"/>
                <w:szCs w:val="24"/>
                <w:highlight w:val="none"/>
              </w:rPr>
              <w:t>、</w:t>
            </w:r>
            <w:r>
              <w:rPr>
                <w:rFonts w:ascii="宋体" w:hAnsi="宋体" w:eastAsia="宋体"/>
                <w:color w:val="auto"/>
                <w:sz w:val="24"/>
                <w:szCs w:val="24"/>
                <w:highlight w:val="none"/>
              </w:rPr>
              <w:t>建筑工程</w:t>
            </w:r>
            <w:r>
              <w:rPr>
                <w:rFonts w:hint="eastAsia" w:ascii="宋体" w:hAnsi="宋体" w:eastAsia="宋体"/>
                <w:color w:val="auto"/>
                <w:sz w:val="24"/>
                <w:szCs w:val="24"/>
                <w:highlight w:val="none"/>
              </w:rPr>
              <w:t>类中级或以上职称</w:t>
            </w:r>
            <w:r>
              <w:rPr>
                <w:rFonts w:hint="eastAsia" w:ascii="宋体" w:hAnsi="宋体" w:eastAsia="宋体"/>
                <w:color w:val="auto"/>
                <w:sz w:val="24"/>
                <w:szCs w:val="24"/>
                <w:highlight w:val="none"/>
                <w:lang w:val="en-US" w:eastAsia="zh-CN"/>
              </w:rPr>
              <w:t>证书其中一项</w:t>
            </w:r>
            <w:r>
              <w:rPr>
                <w:rFonts w:hint="eastAsia" w:ascii="宋体" w:hAnsi="宋体" w:eastAsia="宋体"/>
                <w:color w:val="auto"/>
                <w:sz w:val="24"/>
                <w:szCs w:val="24"/>
                <w:highlight w:val="none"/>
              </w:rPr>
              <w:t>的，得1分，其他不得分。本小项累计最多得</w:t>
            </w:r>
            <w:r>
              <w:rPr>
                <w:rFonts w:hint="eastAsia" w:ascii="宋体" w:hAnsi="宋体" w:eastAsia="宋体"/>
                <w:color w:val="auto"/>
                <w:sz w:val="24"/>
                <w:szCs w:val="24"/>
                <w:highlight w:val="none"/>
                <w:lang w:val="en-US" w:eastAsia="zh-CN"/>
              </w:rPr>
              <w:t>2</w:t>
            </w:r>
            <w:r>
              <w:rPr>
                <w:rFonts w:hint="eastAsia" w:ascii="宋体" w:hAnsi="宋体" w:eastAsia="宋体"/>
                <w:color w:val="auto"/>
                <w:sz w:val="24"/>
                <w:szCs w:val="24"/>
                <w:highlight w:val="none"/>
              </w:rPr>
              <w:t>分。</w:t>
            </w:r>
          </w:p>
        </w:tc>
      </w:tr>
      <w:tr w14:paraId="57CE37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16" w:type="dxa"/>
            <w:vMerge w:val="continue"/>
            <w:tcBorders>
              <w:left w:val="single" w:color="auto" w:sz="4" w:space="0"/>
              <w:bottom w:val="single" w:color="auto" w:sz="4" w:space="0"/>
              <w:right w:val="single" w:color="auto" w:sz="4" w:space="0"/>
            </w:tcBorders>
            <w:shd w:val="clear" w:color="auto" w:fill="auto"/>
            <w:vAlign w:val="center"/>
          </w:tcPr>
          <w:p w14:paraId="6DD5341B">
            <w:pPr>
              <w:spacing w:line="276" w:lineRule="auto"/>
              <w:jc w:val="left"/>
              <w:rPr>
                <w:rFonts w:hint="eastAsia" w:ascii="宋体" w:hAnsi="宋体" w:eastAsia="宋体"/>
                <w:color w:val="auto"/>
                <w:sz w:val="24"/>
                <w:szCs w:val="24"/>
                <w:highlight w:val="none"/>
              </w:rPr>
            </w:pPr>
          </w:p>
        </w:tc>
        <w:tc>
          <w:tcPr>
            <w:tcW w:w="1276" w:type="dxa"/>
            <w:gridSpan w:val="2"/>
            <w:vMerge w:val="continue"/>
            <w:tcBorders>
              <w:left w:val="single" w:color="auto" w:sz="4" w:space="0"/>
              <w:bottom w:val="single" w:color="auto" w:sz="4" w:space="0"/>
              <w:right w:val="single" w:color="auto" w:sz="4" w:space="0"/>
            </w:tcBorders>
            <w:shd w:val="clear" w:color="auto" w:fill="auto"/>
            <w:vAlign w:val="center"/>
          </w:tcPr>
          <w:p w14:paraId="02AF66E0">
            <w:pPr>
              <w:spacing w:line="276" w:lineRule="auto"/>
              <w:jc w:val="left"/>
              <w:rPr>
                <w:rFonts w:hint="eastAsia" w:ascii="宋体" w:hAnsi="宋体" w:eastAsia="宋体"/>
                <w:color w:val="auto"/>
                <w:sz w:val="24"/>
                <w:szCs w:val="24"/>
                <w:highlight w:val="none"/>
              </w:rPr>
            </w:pPr>
          </w:p>
        </w:tc>
        <w:tc>
          <w:tcPr>
            <w:tcW w:w="2553" w:type="dxa"/>
            <w:vMerge w:val="continue"/>
            <w:tcBorders>
              <w:left w:val="single" w:color="auto" w:sz="4" w:space="0"/>
              <w:right w:val="single" w:color="auto" w:sz="4" w:space="0"/>
            </w:tcBorders>
            <w:shd w:val="clear" w:color="auto" w:fill="auto"/>
            <w:vAlign w:val="center"/>
          </w:tcPr>
          <w:p w14:paraId="632C5542">
            <w:pPr>
              <w:spacing w:line="276" w:lineRule="auto"/>
              <w:jc w:val="left"/>
              <w:rPr>
                <w:rFonts w:hint="eastAsia" w:ascii="宋体" w:hAnsi="宋体" w:eastAsia="宋体"/>
                <w:color w:val="auto"/>
                <w:sz w:val="24"/>
                <w:szCs w:val="24"/>
                <w:highlight w:val="none"/>
              </w:rPr>
            </w:pPr>
          </w:p>
        </w:tc>
        <w:tc>
          <w:tcPr>
            <w:tcW w:w="5489" w:type="dxa"/>
            <w:tcBorders>
              <w:top w:val="single" w:color="auto" w:sz="4" w:space="0"/>
              <w:left w:val="single" w:color="auto" w:sz="4" w:space="0"/>
              <w:bottom w:val="single" w:color="auto" w:sz="4" w:space="0"/>
              <w:right w:val="single" w:color="auto" w:sz="4" w:space="0"/>
            </w:tcBorders>
            <w:shd w:val="clear" w:color="auto" w:fill="auto"/>
            <w:vAlign w:val="center"/>
          </w:tcPr>
          <w:p w14:paraId="575071AD">
            <w:pPr>
              <w:spacing w:line="276" w:lineRule="auto"/>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3.安全专业监理工程师1名：</w:t>
            </w:r>
          </w:p>
          <w:p w14:paraId="29BC4270">
            <w:pPr>
              <w:spacing w:line="276" w:lineRule="auto"/>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同时具有注册监理工程师证书（市政公用工程专业）、注册安全工程师证书、</w:t>
            </w:r>
            <w:r>
              <w:rPr>
                <w:rFonts w:hint="eastAsia" w:ascii="宋体" w:hAnsi="宋体" w:eastAsia="宋体"/>
                <w:color w:val="auto"/>
                <w:sz w:val="24"/>
                <w:szCs w:val="24"/>
                <w:highlight w:val="none"/>
                <w:lang w:val="en-US" w:eastAsia="zh-CN"/>
              </w:rPr>
              <w:t>工程安全</w:t>
            </w:r>
            <w:r>
              <w:rPr>
                <w:rFonts w:hint="eastAsia" w:ascii="宋体" w:hAnsi="宋体" w:eastAsia="宋体"/>
                <w:color w:val="auto"/>
                <w:sz w:val="24"/>
                <w:szCs w:val="24"/>
                <w:highlight w:val="none"/>
              </w:rPr>
              <w:t>类中级或以上职称三项证书的，得</w:t>
            </w:r>
            <w:r>
              <w:rPr>
                <w:rFonts w:hint="eastAsia" w:ascii="宋体" w:hAnsi="宋体" w:eastAsia="宋体"/>
                <w:color w:val="auto"/>
                <w:sz w:val="24"/>
                <w:szCs w:val="24"/>
                <w:highlight w:val="none"/>
                <w:lang w:val="en-US" w:eastAsia="zh-CN"/>
              </w:rPr>
              <w:t>2</w:t>
            </w:r>
            <w:r>
              <w:rPr>
                <w:rFonts w:hint="eastAsia" w:ascii="宋体" w:hAnsi="宋体" w:eastAsia="宋体"/>
                <w:color w:val="auto"/>
                <w:sz w:val="24"/>
                <w:szCs w:val="24"/>
                <w:highlight w:val="none"/>
              </w:rPr>
              <w:t>分</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具有注册监理工程师证书（市政公用工程专业）</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同时具有</w:t>
            </w:r>
            <w:r>
              <w:rPr>
                <w:rFonts w:hint="eastAsia" w:ascii="宋体" w:hAnsi="宋体" w:eastAsia="宋体"/>
                <w:color w:val="auto"/>
                <w:sz w:val="24"/>
                <w:szCs w:val="24"/>
                <w:highlight w:val="none"/>
              </w:rPr>
              <w:t>注册安全工程师证书、</w:t>
            </w:r>
            <w:r>
              <w:rPr>
                <w:rFonts w:hint="eastAsia" w:ascii="宋体" w:hAnsi="宋体" w:eastAsia="宋体"/>
                <w:color w:val="auto"/>
                <w:sz w:val="24"/>
                <w:szCs w:val="24"/>
                <w:highlight w:val="none"/>
                <w:lang w:val="en-US" w:eastAsia="zh-CN"/>
              </w:rPr>
              <w:t>工程安全</w:t>
            </w:r>
            <w:r>
              <w:rPr>
                <w:rFonts w:hint="eastAsia" w:ascii="宋体" w:hAnsi="宋体" w:eastAsia="宋体"/>
                <w:color w:val="auto"/>
                <w:sz w:val="24"/>
                <w:szCs w:val="24"/>
                <w:highlight w:val="none"/>
              </w:rPr>
              <w:t>类中级或以上职称证书</w:t>
            </w:r>
            <w:r>
              <w:rPr>
                <w:rFonts w:hint="eastAsia" w:ascii="宋体" w:hAnsi="宋体" w:eastAsia="宋体"/>
                <w:color w:val="auto"/>
                <w:sz w:val="24"/>
                <w:szCs w:val="24"/>
                <w:highlight w:val="none"/>
                <w:lang w:val="en-US" w:eastAsia="zh-CN"/>
              </w:rPr>
              <w:t>其中一项</w:t>
            </w:r>
            <w:r>
              <w:rPr>
                <w:rFonts w:hint="eastAsia" w:ascii="宋体" w:hAnsi="宋体" w:eastAsia="宋体"/>
                <w:color w:val="auto"/>
                <w:sz w:val="24"/>
                <w:szCs w:val="24"/>
                <w:highlight w:val="none"/>
              </w:rPr>
              <w:t>的，得1分，其他不得分。本小项累计最多得</w:t>
            </w:r>
            <w:r>
              <w:rPr>
                <w:rFonts w:hint="eastAsia" w:ascii="宋体" w:hAnsi="宋体" w:eastAsia="宋体"/>
                <w:color w:val="auto"/>
                <w:sz w:val="24"/>
                <w:szCs w:val="24"/>
                <w:highlight w:val="none"/>
                <w:lang w:val="en-US" w:eastAsia="zh-CN"/>
              </w:rPr>
              <w:t>2</w:t>
            </w:r>
            <w:r>
              <w:rPr>
                <w:rFonts w:hint="eastAsia" w:ascii="宋体" w:hAnsi="宋体" w:eastAsia="宋体"/>
                <w:color w:val="auto"/>
                <w:sz w:val="24"/>
                <w:szCs w:val="24"/>
                <w:highlight w:val="none"/>
              </w:rPr>
              <w:t>分。</w:t>
            </w:r>
          </w:p>
        </w:tc>
      </w:tr>
      <w:tr w14:paraId="750596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16" w:type="dxa"/>
            <w:vMerge w:val="continue"/>
            <w:tcBorders>
              <w:left w:val="single" w:color="auto" w:sz="4" w:space="0"/>
              <w:bottom w:val="single" w:color="auto" w:sz="4" w:space="0"/>
              <w:right w:val="single" w:color="auto" w:sz="4" w:space="0"/>
            </w:tcBorders>
            <w:shd w:val="clear" w:color="auto" w:fill="auto"/>
            <w:vAlign w:val="center"/>
          </w:tcPr>
          <w:p w14:paraId="4B7E0F63">
            <w:pPr>
              <w:spacing w:line="276" w:lineRule="auto"/>
              <w:jc w:val="left"/>
              <w:rPr>
                <w:rFonts w:hint="eastAsia" w:ascii="宋体" w:hAnsi="宋体" w:eastAsia="宋体"/>
                <w:color w:val="auto"/>
                <w:sz w:val="24"/>
                <w:szCs w:val="24"/>
                <w:highlight w:val="none"/>
              </w:rPr>
            </w:pPr>
          </w:p>
        </w:tc>
        <w:tc>
          <w:tcPr>
            <w:tcW w:w="1276" w:type="dxa"/>
            <w:gridSpan w:val="2"/>
            <w:vMerge w:val="continue"/>
            <w:tcBorders>
              <w:left w:val="single" w:color="auto" w:sz="4" w:space="0"/>
              <w:bottom w:val="single" w:color="auto" w:sz="4" w:space="0"/>
              <w:right w:val="single" w:color="auto" w:sz="4" w:space="0"/>
            </w:tcBorders>
            <w:shd w:val="clear" w:color="auto" w:fill="auto"/>
            <w:vAlign w:val="center"/>
          </w:tcPr>
          <w:p w14:paraId="3F2EECC3">
            <w:pPr>
              <w:spacing w:line="276" w:lineRule="auto"/>
              <w:jc w:val="left"/>
              <w:rPr>
                <w:rFonts w:hint="eastAsia" w:ascii="宋体" w:hAnsi="宋体" w:eastAsia="宋体"/>
                <w:color w:val="auto"/>
                <w:sz w:val="24"/>
                <w:szCs w:val="24"/>
                <w:highlight w:val="none"/>
              </w:rPr>
            </w:pPr>
          </w:p>
        </w:tc>
        <w:tc>
          <w:tcPr>
            <w:tcW w:w="2553" w:type="dxa"/>
            <w:vMerge w:val="continue"/>
            <w:tcBorders>
              <w:left w:val="single" w:color="auto" w:sz="4" w:space="0"/>
              <w:right w:val="single" w:color="auto" w:sz="4" w:space="0"/>
            </w:tcBorders>
            <w:shd w:val="clear" w:color="auto" w:fill="auto"/>
            <w:vAlign w:val="center"/>
          </w:tcPr>
          <w:p w14:paraId="3DB52635">
            <w:pPr>
              <w:spacing w:line="276" w:lineRule="auto"/>
              <w:jc w:val="left"/>
              <w:rPr>
                <w:rFonts w:hint="eastAsia" w:ascii="宋体" w:hAnsi="宋体" w:eastAsia="宋体"/>
                <w:color w:val="auto"/>
                <w:sz w:val="24"/>
                <w:szCs w:val="24"/>
                <w:highlight w:val="none"/>
              </w:rPr>
            </w:pPr>
          </w:p>
        </w:tc>
        <w:tc>
          <w:tcPr>
            <w:tcW w:w="5489" w:type="dxa"/>
            <w:tcBorders>
              <w:top w:val="single" w:color="auto" w:sz="4" w:space="0"/>
              <w:left w:val="single" w:color="auto" w:sz="4" w:space="0"/>
              <w:bottom w:val="single" w:color="auto" w:sz="4" w:space="0"/>
              <w:right w:val="single" w:color="auto" w:sz="4" w:space="0"/>
            </w:tcBorders>
            <w:shd w:val="clear" w:color="auto" w:fill="auto"/>
            <w:vAlign w:val="center"/>
          </w:tcPr>
          <w:p w14:paraId="05B1FBDD">
            <w:pPr>
              <w:spacing w:line="276" w:lineRule="auto"/>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4.造价监理工程师1名：</w:t>
            </w:r>
          </w:p>
          <w:p w14:paraId="5E510A05">
            <w:pPr>
              <w:spacing w:line="276" w:lineRule="auto"/>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具有注册</w:t>
            </w:r>
            <w:r>
              <w:rPr>
                <w:rFonts w:hint="eastAsia" w:ascii="宋体" w:hAnsi="宋体" w:eastAsia="宋体"/>
                <w:color w:val="auto"/>
                <w:sz w:val="24"/>
                <w:szCs w:val="24"/>
                <w:highlight w:val="none"/>
                <w:lang w:val="en-US" w:eastAsia="zh-CN"/>
              </w:rPr>
              <w:t>一级</w:t>
            </w:r>
            <w:r>
              <w:rPr>
                <w:rFonts w:hint="eastAsia" w:ascii="宋体" w:hAnsi="宋体" w:eastAsia="宋体"/>
                <w:color w:val="auto"/>
                <w:sz w:val="24"/>
                <w:szCs w:val="24"/>
                <w:highlight w:val="none"/>
              </w:rPr>
              <w:t>造价工程师证书</w:t>
            </w:r>
            <w:r>
              <w:rPr>
                <w:rFonts w:hint="eastAsia" w:ascii="宋体" w:hAnsi="宋体" w:eastAsia="宋体"/>
                <w:color w:val="auto"/>
                <w:sz w:val="24"/>
                <w:szCs w:val="24"/>
                <w:highlight w:val="none"/>
                <w:lang w:val="en-US" w:eastAsia="zh-CN"/>
              </w:rPr>
              <w:t>或</w:t>
            </w:r>
            <w:r>
              <w:rPr>
                <w:rFonts w:hint="eastAsia" w:ascii="宋体" w:hAnsi="宋体" w:eastAsia="宋体"/>
                <w:color w:val="auto"/>
                <w:sz w:val="24"/>
                <w:szCs w:val="24"/>
                <w:highlight w:val="none"/>
              </w:rPr>
              <w:t>工程</w:t>
            </w:r>
            <w:r>
              <w:rPr>
                <w:rFonts w:hint="eastAsia" w:ascii="宋体" w:hAnsi="宋体" w:eastAsia="宋体"/>
                <w:color w:val="auto"/>
                <w:sz w:val="24"/>
                <w:szCs w:val="24"/>
                <w:highlight w:val="none"/>
                <w:lang w:val="en-US" w:eastAsia="zh-CN"/>
              </w:rPr>
              <w:t>造价</w:t>
            </w:r>
            <w:r>
              <w:rPr>
                <w:rFonts w:hint="eastAsia" w:ascii="宋体" w:hAnsi="宋体" w:eastAsia="宋体"/>
                <w:color w:val="auto"/>
                <w:sz w:val="24"/>
                <w:szCs w:val="24"/>
                <w:highlight w:val="none"/>
              </w:rPr>
              <w:t>类中级或以上职称的，得</w:t>
            </w:r>
            <w:r>
              <w:rPr>
                <w:rFonts w:hint="eastAsia" w:ascii="宋体" w:hAnsi="宋体" w:eastAsia="宋体"/>
                <w:color w:val="auto"/>
                <w:sz w:val="24"/>
                <w:szCs w:val="24"/>
                <w:highlight w:val="none"/>
                <w:lang w:val="en-US" w:eastAsia="zh-CN"/>
              </w:rPr>
              <w:t>1</w:t>
            </w:r>
            <w:r>
              <w:rPr>
                <w:rFonts w:hint="eastAsia" w:ascii="宋体" w:hAnsi="宋体" w:eastAsia="宋体"/>
                <w:color w:val="auto"/>
                <w:sz w:val="24"/>
                <w:szCs w:val="24"/>
                <w:highlight w:val="none"/>
              </w:rPr>
              <w:t>分</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没有</w:t>
            </w:r>
            <w:r>
              <w:rPr>
                <w:rFonts w:hint="eastAsia" w:ascii="宋体" w:hAnsi="宋体" w:eastAsia="宋体"/>
                <w:color w:val="auto"/>
                <w:sz w:val="24"/>
                <w:szCs w:val="24"/>
                <w:highlight w:val="none"/>
              </w:rPr>
              <w:t>不得分。本小项累计最多得</w:t>
            </w:r>
            <w:r>
              <w:rPr>
                <w:rFonts w:hint="eastAsia" w:ascii="宋体" w:hAnsi="宋体" w:eastAsia="宋体"/>
                <w:color w:val="auto"/>
                <w:sz w:val="24"/>
                <w:szCs w:val="24"/>
                <w:highlight w:val="none"/>
                <w:lang w:val="en-US" w:eastAsia="zh-CN"/>
              </w:rPr>
              <w:t>1</w:t>
            </w:r>
            <w:r>
              <w:rPr>
                <w:rFonts w:hint="eastAsia" w:ascii="宋体" w:hAnsi="宋体" w:eastAsia="宋体"/>
                <w:color w:val="auto"/>
                <w:sz w:val="24"/>
                <w:szCs w:val="24"/>
                <w:highlight w:val="none"/>
              </w:rPr>
              <w:t>分。</w:t>
            </w:r>
          </w:p>
        </w:tc>
      </w:tr>
      <w:tr w14:paraId="5EC89F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16" w:type="dxa"/>
            <w:vMerge w:val="continue"/>
            <w:tcBorders>
              <w:left w:val="single" w:color="auto" w:sz="4" w:space="0"/>
              <w:bottom w:val="single" w:color="auto" w:sz="4" w:space="0"/>
              <w:right w:val="single" w:color="auto" w:sz="4" w:space="0"/>
            </w:tcBorders>
            <w:shd w:val="clear" w:color="auto" w:fill="auto"/>
            <w:vAlign w:val="center"/>
          </w:tcPr>
          <w:p w14:paraId="6CD47C98">
            <w:pPr>
              <w:spacing w:line="276" w:lineRule="auto"/>
              <w:jc w:val="left"/>
              <w:rPr>
                <w:rFonts w:hint="eastAsia" w:ascii="宋体" w:hAnsi="宋体" w:eastAsia="宋体"/>
                <w:color w:val="auto"/>
                <w:sz w:val="24"/>
                <w:szCs w:val="24"/>
                <w:highlight w:val="none"/>
              </w:rPr>
            </w:pPr>
          </w:p>
        </w:tc>
        <w:tc>
          <w:tcPr>
            <w:tcW w:w="1276" w:type="dxa"/>
            <w:gridSpan w:val="2"/>
            <w:vMerge w:val="continue"/>
            <w:tcBorders>
              <w:left w:val="single" w:color="auto" w:sz="4" w:space="0"/>
              <w:bottom w:val="single" w:color="auto" w:sz="4" w:space="0"/>
              <w:right w:val="single" w:color="auto" w:sz="4" w:space="0"/>
            </w:tcBorders>
            <w:shd w:val="clear" w:color="auto" w:fill="auto"/>
            <w:vAlign w:val="center"/>
          </w:tcPr>
          <w:p w14:paraId="34194629">
            <w:pPr>
              <w:spacing w:line="276" w:lineRule="auto"/>
              <w:jc w:val="left"/>
              <w:rPr>
                <w:rFonts w:hint="eastAsia" w:ascii="宋体" w:hAnsi="宋体" w:eastAsia="宋体"/>
                <w:color w:val="auto"/>
                <w:sz w:val="24"/>
                <w:szCs w:val="24"/>
                <w:highlight w:val="none"/>
              </w:rPr>
            </w:pPr>
          </w:p>
        </w:tc>
        <w:tc>
          <w:tcPr>
            <w:tcW w:w="2553" w:type="dxa"/>
            <w:vMerge w:val="continue"/>
            <w:tcBorders>
              <w:left w:val="single" w:color="auto" w:sz="4" w:space="0"/>
              <w:right w:val="single" w:color="auto" w:sz="4" w:space="0"/>
            </w:tcBorders>
            <w:shd w:val="clear" w:color="auto" w:fill="auto"/>
            <w:vAlign w:val="center"/>
          </w:tcPr>
          <w:p w14:paraId="6FDDA88F">
            <w:pPr>
              <w:spacing w:line="276" w:lineRule="auto"/>
              <w:jc w:val="left"/>
              <w:rPr>
                <w:rFonts w:hint="eastAsia" w:ascii="宋体" w:hAnsi="宋体" w:eastAsia="宋体"/>
                <w:color w:val="auto"/>
                <w:sz w:val="24"/>
                <w:szCs w:val="24"/>
                <w:highlight w:val="none"/>
              </w:rPr>
            </w:pPr>
          </w:p>
        </w:tc>
        <w:tc>
          <w:tcPr>
            <w:tcW w:w="5489" w:type="dxa"/>
            <w:tcBorders>
              <w:top w:val="single" w:color="auto" w:sz="4" w:space="0"/>
              <w:left w:val="single" w:color="auto" w:sz="4" w:space="0"/>
              <w:bottom w:val="single" w:color="auto" w:sz="4" w:space="0"/>
              <w:right w:val="single" w:color="auto" w:sz="4" w:space="0"/>
            </w:tcBorders>
            <w:shd w:val="clear" w:color="auto" w:fill="auto"/>
            <w:vAlign w:val="center"/>
          </w:tcPr>
          <w:p w14:paraId="1EE88CE4">
            <w:pPr>
              <w:spacing w:line="276" w:lineRule="auto"/>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5.测量专业监理工程师1名：</w:t>
            </w:r>
          </w:p>
          <w:p w14:paraId="5762893F">
            <w:pPr>
              <w:spacing w:line="276" w:lineRule="auto"/>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同时具有注册监理工程师证书（市政公用工程专业）、工程测量专业中级或以上职称的，得2分，其他不得分。本小项累计最多得2分。</w:t>
            </w:r>
          </w:p>
        </w:tc>
      </w:tr>
      <w:tr w14:paraId="6A0A3A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16" w:type="dxa"/>
            <w:vMerge w:val="continue"/>
            <w:tcBorders>
              <w:left w:val="single" w:color="auto" w:sz="4" w:space="0"/>
              <w:bottom w:val="single" w:color="auto" w:sz="4" w:space="0"/>
              <w:right w:val="single" w:color="auto" w:sz="4" w:space="0"/>
            </w:tcBorders>
            <w:shd w:val="clear" w:color="auto" w:fill="auto"/>
            <w:vAlign w:val="center"/>
          </w:tcPr>
          <w:p w14:paraId="30847457">
            <w:pPr>
              <w:spacing w:line="276" w:lineRule="auto"/>
              <w:jc w:val="left"/>
              <w:rPr>
                <w:rFonts w:hint="eastAsia" w:ascii="宋体" w:hAnsi="宋体" w:eastAsia="宋体"/>
                <w:color w:val="auto"/>
                <w:sz w:val="24"/>
                <w:szCs w:val="24"/>
                <w:highlight w:val="none"/>
              </w:rPr>
            </w:pPr>
          </w:p>
        </w:tc>
        <w:tc>
          <w:tcPr>
            <w:tcW w:w="1276" w:type="dxa"/>
            <w:gridSpan w:val="2"/>
            <w:vMerge w:val="continue"/>
            <w:tcBorders>
              <w:left w:val="single" w:color="auto" w:sz="4" w:space="0"/>
              <w:bottom w:val="single" w:color="auto" w:sz="4" w:space="0"/>
              <w:right w:val="single" w:color="auto" w:sz="4" w:space="0"/>
            </w:tcBorders>
            <w:shd w:val="clear" w:color="auto" w:fill="auto"/>
            <w:vAlign w:val="center"/>
          </w:tcPr>
          <w:p w14:paraId="2254742F">
            <w:pPr>
              <w:spacing w:line="276" w:lineRule="auto"/>
              <w:jc w:val="left"/>
              <w:rPr>
                <w:rFonts w:hint="eastAsia" w:ascii="宋体" w:hAnsi="宋体" w:eastAsia="宋体"/>
                <w:color w:val="auto"/>
                <w:sz w:val="24"/>
                <w:szCs w:val="24"/>
                <w:highlight w:val="none"/>
              </w:rPr>
            </w:pPr>
          </w:p>
        </w:tc>
        <w:tc>
          <w:tcPr>
            <w:tcW w:w="2553" w:type="dxa"/>
            <w:vMerge w:val="continue"/>
            <w:tcBorders>
              <w:left w:val="single" w:color="auto" w:sz="4" w:space="0"/>
              <w:bottom w:val="single" w:color="auto" w:sz="4" w:space="0"/>
              <w:right w:val="single" w:color="auto" w:sz="4" w:space="0"/>
            </w:tcBorders>
            <w:shd w:val="clear" w:color="auto" w:fill="auto"/>
            <w:vAlign w:val="center"/>
          </w:tcPr>
          <w:p w14:paraId="453F64D9">
            <w:pPr>
              <w:spacing w:line="276" w:lineRule="auto"/>
              <w:jc w:val="left"/>
              <w:rPr>
                <w:rFonts w:hint="eastAsia" w:ascii="宋体" w:hAnsi="宋体" w:eastAsia="宋体"/>
                <w:color w:val="auto"/>
                <w:sz w:val="24"/>
                <w:szCs w:val="24"/>
                <w:highlight w:val="none"/>
              </w:rPr>
            </w:pPr>
          </w:p>
        </w:tc>
        <w:tc>
          <w:tcPr>
            <w:tcW w:w="5489" w:type="dxa"/>
            <w:tcBorders>
              <w:top w:val="single" w:color="auto" w:sz="4" w:space="0"/>
              <w:left w:val="single" w:color="auto" w:sz="4" w:space="0"/>
              <w:bottom w:val="single" w:color="auto" w:sz="4" w:space="0"/>
              <w:right w:val="single" w:color="auto" w:sz="4" w:space="0"/>
            </w:tcBorders>
            <w:shd w:val="clear" w:color="auto" w:fill="auto"/>
            <w:vAlign w:val="center"/>
          </w:tcPr>
          <w:p w14:paraId="15F52E0D">
            <w:pPr>
              <w:spacing w:line="276" w:lineRule="auto"/>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6</w:t>
            </w:r>
            <w:r>
              <w:rPr>
                <w:rFonts w:hint="eastAsia" w:ascii="宋体" w:hAnsi="宋体" w:eastAsia="宋体"/>
                <w:color w:val="auto"/>
                <w:sz w:val="24"/>
                <w:szCs w:val="24"/>
                <w:highlight w:val="none"/>
              </w:rPr>
              <w:t>.监理员：具有省级监理协会颁发的监理员证上岗资格证或专业监理工程师上岗资格证或注册监理工程师证书</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其中，</w:t>
            </w:r>
            <w:r>
              <w:rPr>
                <w:rFonts w:hint="eastAsia" w:ascii="宋体" w:hAnsi="宋体" w:eastAsia="宋体"/>
                <w:color w:val="auto"/>
                <w:sz w:val="24"/>
                <w:szCs w:val="24"/>
                <w:highlight w:val="none"/>
              </w:rPr>
              <w:t>专业为市政公用工程专业</w:t>
            </w:r>
            <w:r>
              <w:rPr>
                <w:rFonts w:hint="eastAsia" w:ascii="宋体" w:hAnsi="宋体" w:eastAsia="宋体"/>
                <w:color w:val="auto"/>
                <w:sz w:val="24"/>
                <w:szCs w:val="24"/>
                <w:highlight w:val="none"/>
                <w:lang w:val="en-US" w:eastAsia="zh-CN"/>
              </w:rPr>
              <w:t>或</w:t>
            </w:r>
            <w:r>
              <w:rPr>
                <w:rFonts w:hint="eastAsia" w:ascii="宋体" w:hAnsi="宋体" w:eastAsia="宋体"/>
                <w:color w:val="auto"/>
                <w:sz w:val="24"/>
                <w:szCs w:val="24"/>
                <w:highlight w:val="none"/>
              </w:rPr>
              <w:t>石油化工工程专业</w:t>
            </w:r>
            <w:r>
              <w:rPr>
                <w:rFonts w:hint="eastAsia" w:ascii="宋体" w:hAnsi="宋体" w:eastAsia="宋体"/>
                <w:color w:val="auto"/>
                <w:sz w:val="24"/>
                <w:szCs w:val="24"/>
                <w:highlight w:val="none"/>
                <w:lang w:val="en-US" w:eastAsia="zh-CN"/>
              </w:rPr>
              <w:t>3人</w:t>
            </w:r>
            <w:r>
              <w:rPr>
                <w:rFonts w:hint="eastAsia" w:ascii="宋体" w:hAnsi="宋体" w:eastAsia="宋体"/>
                <w:color w:val="auto"/>
                <w:sz w:val="24"/>
                <w:szCs w:val="24"/>
                <w:highlight w:val="none"/>
              </w:rPr>
              <w:t>，同时具有安全监理员上岗资格证书且专业为市政公用工程</w:t>
            </w:r>
            <w:r>
              <w:rPr>
                <w:rFonts w:hint="eastAsia" w:ascii="宋体" w:hAnsi="宋体" w:eastAsia="宋体"/>
                <w:color w:val="auto"/>
                <w:sz w:val="24"/>
                <w:szCs w:val="24"/>
                <w:highlight w:val="none"/>
                <w:lang w:val="en-US" w:eastAsia="zh-CN"/>
              </w:rPr>
              <w:t>或</w:t>
            </w:r>
            <w:r>
              <w:rPr>
                <w:rFonts w:hint="eastAsia" w:ascii="宋体" w:hAnsi="宋体" w:eastAsia="宋体"/>
                <w:color w:val="auto"/>
                <w:sz w:val="24"/>
                <w:szCs w:val="24"/>
                <w:highlight w:val="none"/>
              </w:rPr>
              <w:t>石油化工工程</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专业为</w:t>
            </w:r>
            <w:r>
              <w:rPr>
                <w:rFonts w:hint="eastAsia" w:ascii="宋体" w:hAnsi="宋体" w:eastAsia="宋体"/>
                <w:color w:val="auto"/>
                <w:sz w:val="24"/>
                <w:szCs w:val="24"/>
                <w:highlight w:val="none"/>
                <w:lang w:val="en-US" w:eastAsia="zh-CN"/>
              </w:rPr>
              <w:t>建筑</w:t>
            </w:r>
            <w:r>
              <w:rPr>
                <w:rFonts w:hint="eastAsia" w:ascii="宋体" w:hAnsi="宋体" w:eastAsia="宋体"/>
                <w:color w:val="auto"/>
                <w:sz w:val="24"/>
                <w:szCs w:val="24"/>
                <w:highlight w:val="none"/>
              </w:rPr>
              <w:t>工程</w:t>
            </w:r>
            <w:r>
              <w:rPr>
                <w:rFonts w:hint="eastAsia" w:ascii="宋体" w:hAnsi="宋体" w:eastAsia="宋体"/>
                <w:color w:val="auto"/>
                <w:sz w:val="24"/>
                <w:szCs w:val="24"/>
                <w:highlight w:val="none"/>
                <w:lang w:val="en-US" w:eastAsia="zh-CN"/>
              </w:rPr>
              <w:t>1人</w:t>
            </w:r>
            <w:r>
              <w:rPr>
                <w:rFonts w:hint="eastAsia" w:ascii="宋体" w:hAnsi="宋体" w:eastAsia="宋体"/>
                <w:color w:val="auto"/>
                <w:sz w:val="24"/>
                <w:szCs w:val="24"/>
                <w:highlight w:val="none"/>
              </w:rPr>
              <w:t>，同时具有安全监理员上岗资格证书且专业为</w:t>
            </w:r>
            <w:r>
              <w:rPr>
                <w:rFonts w:hint="eastAsia" w:ascii="宋体" w:hAnsi="宋体" w:eastAsia="宋体"/>
                <w:color w:val="auto"/>
                <w:sz w:val="24"/>
                <w:szCs w:val="24"/>
                <w:highlight w:val="none"/>
                <w:lang w:val="en-US" w:eastAsia="zh-CN"/>
              </w:rPr>
              <w:t>建筑工程</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得4分；每增加1名</w:t>
            </w:r>
            <w:r>
              <w:rPr>
                <w:rFonts w:hint="eastAsia" w:ascii="宋体" w:hAnsi="宋体" w:eastAsia="宋体"/>
                <w:color w:val="auto"/>
                <w:sz w:val="24"/>
                <w:szCs w:val="24"/>
                <w:highlight w:val="none"/>
              </w:rPr>
              <w:t>市政公用工程专业</w:t>
            </w:r>
            <w:r>
              <w:rPr>
                <w:rFonts w:hint="eastAsia" w:ascii="宋体" w:hAnsi="宋体" w:eastAsia="宋体"/>
                <w:color w:val="auto"/>
                <w:sz w:val="24"/>
                <w:szCs w:val="24"/>
                <w:highlight w:val="none"/>
                <w:lang w:val="en-US" w:eastAsia="zh-CN"/>
              </w:rPr>
              <w:t>或</w:t>
            </w:r>
            <w:r>
              <w:rPr>
                <w:rFonts w:hint="eastAsia" w:ascii="宋体" w:hAnsi="宋体" w:eastAsia="宋体"/>
                <w:color w:val="auto"/>
                <w:sz w:val="24"/>
                <w:szCs w:val="24"/>
                <w:highlight w:val="none"/>
              </w:rPr>
              <w:t>石油化工工程专业监理员</w:t>
            </w:r>
            <w:r>
              <w:rPr>
                <w:rFonts w:hint="eastAsia" w:ascii="宋体" w:hAnsi="宋体" w:eastAsia="宋体"/>
                <w:color w:val="auto"/>
                <w:sz w:val="24"/>
                <w:szCs w:val="24"/>
                <w:highlight w:val="none"/>
                <w:lang w:val="en-US" w:eastAsia="zh-CN"/>
              </w:rPr>
              <w:t>得1分，监理员与专业监理工程师不能为同一人</w:t>
            </w:r>
            <w:r>
              <w:rPr>
                <w:rFonts w:hint="eastAsia" w:ascii="宋体" w:hAnsi="宋体" w:eastAsia="宋体"/>
                <w:color w:val="auto"/>
                <w:sz w:val="24"/>
                <w:szCs w:val="24"/>
                <w:highlight w:val="none"/>
              </w:rPr>
              <w:t>；本小项累计最多得</w:t>
            </w:r>
            <w:r>
              <w:rPr>
                <w:rFonts w:hint="eastAsia" w:ascii="宋体" w:hAnsi="宋体" w:eastAsia="宋体"/>
                <w:color w:val="auto"/>
                <w:sz w:val="24"/>
                <w:szCs w:val="24"/>
                <w:highlight w:val="none"/>
                <w:lang w:val="en-US" w:eastAsia="zh-CN"/>
              </w:rPr>
              <w:t>7</w:t>
            </w:r>
            <w:r>
              <w:rPr>
                <w:rFonts w:hint="eastAsia" w:ascii="宋体" w:hAnsi="宋体" w:eastAsia="宋体"/>
                <w:color w:val="auto"/>
                <w:sz w:val="24"/>
                <w:szCs w:val="24"/>
                <w:highlight w:val="none"/>
              </w:rPr>
              <w:t>分。</w:t>
            </w:r>
          </w:p>
        </w:tc>
      </w:tr>
      <w:tr w14:paraId="45935B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16" w:type="dxa"/>
            <w:vMerge w:val="continue"/>
            <w:tcBorders>
              <w:left w:val="single" w:color="auto" w:sz="4" w:space="0"/>
              <w:bottom w:val="single" w:color="auto" w:sz="4" w:space="0"/>
              <w:right w:val="single" w:color="auto" w:sz="4" w:space="0"/>
            </w:tcBorders>
            <w:shd w:val="clear" w:color="auto" w:fill="auto"/>
            <w:vAlign w:val="center"/>
          </w:tcPr>
          <w:p w14:paraId="0AD28F6F">
            <w:pPr>
              <w:spacing w:line="276" w:lineRule="auto"/>
              <w:jc w:val="left"/>
              <w:rPr>
                <w:color w:val="auto"/>
                <w:highlight w:val="none"/>
              </w:rPr>
            </w:pPr>
          </w:p>
        </w:tc>
        <w:tc>
          <w:tcPr>
            <w:tcW w:w="1276" w:type="dxa"/>
            <w:gridSpan w:val="2"/>
            <w:vMerge w:val="continue"/>
            <w:tcBorders>
              <w:left w:val="single" w:color="auto" w:sz="4" w:space="0"/>
              <w:bottom w:val="single" w:color="auto" w:sz="4" w:space="0"/>
              <w:right w:val="single" w:color="auto" w:sz="4" w:space="0"/>
            </w:tcBorders>
            <w:shd w:val="clear" w:color="auto" w:fill="auto"/>
            <w:vAlign w:val="center"/>
          </w:tcPr>
          <w:p w14:paraId="73101823">
            <w:pPr>
              <w:spacing w:line="276" w:lineRule="auto"/>
              <w:jc w:val="left"/>
              <w:rPr>
                <w:color w:val="auto"/>
                <w:highlight w:val="none"/>
              </w:rPr>
            </w:pPr>
          </w:p>
        </w:tc>
        <w:tc>
          <w:tcPr>
            <w:tcW w:w="2553" w:type="dxa"/>
            <w:vMerge w:val="continue"/>
            <w:tcBorders>
              <w:left w:val="single" w:color="auto" w:sz="4" w:space="0"/>
              <w:bottom w:val="single" w:color="auto" w:sz="4" w:space="0"/>
              <w:right w:val="single" w:color="auto" w:sz="4" w:space="0"/>
            </w:tcBorders>
            <w:shd w:val="clear" w:color="auto" w:fill="auto"/>
            <w:vAlign w:val="center"/>
          </w:tcPr>
          <w:p w14:paraId="650026C3">
            <w:pPr>
              <w:spacing w:line="276" w:lineRule="auto"/>
              <w:jc w:val="left"/>
              <w:rPr>
                <w:color w:val="auto"/>
                <w:highlight w:val="none"/>
              </w:rPr>
            </w:pPr>
          </w:p>
        </w:tc>
        <w:tc>
          <w:tcPr>
            <w:tcW w:w="5489" w:type="dxa"/>
            <w:tcBorders>
              <w:top w:val="single" w:color="auto" w:sz="4" w:space="0"/>
              <w:left w:val="single" w:color="auto" w:sz="4" w:space="0"/>
              <w:bottom w:val="single" w:color="auto" w:sz="4" w:space="0"/>
              <w:right w:val="single" w:color="auto" w:sz="4" w:space="0"/>
            </w:tcBorders>
            <w:shd w:val="clear" w:color="auto" w:fill="auto"/>
            <w:vAlign w:val="center"/>
          </w:tcPr>
          <w:p w14:paraId="616A8802">
            <w:pPr>
              <w:spacing w:line="276" w:lineRule="auto"/>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注：</w:t>
            </w:r>
            <w:r>
              <w:rPr>
                <w:rFonts w:hint="eastAsia" w:ascii="宋体" w:hAnsi="宋体" w:eastAsia="宋体"/>
                <w:color w:val="auto"/>
                <w:sz w:val="24"/>
                <w:szCs w:val="24"/>
                <w:highlight w:val="none"/>
                <w:lang w:val="en-US" w:eastAsia="zh-CN"/>
              </w:rPr>
              <w:t>投标人需</w:t>
            </w:r>
            <w:r>
              <w:rPr>
                <w:rFonts w:hint="eastAsia" w:ascii="宋体" w:hAnsi="宋体" w:eastAsia="宋体"/>
                <w:color w:val="auto"/>
                <w:sz w:val="24"/>
                <w:szCs w:val="24"/>
                <w:highlight w:val="none"/>
              </w:rPr>
              <w:t>提供上述人员相关证书复印件（加盖投标人公章）</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注册证书须在</w:t>
            </w:r>
            <w:r>
              <w:rPr>
                <w:rFonts w:hint="eastAsia" w:ascii="宋体" w:hAnsi="宋体" w:eastAsia="宋体"/>
                <w:color w:val="auto"/>
                <w:sz w:val="24"/>
                <w:szCs w:val="24"/>
                <w:highlight w:val="none"/>
              </w:rPr>
              <w:t>投标人单位</w:t>
            </w:r>
            <w:r>
              <w:rPr>
                <w:rFonts w:hint="eastAsia" w:ascii="宋体" w:hAnsi="宋体" w:eastAsia="宋体"/>
                <w:color w:val="auto"/>
                <w:sz w:val="24"/>
                <w:szCs w:val="24"/>
                <w:highlight w:val="none"/>
                <w:lang w:val="en-US" w:eastAsia="zh-CN"/>
              </w:rPr>
              <w:t>注册</w:t>
            </w:r>
            <w:r>
              <w:rPr>
                <w:rFonts w:hint="eastAsia" w:ascii="宋体" w:hAnsi="宋体" w:eastAsia="宋体"/>
                <w:color w:val="auto"/>
                <w:sz w:val="24"/>
                <w:szCs w:val="24"/>
                <w:highlight w:val="none"/>
              </w:rPr>
              <w:t>（不含投标人的子公司或母公司）</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需提供近1个月（即</w:t>
            </w:r>
            <w:r>
              <w:rPr>
                <w:rFonts w:hint="eastAsia" w:ascii="宋体" w:hAnsi="宋体" w:eastAsia="宋体"/>
                <w:color w:val="auto"/>
                <w:sz w:val="24"/>
                <w:szCs w:val="24"/>
                <w:highlight w:val="none"/>
                <w:lang w:eastAsia="zh-CN"/>
              </w:rPr>
              <w:t>2025</w:t>
            </w:r>
            <w:r>
              <w:rPr>
                <w:rFonts w:hint="eastAsia" w:ascii="宋体" w:hAnsi="宋体" w:eastAsia="宋体"/>
                <w:color w:val="auto"/>
                <w:sz w:val="24"/>
                <w:szCs w:val="24"/>
                <w:highlight w:val="none"/>
              </w:rPr>
              <w:t>年</w:t>
            </w:r>
            <w:r>
              <w:rPr>
                <w:rFonts w:hint="eastAsia" w:ascii="宋体" w:hAnsi="宋体" w:eastAsia="宋体"/>
                <w:color w:val="auto"/>
                <w:sz w:val="24"/>
                <w:szCs w:val="24"/>
                <w:highlight w:val="none"/>
                <w:lang w:val="en-US" w:eastAsia="zh-CN"/>
              </w:rPr>
              <w:t>6</w:t>
            </w:r>
            <w:r>
              <w:rPr>
                <w:rFonts w:hint="eastAsia" w:ascii="宋体" w:hAnsi="宋体" w:eastAsia="宋体"/>
                <w:color w:val="auto"/>
                <w:sz w:val="24"/>
                <w:szCs w:val="24"/>
                <w:highlight w:val="none"/>
              </w:rPr>
              <w:t>月）在投标人单位（不含投标人的子公司或母公司）参保的社保缴纳记录证明原件扫描件。</w:t>
            </w:r>
          </w:p>
        </w:tc>
      </w:tr>
      <w:tr w14:paraId="44D6A9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4" w:hRule="atLeast"/>
        </w:trPr>
        <w:tc>
          <w:tcPr>
            <w:tcW w:w="816" w:type="dxa"/>
            <w:vMerge w:val="restart"/>
            <w:tcBorders>
              <w:top w:val="single" w:color="auto" w:sz="4" w:space="0"/>
              <w:left w:val="single" w:color="auto" w:sz="4" w:space="0"/>
              <w:right w:val="single" w:color="auto" w:sz="4" w:space="0"/>
            </w:tcBorders>
            <w:shd w:val="clear" w:color="auto" w:fill="auto"/>
            <w:vAlign w:val="center"/>
          </w:tcPr>
          <w:p w14:paraId="6D2F6F7B">
            <w:pPr>
              <w:spacing w:line="276" w:lineRule="auto"/>
              <w:jc w:val="center"/>
              <w:rPr>
                <w:rFonts w:ascii="宋体" w:hAnsi="宋体" w:eastAsia="宋体" w:cs="楷体"/>
                <w:color w:val="auto"/>
                <w:kern w:val="0"/>
                <w:sz w:val="24"/>
                <w:szCs w:val="24"/>
                <w:highlight w:val="none"/>
              </w:rPr>
            </w:pPr>
            <w:r>
              <w:rPr>
                <w:rFonts w:ascii="宋体" w:hAnsi="宋体" w:eastAsia="宋体"/>
                <w:color w:val="auto"/>
                <w:sz w:val="24"/>
                <w:szCs w:val="24"/>
                <w:highlight w:val="none"/>
              </w:rPr>
              <w:t>2.2.4</w:t>
            </w:r>
            <w:r>
              <w:rPr>
                <w:rFonts w:hint="eastAsia" w:ascii="宋体" w:hAnsi="宋体" w:eastAsia="宋体"/>
                <w:color w:val="auto"/>
                <w:sz w:val="24"/>
                <w:szCs w:val="24"/>
                <w:highlight w:val="none"/>
              </w:rPr>
              <w:t>（</w:t>
            </w:r>
            <w:r>
              <w:rPr>
                <w:rFonts w:ascii="宋体" w:hAnsi="宋体" w:eastAsia="宋体"/>
                <w:color w:val="auto"/>
                <w:sz w:val="24"/>
                <w:szCs w:val="24"/>
                <w:highlight w:val="none"/>
              </w:rPr>
              <w:t>2</w:t>
            </w:r>
            <w:r>
              <w:rPr>
                <w:rFonts w:hint="eastAsia" w:ascii="宋体" w:hAnsi="宋体" w:eastAsia="宋体"/>
                <w:color w:val="auto"/>
                <w:sz w:val="24"/>
                <w:szCs w:val="24"/>
                <w:highlight w:val="none"/>
              </w:rPr>
              <w:t>）</w:t>
            </w:r>
          </w:p>
        </w:tc>
        <w:tc>
          <w:tcPr>
            <w:tcW w:w="1276" w:type="dxa"/>
            <w:gridSpan w:val="2"/>
            <w:vMerge w:val="restart"/>
            <w:tcBorders>
              <w:top w:val="single" w:color="auto" w:sz="4" w:space="0"/>
              <w:left w:val="single" w:color="auto" w:sz="4" w:space="0"/>
              <w:right w:val="single" w:color="auto" w:sz="4" w:space="0"/>
            </w:tcBorders>
            <w:shd w:val="clear" w:color="auto" w:fill="auto"/>
            <w:vAlign w:val="center"/>
          </w:tcPr>
          <w:p w14:paraId="05D6111F">
            <w:pPr>
              <w:spacing w:line="276" w:lineRule="auto"/>
              <w:jc w:val="center"/>
              <w:rPr>
                <w:rFonts w:ascii="宋体" w:hAnsi="宋体" w:eastAsia="宋体" w:cs="楷体"/>
                <w:color w:val="auto"/>
                <w:sz w:val="24"/>
                <w:szCs w:val="24"/>
                <w:highlight w:val="none"/>
              </w:rPr>
            </w:pPr>
            <w:r>
              <w:rPr>
                <w:rFonts w:hint="eastAsia" w:ascii="宋体" w:hAnsi="宋体" w:eastAsia="宋体"/>
                <w:color w:val="auto"/>
                <w:sz w:val="24"/>
                <w:szCs w:val="24"/>
                <w:highlight w:val="none"/>
              </w:rPr>
              <w:t>监理大纲评分标准（35）</w:t>
            </w:r>
          </w:p>
        </w:tc>
        <w:tc>
          <w:tcPr>
            <w:tcW w:w="2553" w:type="dxa"/>
            <w:tcBorders>
              <w:top w:val="single" w:color="auto" w:sz="4" w:space="0"/>
              <w:left w:val="single" w:color="auto" w:sz="4" w:space="0"/>
              <w:bottom w:val="single" w:color="auto" w:sz="4" w:space="0"/>
              <w:right w:val="single" w:color="auto" w:sz="4" w:space="0"/>
            </w:tcBorders>
            <w:shd w:val="clear" w:color="auto" w:fill="auto"/>
            <w:vAlign w:val="center"/>
          </w:tcPr>
          <w:p w14:paraId="5E975E06">
            <w:pPr>
              <w:spacing w:before="100" w:beforeAutospacing="1" w:after="100" w:afterAutospacing="1"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投资控制措施（3分）</w:t>
            </w:r>
          </w:p>
        </w:tc>
        <w:tc>
          <w:tcPr>
            <w:tcW w:w="5489" w:type="dxa"/>
            <w:tcBorders>
              <w:top w:val="single" w:color="auto" w:sz="4" w:space="0"/>
              <w:left w:val="single" w:color="auto" w:sz="4" w:space="0"/>
              <w:bottom w:val="single" w:color="auto" w:sz="4" w:space="0"/>
              <w:right w:val="single" w:color="auto" w:sz="4" w:space="0"/>
            </w:tcBorders>
            <w:shd w:val="clear" w:color="auto" w:fill="auto"/>
            <w:vAlign w:val="center"/>
          </w:tcPr>
          <w:p w14:paraId="0EA9C55C">
            <w:pPr>
              <w:spacing w:line="276" w:lineRule="auto"/>
              <w:jc w:val="left"/>
              <w:rPr>
                <w:rFonts w:ascii="宋体" w:hAnsi="宋体" w:eastAsia="宋体"/>
                <w:color w:val="auto"/>
                <w:sz w:val="24"/>
                <w:szCs w:val="24"/>
                <w:highlight w:val="none"/>
              </w:rPr>
            </w:pPr>
            <w:r>
              <w:rPr>
                <w:rFonts w:hint="eastAsia" w:ascii="宋体" w:hAnsi="宋体" w:eastAsia="宋体"/>
                <w:color w:val="auto"/>
                <w:sz w:val="24"/>
                <w:szCs w:val="24"/>
                <w:highlight w:val="none"/>
              </w:rPr>
              <w:t>要求目标明确、方法合理可行、措施具体、针对性强。措施为优得3分；良得2分；一般得1分；无措施不得分。</w:t>
            </w:r>
          </w:p>
        </w:tc>
      </w:tr>
      <w:tr w14:paraId="66C112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4" w:hRule="atLeast"/>
        </w:trPr>
        <w:tc>
          <w:tcPr>
            <w:tcW w:w="816" w:type="dxa"/>
            <w:vMerge w:val="continue"/>
            <w:tcBorders>
              <w:left w:val="single" w:color="auto" w:sz="4" w:space="0"/>
              <w:right w:val="single" w:color="auto" w:sz="4" w:space="0"/>
            </w:tcBorders>
            <w:shd w:val="clear" w:color="auto" w:fill="auto"/>
            <w:vAlign w:val="center"/>
          </w:tcPr>
          <w:p w14:paraId="16455862">
            <w:pPr>
              <w:spacing w:line="276" w:lineRule="auto"/>
              <w:jc w:val="center"/>
              <w:rPr>
                <w:rFonts w:ascii="宋体" w:hAnsi="宋体" w:eastAsia="宋体" w:cs="楷体"/>
                <w:color w:val="auto"/>
                <w:kern w:val="0"/>
                <w:sz w:val="24"/>
                <w:szCs w:val="24"/>
                <w:highlight w:val="none"/>
              </w:rPr>
            </w:pPr>
          </w:p>
        </w:tc>
        <w:tc>
          <w:tcPr>
            <w:tcW w:w="1276" w:type="dxa"/>
            <w:gridSpan w:val="2"/>
            <w:vMerge w:val="continue"/>
            <w:tcBorders>
              <w:left w:val="single" w:color="auto" w:sz="4" w:space="0"/>
              <w:right w:val="single" w:color="auto" w:sz="4" w:space="0"/>
            </w:tcBorders>
            <w:shd w:val="clear" w:color="auto" w:fill="auto"/>
            <w:vAlign w:val="center"/>
          </w:tcPr>
          <w:p w14:paraId="0A84740A">
            <w:pPr>
              <w:spacing w:line="276" w:lineRule="auto"/>
              <w:jc w:val="center"/>
              <w:rPr>
                <w:rFonts w:ascii="宋体" w:hAnsi="宋体" w:eastAsia="宋体" w:cs="楷体"/>
                <w:color w:val="auto"/>
                <w:sz w:val="24"/>
                <w:szCs w:val="24"/>
                <w:highlight w:val="none"/>
              </w:rPr>
            </w:pPr>
          </w:p>
        </w:tc>
        <w:tc>
          <w:tcPr>
            <w:tcW w:w="2553" w:type="dxa"/>
            <w:tcBorders>
              <w:top w:val="single" w:color="auto" w:sz="4" w:space="0"/>
              <w:left w:val="single" w:color="auto" w:sz="4" w:space="0"/>
              <w:bottom w:val="single" w:color="auto" w:sz="4" w:space="0"/>
              <w:right w:val="single" w:color="auto" w:sz="4" w:space="0"/>
            </w:tcBorders>
            <w:shd w:val="clear" w:color="auto" w:fill="auto"/>
            <w:vAlign w:val="center"/>
          </w:tcPr>
          <w:p w14:paraId="70C6878A">
            <w:pPr>
              <w:spacing w:before="100" w:beforeAutospacing="1" w:after="100" w:afterAutospacing="1" w:line="276" w:lineRule="auto"/>
              <w:jc w:val="center"/>
              <w:rPr>
                <w:rFonts w:ascii="宋体" w:hAnsi="宋体" w:eastAsia="宋体" w:cs="宋体"/>
                <w:color w:val="auto"/>
                <w:sz w:val="24"/>
                <w:szCs w:val="24"/>
                <w:highlight w:val="none"/>
              </w:rPr>
            </w:pPr>
            <w:r>
              <w:rPr>
                <w:rFonts w:hint="eastAsia" w:ascii="宋体" w:hAnsi="宋体" w:eastAsia="宋体"/>
                <w:color w:val="auto"/>
                <w:sz w:val="24"/>
                <w:szCs w:val="24"/>
                <w:highlight w:val="none"/>
              </w:rPr>
              <w:t>进度控制措施（3分）</w:t>
            </w:r>
          </w:p>
        </w:tc>
        <w:tc>
          <w:tcPr>
            <w:tcW w:w="5489" w:type="dxa"/>
            <w:tcBorders>
              <w:top w:val="single" w:color="auto" w:sz="4" w:space="0"/>
              <w:left w:val="single" w:color="auto" w:sz="4" w:space="0"/>
              <w:bottom w:val="single" w:color="auto" w:sz="4" w:space="0"/>
              <w:right w:val="single" w:color="auto" w:sz="4" w:space="0"/>
            </w:tcBorders>
            <w:shd w:val="clear" w:color="auto" w:fill="auto"/>
            <w:vAlign w:val="center"/>
          </w:tcPr>
          <w:p w14:paraId="748D696E">
            <w:pPr>
              <w:spacing w:line="276" w:lineRule="auto"/>
              <w:jc w:val="left"/>
              <w:rPr>
                <w:rFonts w:ascii="宋体" w:hAnsi="宋体" w:eastAsia="宋体" w:cs="宋体"/>
                <w:color w:val="auto"/>
                <w:sz w:val="24"/>
                <w:szCs w:val="24"/>
                <w:highlight w:val="none"/>
              </w:rPr>
            </w:pPr>
            <w:r>
              <w:rPr>
                <w:rFonts w:hint="eastAsia" w:ascii="宋体" w:hAnsi="宋体" w:eastAsia="宋体"/>
                <w:color w:val="auto"/>
                <w:sz w:val="24"/>
                <w:szCs w:val="24"/>
                <w:highlight w:val="none"/>
              </w:rPr>
              <w:t>要求目标明确、方法合理可行、措施具体、针对性强。措施为优得3分；良得2分；措施为一般得1分；无措施不得分。</w:t>
            </w:r>
          </w:p>
        </w:tc>
      </w:tr>
      <w:tr w14:paraId="25D50A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6" w:type="dxa"/>
            <w:vMerge w:val="continue"/>
            <w:tcBorders>
              <w:left w:val="single" w:color="auto" w:sz="4" w:space="0"/>
              <w:right w:val="single" w:color="auto" w:sz="4" w:space="0"/>
            </w:tcBorders>
            <w:shd w:val="clear" w:color="auto" w:fill="auto"/>
            <w:vAlign w:val="center"/>
          </w:tcPr>
          <w:p w14:paraId="586FF1C9">
            <w:pPr>
              <w:spacing w:line="276" w:lineRule="auto"/>
              <w:jc w:val="center"/>
              <w:rPr>
                <w:rFonts w:ascii="宋体" w:hAnsi="宋体" w:eastAsia="宋体" w:cs="楷体"/>
                <w:color w:val="auto"/>
                <w:kern w:val="0"/>
                <w:sz w:val="24"/>
                <w:szCs w:val="24"/>
                <w:highlight w:val="none"/>
              </w:rPr>
            </w:pPr>
          </w:p>
        </w:tc>
        <w:tc>
          <w:tcPr>
            <w:tcW w:w="1276" w:type="dxa"/>
            <w:gridSpan w:val="2"/>
            <w:vMerge w:val="continue"/>
            <w:tcBorders>
              <w:left w:val="single" w:color="auto" w:sz="4" w:space="0"/>
              <w:right w:val="single" w:color="auto" w:sz="4" w:space="0"/>
            </w:tcBorders>
            <w:shd w:val="clear" w:color="auto" w:fill="auto"/>
            <w:vAlign w:val="center"/>
          </w:tcPr>
          <w:p w14:paraId="667F254B">
            <w:pPr>
              <w:spacing w:line="276" w:lineRule="auto"/>
              <w:jc w:val="center"/>
              <w:rPr>
                <w:rFonts w:ascii="宋体" w:hAnsi="宋体" w:eastAsia="宋体" w:cs="楷体"/>
                <w:color w:val="auto"/>
                <w:sz w:val="24"/>
                <w:szCs w:val="24"/>
                <w:highlight w:val="none"/>
              </w:rPr>
            </w:pPr>
          </w:p>
        </w:tc>
        <w:tc>
          <w:tcPr>
            <w:tcW w:w="255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059A0FDC">
            <w:pPr>
              <w:spacing w:before="100" w:beforeAutospacing="1" w:after="100" w:afterAutospacing="1" w:line="276" w:lineRule="auto"/>
              <w:jc w:val="center"/>
              <w:rPr>
                <w:rFonts w:ascii="宋体" w:hAnsi="宋体" w:eastAsia="宋体" w:cs="宋体"/>
                <w:color w:val="auto"/>
                <w:sz w:val="24"/>
                <w:szCs w:val="24"/>
                <w:highlight w:val="none"/>
              </w:rPr>
            </w:pPr>
            <w:r>
              <w:rPr>
                <w:rFonts w:hint="eastAsia" w:ascii="宋体" w:hAnsi="宋体" w:eastAsia="宋体"/>
                <w:color w:val="auto"/>
                <w:sz w:val="24"/>
                <w:szCs w:val="24"/>
                <w:highlight w:val="none"/>
              </w:rPr>
              <w:t>质量控制措施（3分）</w:t>
            </w:r>
          </w:p>
        </w:tc>
        <w:tc>
          <w:tcPr>
            <w:tcW w:w="5489" w:type="dxa"/>
            <w:tcBorders>
              <w:top w:val="single" w:color="auto" w:sz="4" w:space="0"/>
              <w:left w:val="single" w:color="auto" w:sz="4" w:space="0"/>
              <w:bottom w:val="single" w:color="auto" w:sz="4" w:space="0"/>
              <w:right w:val="single" w:color="auto" w:sz="4" w:space="0"/>
            </w:tcBorders>
            <w:shd w:val="clear" w:color="auto" w:fill="auto"/>
            <w:vAlign w:val="center"/>
          </w:tcPr>
          <w:p w14:paraId="1A559960">
            <w:pPr>
              <w:spacing w:line="276" w:lineRule="auto"/>
              <w:jc w:val="left"/>
              <w:rPr>
                <w:rFonts w:ascii="宋体" w:hAnsi="宋体" w:eastAsia="宋体" w:cs="宋体"/>
                <w:color w:val="auto"/>
                <w:sz w:val="24"/>
                <w:szCs w:val="24"/>
                <w:highlight w:val="none"/>
              </w:rPr>
            </w:pPr>
            <w:r>
              <w:rPr>
                <w:rFonts w:hint="eastAsia" w:ascii="宋体" w:hAnsi="宋体" w:eastAsia="宋体"/>
                <w:color w:val="auto"/>
                <w:sz w:val="24"/>
                <w:szCs w:val="24"/>
                <w:highlight w:val="none"/>
              </w:rPr>
              <w:t>要求目标明确、方法合理可行、措施具体、针对性强。措施为优得3分；良得2分；措施为一般得1分；无措施不得分。</w:t>
            </w:r>
          </w:p>
        </w:tc>
      </w:tr>
      <w:tr w14:paraId="662B29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2" w:hRule="atLeast"/>
        </w:trPr>
        <w:tc>
          <w:tcPr>
            <w:tcW w:w="816" w:type="dxa"/>
            <w:vMerge w:val="continue"/>
            <w:tcBorders>
              <w:left w:val="single" w:color="auto" w:sz="4" w:space="0"/>
              <w:right w:val="single" w:color="auto" w:sz="4" w:space="0"/>
            </w:tcBorders>
            <w:shd w:val="clear" w:color="auto" w:fill="auto"/>
            <w:vAlign w:val="center"/>
          </w:tcPr>
          <w:p w14:paraId="49530EEA">
            <w:pPr>
              <w:spacing w:line="276" w:lineRule="auto"/>
              <w:jc w:val="center"/>
              <w:rPr>
                <w:rFonts w:ascii="宋体" w:hAnsi="宋体" w:eastAsia="宋体" w:cs="楷体"/>
                <w:color w:val="auto"/>
                <w:kern w:val="0"/>
                <w:sz w:val="24"/>
                <w:szCs w:val="24"/>
                <w:highlight w:val="none"/>
              </w:rPr>
            </w:pPr>
          </w:p>
        </w:tc>
        <w:tc>
          <w:tcPr>
            <w:tcW w:w="1276" w:type="dxa"/>
            <w:gridSpan w:val="2"/>
            <w:vMerge w:val="continue"/>
            <w:tcBorders>
              <w:left w:val="single" w:color="auto" w:sz="4" w:space="0"/>
              <w:right w:val="single" w:color="auto" w:sz="4" w:space="0"/>
            </w:tcBorders>
            <w:shd w:val="clear" w:color="auto" w:fill="auto"/>
            <w:vAlign w:val="center"/>
          </w:tcPr>
          <w:p w14:paraId="77F7FEC2">
            <w:pPr>
              <w:spacing w:line="276" w:lineRule="auto"/>
              <w:jc w:val="center"/>
              <w:rPr>
                <w:rFonts w:ascii="宋体" w:hAnsi="宋体" w:eastAsia="宋体" w:cs="楷体"/>
                <w:color w:val="auto"/>
                <w:sz w:val="24"/>
                <w:szCs w:val="24"/>
                <w:highlight w:val="none"/>
              </w:rPr>
            </w:pPr>
          </w:p>
        </w:tc>
        <w:tc>
          <w:tcPr>
            <w:tcW w:w="255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4063F64E">
            <w:pPr>
              <w:spacing w:before="100" w:beforeAutospacing="1" w:after="100" w:afterAutospacing="1" w:line="276" w:lineRule="auto"/>
              <w:jc w:val="center"/>
              <w:rPr>
                <w:rFonts w:ascii="宋体" w:hAnsi="宋体" w:eastAsia="宋体" w:cs="宋体"/>
                <w:color w:val="auto"/>
                <w:sz w:val="24"/>
                <w:szCs w:val="24"/>
                <w:highlight w:val="none"/>
              </w:rPr>
            </w:pPr>
            <w:r>
              <w:rPr>
                <w:rFonts w:hint="eastAsia" w:ascii="宋体" w:hAnsi="宋体" w:eastAsia="宋体"/>
                <w:color w:val="auto"/>
                <w:sz w:val="24"/>
                <w:szCs w:val="24"/>
                <w:highlight w:val="none"/>
              </w:rPr>
              <w:t>合同管理、信息管理（3分）</w:t>
            </w:r>
          </w:p>
        </w:tc>
        <w:tc>
          <w:tcPr>
            <w:tcW w:w="5489" w:type="dxa"/>
            <w:tcBorders>
              <w:top w:val="single" w:color="auto" w:sz="4" w:space="0"/>
              <w:left w:val="single" w:color="auto" w:sz="4" w:space="0"/>
              <w:bottom w:val="single" w:color="auto" w:sz="4" w:space="0"/>
              <w:right w:val="single" w:color="auto" w:sz="4" w:space="0"/>
            </w:tcBorders>
            <w:shd w:val="clear" w:color="auto" w:fill="auto"/>
            <w:vAlign w:val="center"/>
          </w:tcPr>
          <w:p w14:paraId="4662AC81">
            <w:pPr>
              <w:spacing w:line="276" w:lineRule="auto"/>
              <w:jc w:val="left"/>
              <w:rPr>
                <w:rFonts w:ascii="宋体" w:hAnsi="宋体" w:eastAsia="宋体" w:cs="宋体"/>
                <w:color w:val="auto"/>
                <w:sz w:val="24"/>
                <w:szCs w:val="24"/>
                <w:highlight w:val="none"/>
              </w:rPr>
            </w:pPr>
            <w:r>
              <w:rPr>
                <w:rFonts w:hint="eastAsia" w:ascii="宋体" w:hAnsi="宋体" w:eastAsia="宋体"/>
                <w:color w:val="auto"/>
                <w:sz w:val="24"/>
                <w:szCs w:val="24"/>
                <w:highlight w:val="none"/>
              </w:rPr>
              <w:t>管理方法合理有效，针对性强、措施具体</w:t>
            </w:r>
            <w:r>
              <w:rPr>
                <w:rFonts w:hint="eastAsia" w:ascii="宋体" w:hAnsi="宋体" w:eastAsia="宋体"/>
                <w:color w:val="auto"/>
                <w:sz w:val="24"/>
                <w:szCs w:val="24"/>
                <w:highlight w:val="none"/>
                <w:lang w:eastAsia="zh-CN"/>
              </w:rPr>
              <w:t>优</w:t>
            </w:r>
            <w:r>
              <w:rPr>
                <w:rFonts w:hint="eastAsia" w:ascii="宋体" w:hAnsi="宋体" w:eastAsia="宋体"/>
                <w:color w:val="auto"/>
                <w:sz w:val="24"/>
                <w:szCs w:val="24"/>
                <w:highlight w:val="none"/>
              </w:rPr>
              <w:t>得3分；良得2分；措施为一般得1分；无措施不得分。</w:t>
            </w:r>
          </w:p>
        </w:tc>
      </w:tr>
      <w:tr w14:paraId="183547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2" w:hRule="atLeast"/>
        </w:trPr>
        <w:tc>
          <w:tcPr>
            <w:tcW w:w="816" w:type="dxa"/>
            <w:vMerge w:val="continue"/>
            <w:tcBorders>
              <w:left w:val="single" w:color="auto" w:sz="4" w:space="0"/>
              <w:right w:val="single" w:color="auto" w:sz="4" w:space="0"/>
            </w:tcBorders>
            <w:shd w:val="clear" w:color="auto" w:fill="auto"/>
            <w:vAlign w:val="center"/>
          </w:tcPr>
          <w:p w14:paraId="4792789B">
            <w:pPr>
              <w:spacing w:line="276" w:lineRule="auto"/>
              <w:jc w:val="center"/>
              <w:rPr>
                <w:rFonts w:ascii="宋体" w:hAnsi="宋体" w:eastAsia="宋体" w:cs="楷体"/>
                <w:color w:val="auto"/>
                <w:kern w:val="0"/>
                <w:sz w:val="24"/>
                <w:szCs w:val="24"/>
                <w:highlight w:val="none"/>
              </w:rPr>
            </w:pPr>
          </w:p>
        </w:tc>
        <w:tc>
          <w:tcPr>
            <w:tcW w:w="1276" w:type="dxa"/>
            <w:gridSpan w:val="2"/>
            <w:vMerge w:val="continue"/>
            <w:tcBorders>
              <w:left w:val="single" w:color="auto" w:sz="4" w:space="0"/>
              <w:right w:val="single" w:color="auto" w:sz="4" w:space="0"/>
            </w:tcBorders>
            <w:shd w:val="clear" w:color="auto" w:fill="auto"/>
            <w:vAlign w:val="center"/>
          </w:tcPr>
          <w:p w14:paraId="11B7101F">
            <w:pPr>
              <w:spacing w:line="276" w:lineRule="auto"/>
              <w:jc w:val="center"/>
              <w:rPr>
                <w:rFonts w:ascii="宋体" w:hAnsi="宋体" w:eastAsia="宋体" w:cs="楷体"/>
                <w:color w:val="auto"/>
                <w:sz w:val="24"/>
                <w:szCs w:val="24"/>
                <w:highlight w:val="none"/>
              </w:rPr>
            </w:pPr>
          </w:p>
        </w:tc>
        <w:tc>
          <w:tcPr>
            <w:tcW w:w="255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44C0BD74">
            <w:pPr>
              <w:spacing w:before="100" w:beforeAutospacing="1" w:after="100" w:afterAutospacing="1" w:line="276" w:lineRule="auto"/>
              <w:jc w:val="center"/>
              <w:rPr>
                <w:rFonts w:ascii="宋体" w:hAnsi="宋体" w:eastAsia="宋体" w:cs="宋体"/>
                <w:color w:val="auto"/>
                <w:sz w:val="24"/>
                <w:szCs w:val="24"/>
                <w:highlight w:val="none"/>
              </w:rPr>
            </w:pPr>
            <w:r>
              <w:rPr>
                <w:rFonts w:hint="eastAsia" w:ascii="宋体" w:hAnsi="宋体" w:eastAsia="宋体"/>
                <w:color w:val="auto"/>
                <w:sz w:val="24"/>
                <w:szCs w:val="24"/>
                <w:highlight w:val="none"/>
              </w:rPr>
              <w:t>组织协调（3分）</w:t>
            </w:r>
          </w:p>
        </w:tc>
        <w:tc>
          <w:tcPr>
            <w:tcW w:w="5489" w:type="dxa"/>
            <w:tcBorders>
              <w:top w:val="single" w:color="auto" w:sz="4" w:space="0"/>
              <w:left w:val="single" w:color="auto" w:sz="4" w:space="0"/>
              <w:bottom w:val="single" w:color="auto" w:sz="4" w:space="0"/>
              <w:right w:val="single" w:color="auto" w:sz="4" w:space="0"/>
            </w:tcBorders>
            <w:shd w:val="clear" w:color="auto" w:fill="auto"/>
            <w:vAlign w:val="center"/>
          </w:tcPr>
          <w:p w14:paraId="58F952CE">
            <w:pPr>
              <w:spacing w:line="276" w:lineRule="auto"/>
              <w:jc w:val="left"/>
              <w:rPr>
                <w:rFonts w:ascii="宋体" w:hAnsi="宋体" w:eastAsia="宋体" w:cs="宋体"/>
                <w:color w:val="auto"/>
                <w:sz w:val="24"/>
                <w:szCs w:val="24"/>
                <w:highlight w:val="none"/>
              </w:rPr>
            </w:pPr>
            <w:r>
              <w:rPr>
                <w:rFonts w:hint="eastAsia" w:ascii="宋体" w:hAnsi="宋体" w:eastAsia="宋体"/>
                <w:color w:val="auto"/>
                <w:sz w:val="24"/>
                <w:szCs w:val="24"/>
                <w:highlight w:val="none"/>
              </w:rPr>
              <w:t>协调方法合理有效，针对性强、措施为优得3分；良得2分；措施为一般得1分；无措施不得分。</w:t>
            </w:r>
          </w:p>
        </w:tc>
      </w:tr>
      <w:tr w14:paraId="0D6E4A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2" w:hRule="atLeast"/>
        </w:trPr>
        <w:tc>
          <w:tcPr>
            <w:tcW w:w="816" w:type="dxa"/>
            <w:vMerge w:val="continue"/>
            <w:tcBorders>
              <w:left w:val="single" w:color="auto" w:sz="4" w:space="0"/>
              <w:right w:val="single" w:color="auto" w:sz="4" w:space="0"/>
            </w:tcBorders>
            <w:shd w:val="clear" w:color="auto" w:fill="auto"/>
            <w:vAlign w:val="center"/>
          </w:tcPr>
          <w:p w14:paraId="48EEC843">
            <w:pPr>
              <w:spacing w:line="276" w:lineRule="auto"/>
              <w:jc w:val="center"/>
              <w:rPr>
                <w:rFonts w:ascii="宋体" w:hAnsi="宋体" w:eastAsia="宋体" w:cs="楷体"/>
                <w:color w:val="auto"/>
                <w:kern w:val="0"/>
                <w:sz w:val="24"/>
                <w:szCs w:val="24"/>
                <w:highlight w:val="none"/>
              </w:rPr>
            </w:pPr>
          </w:p>
        </w:tc>
        <w:tc>
          <w:tcPr>
            <w:tcW w:w="1276" w:type="dxa"/>
            <w:gridSpan w:val="2"/>
            <w:vMerge w:val="continue"/>
            <w:tcBorders>
              <w:left w:val="single" w:color="auto" w:sz="4" w:space="0"/>
              <w:right w:val="single" w:color="auto" w:sz="4" w:space="0"/>
            </w:tcBorders>
            <w:shd w:val="clear" w:color="auto" w:fill="auto"/>
            <w:vAlign w:val="center"/>
          </w:tcPr>
          <w:p w14:paraId="301A01BE">
            <w:pPr>
              <w:spacing w:line="276" w:lineRule="auto"/>
              <w:jc w:val="center"/>
              <w:rPr>
                <w:rFonts w:ascii="宋体" w:hAnsi="宋体" w:eastAsia="宋体" w:cs="楷体"/>
                <w:color w:val="auto"/>
                <w:sz w:val="24"/>
                <w:szCs w:val="24"/>
                <w:highlight w:val="none"/>
              </w:rPr>
            </w:pPr>
          </w:p>
        </w:tc>
        <w:tc>
          <w:tcPr>
            <w:tcW w:w="2553" w:type="dxa"/>
            <w:tcBorders>
              <w:top w:val="single" w:color="auto" w:sz="4" w:space="0"/>
              <w:left w:val="single" w:color="auto" w:sz="4" w:space="0"/>
              <w:bottom w:val="single" w:color="auto" w:sz="4" w:space="0"/>
              <w:right w:val="single" w:color="auto" w:sz="4" w:space="0"/>
            </w:tcBorders>
            <w:shd w:val="clear" w:color="auto" w:fill="auto"/>
            <w:vAlign w:val="center"/>
          </w:tcPr>
          <w:p w14:paraId="03B05250">
            <w:pPr>
              <w:spacing w:before="100" w:beforeAutospacing="1" w:after="100" w:afterAutospacing="1" w:line="276" w:lineRule="auto"/>
              <w:jc w:val="center"/>
              <w:rPr>
                <w:rFonts w:ascii="宋体" w:hAnsi="宋体" w:eastAsia="宋体" w:cs="宋体"/>
                <w:color w:val="auto"/>
                <w:sz w:val="24"/>
                <w:szCs w:val="24"/>
                <w:highlight w:val="none"/>
              </w:rPr>
            </w:pPr>
            <w:r>
              <w:rPr>
                <w:rFonts w:hint="eastAsia" w:ascii="宋体" w:hAnsi="宋体" w:eastAsia="宋体"/>
                <w:color w:val="auto"/>
                <w:sz w:val="24"/>
                <w:szCs w:val="24"/>
                <w:highlight w:val="none"/>
              </w:rPr>
              <w:t>监理工作程序（3分）</w:t>
            </w:r>
          </w:p>
        </w:tc>
        <w:tc>
          <w:tcPr>
            <w:tcW w:w="5489" w:type="dxa"/>
            <w:tcBorders>
              <w:top w:val="single" w:color="auto" w:sz="4" w:space="0"/>
              <w:left w:val="single" w:color="auto" w:sz="4" w:space="0"/>
              <w:bottom w:val="single" w:color="auto" w:sz="4" w:space="0"/>
              <w:right w:val="single" w:color="auto" w:sz="4" w:space="0"/>
            </w:tcBorders>
            <w:shd w:val="clear" w:color="auto" w:fill="auto"/>
            <w:vAlign w:val="center"/>
          </w:tcPr>
          <w:p w14:paraId="53B3BE80">
            <w:pPr>
              <w:spacing w:line="276" w:lineRule="auto"/>
              <w:jc w:val="left"/>
              <w:rPr>
                <w:rFonts w:ascii="宋体" w:hAnsi="宋体" w:eastAsia="宋体" w:cs="宋体"/>
                <w:color w:val="auto"/>
                <w:sz w:val="24"/>
                <w:szCs w:val="24"/>
                <w:highlight w:val="none"/>
              </w:rPr>
            </w:pPr>
            <w:r>
              <w:rPr>
                <w:rFonts w:hint="eastAsia" w:ascii="宋体" w:hAnsi="宋体" w:eastAsia="宋体"/>
                <w:color w:val="auto"/>
                <w:sz w:val="24"/>
                <w:szCs w:val="24"/>
                <w:highlight w:val="none"/>
              </w:rPr>
              <w:t>有清晰的工作流程图、工作准则。满足要求得3分；基本满足要求得2分；不满足要求不得分。</w:t>
            </w:r>
          </w:p>
        </w:tc>
      </w:tr>
      <w:tr w14:paraId="426A2F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6" w:type="dxa"/>
            <w:vMerge w:val="continue"/>
            <w:tcBorders>
              <w:left w:val="single" w:color="auto" w:sz="4" w:space="0"/>
              <w:right w:val="single" w:color="auto" w:sz="4" w:space="0"/>
            </w:tcBorders>
            <w:shd w:val="clear" w:color="auto" w:fill="auto"/>
            <w:vAlign w:val="center"/>
          </w:tcPr>
          <w:p w14:paraId="0E4006E2">
            <w:pPr>
              <w:spacing w:line="276" w:lineRule="auto"/>
              <w:jc w:val="center"/>
              <w:rPr>
                <w:rFonts w:ascii="宋体" w:hAnsi="宋体" w:eastAsia="宋体" w:cs="楷体"/>
                <w:color w:val="auto"/>
                <w:kern w:val="0"/>
                <w:sz w:val="24"/>
                <w:szCs w:val="24"/>
                <w:highlight w:val="none"/>
              </w:rPr>
            </w:pPr>
          </w:p>
        </w:tc>
        <w:tc>
          <w:tcPr>
            <w:tcW w:w="1276" w:type="dxa"/>
            <w:gridSpan w:val="2"/>
            <w:vMerge w:val="continue"/>
            <w:tcBorders>
              <w:left w:val="single" w:color="auto" w:sz="4" w:space="0"/>
              <w:right w:val="single" w:color="auto" w:sz="4" w:space="0"/>
            </w:tcBorders>
            <w:shd w:val="clear" w:color="auto" w:fill="auto"/>
            <w:vAlign w:val="center"/>
          </w:tcPr>
          <w:p w14:paraId="0CCF49F7">
            <w:pPr>
              <w:spacing w:line="276" w:lineRule="auto"/>
              <w:jc w:val="center"/>
              <w:rPr>
                <w:rFonts w:ascii="宋体" w:hAnsi="宋体" w:eastAsia="宋体" w:cs="楷体"/>
                <w:color w:val="auto"/>
                <w:sz w:val="24"/>
                <w:szCs w:val="24"/>
                <w:highlight w:val="none"/>
              </w:rPr>
            </w:pPr>
          </w:p>
        </w:tc>
        <w:tc>
          <w:tcPr>
            <w:tcW w:w="2553" w:type="dxa"/>
            <w:tcBorders>
              <w:top w:val="single" w:color="auto" w:sz="4" w:space="0"/>
              <w:left w:val="single" w:color="auto" w:sz="4" w:space="0"/>
              <w:bottom w:val="single" w:color="auto" w:sz="4" w:space="0"/>
              <w:right w:val="single" w:color="auto" w:sz="4" w:space="0"/>
            </w:tcBorders>
            <w:shd w:val="clear" w:color="auto" w:fill="auto"/>
            <w:vAlign w:val="center"/>
          </w:tcPr>
          <w:p w14:paraId="42B29E4F">
            <w:pPr>
              <w:spacing w:before="100" w:beforeAutospacing="1" w:after="100" w:afterAutospacing="1" w:line="276" w:lineRule="auto"/>
              <w:jc w:val="center"/>
              <w:rPr>
                <w:rFonts w:ascii="宋体" w:hAnsi="宋体" w:eastAsia="宋体" w:cs="宋体"/>
                <w:color w:val="auto"/>
                <w:sz w:val="24"/>
                <w:szCs w:val="24"/>
                <w:highlight w:val="none"/>
              </w:rPr>
            </w:pPr>
            <w:r>
              <w:rPr>
                <w:rFonts w:hint="eastAsia" w:ascii="宋体" w:hAnsi="宋体" w:eastAsia="宋体"/>
                <w:color w:val="auto"/>
                <w:sz w:val="24"/>
                <w:szCs w:val="24"/>
                <w:highlight w:val="none"/>
              </w:rPr>
              <w:t>安全、文明施工管理（5分）</w:t>
            </w:r>
          </w:p>
        </w:tc>
        <w:tc>
          <w:tcPr>
            <w:tcW w:w="5489" w:type="dxa"/>
            <w:tcBorders>
              <w:top w:val="single" w:color="auto" w:sz="4" w:space="0"/>
              <w:left w:val="single" w:color="auto" w:sz="4" w:space="0"/>
              <w:bottom w:val="single" w:color="auto" w:sz="4" w:space="0"/>
              <w:right w:val="single" w:color="auto" w:sz="4" w:space="0"/>
            </w:tcBorders>
            <w:shd w:val="clear" w:color="auto" w:fill="auto"/>
            <w:vAlign w:val="center"/>
          </w:tcPr>
          <w:p w14:paraId="3DC2AE65">
            <w:pPr>
              <w:spacing w:line="276" w:lineRule="auto"/>
              <w:jc w:val="left"/>
              <w:rPr>
                <w:rFonts w:ascii="宋体" w:hAnsi="宋体" w:eastAsia="宋体" w:cs="宋体"/>
                <w:color w:val="auto"/>
                <w:sz w:val="24"/>
                <w:szCs w:val="24"/>
                <w:highlight w:val="none"/>
              </w:rPr>
            </w:pPr>
            <w:r>
              <w:rPr>
                <w:rFonts w:hint="eastAsia" w:ascii="宋体" w:hAnsi="宋体" w:eastAsia="宋体"/>
                <w:color w:val="auto"/>
                <w:sz w:val="24"/>
                <w:szCs w:val="24"/>
                <w:highlight w:val="none"/>
              </w:rPr>
              <w:t>管理措施优得5分；良得3分；一般得1分；无措施不得分。</w:t>
            </w:r>
          </w:p>
        </w:tc>
      </w:tr>
      <w:tr w14:paraId="1CA4E0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6" w:type="dxa"/>
            <w:vMerge w:val="continue"/>
            <w:tcBorders>
              <w:left w:val="single" w:color="auto" w:sz="4" w:space="0"/>
              <w:right w:val="single" w:color="auto" w:sz="4" w:space="0"/>
            </w:tcBorders>
            <w:shd w:val="clear" w:color="auto" w:fill="auto"/>
            <w:vAlign w:val="center"/>
          </w:tcPr>
          <w:p w14:paraId="573F294C">
            <w:pPr>
              <w:spacing w:line="276" w:lineRule="auto"/>
              <w:jc w:val="center"/>
              <w:rPr>
                <w:rFonts w:ascii="宋体" w:hAnsi="宋体" w:eastAsia="宋体" w:cs="楷体"/>
                <w:color w:val="auto"/>
                <w:kern w:val="0"/>
                <w:sz w:val="24"/>
                <w:szCs w:val="24"/>
                <w:highlight w:val="none"/>
              </w:rPr>
            </w:pPr>
          </w:p>
        </w:tc>
        <w:tc>
          <w:tcPr>
            <w:tcW w:w="1276" w:type="dxa"/>
            <w:gridSpan w:val="2"/>
            <w:vMerge w:val="continue"/>
            <w:tcBorders>
              <w:left w:val="single" w:color="auto" w:sz="4" w:space="0"/>
              <w:right w:val="single" w:color="auto" w:sz="4" w:space="0"/>
            </w:tcBorders>
            <w:shd w:val="clear" w:color="auto" w:fill="auto"/>
            <w:vAlign w:val="center"/>
          </w:tcPr>
          <w:p w14:paraId="6DBF8891">
            <w:pPr>
              <w:spacing w:line="276" w:lineRule="auto"/>
              <w:jc w:val="center"/>
              <w:rPr>
                <w:rFonts w:ascii="宋体" w:hAnsi="宋体" w:eastAsia="宋体" w:cs="楷体"/>
                <w:color w:val="auto"/>
                <w:sz w:val="24"/>
                <w:szCs w:val="24"/>
                <w:highlight w:val="none"/>
              </w:rPr>
            </w:pPr>
          </w:p>
        </w:tc>
        <w:tc>
          <w:tcPr>
            <w:tcW w:w="2553" w:type="dxa"/>
            <w:tcBorders>
              <w:top w:val="single" w:color="auto" w:sz="4" w:space="0"/>
              <w:left w:val="single" w:color="auto" w:sz="4" w:space="0"/>
              <w:bottom w:val="single" w:color="auto" w:sz="4" w:space="0"/>
              <w:right w:val="single" w:color="auto" w:sz="4" w:space="0"/>
            </w:tcBorders>
            <w:shd w:val="clear" w:color="auto" w:fill="auto"/>
            <w:vAlign w:val="center"/>
          </w:tcPr>
          <w:p w14:paraId="3DA5B270">
            <w:pPr>
              <w:spacing w:before="100" w:beforeAutospacing="1" w:after="100" w:afterAutospacing="1" w:line="276" w:lineRule="auto"/>
              <w:jc w:val="center"/>
              <w:rPr>
                <w:rFonts w:ascii="宋体" w:hAnsi="宋体" w:eastAsia="宋体" w:cs="宋体"/>
                <w:color w:val="auto"/>
                <w:sz w:val="24"/>
                <w:szCs w:val="24"/>
                <w:highlight w:val="none"/>
              </w:rPr>
            </w:pPr>
            <w:r>
              <w:rPr>
                <w:rFonts w:hint="eastAsia" w:ascii="宋体" w:hAnsi="宋体" w:eastAsia="宋体"/>
                <w:color w:val="auto"/>
                <w:sz w:val="24"/>
                <w:szCs w:val="24"/>
                <w:highlight w:val="none"/>
              </w:rPr>
              <w:t>重点难点监控措施（5分）</w:t>
            </w:r>
          </w:p>
        </w:tc>
        <w:tc>
          <w:tcPr>
            <w:tcW w:w="5489" w:type="dxa"/>
            <w:tcBorders>
              <w:top w:val="single" w:color="auto" w:sz="4" w:space="0"/>
              <w:left w:val="single" w:color="auto" w:sz="4" w:space="0"/>
              <w:bottom w:val="single" w:color="auto" w:sz="4" w:space="0"/>
              <w:right w:val="single" w:color="auto" w:sz="4" w:space="0"/>
            </w:tcBorders>
            <w:shd w:val="clear" w:color="auto" w:fill="auto"/>
            <w:vAlign w:val="center"/>
          </w:tcPr>
          <w:p w14:paraId="4F3206B3">
            <w:pPr>
              <w:spacing w:line="276" w:lineRule="auto"/>
              <w:jc w:val="left"/>
              <w:rPr>
                <w:rFonts w:ascii="宋体" w:hAnsi="宋体" w:eastAsia="宋体" w:cs="宋体"/>
                <w:color w:val="auto"/>
                <w:sz w:val="24"/>
                <w:szCs w:val="24"/>
                <w:highlight w:val="none"/>
              </w:rPr>
            </w:pPr>
            <w:r>
              <w:rPr>
                <w:rFonts w:hint="eastAsia" w:ascii="宋体" w:hAnsi="宋体" w:eastAsia="宋体"/>
                <w:color w:val="auto"/>
                <w:sz w:val="24"/>
                <w:szCs w:val="24"/>
                <w:highlight w:val="none"/>
              </w:rPr>
              <w:t>要求针对性强、措施具体、可操作。措施为优得5分；良得3分；措施为一般得1分；无措施不得分。</w:t>
            </w:r>
          </w:p>
        </w:tc>
      </w:tr>
      <w:tr w14:paraId="75E4EE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6" w:type="dxa"/>
            <w:vMerge w:val="continue"/>
            <w:tcBorders>
              <w:left w:val="single" w:color="auto" w:sz="4" w:space="0"/>
              <w:right w:val="single" w:color="auto" w:sz="4" w:space="0"/>
            </w:tcBorders>
            <w:shd w:val="clear" w:color="auto" w:fill="auto"/>
            <w:vAlign w:val="center"/>
          </w:tcPr>
          <w:p w14:paraId="7231F775">
            <w:pPr>
              <w:spacing w:line="276" w:lineRule="auto"/>
              <w:jc w:val="center"/>
              <w:rPr>
                <w:rFonts w:ascii="宋体" w:hAnsi="宋体" w:eastAsia="宋体" w:cs="楷体"/>
                <w:color w:val="auto"/>
                <w:kern w:val="0"/>
                <w:sz w:val="24"/>
                <w:szCs w:val="24"/>
                <w:highlight w:val="none"/>
              </w:rPr>
            </w:pPr>
          </w:p>
        </w:tc>
        <w:tc>
          <w:tcPr>
            <w:tcW w:w="1276" w:type="dxa"/>
            <w:gridSpan w:val="2"/>
            <w:vMerge w:val="continue"/>
            <w:tcBorders>
              <w:left w:val="single" w:color="auto" w:sz="4" w:space="0"/>
              <w:right w:val="single" w:color="auto" w:sz="4" w:space="0"/>
            </w:tcBorders>
            <w:shd w:val="clear" w:color="auto" w:fill="auto"/>
            <w:vAlign w:val="center"/>
          </w:tcPr>
          <w:p w14:paraId="2F65BA17">
            <w:pPr>
              <w:spacing w:line="276" w:lineRule="auto"/>
              <w:jc w:val="center"/>
              <w:rPr>
                <w:rFonts w:ascii="宋体" w:hAnsi="宋体" w:eastAsia="宋体" w:cs="楷体"/>
                <w:color w:val="auto"/>
                <w:sz w:val="24"/>
                <w:szCs w:val="24"/>
                <w:highlight w:val="none"/>
              </w:rPr>
            </w:pPr>
          </w:p>
        </w:tc>
        <w:tc>
          <w:tcPr>
            <w:tcW w:w="2553" w:type="dxa"/>
            <w:tcBorders>
              <w:top w:val="single" w:color="auto" w:sz="4" w:space="0"/>
              <w:left w:val="single" w:color="auto" w:sz="4" w:space="0"/>
              <w:bottom w:val="single" w:color="auto" w:sz="4" w:space="0"/>
              <w:right w:val="single" w:color="auto" w:sz="4" w:space="0"/>
            </w:tcBorders>
            <w:shd w:val="clear" w:color="auto" w:fill="auto"/>
            <w:vAlign w:val="center"/>
          </w:tcPr>
          <w:p w14:paraId="59579539">
            <w:pPr>
              <w:spacing w:before="100" w:beforeAutospacing="1" w:after="100" w:afterAutospacing="1" w:line="276" w:lineRule="auto"/>
              <w:jc w:val="center"/>
              <w:rPr>
                <w:rFonts w:ascii="宋体" w:hAnsi="宋体" w:eastAsia="宋体" w:cs="宋体"/>
                <w:color w:val="auto"/>
                <w:sz w:val="24"/>
                <w:szCs w:val="24"/>
                <w:highlight w:val="none"/>
              </w:rPr>
            </w:pPr>
            <w:r>
              <w:rPr>
                <w:rFonts w:hint="eastAsia" w:ascii="宋体" w:hAnsi="宋体" w:eastAsia="宋体"/>
                <w:color w:val="auto"/>
                <w:sz w:val="24"/>
                <w:szCs w:val="24"/>
                <w:highlight w:val="none"/>
              </w:rPr>
              <w:t>工程进度款、工程结算的管理（3分）</w:t>
            </w:r>
          </w:p>
        </w:tc>
        <w:tc>
          <w:tcPr>
            <w:tcW w:w="5489" w:type="dxa"/>
            <w:tcBorders>
              <w:top w:val="single" w:color="auto" w:sz="4" w:space="0"/>
              <w:left w:val="single" w:color="auto" w:sz="4" w:space="0"/>
              <w:bottom w:val="single" w:color="auto" w:sz="4" w:space="0"/>
              <w:right w:val="single" w:color="auto" w:sz="4" w:space="0"/>
            </w:tcBorders>
            <w:shd w:val="clear" w:color="auto" w:fill="auto"/>
            <w:vAlign w:val="center"/>
          </w:tcPr>
          <w:p w14:paraId="6DEB09CC">
            <w:pPr>
              <w:spacing w:line="276" w:lineRule="auto"/>
              <w:jc w:val="left"/>
              <w:rPr>
                <w:rFonts w:ascii="宋体" w:hAnsi="宋体" w:eastAsia="宋体" w:cs="宋体"/>
                <w:color w:val="auto"/>
                <w:sz w:val="24"/>
                <w:szCs w:val="24"/>
                <w:highlight w:val="none"/>
              </w:rPr>
            </w:pPr>
            <w:r>
              <w:rPr>
                <w:rFonts w:hint="eastAsia" w:ascii="宋体" w:hAnsi="宋体" w:eastAsia="宋体"/>
                <w:color w:val="auto"/>
                <w:sz w:val="24"/>
                <w:szCs w:val="24"/>
                <w:highlight w:val="none"/>
              </w:rPr>
              <w:t>管理方法合理有效、有具体措施，措施为优得3分；良得2分；措施为一般得1分；无措施不得分。</w:t>
            </w:r>
          </w:p>
        </w:tc>
      </w:tr>
      <w:tr w14:paraId="583CF4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816" w:type="dxa"/>
            <w:vMerge w:val="continue"/>
            <w:tcBorders>
              <w:left w:val="single" w:color="auto" w:sz="4" w:space="0"/>
              <w:right w:val="single" w:color="auto" w:sz="4" w:space="0"/>
            </w:tcBorders>
            <w:vAlign w:val="center"/>
          </w:tcPr>
          <w:p w14:paraId="4D33DCF8">
            <w:pPr>
              <w:spacing w:line="276" w:lineRule="auto"/>
              <w:jc w:val="center"/>
              <w:rPr>
                <w:rFonts w:ascii="宋体" w:hAnsi="宋体" w:eastAsia="宋体"/>
                <w:color w:val="auto"/>
                <w:sz w:val="24"/>
                <w:szCs w:val="24"/>
                <w:highlight w:val="none"/>
              </w:rPr>
            </w:pPr>
          </w:p>
        </w:tc>
        <w:tc>
          <w:tcPr>
            <w:tcW w:w="1276" w:type="dxa"/>
            <w:gridSpan w:val="2"/>
            <w:vMerge w:val="continue"/>
            <w:tcBorders>
              <w:left w:val="single" w:color="auto" w:sz="4" w:space="0"/>
              <w:right w:val="single" w:color="auto" w:sz="4" w:space="0"/>
            </w:tcBorders>
            <w:vAlign w:val="center"/>
          </w:tcPr>
          <w:p w14:paraId="4E9CDB53">
            <w:pPr>
              <w:spacing w:line="276" w:lineRule="auto"/>
              <w:jc w:val="center"/>
              <w:rPr>
                <w:rFonts w:ascii="宋体" w:hAnsi="宋体" w:eastAsia="宋体"/>
                <w:color w:val="auto"/>
                <w:sz w:val="24"/>
                <w:szCs w:val="24"/>
                <w:highlight w:val="none"/>
              </w:rPr>
            </w:pPr>
          </w:p>
        </w:tc>
        <w:tc>
          <w:tcPr>
            <w:tcW w:w="2553" w:type="dxa"/>
            <w:tcBorders>
              <w:top w:val="single" w:color="auto" w:sz="4" w:space="0"/>
              <w:left w:val="single" w:color="auto" w:sz="4" w:space="0"/>
              <w:bottom w:val="single" w:color="auto" w:sz="4" w:space="0"/>
              <w:right w:val="single" w:color="auto" w:sz="4" w:space="0"/>
            </w:tcBorders>
            <w:vAlign w:val="center"/>
          </w:tcPr>
          <w:p w14:paraId="36E7C6C3">
            <w:pPr>
              <w:spacing w:before="100" w:beforeAutospacing="1" w:after="100" w:afterAutospacing="1"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合理化建议（2分）</w:t>
            </w:r>
          </w:p>
        </w:tc>
        <w:tc>
          <w:tcPr>
            <w:tcW w:w="5489" w:type="dxa"/>
            <w:tcBorders>
              <w:top w:val="single" w:color="auto" w:sz="4" w:space="0"/>
              <w:left w:val="single" w:color="auto" w:sz="4" w:space="0"/>
              <w:bottom w:val="single" w:color="auto" w:sz="4" w:space="0"/>
              <w:right w:val="single" w:color="auto" w:sz="4" w:space="0"/>
            </w:tcBorders>
            <w:vAlign w:val="center"/>
          </w:tcPr>
          <w:p w14:paraId="2A583AEC">
            <w:pPr>
              <w:spacing w:line="276" w:lineRule="auto"/>
              <w:jc w:val="left"/>
              <w:rPr>
                <w:rFonts w:ascii="宋体" w:hAnsi="宋体" w:eastAsia="宋体"/>
                <w:color w:val="auto"/>
                <w:sz w:val="24"/>
                <w:szCs w:val="24"/>
                <w:highlight w:val="none"/>
              </w:rPr>
            </w:pPr>
            <w:r>
              <w:rPr>
                <w:rFonts w:hint="eastAsia" w:ascii="宋体" w:hAnsi="宋体" w:eastAsia="宋体"/>
                <w:color w:val="auto"/>
                <w:sz w:val="24"/>
                <w:szCs w:val="24"/>
                <w:highlight w:val="none"/>
              </w:rPr>
              <w:t>具有科学、合理、可行及具体措施的优得2分；一般1分；差得0分。</w:t>
            </w:r>
          </w:p>
        </w:tc>
      </w:tr>
      <w:tr w14:paraId="3850CA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4" w:hRule="atLeast"/>
        </w:trPr>
        <w:tc>
          <w:tcPr>
            <w:tcW w:w="816" w:type="dxa"/>
            <w:vMerge w:val="continue"/>
            <w:tcBorders>
              <w:left w:val="single" w:color="auto" w:sz="4" w:space="0"/>
              <w:right w:val="single" w:color="auto" w:sz="4" w:space="0"/>
            </w:tcBorders>
            <w:vAlign w:val="center"/>
          </w:tcPr>
          <w:p w14:paraId="31DC31D1">
            <w:pPr>
              <w:spacing w:line="276" w:lineRule="auto"/>
              <w:jc w:val="center"/>
              <w:rPr>
                <w:rFonts w:ascii="宋体" w:hAnsi="宋体" w:eastAsia="宋体"/>
                <w:color w:val="auto"/>
                <w:sz w:val="24"/>
                <w:szCs w:val="24"/>
                <w:highlight w:val="none"/>
              </w:rPr>
            </w:pPr>
          </w:p>
        </w:tc>
        <w:tc>
          <w:tcPr>
            <w:tcW w:w="1276" w:type="dxa"/>
            <w:gridSpan w:val="2"/>
            <w:vMerge w:val="continue"/>
            <w:tcBorders>
              <w:left w:val="single" w:color="auto" w:sz="4" w:space="0"/>
              <w:right w:val="single" w:color="auto" w:sz="4" w:space="0"/>
            </w:tcBorders>
            <w:vAlign w:val="center"/>
          </w:tcPr>
          <w:p w14:paraId="6CCDDC27">
            <w:pPr>
              <w:spacing w:line="276" w:lineRule="auto"/>
              <w:jc w:val="center"/>
              <w:rPr>
                <w:rFonts w:ascii="宋体" w:hAnsi="宋体" w:eastAsia="宋体"/>
                <w:color w:val="auto"/>
                <w:sz w:val="24"/>
                <w:szCs w:val="24"/>
                <w:highlight w:val="none"/>
              </w:rPr>
            </w:pPr>
          </w:p>
        </w:tc>
        <w:tc>
          <w:tcPr>
            <w:tcW w:w="2553" w:type="dxa"/>
            <w:tcBorders>
              <w:top w:val="single" w:color="auto" w:sz="4" w:space="0"/>
              <w:left w:val="single" w:color="auto" w:sz="4" w:space="0"/>
              <w:right w:val="single" w:color="auto" w:sz="4" w:space="0"/>
            </w:tcBorders>
            <w:vAlign w:val="center"/>
          </w:tcPr>
          <w:p w14:paraId="36E4F75F">
            <w:pPr>
              <w:spacing w:before="100" w:beforeAutospacing="1" w:after="100" w:afterAutospacing="1"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承接业务能力优势（2）</w:t>
            </w:r>
          </w:p>
        </w:tc>
        <w:tc>
          <w:tcPr>
            <w:tcW w:w="5489" w:type="dxa"/>
            <w:tcBorders>
              <w:top w:val="single" w:color="auto" w:sz="4" w:space="0"/>
              <w:left w:val="single" w:color="auto" w:sz="4" w:space="0"/>
              <w:right w:val="single" w:color="auto" w:sz="4" w:space="0"/>
            </w:tcBorders>
            <w:vAlign w:val="center"/>
          </w:tcPr>
          <w:p w14:paraId="6D8F2534">
            <w:pPr>
              <w:spacing w:before="100" w:beforeAutospacing="1" w:after="100" w:afterAutospacing="1" w:line="276" w:lineRule="auto"/>
              <w:jc w:val="left"/>
              <w:rPr>
                <w:rFonts w:ascii="宋体" w:hAnsi="宋体" w:eastAsia="宋体"/>
                <w:color w:val="auto"/>
                <w:sz w:val="24"/>
                <w:szCs w:val="24"/>
                <w:highlight w:val="none"/>
              </w:rPr>
            </w:pPr>
            <w:r>
              <w:rPr>
                <w:rFonts w:hint="eastAsia" w:ascii="宋体" w:hAnsi="宋体" w:eastAsia="宋体"/>
                <w:color w:val="auto"/>
                <w:sz w:val="24"/>
                <w:szCs w:val="24"/>
                <w:highlight w:val="none"/>
              </w:rPr>
              <w:t>根据本项目实际情况，自行书面陈述承接本项目业务能力优势；本项最多得</w:t>
            </w:r>
            <w:r>
              <w:rPr>
                <w:rFonts w:ascii="宋体" w:hAnsi="宋体" w:eastAsia="宋体"/>
                <w:color w:val="auto"/>
                <w:sz w:val="24"/>
                <w:szCs w:val="24"/>
                <w:highlight w:val="none"/>
              </w:rPr>
              <w:t>2</w:t>
            </w:r>
            <w:r>
              <w:rPr>
                <w:rFonts w:hint="eastAsia" w:ascii="宋体" w:hAnsi="宋体" w:eastAsia="宋体"/>
                <w:color w:val="auto"/>
                <w:sz w:val="24"/>
                <w:szCs w:val="24"/>
                <w:highlight w:val="none"/>
              </w:rPr>
              <w:t>分。</w:t>
            </w:r>
          </w:p>
        </w:tc>
      </w:tr>
      <w:tr w14:paraId="4E1A55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816" w:type="dxa"/>
            <w:tcBorders>
              <w:top w:val="single" w:color="auto" w:sz="4" w:space="0"/>
              <w:bottom w:val="single" w:color="auto" w:sz="4" w:space="0"/>
              <w:right w:val="single" w:color="auto" w:sz="4" w:space="0"/>
            </w:tcBorders>
            <w:vAlign w:val="center"/>
          </w:tcPr>
          <w:p w14:paraId="2FEEFC95">
            <w:pPr>
              <w:spacing w:line="276" w:lineRule="auto"/>
              <w:jc w:val="center"/>
              <w:rPr>
                <w:rFonts w:ascii="宋体" w:hAnsi="宋体" w:eastAsia="宋体"/>
                <w:color w:val="auto"/>
                <w:sz w:val="24"/>
                <w:szCs w:val="24"/>
                <w:highlight w:val="none"/>
              </w:rPr>
            </w:pPr>
            <w:r>
              <w:rPr>
                <w:rFonts w:ascii="宋体" w:hAnsi="宋体" w:eastAsia="宋体"/>
                <w:color w:val="auto"/>
                <w:sz w:val="24"/>
                <w:szCs w:val="24"/>
                <w:highlight w:val="none"/>
              </w:rPr>
              <w:t>2.2.4</w:t>
            </w:r>
            <w:r>
              <w:rPr>
                <w:rFonts w:hint="eastAsia" w:ascii="宋体" w:hAnsi="宋体" w:eastAsia="宋体"/>
                <w:color w:val="auto"/>
                <w:sz w:val="24"/>
                <w:szCs w:val="24"/>
                <w:highlight w:val="none"/>
              </w:rPr>
              <w:t>（</w:t>
            </w:r>
            <w:r>
              <w:rPr>
                <w:rFonts w:ascii="宋体" w:hAnsi="宋体" w:eastAsia="宋体"/>
                <w:color w:val="auto"/>
                <w:sz w:val="24"/>
                <w:szCs w:val="24"/>
                <w:highlight w:val="none"/>
              </w:rPr>
              <w:t>3</w:t>
            </w:r>
            <w:r>
              <w:rPr>
                <w:rFonts w:hint="eastAsia" w:ascii="宋体" w:hAnsi="宋体" w:eastAsia="宋体"/>
                <w:color w:val="auto"/>
                <w:sz w:val="24"/>
                <w:szCs w:val="24"/>
                <w:highlight w:val="none"/>
              </w:rPr>
              <w:t>）</w:t>
            </w: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6C3A7471">
            <w:pPr>
              <w:spacing w:line="276" w:lineRule="auto"/>
              <w:jc w:val="center"/>
              <w:rPr>
                <w:rFonts w:ascii="宋体" w:hAnsi="宋体" w:eastAsia="宋体" w:cs="Arial"/>
                <w:color w:val="auto"/>
                <w:sz w:val="24"/>
                <w:szCs w:val="24"/>
                <w:highlight w:val="none"/>
              </w:rPr>
            </w:pPr>
            <w:r>
              <w:rPr>
                <w:rFonts w:hint="eastAsia" w:ascii="宋体" w:hAnsi="宋体" w:eastAsia="宋体"/>
                <w:color w:val="auto"/>
                <w:sz w:val="24"/>
                <w:szCs w:val="24"/>
                <w:highlight w:val="none"/>
              </w:rPr>
              <w:t>投标报价评分标准（3</w:t>
            </w:r>
            <w:r>
              <w:rPr>
                <w:rFonts w:ascii="宋体" w:hAnsi="宋体" w:eastAsia="宋体"/>
                <w:color w:val="auto"/>
                <w:sz w:val="24"/>
                <w:szCs w:val="24"/>
                <w:highlight w:val="none"/>
              </w:rPr>
              <w:t>0</w:t>
            </w:r>
            <w:r>
              <w:rPr>
                <w:rFonts w:hint="eastAsia" w:ascii="宋体" w:hAnsi="宋体" w:eastAsia="宋体"/>
                <w:color w:val="auto"/>
                <w:sz w:val="24"/>
                <w:szCs w:val="24"/>
                <w:highlight w:val="none"/>
              </w:rPr>
              <w:t>）</w:t>
            </w:r>
          </w:p>
        </w:tc>
        <w:tc>
          <w:tcPr>
            <w:tcW w:w="2553" w:type="dxa"/>
            <w:tcBorders>
              <w:top w:val="single" w:color="auto" w:sz="4" w:space="0"/>
              <w:left w:val="single" w:color="auto" w:sz="4" w:space="0"/>
              <w:bottom w:val="single" w:color="auto" w:sz="4" w:space="0"/>
              <w:right w:val="single" w:color="auto" w:sz="4" w:space="0"/>
            </w:tcBorders>
            <w:vAlign w:val="center"/>
          </w:tcPr>
          <w:p w14:paraId="3C85E987">
            <w:pPr>
              <w:spacing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w:t>
            </w:r>
          </w:p>
        </w:tc>
        <w:tc>
          <w:tcPr>
            <w:tcW w:w="5489" w:type="dxa"/>
            <w:tcBorders>
              <w:top w:val="single" w:color="auto" w:sz="4" w:space="0"/>
              <w:left w:val="single" w:color="auto" w:sz="4" w:space="0"/>
              <w:bottom w:val="single" w:color="auto" w:sz="4" w:space="0"/>
            </w:tcBorders>
          </w:tcPr>
          <w:p w14:paraId="7349BDD9">
            <w:pPr>
              <w:spacing w:line="276" w:lineRule="auto"/>
              <w:rPr>
                <w:rFonts w:ascii="宋体" w:hAnsi="宋体" w:eastAsia="宋体"/>
                <w:color w:val="auto"/>
                <w:sz w:val="24"/>
                <w:szCs w:val="24"/>
                <w:highlight w:val="none"/>
              </w:rPr>
            </w:pPr>
            <w:r>
              <w:rPr>
                <w:rStyle w:val="259"/>
                <w:rFonts w:ascii="宋体" w:hAnsi="宋体"/>
                <w:color w:val="auto"/>
                <w:sz w:val="24"/>
                <w:szCs w:val="24"/>
                <w:highlight w:val="none"/>
              </w:rPr>
              <w:t>以评标基准价作为计算各有效投标报价得分的基础，当有效投标报价等于评标基准价时得100分；投标有效投价与评标基准价相比，每上偏1%扣1</w:t>
            </w:r>
            <w:r>
              <w:rPr>
                <w:rStyle w:val="259"/>
                <w:rFonts w:hint="eastAsia" w:ascii="宋体" w:hAnsi="宋体"/>
                <w:color w:val="auto"/>
                <w:sz w:val="24"/>
                <w:szCs w:val="24"/>
                <w:highlight w:val="none"/>
              </w:rPr>
              <w:t>.5</w:t>
            </w:r>
            <w:r>
              <w:rPr>
                <w:rStyle w:val="259"/>
                <w:rFonts w:ascii="宋体" w:hAnsi="宋体"/>
                <w:color w:val="auto"/>
                <w:sz w:val="24"/>
                <w:szCs w:val="24"/>
                <w:highlight w:val="none"/>
              </w:rPr>
              <w:t>分，每下偏1%扣</w:t>
            </w:r>
            <w:r>
              <w:rPr>
                <w:rStyle w:val="259"/>
                <w:rFonts w:hint="eastAsia" w:ascii="宋体" w:hAnsi="宋体"/>
                <w:color w:val="auto"/>
                <w:sz w:val="24"/>
                <w:szCs w:val="24"/>
                <w:highlight w:val="none"/>
              </w:rPr>
              <w:t>1</w:t>
            </w:r>
            <w:r>
              <w:rPr>
                <w:rStyle w:val="259"/>
                <w:rFonts w:ascii="宋体" w:hAnsi="宋体"/>
                <w:color w:val="auto"/>
                <w:sz w:val="24"/>
                <w:szCs w:val="24"/>
                <w:highlight w:val="none"/>
              </w:rPr>
              <w:t>分，最多扣100分。最后乘以报价权重</w:t>
            </w:r>
            <w:r>
              <w:rPr>
                <w:rStyle w:val="259"/>
                <w:rFonts w:hint="eastAsia" w:ascii="宋体" w:hAnsi="宋体"/>
                <w:color w:val="auto"/>
                <w:sz w:val="24"/>
                <w:szCs w:val="24"/>
                <w:highlight w:val="none"/>
              </w:rPr>
              <w:t>3</w:t>
            </w:r>
            <w:r>
              <w:rPr>
                <w:rStyle w:val="259"/>
                <w:rFonts w:ascii="宋体" w:hAnsi="宋体"/>
                <w:color w:val="auto"/>
                <w:sz w:val="24"/>
                <w:szCs w:val="24"/>
                <w:highlight w:val="none"/>
              </w:rPr>
              <w:t>0%得出投标人的投标报价得分。</w:t>
            </w:r>
            <w:r>
              <w:rPr>
                <w:rFonts w:hint="eastAsia" w:ascii="宋体" w:hAnsi="宋体" w:eastAsia="宋体"/>
                <w:color w:val="auto"/>
                <w:sz w:val="24"/>
                <w:szCs w:val="24"/>
                <w:highlight w:val="none"/>
              </w:rPr>
              <w:t xml:space="preserve"> </w:t>
            </w:r>
          </w:p>
        </w:tc>
      </w:tr>
      <w:tr w14:paraId="331F54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816" w:type="dxa"/>
            <w:tcBorders>
              <w:top w:val="single" w:color="auto" w:sz="4" w:space="0"/>
              <w:right w:val="single" w:color="auto" w:sz="4" w:space="0"/>
            </w:tcBorders>
            <w:shd w:val="clear" w:color="auto" w:fill="auto"/>
            <w:vAlign w:val="center"/>
          </w:tcPr>
          <w:p w14:paraId="05F9DC97">
            <w:pPr>
              <w:spacing w:line="276" w:lineRule="auto"/>
              <w:jc w:val="center"/>
              <w:rPr>
                <w:rFonts w:hint="default" w:ascii="宋体" w:hAnsi="宋体" w:eastAsia="宋体" w:cstheme="minorBidi"/>
                <w:color w:val="auto"/>
                <w:kern w:val="2"/>
                <w:sz w:val="24"/>
                <w:szCs w:val="24"/>
                <w:highlight w:val="none"/>
                <w:lang w:val="en-US" w:eastAsia="zh-CN" w:bidi="ar-SA"/>
              </w:rPr>
            </w:pPr>
            <w:r>
              <w:rPr>
                <w:rFonts w:hint="eastAsia" w:ascii="宋体" w:hAnsi="宋体" w:eastAsia="宋体"/>
                <w:color w:val="auto"/>
                <w:sz w:val="24"/>
                <w:szCs w:val="24"/>
                <w:highlight w:val="none"/>
                <w:lang w:val="en-US" w:eastAsia="zh-CN"/>
              </w:rPr>
              <w:t>3</w:t>
            </w:r>
          </w:p>
        </w:tc>
        <w:tc>
          <w:tcPr>
            <w:tcW w:w="1276" w:type="dxa"/>
            <w:gridSpan w:val="2"/>
            <w:tcBorders>
              <w:top w:val="single" w:color="auto" w:sz="4" w:space="0"/>
              <w:left w:val="single" w:color="auto" w:sz="4" w:space="0"/>
              <w:right w:val="single" w:color="auto" w:sz="4" w:space="0"/>
            </w:tcBorders>
            <w:shd w:val="clear" w:color="auto" w:fill="auto"/>
            <w:vAlign w:val="center"/>
          </w:tcPr>
          <w:p w14:paraId="63A5928B">
            <w:pPr>
              <w:spacing w:line="276" w:lineRule="auto"/>
              <w:jc w:val="center"/>
              <w:rPr>
                <w:rFonts w:hint="eastAsia" w:ascii="宋体" w:hAnsi="宋体" w:eastAsia="宋体" w:cstheme="minorBidi"/>
                <w:color w:val="auto"/>
                <w:kern w:val="2"/>
                <w:sz w:val="24"/>
                <w:szCs w:val="24"/>
                <w:highlight w:val="none"/>
                <w:lang w:val="en-US" w:eastAsia="zh-CN" w:bidi="ar-SA"/>
              </w:rPr>
            </w:pPr>
            <w:r>
              <w:rPr>
                <w:rFonts w:hint="eastAsia" w:ascii="宋体" w:hAnsi="宋体" w:eastAsia="宋体"/>
                <w:color w:val="auto"/>
                <w:sz w:val="24"/>
                <w:szCs w:val="24"/>
                <w:highlight w:val="none"/>
                <w:lang w:val="en-US" w:eastAsia="zh-CN"/>
              </w:rPr>
              <w:t>投标与履约情况</w:t>
            </w:r>
          </w:p>
        </w:tc>
        <w:tc>
          <w:tcPr>
            <w:tcW w:w="8042" w:type="dxa"/>
            <w:gridSpan w:val="2"/>
            <w:tcBorders>
              <w:top w:val="single" w:color="auto" w:sz="4" w:space="0"/>
              <w:left w:val="single" w:color="auto" w:sz="4" w:space="0"/>
            </w:tcBorders>
            <w:shd w:val="clear" w:color="auto" w:fill="auto"/>
            <w:vAlign w:val="center"/>
          </w:tcPr>
          <w:p w14:paraId="225EFF79">
            <w:pPr>
              <w:tabs>
                <w:tab w:val="left" w:pos="2948"/>
              </w:tabs>
              <w:spacing w:line="276" w:lineRule="auto"/>
              <w:rPr>
                <w:rFonts w:hint="default" w:ascii="宋体" w:hAnsi="宋体" w:eastAsia="宋体" w:cs="Times New Roman"/>
                <w:color w:val="auto"/>
                <w:kern w:val="2"/>
                <w:sz w:val="24"/>
                <w:szCs w:val="24"/>
                <w:highlight w:val="none"/>
                <w:lang w:val="en-US" w:eastAsia="zh-CN" w:bidi="ar-SA"/>
              </w:rPr>
            </w:pPr>
            <w:r>
              <w:rPr>
                <w:rStyle w:val="259"/>
                <w:rFonts w:hint="eastAsia" w:ascii="宋体" w:hAnsi="宋体"/>
                <w:color w:val="auto"/>
                <w:sz w:val="24"/>
                <w:szCs w:val="24"/>
                <w:highlight w:val="none"/>
                <w:lang w:val="en-US"/>
              </w:rPr>
              <w:t>提交投标文件截止日前，被广州燃气集团或其上级单位列入不良供应商且在有效期内的（由招标人提供证明文件），扣90分。</w:t>
            </w:r>
          </w:p>
        </w:tc>
      </w:tr>
    </w:tbl>
    <w:p w14:paraId="12B3FFAD">
      <w:pPr>
        <w:tabs>
          <w:tab w:val="left" w:pos="540"/>
        </w:tabs>
        <w:snapToGrid w:val="0"/>
        <w:rPr>
          <w:rFonts w:ascii="宋体" w:hAnsi="宋体" w:eastAsia="宋体"/>
          <w:color w:val="auto"/>
          <w:sz w:val="24"/>
          <w:szCs w:val="24"/>
          <w:highlight w:val="none"/>
        </w:rPr>
      </w:pPr>
      <w:r>
        <w:rPr>
          <w:rFonts w:hint="eastAsia" w:ascii="宋体" w:hAnsi="宋体" w:eastAsia="宋体"/>
          <w:color w:val="auto"/>
          <w:sz w:val="24"/>
          <w:szCs w:val="24"/>
          <w:highlight w:val="none"/>
        </w:rPr>
        <w:t>说明：1、</w:t>
      </w:r>
      <w:r>
        <w:rPr>
          <w:rFonts w:ascii="宋体" w:hAnsi="宋体" w:eastAsia="宋体" w:cs="宋体"/>
          <w:color w:val="auto"/>
          <w:sz w:val="24"/>
          <w:szCs w:val="24"/>
          <w:highlight w:val="none"/>
        </w:rPr>
        <w:t>类似工程项目是指：设计压力≥4.0MPa压力等级的天然气输送管道工程或进站设计压力≥4.0MPa的天然气接收门站（调压站）施工工程施工监理服务，业绩需同时提供中标通知书或免招标的相关证明、施工监理合同、竣工验收报告或完工证明。业绩证明材料需包含技术指标、服务范围、竣工验收时间等信息，业绩时间以竣工验收或完工证明时间为准。</w:t>
      </w:r>
    </w:p>
    <w:p w14:paraId="0220689E">
      <w:pPr>
        <w:tabs>
          <w:tab w:val="left" w:pos="540"/>
        </w:tabs>
        <w:snapToGrid w:val="0"/>
        <w:rPr>
          <w:rFonts w:hint="eastAsia" w:ascii="宋体" w:hAnsi="宋体" w:eastAsia="宋体"/>
          <w:color w:val="auto"/>
          <w:sz w:val="24"/>
          <w:szCs w:val="24"/>
          <w:highlight w:val="none"/>
          <w:lang w:val="en-US" w:bidi="mn-Mong-CN"/>
        </w:rPr>
      </w:pPr>
      <w:r>
        <w:rPr>
          <w:rFonts w:hint="eastAsia" w:ascii="宋体" w:hAnsi="宋体" w:eastAsia="宋体"/>
          <w:color w:val="auto"/>
          <w:sz w:val="24"/>
          <w:szCs w:val="24"/>
          <w:highlight w:val="none"/>
          <w:lang w:val="en-US" w:eastAsia="zh-CN"/>
        </w:rPr>
        <w:t>2</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总监理工程师及</w:t>
      </w:r>
      <w:r>
        <w:rPr>
          <w:rFonts w:hint="eastAsia" w:ascii="宋体" w:hAnsi="宋体" w:eastAsia="宋体"/>
          <w:color w:val="auto"/>
          <w:sz w:val="24"/>
          <w:szCs w:val="24"/>
          <w:highlight w:val="none"/>
        </w:rPr>
        <w:t>其他</w:t>
      </w:r>
      <w:r>
        <w:rPr>
          <w:rFonts w:hint="eastAsia" w:ascii="宋体" w:hAnsi="宋体" w:eastAsia="宋体"/>
          <w:color w:val="auto"/>
          <w:sz w:val="24"/>
          <w:szCs w:val="24"/>
          <w:highlight w:val="none"/>
          <w:lang w:val="en-US" w:eastAsia="zh-CN"/>
        </w:rPr>
        <w:t>监理</w:t>
      </w:r>
      <w:r>
        <w:rPr>
          <w:rFonts w:hint="eastAsia" w:ascii="宋体" w:hAnsi="宋体" w:eastAsia="宋体"/>
          <w:color w:val="auto"/>
          <w:sz w:val="24"/>
          <w:szCs w:val="24"/>
          <w:highlight w:val="none"/>
        </w:rPr>
        <w:t>人员资历：提供相关证书的扫描件</w:t>
      </w:r>
      <w:r>
        <w:rPr>
          <w:rFonts w:hint="eastAsia" w:ascii="宋体" w:hAnsi="宋体" w:eastAsia="宋体"/>
          <w:color w:val="auto"/>
          <w:sz w:val="24"/>
          <w:szCs w:val="24"/>
          <w:highlight w:val="none"/>
          <w:lang w:bidi="mn-Mong-CN"/>
        </w:rPr>
        <w:t>。</w:t>
      </w:r>
      <w:r>
        <w:rPr>
          <w:rFonts w:hint="eastAsia" w:ascii="宋体" w:hAnsi="宋体" w:eastAsia="宋体"/>
          <w:color w:val="auto"/>
          <w:sz w:val="24"/>
          <w:szCs w:val="24"/>
          <w:highlight w:val="none"/>
          <w:lang w:val="en-US" w:eastAsia="zh-CN" w:bidi="mn-Mong-CN"/>
        </w:rPr>
        <w:t>监理业务培训证明以及</w:t>
      </w:r>
      <w:r>
        <w:rPr>
          <w:rFonts w:hint="eastAsia" w:ascii="宋体" w:hAnsi="宋体" w:eastAsia="宋体"/>
          <w:color w:val="auto"/>
          <w:sz w:val="24"/>
          <w:szCs w:val="24"/>
          <w:highlight w:val="none"/>
          <w:lang w:bidi="mn-Mong-CN"/>
        </w:rPr>
        <w:t>安全监理员上岗证</w:t>
      </w:r>
      <w:r>
        <w:rPr>
          <w:rFonts w:hint="eastAsia" w:ascii="宋体" w:hAnsi="宋体" w:eastAsia="宋体"/>
          <w:color w:val="auto"/>
          <w:sz w:val="24"/>
          <w:szCs w:val="24"/>
          <w:highlight w:val="none"/>
          <w:lang w:val="en-US" w:eastAsia="zh-CN" w:bidi="mn-Mong-CN"/>
        </w:rPr>
        <w:t>可为住建部门、相关协会或中国建设教育协会颁发的相关证书。</w:t>
      </w:r>
    </w:p>
    <w:p w14:paraId="33CEBFD7">
      <w:pPr>
        <w:pStyle w:val="2"/>
        <w:spacing w:after="0"/>
        <w:ind w:left="0" w:leftChars="0" w:firstLine="0" w:firstLineChars="0"/>
        <w:rPr>
          <w:rFonts w:ascii="宋体" w:hAnsi="宋体"/>
          <w:color w:val="auto"/>
          <w:sz w:val="24"/>
          <w:szCs w:val="24"/>
          <w:highlight w:val="none"/>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w:t>
      </w:r>
      <w:r>
        <w:rPr>
          <w:rFonts w:hint="eastAsia" w:ascii="宋体" w:hAnsi="宋体" w:eastAsia="宋体"/>
          <w:color w:val="auto"/>
          <w:sz w:val="24"/>
          <w:szCs w:val="24"/>
          <w:highlight w:val="none"/>
          <w:lang w:val="en-US" w:eastAsia="zh-CN"/>
        </w:rPr>
        <w:t>总监理工程师及</w:t>
      </w:r>
      <w:r>
        <w:rPr>
          <w:rFonts w:hint="eastAsia" w:ascii="宋体" w:hAnsi="宋体" w:eastAsia="宋体"/>
          <w:color w:val="auto"/>
          <w:sz w:val="24"/>
          <w:szCs w:val="24"/>
          <w:highlight w:val="none"/>
        </w:rPr>
        <w:t>其他</w:t>
      </w:r>
      <w:r>
        <w:rPr>
          <w:rFonts w:hint="eastAsia" w:ascii="宋体" w:hAnsi="宋体" w:eastAsia="宋体"/>
          <w:color w:val="auto"/>
          <w:sz w:val="24"/>
          <w:szCs w:val="24"/>
          <w:highlight w:val="none"/>
          <w:lang w:val="en-US" w:eastAsia="zh-CN"/>
        </w:rPr>
        <w:t>监理</w:t>
      </w:r>
      <w:r>
        <w:rPr>
          <w:rFonts w:hint="eastAsia" w:ascii="宋体" w:hAnsi="宋体" w:eastAsia="宋体"/>
          <w:color w:val="auto"/>
          <w:sz w:val="24"/>
          <w:szCs w:val="24"/>
          <w:highlight w:val="none"/>
        </w:rPr>
        <w:t>人员</w:t>
      </w:r>
      <w:r>
        <w:rPr>
          <w:rFonts w:hint="eastAsia" w:ascii="宋体" w:hAnsi="宋体"/>
          <w:color w:val="auto"/>
          <w:sz w:val="24"/>
          <w:szCs w:val="24"/>
          <w:highlight w:val="none"/>
        </w:rPr>
        <w:t>均需提供近1个月（即</w:t>
      </w:r>
      <w:r>
        <w:rPr>
          <w:rFonts w:hint="eastAsia" w:ascii="宋体" w:hAnsi="宋体"/>
          <w:color w:val="auto"/>
          <w:sz w:val="24"/>
          <w:szCs w:val="24"/>
          <w:highlight w:val="none"/>
          <w:lang w:eastAsia="zh-CN"/>
        </w:rPr>
        <w:t>2025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月）在投标人单位（不含投标人的子公司或母公司）参保的社保缴纳记录证明原件扫描件。</w:t>
      </w:r>
    </w:p>
    <w:p w14:paraId="2800E7D2">
      <w:pPr>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4</w:t>
      </w:r>
      <w:r>
        <w:rPr>
          <w:rFonts w:hint="eastAsia" w:ascii="宋体" w:hAnsi="宋体" w:eastAsia="宋体"/>
          <w:color w:val="auto"/>
          <w:sz w:val="24"/>
          <w:szCs w:val="24"/>
          <w:highlight w:val="none"/>
        </w:rPr>
        <w:t>、评分如出现小数点，则保留小数点后两位，第三位四舍五入。</w:t>
      </w:r>
    </w:p>
    <w:p w14:paraId="12436F62">
      <w:pPr>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5</w:t>
      </w:r>
      <w:r>
        <w:rPr>
          <w:rFonts w:hint="eastAsia" w:ascii="宋体" w:hAnsi="宋体" w:eastAsia="宋体"/>
          <w:color w:val="auto"/>
          <w:sz w:val="24"/>
          <w:szCs w:val="24"/>
          <w:highlight w:val="none"/>
        </w:rPr>
        <w:t>、</w:t>
      </w:r>
      <w:r>
        <w:rPr>
          <w:rFonts w:hint="eastAsia" w:ascii="宋体" w:hAnsi="宋体" w:eastAsia="宋体" w:cs="Arial"/>
          <w:color w:val="auto"/>
          <w:sz w:val="24"/>
          <w:szCs w:val="24"/>
          <w:highlight w:val="none"/>
        </w:rPr>
        <w:t>投标人各部分得分为将各评委的评分去掉一个最高分和去掉一个最低分后取算术平均分（分数出现小数点时，保留小数点后二位，第三位小数四舍五入）。</w:t>
      </w:r>
    </w:p>
    <w:p w14:paraId="013F2E70">
      <w:pPr>
        <w:spacing w:line="360" w:lineRule="auto"/>
        <w:rPr>
          <w:rFonts w:ascii="宋体" w:hAnsi="宋体" w:eastAsia="宋体"/>
          <w:b/>
          <w:color w:val="auto"/>
          <w:sz w:val="28"/>
          <w:szCs w:val="30"/>
          <w:highlight w:val="none"/>
        </w:rPr>
      </w:pPr>
      <w:r>
        <w:rPr>
          <w:rFonts w:hint="eastAsia" w:ascii="宋体" w:hAnsi="宋体" w:eastAsia="宋体"/>
          <w:b/>
          <w:color w:val="auto"/>
          <w:sz w:val="24"/>
          <w:szCs w:val="24"/>
          <w:highlight w:val="none"/>
        </w:rPr>
        <w:br w:type="page"/>
      </w:r>
      <w:r>
        <w:rPr>
          <w:rFonts w:hint="eastAsia" w:ascii="宋体" w:hAnsi="宋体" w:eastAsia="宋体"/>
          <w:b/>
          <w:color w:val="auto"/>
          <w:sz w:val="28"/>
          <w:szCs w:val="30"/>
          <w:highlight w:val="none"/>
        </w:rPr>
        <w:t>（第三章正文详见《中华人民共和国标准监理招标文件》（2017版））</w:t>
      </w:r>
    </w:p>
    <w:p w14:paraId="0F7D3E08">
      <w:pPr>
        <w:spacing w:before="0" w:beforeLines="0" w:after="0" w:afterLines="0" w:line="360" w:lineRule="auto"/>
        <w:outlineLvl w:val="2"/>
        <w:rPr>
          <w:rFonts w:ascii="宋体" w:hAnsi="宋体" w:eastAsia="宋体"/>
          <w:b/>
          <w:color w:val="auto"/>
          <w:sz w:val="28"/>
          <w:szCs w:val="28"/>
          <w:highlight w:val="none"/>
        </w:rPr>
      </w:pPr>
      <w:bookmarkStart w:id="430" w:name="_Toc529196583"/>
      <w:bookmarkStart w:id="431" w:name="_Toc515205256"/>
      <w:r>
        <w:rPr>
          <w:rFonts w:hint="eastAsia" w:ascii="宋体" w:hAnsi="宋体" w:eastAsia="宋体"/>
          <w:b/>
          <w:color w:val="auto"/>
          <w:sz w:val="28"/>
          <w:szCs w:val="28"/>
          <w:highlight w:val="none"/>
        </w:rPr>
        <w:t>1. 评标方法</w:t>
      </w:r>
      <w:bookmarkEnd w:id="430"/>
      <w:bookmarkEnd w:id="431"/>
    </w:p>
    <w:p w14:paraId="5A81E078">
      <w:pPr>
        <w:spacing w:line="360" w:lineRule="auto"/>
        <w:ind w:firstLine="480" w:firstLineChars="200"/>
        <w:rPr>
          <w:rFonts w:ascii="宋体" w:hAnsi="宋体" w:eastAsia="宋体"/>
          <w:color w:val="auto"/>
          <w:sz w:val="21"/>
          <w:szCs w:val="21"/>
          <w:highlight w:val="none"/>
        </w:rPr>
      </w:pPr>
      <w:r>
        <w:rPr>
          <w:rFonts w:hint="eastAsia" w:ascii="宋体" w:hAnsi="宋体" w:eastAsia="宋体"/>
          <w:color w:val="auto"/>
          <w:sz w:val="24"/>
          <w:szCs w:val="24"/>
          <w:highlight w:val="none"/>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w:t>
      </w:r>
      <w:bookmarkStart w:id="432" w:name="_Toc152045598"/>
      <w:bookmarkStart w:id="433" w:name="_Toc152042375"/>
      <w:bookmarkStart w:id="434" w:name="_Toc384308272"/>
      <w:bookmarkStart w:id="435" w:name="_Toc144974565"/>
      <w:bookmarkStart w:id="436" w:name="_Toc247514022"/>
      <w:bookmarkStart w:id="437" w:name="_Toc300835008"/>
      <w:bookmarkStart w:id="438" w:name="_Toc361508646"/>
      <w:bookmarkStart w:id="439" w:name="_Toc247527623"/>
      <w:bookmarkStart w:id="440" w:name="_Toc352691533"/>
      <w:bookmarkStart w:id="441" w:name="_Toc369531577"/>
      <w:bookmarkStart w:id="442" w:name="_Toc4497"/>
      <w:r>
        <w:rPr>
          <w:rFonts w:hint="eastAsia" w:ascii="宋体" w:hAnsi="宋体" w:eastAsia="宋体"/>
          <w:color w:val="auto"/>
          <w:sz w:val="24"/>
          <w:szCs w:val="24"/>
          <w:highlight w:val="none"/>
        </w:rPr>
        <w:t>外。综合评分相等</w:t>
      </w:r>
      <w:bookmarkEnd w:id="432"/>
      <w:bookmarkEnd w:id="433"/>
      <w:bookmarkEnd w:id="434"/>
      <w:bookmarkEnd w:id="435"/>
      <w:bookmarkEnd w:id="436"/>
      <w:bookmarkEnd w:id="437"/>
      <w:bookmarkEnd w:id="438"/>
      <w:bookmarkEnd w:id="439"/>
      <w:r>
        <w:rPr>
          <w:rFonts w:hint="eastAsia" w:ascii="宋体" w:hAnsi="宋体" w:eastAsia="宋体"/>
          <w:color w:val="auto"/>
          <w:sz w:val="24"/>
          <w:szCs w:val="24"/>
          <w:highlight w:val="none"/>
        </w:rPr>
        <w:t>时，以投标报价低的</w:t>
      </w:r>
      <w:bookmarkEnd w:id="440"/>
      <w:bookmarkEnd w:id="441"/>
      <w:bookmarkEnd w:id="442"/>
      <w:r>
        <w:rPr>
          <w:rFonts w:hint="eastAsia" w:ascii="宋体" w:hAnsi="宋体" w:eastAsia="宋体"/>
          <w:color w:val="auto"/>
          <w:sz w:val="24"/>
          <w:szCs w:val="24"/>
          <w:highlight w:val="none"/>
        </w:rPr>
        <w:t>优</w:t>
      </w:r>
      <w:bookmarkStart w:id="443" w:name="_Toc247514023"/>
      <w:bookmarkStart w:id="444" w:name="_Toc152045599"/>
      <w:bookmarkStart w:id="445" w:name="_Toc247527624"/>
      <w:bookmarkStart w:id="446" w:name="_Toc361508647"/>
      <w:bookmarkStart w:id="447" w:name="_Toc144974566"/>
      <w:bookmarkStart w:id="448" w:name="_Toc384308273"/>
      <w:bookmarkStart w:id="449" w:name="_Toc300835009"/>
      <w:bookmarkStart w:id="450" w:name="_Toc152042376"/>
      <w:bookmarkStart w:id="451" w:name="_Toc369531578"/>
      <w:bookmarkStart w:id="452" w:name="_Toc352691534"/>
      <w:bookmarkStart w:id="453" w:name="_Toc39"/>
      <w:r>
        <w:rPr>
          <w:rFonts w:hint="eastAsia" w:ascii="宋体" w:hAnsi="宋体" w:eastAsia="宋体"/>
          <w:color w:val="auto"/>
          <w:sz w:val="24"/>
          <w:szCs w:val="24"/>
          <w:highlight w:val="none"/>
        </w:rPr>
        <w:t>先；投标报价也相等</w:t>
      </w:r>
      <w:bookmarkEnd w:id="443"/>
      <w:bookmarkEnd w:id="444"/>
      <w:bookmarkEnd w:id="445"/>
      <w:bookmarkEnd w:id="446"/>
      <w:bookmarkEnd w:id="447"/>
      <w:bookmarkEnd w:id="448"/>
      <w:bookmarkEnd w:id="449"/>
      <w:bookmarkEnd w:id="450"/>
      <w:bookmarkEnd w:id="451"/>
      <w:bookmarkEnd w:id="452"/>
      <w:bookmarkEnd w:id="453"/>
      <w:r>
        <w:rPr>
          <w:rFonts w:hint="eastAsia" w:ascii="宋体" w:hAnsi="宋体" w:eastAsia="宋体"/>
          <w:color w:val="auto"/>
          <w:sz w:val="24"/>
          <w:szCs w:val="24"/>
          <w:highlight w:val="none"/>
        </w:rPr>
        <w:t>的，以监理大纲得分高的优先；如果监理大纲得分也相等，按照评标办法前附表的规定确定中标候选人顺序。</w:t>
      </w:r>
    </w:p>
    <w:p w14:paraId="7D3D6DD1">
      <w:pPr>
        <w:spacing w:before="0" w:beforeLines="0" w:after="0" w:afterLines="0" w:line="360" w:lineRule="auto"/>
        <w:outlineLvl w:val="2"/>
        <w:rPr>
          <w:rFonts w:hint="eastAsia" w:ascii="宋体" w:hAnsi="宋体" w:eastAsia="宋体"/>
          <w:b/>
          <w:color w:val="auto"/>
          <w:sz w:val="28"/>
          <w:szCs w:val="28"/>
          <w:highlight w:val="none"/>
        </w:rPr>
      </w:pPr>
      <w:bookmarkStart w:id="454" w:name="_Toc515205257"/>
      <w:bookmarkStart w:id="455" w:name="_Toc529196584"/>
      <w:r>
        <w:rPr>
          <w:rFonts w:hint="eastAsia" w:ascii="宋体" w:hAnsi="宋体" w:eastAsia="宋体"/>
          <w:b/>
          <w:color w:val="auto"/>
          <w:sz w:val="28"/>
          <w:szCs w:val="28"/>
          <w:highlight w:val="none"/>
        </w:rPr>
        <w:t>2. 评审标准</w:t>
      </w:r>
      <w:bookmarkEnd w:id="454"/>
      <w:bookmarkEnd w:id="455"/>
    </w:p>
    <w:p w14:paraId="2069F747">
      <w:pPr>
        <w:spacing w:before="0" w:beforeLines="0" w:after="0" w:afterLines="0" w:line="360" w:lineRule="auto"/>
        <w:outlineLvl w:val="2"/>
        <w:rPr>
          <w:rFonts w:hint="eastAsia" w:ascii="宋体" w:hAnsi="宋体" w:eastAsia="宋体"/>
          <w:b/>
          <w:color w:val="auto"/>
          <w:sz w:val="28"/>
          <w:szCs w:val="28"/>
          <w:highlight w:val="none"/>
        </w:rPr>
      </w:pPr>
      <w:bookmarkStart w:id="456" w:name="_Toc529196585"/>
      <w:bookmarkStart w:id="457" w:name="_Toc515205258"/>
      <w:r>
        <w:rPr>
          <w:rFonts w:hint="eastAsia" w:ascii="宋体" w:hAnsi="宋体" w:eastAsia="宋体"/>
          <w:b/>
          <w:color w:val="auto"/>
          <w:sz w:val="28"/>
          <w:szCs w:val="28"/>
          <w:highlight w:val="none"/>
        </w:rPr>
        <w:t>2.1 初步评审标准</w:t>
      </w:r>
      <w:bookmarkEnd w:id="456"/>
      <w:bookmarkEnd w:id="457"/>
    </w:p>
    <w:p w14:paraId="613C0D7F">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2.1.1 形式评审标准：见评标办法前附表。</w:t>
      </w:r>
    </w:p>
    <w:p w14:paraId="6E62279B">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2.1.2 资格评审标准：见评标办法前附表。</w:t>
      </w:r>
    </w:p>
    <w:p w14:paraId="19D7563C">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2.1.3 响应性评审标准：见评标办法前附表。</w:t>
      </w:r>
    </w:p>
    <w:p w14:paraId="5A884028">
      <w:pPr>
        <w:spacing w:before="0" w:beforeLines="0" w:after="0" w:afterLines="0" w:line="360" w:lineRule="auto"/>
        <w:outlineLvl w:val="2"/>
        <w:rPr>
          <w:rFonts w:hint="eastAsia" w:ascii="宋体" w:hAnsi="宋体" w:eastAsia="宋体"/>
          <w:b/>
          <w:color w:val="auto"/>
          <w:sz w:val="28"/>
          <w:szCs w:val="28"/>
          <w:highlight w:val="none"/>
        </w:rPr>
      </w:pPr>
      <w:bookmarkStart w:id="458" w:name="_Toc515205259"/>
      <w:bookmarkStart w:id="459" w:name="_Toc529196586"/>
      <w:r>
        <w:rPr>
          <w:rFonts w:hint="eastAsia" w:ascii="宋体" w:hAnsi="宋体" w:eastAsia="宋体"/>
          <w:b/>
          <w:color w:val="auto"/>
          <w:sz w:val="28"/>
          <w:szCs w:val="28"/>
          <w:highlight w:val="none"/>
        </w:rPr>
        <w:t>2.2 分值构成与评分标准</w:t>
      </w:r>
      <w:bookmarkEnd w:id="458"/>
      <w:bookmarkEnd w:id="459"/>
    </w:p>
    <w:p w14:paraId="75BB2D53">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2.2.1 分值构成：</w:t>
      </w:r>
    </w:p>
    <w:p w14:paraId="759E0FCC">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（1）资信业绩部分：见评标办法前附表；</w:t>
      </w:r>
    </w:p>
    <w:p w14:paraId="6691CE92">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（2）监理大纲部分：见评标办法前附表；</w:t>
      </w:r>
    </w:p>
    <w:p w14:paraId="23504FD2">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（3）投标报价：见评标办法前附表；</w:t>
      </w:r>
    </w:p>
    <w:p w14:paraId="61D1555F">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（4）其他评分因素：见评标办法前附表。</w:t>
      </w:r>
    </w:p>
    <w:p w14:paraId="04835A54">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2.2.2 评标基准价计算</w:t>
      </w:r>
    </w:p>
    <w:p w14:paraId="30C5C4B6">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评标基准价计算方法：见评标办法前附表。</w:t>
      </w:r>
    </w:p>
    <w:p w14:paraId="5E00685D">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2.2.3 投标报价的偏差率计算</w:t>
      </w:r>
    </w:p>
    <w:p w14:paraId="128765DA">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投标报价的偏差率计算公式：见评标办法前附表。</w:t>
      </w:r>
    </w:p>
    <w:p w14:paraId="1AA45556">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2.2.4 评分标准</w:t>
      </w:r>
    </w:p>
    <w:p w14:paraId="4D3174D7">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（1）资信业绩评分标准：见评标办法前附表；</w:t>
      </w:r>
    </w:p>
    <w:p w14:paraId="10B2FA82">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（2）监理大纲评分标准：见评标办法前附表；</w:t>
      </w:r>
    </w:p>
    <w:p w14:paraId="16267F88">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（3）投标报价评分标准：见评标办法前附表；</w:t>
      </w:r>
    </w:p>
    <w:p w14:paraId="2BFCA097">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（4）其他因素评分标准：见评标办法前附表。</w:t>
      </w:r>
    </w:p>
    <w:p w14:paraId="72D4D242">
      <w:pPr>
        <w:spacing w:before="0" w:beforeLines="0" w:afterLines="0" w:line="360" w:lineRule="auto"/>
        <w:outlineLvl w:val="2"/>
        <w:rPr>
          <w:rFonts w:hint="eastAsia" w:ascii="宋体" w:hAnsi="宋体" w:eastAsia="宋体"/>
          <w:b/>
          <w:color w:val="auto"/>
          <w:sz w:val="28"/>
          <w:szCs w:val="28"/>
          <w:highlight w:val="none"/>
        </w:rPr>
      </w:pPr>
      <w:bookmarkStart w:id="460" w:name="_Toc529196587"/>
      <w:bookmarkStart w:id="461" w:name="_Toc515205260"/>
      <w:r>
        <w:rPr>
          <w:rFonts w:hint="eastAsia" w:ascii="宋体" w:hAnsi="宋体" w:eastAsia="宋体"/>
          <w:b/>
          <w:color w:val="auto"/>
          <w:sz w:val="28"/>
          <w:szCs w:val="28"/>
          <w:highlight w:val="none"/>
        </w:rPr>
        <w:t>3. 评标程序</w:t>
      </w:r>
      <w:bookmarkEnd w:id="460"/>
      <w:bookmarkEnd w:id="461"/>
    </w:p>
    <w:p w14:paraId="4661BCD9">
      <w:pPr>
        <w:spacing w:before="0" w:beforeLines="0" w:after="0" w:afterLines="0" w:line="360" w:lineRule="auto"/>
        <w:outlineLvl w:val="2"/>
        <w:rPr>
          <w:rFonts w:hint="eastAsia" w:ascii="宋体" w:hAnsi="宋体" w:eastAsia="宋体"/>
          <w:b/>
          <w:color w:val="auto"/>
          <w:sz w:val="28"/>
          <w:szCs w:val="28"/>
          <w:highlight w:val="none"/>
        </w:rPr>
      </w:pPr>
      <w:bookmarkStart w:id="462" w:name="_Toc515205261"/>
      <w:bookmarkStart w:id="463" w:name="_Toc529196588"/>
      <w:r>
        <w:rPr>
          <w:rFonts w:hint="eastAsia" w:ascii="宋体" w:hAnsi="宋体" w:eastAsia="宋体"/>
          <w:b/>
          <w:color w:val="auto"/>
          <w:sz w:val="28"/>
          <w:szCs w:val="28"/>
          <w:highlight w:val="none"/>
        </w:rPr>
        <w:t>3.1 初步评审</w:t>
      </w:r>
      <w:bookmarkEnd w:id="462"/>
      <w:bookmarkEnd w:id="463"/>
    </w:p>
    <w:p w14:paraId="3D541D93">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14:paraId="09B24393">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3.1.2 投标人有以下情形之一的，评标委员会应当否决其投标：</w:t>
      </w:r>
    </w:p>
    <w:p w14:paraId="62A05400">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（1）投标文件没有对招标文件的实质性要求和条件作出响应，或者对招标文件的偏差超出招标文件规定的偏差范围或最高项数；</w:t>
      </w:r>
    </w:p>
    <w:p w14:paraId="49ACC3D8">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（2）有串通投标、弄虚作假、行贿等违法行为。</w:t>
      </w:r>
    </w:p>
    <w:p w14:paraId="3475A666">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3.1.3 投标报价有算术错误及其他错误的，评标委员会按以下原则要求投标人对投标报价进</w:t>
      </w:r>
      <w:bookmarkStart w:id="464" w:name="_Toc384308277"/>
      <w:bookmarkStart w:id="465" w:name="_Toc2907"/>
      <w:bookmarkStart w:id="466" w:name="_Toc152042380"/>
      <w:bookmarkStart w:id="467" w:name="_Toc369531582"/>
      <w:bookmarkStart w:id="468" w:name="_Toc247514027"/>
      <w:bookmarkStart w:id="469" w:name="_Toc300835013"/>
      <w:bookmarkStart w:id="470" w:name="_Toc361508651"/>
      <w:bookmarkStart w:id="471" w:name="_Toc152045603"/>
      <w:bookmarkStart w:id="472" w:name="_Toc144974570"/>
      <w:bookmarkStart w:id="473" w:name="_Toc247527628"/>
      <w:bookmarkStart w:id="474" w:name="_Toc352691538"/>
      <w:r>
        <w:rPr>
          <w:rFonts w:hint="eastAsia" w:ascii="宋体" w:hAnsi="宋体" w:eastAsia="宋体"/>
          <w:color w:val="auto"/>
          <w:sz w:val="24"/>
          <w:szCs w:val="24"/>
          <w:highlight w:val="none"/>
        </w:rPr>
        <w:t>行修正，并要求投标人书面澄清确认。</w:t>
      </w:r>
      <w:bookmarkEnd w:id="464"/>
      <w:bookmarkEnd w:id="465"/>
      <w:bookmarkEnd w:id="466"/>
      <w:bookmarkEnd w:id="467"/>
      <w:bookmarkEnd w:id="468"/>
      <w:bookmarkEnd w:id="469"/>
      <w:bookmarkEnd w:id="470"/>
      <w:bookmarkEnd w:id="471"/>
      <w:bookmarkEnd w:id="472"/>
      <w:bookmarkEnd w:id="473"/>
      <w:bookmarkEnd w:id="474"/>
      <w:r>
        <w:rPr>
          <w:rFonts w:hint="eastAsia" w:ascii="宋体" w:hAnsi="宋体" w:eastAsia="宋体"/>
          <w:color w:val="auto"/>
          <w:sz w:val="24"/>
          <w:szCs w:val="24"/>
          <w:highlight w:val="none"/>
        </w:rPr>
        <w:t>投标人拒不澄清确认的，评标委员会应当否决其投标：</w:t>
      </w:r>
    </w:p>
    <w:p w14:paraId="067E5C6C">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（1）投标文件中的大写金额与小写金额不一致的，以大写金额为准；</w:t>
      </w:r>
    </w:p>
    <w:p w14:paraId="636FFB1C">
      <w:pPr>
        <w:spacing w:line="360" w:lineRule="auto"/>
        <w:ind w:firstLine="480" w:firstLineChars="200"/>
        <w:rPr>
          <w:rFonts w:ascii="宋体" w:hAnsi="宋体" w:eastAsia="宋体"/>
          <w:color w:val="auto"/>
          <w:highlight w:val="none"/>
        </w:rPr>
      </w:pPr>
      <w:r>
        <w:rPr>
          <w:rFonts w:hint="eastAsia" w:ascii="宋体" w:hAnsi="宋体" w:eastAsia="宋体"/>
          <w:color w:val="auto"/>
          <w:sz w:val="24"/>
          <w:szCs w:val="24"/>
          <w:highlight w:val="none"/>
        </w:rPr>
        <w:t>（2）总价金额与单价金额不一致的，以单价金额为准，但单价金额小数点有明显错误的除外。</w:t>
      </w:r>
    </w:p>
    <w:p w14:paraId="0E07CBED">
      <w:pPr>
        <w:spacing w:before="0" w:beforeLines="0" w:after="0" w:afterLines="0" w:line="360" w:lineRule="auto"/>
        <w:outlineLvl w:val="2"/>
        <w:rPr>
          <w:rFonts w:hint="eastAsia" w:ascii="宋体" w:hAnsi="宋体" w:eastAsia="宋体"/>
          <w:b/>
          <w:color w:val="auto"/>
          <w:sz w:val="28"/>
          <w:szCs w:val="28"/>
          <w:highlight w:val="none"/>
        </w:rPr>
      </w:pPr>
      <w:bookmarkStart w:id="475" w:name="_Toc529196589"/>
      <w:bookmarkStart w:id="476" w:name="_Toc515205262"/>
      <w:r>
        <w:rPr>
          <w:rFonts w:hint="eastAsia" w:ascii="宋体" w:hAnsi="宋体" w:eastAsia="宋体"/>
          <w:b/>
          <w:color w:val="auto"/>
          <w:sz w:val="28"/>
          <w:szCs w:val="28"/>
          <w:highlight w:val="none"/>
        </w:rPr>
        <w:t>3.2 详细评审</w:t>
      </w:r>
      <w:bookmarkEnd w:id="475"/>
      <w:bookmarkEnd w:id="476"/>
    </w:p>
    <w:p w14:paraId="0F606DB8">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3.2.1 评标委员会按本章第2.2款规定的量化因素和分值进行打分，并计算出综合评估得分。</w:t>
      </w:r>
    </w:p>
    <w:p w14:paraId="238931BF">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（1）按本章第 2.2.4（1）目规定的评审因素和分值对资信业绩部分计算出得分 A；</w:t>
      </w:r>
    </w:p>
    <w:p w14:paraId="34859EEA">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（2）按本章第 2.2.4（2）目规定的评审因素和分值对监理大纲部分计算出得分 B；</w:t>
      </w:r>
    </w:p>
    <w:p w14:paraId="38C2BD25">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（3）按本章第 2.2.4（3）目规定的评审因素和分值对投标报价计算出得分 C；</w:t>
      </w:r>
    </w:p>
    <w:p w14:paraId="662AD558">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（4）按本章第 2.2.4（4）目规定的评审因素和分值对其他部分计算出得分 D。</w:t>
      </w:r>
    </w:p>
    <w:p w14:paraId="20A72F0C">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3.2.2 评分分值计算保留小数点后两位，小数点后第三位“四舍五入”。</w:t>
      </w:r>
    </w:p>
    <w:p w14:paraId="7068432B">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3.2.3 投标人得分=A+B+C+D</w:t>
      </w:r>
    </w:p>
    <w:p w14:paraId="408B0CB4">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29EB825D">
      <w:pPr>
        <w:spacing w:before="0" w:beforeLines="0" w:after="0" w:afterLines="0" w:line="360" w:lineRule="auto"/>
        <w:outlineLvl w:val="2"/>
        <w:rPr>
          <w:rFonts w:hint="eastAsia" w:ascii="宋体" w:hAnsi="宋体" w:eastAsia="宋体"/>
          <w:b/>
          <w:color w:val="auto"/>
          <w:sz w:val="28"/>
          <w:szCs w:val="28"/>
          <w:highlight w:val="none"/>
        </w:rPr>
      </w:pPr>
      <w:bookmarkStart w:id="477" w:name="_Toc515205263"/>
      <w:bookmarkStart w:id="478" w:name="_Toc529196590"/>
      <w:r>
        <w:rPr>
          <w:rFonts w:hint="eastAsia" w:ascii="宋体" w:hAnsi="宋体" w:eastAsia="宋体"/>
          <w:b/>
          <w:color w:val="auto"/>
          <w:sz w:val="28"/>
          <w:szCs w:val="28"/>
          <w:highlight w:val="none"/>
        </w:rPr>
        <w:t>3.3 投标文件的澄清</w:t>
      </w:r>
      <w:bookmarkEnd w:id="477"/>
      <w:bookmarkEnd w:id="478"/>
    </w:p>
    <w:p w14:paraId="2B07C74B">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62D3FB15">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3.3.2 澄清、说明或补正不得超出投标文件的范围且不得改变投标文件的实质性内容，并构成投标文件的组成部分。</w:t>
      </w:r>
    </w:p>
    <w:p w14:paraId="30C959F9">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3.3.3 评标委员会对投标人提交的澄清、说明或补正有疑问的，可以要求投标人进一步澄清、说明或补正，直至满足评标委员会的要求。</w:t>
      </w:r>
    </w:p>
    <w:p w14:paraId="2032B7B5">
      <w:pPr>
        <w:spacing w:before="0" w:beforeLines="0" w:after="0" w:afterLines="0" w:line="360" w:lineRule="auto"/>
        <w:outlineLvl w:val="2"/>
        <w:rPr>
          <w:rFonts w:hint="eastAsia" w:ascii="宋体" w:hAnsi="宋体" w:eastAsia="宋体"/>
          <w:b/>
          <w:color w:val="auto"/>
          <w:sz w:val="28"/>
          <w:szCs w:val="28"/>
          <w:highlight w:val="none"/>
        </w:rPr>
      </w:pPr>
      <w:bookmarkStart w:id="479" w:name="_Toc529196591"/>
      <w:bookmarkStart w:id="480" w:name="_Toc515205264"/>
      <w:r>
        <w:rPr>
          <w:rFonts w:hint="eastAsia" w:ascii="宋体" w:hAnsi="宋体" w:eastAsia="宋体"/>
          <w:b/>
          <w:color w:val="auto"/>
          <w:sz w:val="28"/>
          <w:szCs w:val="28"/>
          <w:highlight w:val="none"/>
        </w:rPr>
        <w:t>3.4 评标结果</w:t>
      </w:r>
      <w:bookmarkEnd w:id="479"/>
      <w:bookmarkEnd w:id="480"/>
    </w:p>
    <w:p w14:paraId="1791A4F8">
      <w:pPr>
        <w:spacing w:line="360" w:lineRule="auto"/>
        <w:ind w:firstLine="480" w:firstLineChars="200"/>
        <w:rPr>
          <w:rFonts w:hint="eastAsia" w:ascii="宋体" w:hAnsi="宋体" w:eastAsia="宋体"/>
          <w:b w:val="0"/>
          <w:color w:val="auto"/>
          <w:sz w:val="24"/>
          <w:szCs w:val="24"/>
          <w:highlight w:val="none"/>
        </w:rPr>
      </w:pPr>
      <w:r>
        <w:rPr>
          <w:rFonts w:hint="eastAsia" w:ascii="宋体" w:hAnsi="宋体" w:eastAsia="宋体"/>
          <w:color w:val="auto"/>
          <w:sz w:val="24"/>
          <w:szCs w:val="24"/>
          <w:highlight w:val="none"/>
        </w:rPr>
        <w:t>3.4.1 除第二章“投标人须知”前附表授权直接确定中标人外，评标委员会按照得分由高到低的顺序推荐中标候选人，并标明排序。</w:t>
      </w:r>
    </w:p>
    <w:p w14:paraId="707E256B">
      <w:pPr>
        <w:spacing w:line="360" w:lineRule="auto"/>
        <w:ind w:firstLine="480" w:firstLineChars="200"/>
        <w:rPr>
          <w:rFonts w:hint="eastAsia" w:ascii="宋体" w:hAnsi="宋体" w:eastAsia="宋体"/>
          <w:b w:val="0"/>
          <w:color w:val="auto"/>
          <w:sz w:val="24"/>
          <w:szCs w:val="24"/>
          <w:highlight w:val="none"/>
        </w:rPr>
      </w:pPr>
      <w:r>
        <w:rPr>
          <w:rFonts w:hint="eastAsia" w:ascii="宋体" w:hAnsi="宋体" w:eastAsia="宋体"/>
          <w:color w:val="auto"/>
          <w:sz w:val="24"/>
          <w:szCs w:val="24"/>
          <w:highlight w:val="none"/>
        </w:rPr>
        <w:t>3.4.2 评标委员会完成评标后，应当向招标人提交书面评标报告和中标候选人名单。</w:t>
      </w:r>
    </w:p>
    <w:p w14:paraId="150CDDA6">
      <w:pPr>
        <w:pStyle w:val="5"/>
        <w:keepNext w:val="0"/>
        <w:keepLines w:val="0"/>
        <w:spacing w:line="240" w:lineRule="auto"/>
        <w:jc w:val="center"/>
        <w:outlineLvl w:val="1"/>
        <w:rPr>
          <w:rFonts w:ascii="宋体" w:hAnsi="宋体"/>
          <w:color w:val="auto"/>
          <w:sz w:val="36"/>
          <w:szCs w:val="36"/>
          <w:highlight w:val="none"/>
        </w:rPr>
      </w:pPr>
      <w:r>
        <w:rPr>
          <w:rFonts w:hint="eastAsia" w:ascii="宋体" w:hAnsi="宋体"/>
          <w:color w:val="auto"/>
          <w:highlight w:val="none"/>
        </w:rPr>
        <w:br w:type="page"/>
      </w:r>
      <w:bookmarkStart w:id="481" w:name="_Toc63769816"/>
      <w:bookmarkStart w:id="482" w:name="_Toc2445"/>
      <w:r>
        <w:rPr>
          <w:rFonts w:hint="eastAsia" w:ascii="宋体" w:hAnsi="宋体"/>
          <w:color w:val="auto"/>
          <w:sz w:val="36"/>
          <w:szCs w:val="36"/>
          <w:highlight w:val="none"/>
        </w:rPr>
        <w:t>第四章 合同条款及格式</w:t>
      </w:r>
      <w:bookmarkEnd w:id="481"/>
      <w:bookmarkEnd w:id="482"/>
    </w:p>
    <w:p w14:paraId="4CEE8614">
      <w:pPr>
        <w:jc w:val="center"/>
        <w:rPr>
          <w:rFonts w:ascii="宋体" w:hAnsi="宋体" w:eastAsia="宋体"/>
          <w:b/>
          <w:color w:val="auto"/>
          <w:sz w:val="32"/>
          <w:highlight w:val="none"/>
        </w:rPr>
      </w:pPr>
    </w:p>
    <w:p w14:paraId="4B909CA7">
      <w:pPr>
        <w:jc w:val="center"/>
        <w:rPr>
          <w:rFonts w:ascii="宋体" w:hAnsi="宋体" w:eastAsia="宋体"/>
          <w:b/>
          <w:color w:val="auto"/>
          <w:sz w:val="32"/>
          <w:highlight w:val="none"/>
        </w:rPr>
      </w:pPr>
    </w:p>
    <w:p w14:paraId="3761EADE">
      <w:pPr>
        <w:jc w:val="center"/>
        <w:rPr>
          <w:rFonts w:hint="eastAsia" w:ascii="宋体" w:hAnsi="宋体" w:eastAsia="宋体"/>
          <w:color w:val="auto"/>
          <w:sz w:val="72"/>
          <w:highlight w:val="none"/>
        </w:rPr>
      </w:pPr>
    </w:p>
    <w:p w14:paraId="5DB5E9C5">
      <w:pPr>
        <w:jc w:val="center"/>
        <w:rPr>
          <w:rFonts w:hint="eastAsia" w:ascii="宋体" w:hAnsi="宋体" w:eastAsia="宋体"/>
          <w:color w:val="auto"/>
          <w:sz w:val="72"/>
          <w:highlight w:val="none"/>
        </w:rPr>
      </w:pPr>
    </w:p>
    <w:p w14:paraId="17CD2164">
      <w:pPr>
        <w:jc w:val="center"/>
        <w:rPr>
          <w:rFonts w:ascii="宋体" w:hAnsi="宋体" w:eastAsia="宋体"/>
          <w:b/>
          <w:bCs/>
          <w:color w:val="auto"/>
          <w:sz w:val="52"/>
          <w:szCs w:val="52"/>
          <w:highlight w:val="none"/>
        </w:rPr>
      </w:pPr>
      <w:r>
        <w:rPr>
          <w:rFonts w:hint="eastAsia" w:ascii="宋体" w:hAnsi="宋体" w:eastAsia="宋体"/>
          <w:b/>
          <w:bCs/>
          <w:color w:val="auto"/>
          <w:sz w:val="52"/>
          <w:szCs w:val="52"/>
          <w:highlight w:val="none"/>
        </w:rPr>
        <w:t>工程施工监理合同</w:t>
      </w:r>
    </w:p>
    <w:p w14:paraId="1AD9F7DB">
      <w:pPr>
        <w:rPr>
          <w:rFonts w:ascii="宋体" w:hAnsi="宋体" w:eastAsia="宋体"/>
          <w:b/>
          <w:bCs/>
          <w:color w:val="auto"/>
          <w:sz w:val="32"/>
          <w:highlight w:val="none"/>
        </w:rPr>
      </w:pPr>
    </w:p>
    <w:p w14:paraId="3B0AE7C6">
      <w:pPr>
        <w:pStyle w:val="33"/>
        <w:rPr>
          <w:rFonts w:ascii="宋体" w:hAnsi="宋体" w:eastAsia="宋体"/>
          <w:b/>
          <w:bCs/>
          <w:color w:val="auto"/>
          <w:sz w:val="32"/>
          <w:highlight w:val="none"/>
        </w:rPr>
      </w:pPr>
    </w:p>
    <w:p w14:paraId="74FA0FC5">
      <w:pPr>
        <w:rPr>
          <w:rFonts w:ascii="宋体" w:hAnsi="宋体" w:eastAsia="宋体"/>
          <w:b/>
          <w:bCs/>
          <w:color w:val="auto"/>
          <w:sz w:val="32"/>
          <w:highlight w:val="none"/>
        </w:rPr>
      </w:pPr>
    </w:p>
    <w:p w14:paraId="25C34288">
      <w:pPr>
        <w:pStyle w:val="33"/>
        <w:rPr>
          <w:color w:val="auto"/>
          <w:highlight w:val="none"/>
        </w:rPr>
      </w:pPr>
    </w:p>
    <w:p w14:paraId="19BC685B">
      <w:pPr>
        <w:rPr>
          <w:rFonts w:ascii="宋体" w:hAnsi="宋体" w:eastAsia="宋体"/>
          <w:b/>
          <w:bCs/>
          <w:color w:val="auto"/>
          <w:sz w:val="32"/>
          <w:highlight w:val="none"/>
        </w:rPr>
      </w:pPr>
    </w:p>
    <w:p w14:paraId="623ED576">
      <w:pPr>
        <w:rPr>
          <w:rFonts w:ascii="宋体" w:hAnsi="宋体" w:eastAsia="宋体"/>
          <w:b/>
          <w:bCs/>
          <w:color w:val="auto"/>
          <w:sz w:val="32"/>
          <w:highlight w:val="none"/>
        </w:rPr>
      </w:pPr>
    </w:p>
    <w:tbl>
      <w:tblPr>
        <w:tblStyle w:val="40"/>
        <w:tblW w:w="8522" w:type="dxa"/>
        <w:jc w:val="center"/>
        <w:tblLayout w:type="fixed"/>
        <w:tblCellMar>
          <w:top w:w="0" w:type="dxa"/>
          <w:left w:w="108" w:type="dxa"/>
          <w:bottom w:w="0" w:type="dxa"/>
          <w:right w:w="108" w:type="dxa"/>
        </w:tblCellMar>
      </w:tblPr>
      <w:tblGrid>
        <w:gridCol w:w="2617"/>
        <w:gridCol w:w="5905"/>
      </w:tblGrid>
      <w:tr w14:paraId="0677EE05">
        <w:tblPrEx>
          <w:tblCellMar>
            <w:top w:w="0" w:type="dxa"/>
            <w:left w:w="108" w:type="dxa"/>
            <w:bottom w:w="0" w:type="dxa"/>
            <w:right w:w="108" w:type="dxa"/>
          </w:tblCellMar>
        </w:tblPrEx>
        <w:trPr>
          <w:trHeight w:val="936" w:hRule="atLeast"/>
          <w:jc w:val="center"/>
        </w:trPr>
        <w:tc>
          <w:tcPr>
            <w:tcW w:w="2617" w:type="dxa"/>
            <w:vAlign w:val="center"/>
          </w:tcPr>
          <w:p w14:paraId="30D463AE">
            <w:pPr>
              <w:jc w:val="center"/>
              <w:rPr>
                <w:rFonts w:ascii="宋体" w:hAnsi="宋体" w:eastAsia="宋体"/>
                <w:b/>
                <w:bCs/>
                <w:color w:val="auto"/>
                <w:sz w:val="32"/>
                <w:highlight w:val="none"/>
              </w:rPr>
            </w:pPr>
            <w:r>
              <w:rPr>
                <w:rFonts w:ascii="宋体" w:hAnsi="宋体" w:eastAsia="宋体"/>
                <w:b/>
                <w:bCs/>
                <w:color w:val="auto"/>
                <w:sz w:val="32"/>
                <w:highlight w:val="none"/>
              </w:rPr>
              <w:t>工程名称：</w:t>
            </w:r>
          </w:p>
        </w:tc>
        <w:tc>
          <w:tcPr>
            <w:tcW w:w="5905" w:type="dxa"/>
            <w:tcBorders>
              <w:bottom w:val="single" w:color="auto" w:sz="4" w:space="0"/>
            </w:tcBorders>
            <w:vAlign w:val="center"/>
          </w:tcPr>
          <w:p w14:paraId="70864097">
            <w:pPr>
              <w:spacing w:line="360" w:lineRule="auto"/>
              <w:jc w:val="left"/>
              <w:rPr>
                <w:rFonts w:hint="default" w:ascii="宋体" w:hAnsi="宋体" w:eastAsia="宋体"/>
                <w:b/>
                <w:bCs/>
                <w:color w:val="auto"/>
                <w:sz w:val="28"/>
                <w:szCs w:val="22"/>
                <w:highlight w:val="none"/>
                <w:lang w:val="en-US" w:eastAsia="zh-CN"/>
              </w:rPr>
            </w:pPr>
            <w:r>
              <w:rPr>
                <w:rFonts w:hint="default" w:ascii="宋体" w:hAnsi="宋体" w:eastAsia="宋体" w:cstheme="minorBidi"/>
                <w:b/>
                <w:bCs/>
                <w:color w:val="auto"/>
                <w:sz w:val="28"/>
                <w:szCs w:val="22"/>
                <w:highlight w:val="none"/>
                <w:u w:val="none"/>
                <w:lang w:val="en-US" w:eastAsia="zh-CN"/>
              </w:rPr>
              <w:t>广州LNG应急调峰气源站配套管线工程（黄阁门站-横沥调压和气化站段）线路工程与场站工程</w:t>
            </w:r>
            <w:r>
              <w:rPr>
                <w:rFonts w:hint="default" w:ascii="宋体" w:hAnsi="宋体" w:eastAsia="宋体" w:cstheme="minorBidi"/>
                <w:b/>
                <w:bCs/>
                <w:color w:val="auto"/>
                <w:sz w:val="28"/>
                <w:szCs w:val="22"/>
                <w:highlight w:val="none"/>
                <w:u w:val="none"/>
              </w:rPr>
              <w:t>施工监理</w:t>
            </w:r>
            <w:r>
              <w:rPr>
                <w:rFonts w:hint="default" w:ascii="宋体" w:hAnsi="宋体" w:eastAsia="宋体" w:cstheme="minorBidi"/>
                <w:b/>
                <w:bCs/>
                <w:color w:val="auto"/>
                <w:sz w:val="28"/>
                <w:szCs w:val="22"/>
                <w:highlight w:val="none"/>
                <w:u w:val="none"/>
                <w:lang w:val="en-US" w:eastAsia="zh-CN"/>
              </w:rPr>
              <w:t>服务</w:t>
            </w:r>
          </w:p>
        </w:tc>
      </w:tr>
      <w:tr w14:paraId="2C3875B6">
        <w:tblPrEx>
          <w:tblCellMar>
            <w:top w:w="0" w:type="dxa"/>
            <w:left w:w="108" w:type="dxa"/>
            <w:bottom w:w="0" w:type="dxa"/>
            <w:right w:w="108" w:type="dxa"/>
          </w:tblCellMar>
        </w:tblPrEx>
        <w:trPr>
          <w:trHeight w:val="793" w:hRule="atLeast"/>
          <w:jc w:val="center"/>
        </w:trPr>
        <w:tc>
          <w:tcPr>
            <w:tcW w:w="2617" w:type="dxa"/>
            <w:vAlign w:val="center"/>
          </w:tcPr>
          <w:p w14:paraId="47C8B51D">
            <w:pPr>
              <w:jc w:val="center"/>
              <w:rPr>
                <w:rFonts w:ascii="宋体" w:hAnsi="宋体" w:eastAsia="宋体"/>
                <w:b/>
                <w:bCs/>
                <w:color w:val="auto"/>
                <w:sz w:val="32"/>
                <w:highlight w:val="none"/>
              </w:rPr>
            </w:pPr>
            <w:r>
              <w:rPr>
                <w:rFonts w:ascii="宋体" w:hAnsi="宋体" w:eastAsia="宋体"/>
                <w:b/>
                <w:bCs/>
                <w:color w:val="auto"/>
                <w:sz w:val="32"/>
                <w:highlight w:val="none"/>
              </w:rPr>
              <w:t>工程地点：</w:t>
            </w:r>
          </w:p>
        </w:tc>
        <w:tc>
          <w:tcPr>
            <w:tcW w:w="5905" w:type="dxa"/>
            <w:tcBorders>
              <w:top w:val="single" w:color="auto" w:sz="4" w:space="0"/>
              <w:bottom w:val="single" w:color="auto" w:sz="4" w:space="0"/>
            </w:tcBorders>
            <w:vAlign w:val="center"/>
          </w:tcPr>
          <w:p w14:paraId="7CE0728E">
            <w:pPr>
              <w:jc w:val="center"/>
              <w:rPr>
                <w:rFonts w:ascii="宋体" w:hAnsi="宋体" w:eastAsia="宋体"/>
                <w:b/>
                <w:bCs/>
                <w:color w:val="auto"/>
                <w:sz w:val="28"/>
                <w:highlight w:val="none"/>
              </w:rPr>
            </w:pPr>
            <w:r>
              <w:rPr>
                <w:rFonts w:ascii="宋体" w:hAnsi="宋体" w:eastAsia="宋体"/>
                <w:b/>
                <w:bCs/>
                <w:color w:val="auto"/>
                <w:sz w:val="28"/>
                <w:highlight w:val="none"/>
              </w:rPr>
              <w:t>广州市</w:t>
            </w:r>
          </w:p>
        </w:tc>
      </w:tr>
      <w:tr w14:paraId="045349F2">
        <w:tblPrEx>
          <w:tblCellMar>
            <w:top w:w="0" w:type="dxa"/>
            <w:left w:w="108" w:type="dxa"/>
            <w:bottom w:w="0" w:type="dxa"/>
            <w:right w:w="108" w:type="dxa"/>
          </w:tblCellMar>
        </w:tblPrEx>
        <w:trPr>
          <w:trHeight w:val="690" w:hRule="atLeast"/>
          <w:jc w:val="center"/>
        </w:trPr>
        <w:tc>
          <w:tcPr>
            <w:tcW w:w="2617" w:type="dxa"/>
            <w:vAlign w:val="center"/>
          </w:tcPr>
          <w:p w14:paraId="669A83A1">
            <w:pPr>
              <w:jc w:val="center"/>
              <w:rPr>
                <w:rFonts w:ascii="宋体" w:hAnsi="宋体" w:eastAsia="宋体"/>
                <w:b/>
                <w:bCs/>
                <w:color w:val="auto"/>
                <w:sz w:val="32"/>
                <w:highlight w:val="none"/>
              </w:rPr>
            </w:pPr>
            <w:r>
              <w:rPr>
                <w:rFonts w:ascii="宋体" w:hAnsi="宋体" w:eastAsia="宋体"/>
                <w:b/>
                <w:bCs/>
                <w:color w:val="auto"/>
                <w:sz w:val="32"/>
                <w:highlight w:val="none"/>
              </w:rPr>
              <w:t>合同编号：</w:t>
            </w:r>
          </w:p>
        </w:tc>
        <w:tc>
          <w:tcPr>
            <w:tcW w:w="5905" w:type="dxa"/>
            <w:tcBorders>
              <w:top w:val="single" w:color="auto" w:sz="4" w:space="0"/>
              <w:bottom w:val="single" w:color="auto" w:sz="4" w:space="0"/>
            </w:tcBorders>
            <w:vAlign w:val="center"/>
          </w:tcPr>
          <w:p w14:paraId="001B1574">
            <w:pPr>
              <w:jc w:val="center"/>
              <w:rPr>
                <w:rFonts w:ascii="宋体" w:hAnsi="宋体" w:eastAsia="宋体"/>
                <w:b/>
                <w:bCs/>
                <w:color w:val="auto"/>
                <w:sz w:val="28"/>
                <w:highlight w:val="none"/>
              </w:rPr>
            </w:pPr>
          </w:p>
        </w:tc>
      </w:tr>
      <w:tr w14:paraId="57F629DA">
        <w:tblPrEx>
          <w:tblCellMar>
            <w:top w:w="0" w:type="dxa"/>
            <w:left w:w="108" w:type="dxa"/>
            <w:bottom w:w="0" w:type="dxa"/>
            <w:right w:w="108" w:type="dxa"/>
          </w:tblCellMar>
        </w:tblPrEx>
        <w:trPr>
          <w:trHeight w:val="776" w:hRule="atLeast"/>
          <w:jc w:val="center"/>
        </w:trPr>
        <w:tc>
          <w:tcPr>
            <w:tcW w:w="2617" w:type="dxa"/>
            <w:vAlign w:val="center"/>
          </w:tcPr>
          <w:p w14:paraId="551298AE">
            <w:pPr>
              <w:jc w:val="center"/>
              <w:rPr>
                <w:rFonts w:ascii="宋体" w:hAnsi="宋体" w:eastAsia="宋体"/>
                <w:b/>
                <w:bCs/>
                <w:color w:val="auto"/>
                <w:sz w:val="32"/>
                <w:highlight w:val="none"/>
              </w:rPr>
            </w:pPr>
            <w:r>
              <w:rPr>
                <w:rFonts w:ascii="宋体" w:hAnsi="宋体" w:eastAsia="宋体"/>
                <w:b/>
                <w:bCs/>
                <w:color w:val="auto"/>
                <w:sz w:val="32"/>
                <w:highlight w:val="none"/>
              </w:rPr>
              <w:t>设计证书等级：</w:t>
            </w:r>
          </w:p>
        </w:tc>
        <w:tc>
          <w:tcPr>
            <w:tcW w:w="5905" w:type="dxa"/>
            <w:tcBorders>
              <w:bottom w:val="single" w:color="auto" w:sz="4" w:space="0"/>
            </w:tcBorders>
            <w:vAlign w:val="center"/>
          </w:tcPr>
          <w:p w14:paraId="0F2B52EC">
            <w:pPr>
              <w:jc w:val="center"/>
              <w:rPr>
                <w:rFonts w:ascii="宋体" w:hAnsi="宋体" w:eastAsia="宋体"/>
                <w:b/>
                <w:bCs/>
                <w:color w:val="auto"/>
                <w:position w:val="-40"/>
                <w:sz w:val="28"/>
                <w:highlight w:val="none"/>
              </w:rPr>
            </w:pPr>
          </w:p>
        </w:tc>
      </w:tr>
      <w:tr w14:paraId="5A98AB6F">
        <w:tblPrEx>
          <w:tblCellMar>
            <w:top w:w="0" w:type="dxa"/>
            <w:left w:w="108" w:type="dxa"/>
            <w:bottom w:w="0" w:type="dxa"/>
            <w:right w:w="108" w:type="dxa"/>
          </w:tblCellMar>
        </w:tblPrEx>
        <w:trPr>
          <w:trHeight w:val="721" w:hRule="atLeast"/>
          <w:jc w:val="center"/>
        </w:trPr>
        <w:tc>
          <w:tcPr>
            <w:tcW w:w="2617" w:type="dxa"/>
            <w:vAlign w:val="center"/>
          </w:tcPr>
          <w:p w14:paraId="08ED6207">
            <w:pPr>
              <w:jc w:val="center"/>
              <w:rPr>
                <w:rFonts w:ascii="宋体" w:hAnsi="宋体" w:eastAsia="宋体"/>
                <w:b/>
                <w:bCs/>
                <w:color w:val="auto"/>
                <w:sz w:val="32"/>
                <w:highlight w:val="none"/>
              </w:rPr>
            </w:pPr>
            <w:r>
              <w:rPr>
                <w:rFonts w:ascii="宋体" w:hAnsi="宋体" w:eastAsia="宋体"/>
                <w:b/>
                <w:bCs/>
                <w:color w:val="auto"/>
                <w:sz w:val="32"/>
                <w:highlight w:val="none"/>
              </w:rPr>
              <w:t>发包人：</w:t>
            </w:r>
          </w:p>
        </w:tc>
        <w:tc>
          <w:tcPr>
            <w:tcW w:w="5905" w:type="dxa"/>
            <w:tcBorders>
              <w:top w:val="single" w:color="auto" w:sz="4" w:space="0"/>
              <w:bottom w:val="single" w:color="auto" w:sz="4" w:space="0"/>
            </w:tcBorders>
            <w:vAlign w:val="center"/>
          </w:tcPr>
          <w:p w14:paraId="2581ED45">
            <w:pPr>
              <w:jc w:val="center"/>
              <w:rPr>
                <w:rFonts w:ascii="宋体" w:hAnsi="宋体" w:eastAsia="宋体"/>
                <w:b/>
                <w:bCs/>
                <w:color w:val="auto"/>
                <w:sz w:val="28"/>
                <w:highlight w:val="none"/>
              </w:rPr>
            </w:pPr>
            <w:r>
              <w:rPr>
                <w:rFonts w:ascii="宋体" w:hAnsi="宋体" w:eastAsia="宋体"/>
                <w:b/>
                <w:bCs/>
                <w:color w:val="auto"/>
                <w:sz w:val="28"/>
                <w:highlight w:val="none"/>
              </w:rPr>
              <w:t>广州</w:t>
            </w:r>
            <w:r>
              <w:rPr>
                <w:rFonts w:hint="eastAsia" w:ascii="宋体" w:hAnsi="宋体" w:eastAsia="宋体"/>
                <w:b/>
                <w:bCs/>
                <w:color w:val="auto"/>
                <w:sz w:val="28"/>
                <w:highlight w:val="none"/>
              </w:rPr>
              <w:t>燃气集团有限公司</w:t>
            </w:r>
          </w:p>
        </w:tc>
      </w:tr>
      <w:tr w14:paraId="22C926EF">
        <w:tblPrEx>
          <w:tblCellMar>
            <w:top w:w="0" w:type="dxa"/>
            <w:left w:w="108" w:type="dxa"/>
            <w:bottom w:w="0" w:type="dxa"/>
            <w:right w:w="108" w:type="dxa"/>
          </w:tblCellMar>
        </w:tblPrEx>
        <w:trPr>
          <w:trHeight w:val="688" w:hRule="atLeast"/>
          <w:jc w:val="center"/>
        </w:trPr>
        <w:tc>
          <w:tcPr>
            <w:tcW w:w="2617" w:type="dxa"/>
            <w:vAlign w:val="center"/>
          </w:tcPr>
          <w:p w14:paraId="38D66919">
            <w:pPr>
              <w:jc w:val="center"/>
              <w:rPr>
                <w:rFonts w:ascii="宋体" w:hAnsi="宋体" w:eastAsia="宋体"/>
                <w:b/>
                <w:bCs/>
                <w:color w:val="auto"/>
                <w:sz w:val="32"/>
                <w:highlight w:val="none"/>
              </w:rPr>
            </w:pPr>
            <w:r>
              <w:rPr>
                <w:rFonts w:ascii="宋体" w:hAnsi="宋体" w:eastAsia="宋体"/>
                <w:b/>
                <w:bCs/>
                <w:color w:val="auto"/>
                <w:sz w:val="32"/>
                <w:highlight w:val="none"/>
              </w:rPr>
              <w:t>承包人：</w:t>
            </w:r>
          </w:p>
        </w:tc>
        <w:tc>
          <w:tcPr>
            <w:tcW w:w="5905" w:type="dxa"/>
            <w:tcBorders>
              <w:top w:val="single" w:color="auto" w:sz="4" w:space="0"/>
              <w:bottom w:val="single" w:color="auto" w:sz="4" w:space="0"/>
            </w:tcBorders>
            <w:vAlign w:val="center"/>
          </w:tcPr>
          <w:p w14:paraId="732C7C39">
            <w:pPr>
              <w:jc w:val="center"/>
              <w:rPr>
                <w:rFonts w:ascii="宋体" w:hAnsi="宋体" w:eastAsia="宋体"/>
                <w:b/>
                <w:bCs/>
                <w:color w:val="auto"/>
                <w:position w:val="-40"/>
                <w:sz w:val="28"/>
                <w:highlight w:val="none"/>
              </w:rPr>
            </w:pPr>
          </w:p>
        </w:tc>
      </w:tr>
      <w:tr w14:paraId="0715B395">
        <w:tblPrEx>
          <w:tblCellMar>
            <w:top w:w="0" w:type="dxa"/>
            <w:left w:w="108" w:type="dxa"/>
            <w:bottom w:w="0" w:type="dxa"/>
            <w:right w:w="108" w:type="dxa"/>
          </w:tblCellMar>
        </w:tblPrEx>
        <w:trPr>
          <w:trHeight w:val="698" w:hRule="atLeast"/>
          <w:jc w:val="center"/>
        </w:trPr>
        <w:tc>
          <w:tcPr>
            <w:tcW w:w="2617" w:type="dxa"/>
            <w:vAlign w:val="center"/>
          </w:tcPr>
          <w:p w14:paraId="0A74F7E7">
            <w:pPr>
              <w:jc w:val="center"/>
              <w:rPr>
                <w:rFonts w:ascii="宋体" w:hAnsi="宋体" w:eastAsia="宋体"/>
                <w:b/>
                <w:bCs/>
                <w:color w:val="auto"/>
                <w:sz w:val="32"/>
                <w:highlight w:val="none"/>
              </w:rPr>
            </w:pPr>
            <w:r>
              <w:rPr>
                <w:rFonts w:ascii="宋体" w:hAnsi="宋体" w:eastAsia="宋体"/>
                <w:b/>
                <w:bCs/>
                <w:color w:val="auto"/>
                <w:sz w:val="32"/>
                <w:highlight w:val="none"/>
              </w:rPr>
              <w:t>签订日期：</w:t>
            </w:r>
          </w:p>
        </w:tc>
        <w:tc>
          <w:tcPr>
            <w:tcW w:w="5905" w:type="dxa"/>
            <w:tcBorders>
              <w:top w:val="single" w:color="auto" w:sz="4" w:space="0"/>
              <w:bottom w:val="single" w:color="auto" w:sz="4" w:space="0"/>
            </w:tcBorders>
            <w:vAlign w:val="center"/>
          </w:tcPr>
          <w:p w14:paraId="07EFD6BA">
            <w:pPr>
              <w:jc w:val="center"/>
              <w:rPr>
                <w:rFonts w:ascii="宋体" w:hAnsi="宋体" w:eastAsia="宋体"/>
                <w:b/>
                <w:bCs/>
                <w:color w:val="auto"/>
                <w:sz w:val="28"/>
                <w:highlight w:val="none"/>
              </w:rPr>
            </w:pPr>
            <w:r>
              <w:rPr>
                <w:rFonts w:hint="eastAsia" w:ascii="宋体" w:hAnsi="宋体" w:eastAsia="宋体"/>
                <w:b/>
                <w:bCs/>
                <w:color w:val="auto"/>
                <w:sz w:val="28"/>
                <w:highlight w:val="none"/>
                <w:lang w:eastAsia="zh-CN"/>
              </w:rPr>
              <w:t>2025</w:t>
            </w:r>
            <w:r>
              <w:rPr>
                <w:rFonts w:ascii="宋体" w:hAnsi="宋体" w:eastAsia="宋体"/>
                <w:b/>
                <w:bCs/>
                <w:color w:val="auto"/>
                <w:sz w:val="28"/>
                <w:highlight w:val="none"/>
              </w:rPr>
              <w:t>年</w:t>
            </w:r>
            <w:r>
              <w:rPr>
                <w:rFonts w:hint="eastAsia" w:ascii="宋体" w:hAnsi="宋体" w:eastAsia="宋体"/>
                <w:b/>
                <w:bCs/>
                <w:color w:val="auto"/>
                <w:sz w:val="28"/>
                <w:highlight w:val="none"/>
              </w:rPr>
              <w:t xml:space="preserve">  </w:t>
            </w:r>
            <w:r>
              <w:rPr>
                <w:rFonts w:ascii="宋体" w:hAnsi="宋体" w:eastAsia="宋体"/>
                <w:b/>
                <w:bCs/>
                <w:color w:val="auto"/>
                <w:sz w:val="28"/>
                <w:highlight w:val="none"/>
              </w:rPr>
              <w:t>月</w:t>
            </w:r>
            <w:r>
              <w:rPr>
                <w:rFonts w:hint="eastAsia" w:ascii="宋体" w:hAnsi="宋体" w:eastAsia="宋体"/>
                <w:b/>
                <w:bCs/>
                <w:color w:val="auto"/>
                <w:sz w:val="28"/>
                <w:highlight w:val="none"/>
              </w:rPr>
              <w:t xml:space="preserve">  日</w:t>
            </w:r>
          </w:p>
        </w:tc>
      </w:tr>
    </w:tbl>
    <w:p w14:paraId="39C1A7D3">
      <w:pPr>
        <w:rPr>
          <w:rFonts w:ascii="宋体" w:hAnsi="宋体" w:eastAsia="宋体"/>
          <w:color w:val="auto"/>
          <w:highlight w:val="none"/>
        </w:rPr>
      </w:pPr>
    </w:p>
    <w:p w14:paraId="6B31F3BF">
      <w:pPr>
        <w:spacing w:before="0" w:beforeLines="0" w:after="0" w:afterLines="0" w:line="360" w:lineRule="auto"/>
        <w:jc w:val="center"/>
        <w:rPr>
          <w:rFonts w:ascii="宋体" w:hAnsi="宋体" w:eastAsia="宋体"/>
          <w:b/>
          <w:bCs/>
          <w:color w:val="auto"/>
          <w:sz w:val="32"/>
          <w:szCs w:val="32"/>
          <w:highlight w:val="none"/>
        </w:rPr>
      </w:pPr>
      <w:r>
        <w:rPr>
          <w:rFonts w:hint="eastAsia" w:ascii="宋体" w:hAnsi="宋体" w:eastAsia="宋体"/>
          <w:b/>
          <w:bCs/>
          <w:color w:val="auto"/>
          <w:sz w:val="32"/>
          <w:szCs w:val="32"/>
          <w:highlight w:val="none"/>
        </w:rPr>
        <w:t>目　录</w:t>
      </w:r>
    </w:p>
    <w:p w14:paraId="027A2591">
      <w:pPr>
        <w:keepNext w:val="0"/>
        <w:keepLines w:val="0"/>
        <w:pageBreakBefore w:val="0"/>
        <w:widowControl w:val="0"/>
        <w:kinsoku/>
        <w:wordWrap/>
        <w:overflowPunct/>
        <w:topLinePunct w:val="0"/>
        <w:autoSpaceDE/>
        <w:autoSpaceDN/>
        <w:bidi w:val="0"/>
        <w:adjustRightInd/>
        <w:snapToGrid/>
        <w:spacing w:line="360" w:lineRule="auto"/>
        <w:ind w:left="1079" w:leftChars="514"/>
        <w:textAlignment w:val="auto"/>
        <w:rPr>
          <w:rFonts w:ascii="宋体" w:hAnsi="宋体" w:eastAsia="宋体"/>
          <w:b/>
          <w:color w:val="auto"/>
          <w:sz w:val="24"/>
          <w:highlight w:val="none"/>
        </w:rPr>
      </w:pPr>
      <w:r>
        <w:rPr>
          <w:rFonts w:hint="eastAsia" w:ascii="宋体" w:hAnsi="宋体" w:eastAsia="宋体"/>
          <w:b/>
          <w:color w:val="auto"/>
          <w:sz w:val="24"/>
          <w:highlight w:val="none"/>
        </w:rPr>
        <w:t>第一部分  监理合同协议书</w:t>
      </w:r>
    </w:p>
    <w:p w14:paraId="0F2DC169">
      <w:pPr>
        <w:keepNext w:val="0"/>
        <w:keepLines w:val="0"/>
        <w:pageBreakBefore w:val="0"/>
        <w:widowControl w:val="0"/>
        <w:kinsoku/>
        <w:wordWrap/>
        <w:overflowPunct/>
        <w:topLinePunct w:val="0"/>
        <w:autoSpaceDE/>
        <w:autoSpaceDN/>
        <w:bidi w:val="0"/>
        <w:adjustRightInd/>
        <w:snapToGrid/>
        <w:spacing w:line="360" w:lineRule="auto"/>
        <w:ind w:left="1079" w:leftChars="514"/>
        <w:textAlignment w:val="auto"/>
        <w:rPr>
          <w:rFonts w:ascii="宋体" w:hAnsi="宋体" w:eastAsia="宋体"/>
          <w:b/>
          <w:color w:val="auto"/>
          <w:sz w:val="24"/>
          <w:highlight w:val="none"/>
        </w:rPr>
      </w:pPr>
      <w:r>
        <w:rPr>
          <w:rFonts w:hint="eastAsia" w:ascii="宋体" w:hAnsi="宋体" w:eastAsia="宋体"/>
          <w:b/>
          <w:color w:val="auto"/>
          <w:sz w:val="24"/>
          <w:highlight w:val="none"/>
        </w:rPr>
        <w:t>第二部分  标准条件</w:t>
      </w:r>
    </w:p>
    <w:p w14:paraId="1111B0E7">
      <w:pPr>
        <w:keepNext w:val="0"/>
        <w:keepLines w:val="0"/>
        <w:pageBreakBefore w:val="0"/>
        <w:widowControl w:val="0"/>
        <w:kinsoku/>
        <w:wordWrap/>
        <w:overflowPunct/>
        <w:topLinePunct w:val="0"/>
        <w:autoSpaceDE/>
        <w:autoSpaceDN/>
        <w:bidi w:val="0"/>
        <w:adjustRightInd/>
        <w:snapToGrid/>
        <w:spacing w:line="360" w:lineRule="auto"/>
        <w:ind w:left="1079" w:leftChars="514"/>
        <w:textAlignment w:val="auto"/>
        <w:rPr>
          <w:rFonts w:ascii="宋体" w:hAnsi="宋体" w:eastAsia="宋体"/>
          <w:b/>
          <w:color w:val="auto"/>
          <w:sz w:val="24"/>
          <w:highlight w:val="none"/>
        </w:rPr>
      </w:pPr>
      <w:r>
        <w:rPr>
          <w:rFonts w:hint="eastAsia" w:ascii="宋体" w:hAnsi="宋体" w:eastAsia="宋体"/>
          <w:b/>
          <w:color w:val="auto"/>
          <w:sz w:val="24"/>
          <w:highlight w:val="none"/>
        </w:rPr>
        <w:t>第三部分  专用条件</w:t>
      </w:r>
    </w:p>
    <w:p w14:paraId="73413CC6">
      <w:pPr>
        <w:keepNext w:val="0"/>
        <w:keepLines w:val="0"/>
        <w:pageBreakBefore w:val="0"/>
        <w:widowControl w:val="0"/>
        <w:kinsoku/>
        <w:wordWrap/>
        <w:overflowPunct/>
        <w:topLinePunct w:val="0"/>
        <w:autoSpaceDE/>
        <w:autoSpaceDN/>
        <w:bidi w:val="0"/>
        <w:adjustRightInd/>
        <w:snapToGrid/>
        <w:spacing w:line="360" w:lineRule="auto"/>
        <w:ind w:left="1079" w:leftChars="514"/>
        <w:textAlignment w:val="auto"/>
        <w:rPr>
          <w:rFonts w:ascii="宋体" w:hAnsi="宋体" w:eastAsia="宋体"/>
          <w:color w:val="auto"/>
          <w:sz w:val="24"/>
          <w:highlight w:val="none"/>
        </w:rPr>
      </w:pPr>
      <w:r>
        <w:rPr>
          <w:rFonts w:hint="eastAsia" w:ascii="宋体" w:hAnsi="宋体" w:eastAsia="宋体"/>
          <w:b/>
          <w:color w:val="auto"/>
          <w:sz w:val="24"/>
          <w:highlight w:val="none"/>
        </w:rPr>
        <w:t>第四部分  合同附件</w:t>
      </w:r>
    </w:p>
    <w:p w14:paraId="281ED440">
      <w:pPr>
        <w:keepNext w:val="0"/>
        <w:keepLines w:val="0"/>
        <w:pageBreakBefore w:val="0"/>
        <w:widowControl w:val="0"/>
        <w:tabs>
          <w:tab w:val="left" w:pos="1200"/>
        </w:tabs>
        <w:kinsoku/>
        <w:wordWrap/>
        <w:overflowPunct/>
        <w:topLinePunct w:val="0"/>
        <w:autoSpaceDE/>
        <w:autoSpaceDN/>
        <w:bidi w:val="0"/>
        <w:adjustRightInd/>
        <w:snapToGrid/>
        <w:spacing w:line="360" w:lineRule="auto"/>
        <w:ind w:left="723" w:firstLine="1545"/>
        <w:textAlignment w:val="auto"/>
        <w:rPr>
          <w:rFonts w:ascii="宋体" w:hAnsi="宋体" w:eastAsia="宋体"/>
          <w:color w:val="auto"/>
          <w:sz w:val="24"/>
          <w:highlight w:val="none"/>
        </w:rPr>
      </w:pPr>
      <w:r>
        <w:rPr>
          <w:rFonts w:hint="eastAsia" w:ascii="宋体" w:hAnsi="宋体" w:eastAsia="宋体"/>
          <w:color w:val="auto"/>
          <w:sz w:val="24"/>
          <w:highlight w:val="none"/>
        </w:rPr>
        <w:t>附件一   安健环管理协议</w:t>
      </w:r>
      <w:r>
        <w:rPr>
          <w:rFonts w:hint="eastAsia" w:ascii="宋体" w:hAnsi="宋体" w:eastAsia="宋体"/>
          <w:color w:val="auto"/>
          <w:sz w:val="24"/>
          <w:highlight w:val="none"/>
          <w:lang w:val="en-US" w:eastAsia="zh-CN"/>
        </w:rPr>
        <w:t>书</w:t>
      </w:r>
    </w:p>
    <w:p w14:paraId="1F978A2F">
      <w:pPr>
        <w:keepNext w:val="0"/>
        <w:keepLines w:val="0"/>
        <w:pageBreakBefore w:val="0"/>
        <w:widowControl w:val="0"/>
        <w:tabs>
          <w:tab w:val="left" w:pos="1200"/>
        </w:tabs>
        <w:kinsoku/>
        <w:wordWrap/>
        <w:overflowPunct/>
        <w:topLinePunct w:val="0"/>
        <w:autoSpaceDE/>
        <w:autoSpaceDN/>
        <w:bidi w:val="0"/>
        <w:adjustRightInd/>
        <w:snapToGrid/>
        <w:spacing w:line="360" w:lineRule="auto"/>
        <w:ind w:left="714" w:leftChars="340" w:firstLine="1538" w:firstLineChars="641"/>
        <w:textAlignment w:val="auto"/>
        <w:rPr>
          <w:rFonts w:ascii="宋体" w:hAnsi="宋体" w:eastAsia="宋体"/>
          <w:color w:val="auto"/>
          <w:sz w:val="24"/>
          <w:highlight w:val="none"/>
        </w:rPr>
      </w:pPr>
      <w:r>
        <w:rPr>
          <w:rFonts w:hint="eastAsia" w:ascii="宋体" w:hAnsi="宋体" w:eastAsia="宋体"/>
          <w:color w:val="auto"/>
          <w:sz w:val="24"/>
          <w:highlight w:val="none"/>
        </w:rPr>
        <w:t>附件二   廉洁协议</w:t>
      </w:r>
    </w:p>
    <w:p w14:paraId="29C73312">
      <w:pPr>
        <w:keepNext w:val="0"/>
        <w:keepLines w:val="0"/>
        <w:pageBreakBefore w:val="0"/>
        <w:widowControl w:val="0"/>
        <w:tabs>
          <w:tab w:val="left" w:pos="1200"/>
        </w:tabs>
        <w:kinsoku/>
        <w:wordWrap/>
        <w:overflowPunct/>
        <w:topLinePunct w:val="0"/>
        <w:autoSpaceDE/>
        <w:autoSpaceDN/>
        <w:bidi w:val="0"/>
        <w:adjustRightInd/>
        <w:snapToGrid/>
        <w:spacing w:line="360" w:lineRule="auto"/>
        <w:ind w:left="714" w:leftChars="340" w:firstLine="1538" w:firstLineChars="641"/>
        <w:textAlignment w:val="auto"/>
        <w:rPr>
          <w:rFonts w:ascii="宋体" w:hAnsi="宋体" w:eastAsia="宋体"/>
          <w:color w:val="auto"/>
          <w:sz w:val="24"/>
          <w:highlight w:val="none"/>
        </w:rPr>
      </w:pPr>
      <w:r>
        <w:rPr>
          <w:rFonts w:hint="eastAsia" w:ascii="宋体" w:hAnsi="宋体" w:eastAsia="宋体"/>
          <w:color w:val="auto"/>
          <w:sz w:val="24"/>
          <w:highlight w:val="none"/>
        </w:rPr>
        <w:t xml:space="preserve">附件三   </w:t>
      </w:r>
      <w:r>
        <w:rPr>
          <w:rFonts w:ascii="宋体" w:hAnsi="宋体" w:eastAsia="宋体"/>
          <w:color w:val="auto"/>
          <w:sz w:val="24"/>
          <w:highlight w:val="none"/>
        </w:rPr>
        <w:t>本项目的监理组织机</w:t>
      </w:r>
      <w:r>
        <w:rPr>
          <w:rFonts w:hint="eastAsia" w:ascii="宋体" w:hAnsi="宋体" w:eastAsia="宋体"/>
          <w:color w:val="auto"/>
          <w:sz w:val="24"/>
          <w:highlight w:val="none"/>
        </w:rPr>
        <w:t>构</w:t>
      </w:r>
    </w:p>
    <w:p w14:paraId="472F4749">
      <w:pPr>
        <w:keepNext w:val="0"/>
        <w:keepLines w:val="0"/>
        <w:pageBreakBefore w:val="0"/>
        <w:widowControl w:val="0"/>
        <w:tabs>
          <w:tab w:val="left" w:pos="1200"/>
        </w:tabs>
        <w:kinsoku/>
        <w:wordWrap/>
        <w:overflowPunct/>
        <w:topLinePunct w:val="0"/>
        <w:autoSpaceDE/>
        <w:autoSpaceDN/>
        <w:bidi w:val="0"/>
        <w:adjustRightInd/>
        <w:snapToGrid/>
        <w:spacing w:line="360" w:lineRule="auto"/>
        <w:ind w:left="723" w:firstLine="1545"/>
        <w:textAlignment w:val="auto"/>
        <w:rPr>
          <w:rFonts w:ascii="宋体" w:hAnsi="宋体" w:eastAsia="宋体"/>
          <w:color w:val="auto"/>
          <w:sz w:val="24"/>
          <w:highlight w:val="none"/>
        </w:rPr>
      </w:pPr>
      <w:r>
        <w:rPr>
          <w:rFonts w:hint="eastAsia" w:ascii="宋体" w:hAnsi="宋体" w:eastAsia="宋体"/>
          <w:color w:val="auto"/>
          <w:sz w:val="24"/>
          <w:highlight w:val="none"/>
        </w:rPr>
        <w:t>附件四   投入本项目的监理人员汇总表</w:t>
      </w:r>
    </w:p>
    <w:p w14:paraId="3ED0AC6A">
      <w:pPr>
        <w:keepNext w:val="0"/>
        <w:keepLines w:val="0"/>
        <w:pageBreakBefore w:val="0"/>
        <w:widowControl w:val="0"/>
        <w:tabs>
          <w:tab w:val="left" w:pos="1200"/>
        </w:tabs>
        <w:kinsoku/>
        <w:wordWrap/>
        <w:overflowPunct/>
        <w:topLinePunct w:val="0"/>
        <w:autoSpaceDE/>
        <w:autoSpaceDN/>
        <w:bidi w:val="0"/>
        <w:adjustRightInd/>
        <w:snapToGrid/>
        <w:spacing w:line="360" w:lineRule="auto"/>
        <w:ind w:left="723" w:firstLine="1545"/>
        <w:textAlignment w:val="auto"/>
        <w:rPr>
          <w:rFonts w:ascii="宋体" w:hAnsi="宋体" w:eastAsia="宋体"/>
          <w:color w:val="auto"/>
          <w:sz w:val="24"/>
          <w:highlight w:val="none"/>
        </w:rPr>
      </w:pPr>
      <w:r>
        <w:rPr>
          <w:rFonts w:hint="eastAsia" w:ascii="宋体" w:hAnsi="宋体" w:eastAsia="宋体"/>
          <w:color w:val="auto"/>
          <w:sz w:val="24"/>
          <w:highlight w:val="none"/>
        </w:rPr>
        <w:t>附件五   投入本项目的监理人员计划表</w:t>
      </w:r>
    </w:p>
    <w:p w14:paraId="1D8C1236">
      <w:pPr>
        <w:keepNext w:val="0"/>
        <w:keepLines w:val="0"/>
        <w:pageBreakBefore w:val="0"/>
        <w:widowControl w:val="0"/>
        <w:tabs>
          <w:tab w:val="left" w:pos="1200"/>
        </w:tabs>
        <w:kinsoku/>
        <w:wordWrap/>
        <w:overflowPunct/>
        <w:topLinePunct w:val="0"/>
        <w:autoSpaceDE/>
        <w:autoSpaceDN/>
        <w:bidi w:val="0"/>
        <w:adjustRightInd/>
        <w:snapToGrid/>
        <w:spacing w:line="360" w:lineRule="auto"/>
        <w:ind w:left="723" w:firstLine="1545"/>
        <w:textAlignment w:val="auto"/>
        <w:rPr>
          <w:rFonts w:ascii="宋体" w:hAnsi="宋体" w:eastAsia="宋体"/>
          <w:color w:val="auto"/>
          <w:spacing w:val="2"/>
          <w:position w:val="2"/>
          <w:sz w:val="24"/>
          <w:highlight w:val="none"/>
        </w:rPr>
      </w:pPr>
      <w:r>
        <w:rPr>
          <w:rFonts w:hint="eastAsia" w:ascii="宋体" w:hAnsi="宋体" w:eastAsia="宋体"/>
          <w:color w:val="auto"/>
          <w:sz w:val="24"/>
          <w:highlight w:val="none"/>
        </w:rPr>
        <w:t>附件六   投入本项目的检测设备及交通工具</w:t>
      </w:r>
    </w:p>
    <w:p w14:paraId="60988EE6">
      <w:pPr>
        <w:keepNext w:val="0"/>
        <w:keepLines w:val="0"/>
        <w:pageBreakBefore w:val="0"/>
        <w:widowControl w:val="0"/>
        <w:tabs>
          <w:tab w:val="left" w:pos="1200"/>
        </w:tabs>
        <w:kinsoku/>
        <w:wordWrap/>
        <w:overflowPunct/>
        <w:topLinePunct w:val="0"/>
        <w:autoSpaceDE/>
        <w:autoSpaceDN/>
        <w:bidi w:val="0"/>
        <w:adjustRightInd/>
        <w:snapToGrid/>
        <w:spacing w:line="360" w:lineRule="auto"/>
        <w:ind w:left="723" w:firstLine="1545"/>
        <w:textAlignment w:val="auto"/>
        <w:rPr>
          <w:rFonts w:ascii="宋体" w:hAnsi="宋体" w:eastAsia="宋体"/>
          <w:color w:val="auto"/>
          <w:sz w:val="24"/>
          <w:highlight w:val="none"/>
        </w:rPr>
      </w:pPr>
      <w:r>
        <w:rPr>
          <w:rFonts w:hint="eastAsia" w:ascii="宋体" w:hAnsi="宋体" w:eastAsia="宋体"/>
          <w:color w:val="auto"/>
          <w:spacing w:val="2"/>
          <w:position w:val="2"/>
          <w:sz w:val="24"/>
          <w:highlight w:val="none"/>
        </w:rPr>
        <w:t xml:space="preserve">附件七 </w:t>
      </w:r>
      <w:r>
        <w:rPr>
          <w:rFonts w:hint="eastAsia" w:ascii="宋体" w:hAnsi="宋体" w:eastAsia="宋体"/>
          <w:color w:val="auto"/>
          <w:sz w:val="24"/>
          <w:highlight w:val="none"/>
        </w:rPr>
        <w:t xml:space="preserve">  </w:t>
      </w:r>
      <w:r>
        <w:rPr>
          <w:rFonts w:hint="eastAsia" w:ascii="宋体" w:hAnsi="宋体" w:eastAsia="宋体"/>
          <w:color w:val="auto"/>
          <w:spacing w:val="2"/>
          <w:position w:val="2"/>
          <w:sz w:val="24"/>
          <w:highlight w:val="none"/>
        </w:rPr>
        <w:t>履约保函格式</w:t>
      </w:r>
    </w:p>
    <w:p w14:paraId="308FD00C">
      <w:pPr>
        <w:keepNext w:val="0"/>
        <w:keepLines w:val="0"/>
        <w:pageBreakBefore w:val="0"/>
        <w:widowControl w:val="0"/>
        <w:tabs>
          <w:tab w:val="left" w:pos="1200"/>
        </w:tabs>
        <w:kinsoku/>
        <w:wordWrap/>
        <w:overflowPunct/>
        <w:topLinePunct w:val="0"/>
        <w:autoSpaceDE/>
        <w:autoSpaceDN/>
        <w:bidi w:val="0"/>
        <w:adjustRightInd/>
        <w:snapToGrid/>
        <w:spacing w:line="360" w:lineRule="auto"/>
        <w:ind w:left="723" w:firstLine="1545"/>
        <w:textAlignment w:val="auto"/>
        <w:rPr>
          <w:rFonts w:ascii="宋体" w:hAnsi="宋体" w:eastAsia="宋体"/>
          <w:color w:val="auto"/>
          <w:sz w:val="24"/>
          <w:highlight w:val="none"/>
        </w:rPr>
      </w:pPr>
    </w:p>
    <w:p w14:paraId="2B74B503">
      <w:pPr>
        <w:keepNext w:val="0"/>
        <w:keepLines w:val="0"/>
        <w:pageBreakBefore w:val="0"/>
        <w:widowControl w:val="0"/>
        <w:tabs>
          <w:tab w:val="left" w:pos="1200"/>
        </w:tabs>
        <w:kinsoku/>
        <w:wordWrap/>
        <w:overflowPunct/>
        <w:topLinePunct w:val="0"/>
        <w:autoSpaceDE/>
        <w:autoSpaceDN/>
        <w:bidi w:val="0"/>
        <w:adjustRightInd/>
        <w:snapToGrid/>
        <w:spacing w:line="360" w:lineRule="auto"/>
        <w:ind w:left="723" w:firstLine="1545"/>
        <w:textAlignment w:val="auto"/>
        <w:rPr>
          <w:rFonts w:ascii="宋体" w:hAnsi="宋体" w:eastAsia="宋体"/>
          <w:color w:val="auto"/>
          <w:sz w:val="24"/>
          <w:highlight w:val="none"/>
        </w:rPr>
        <w:sectPr>
          <w:headerReference r:id="rId6" w:type="default"/>
          <w:pgSz w:w="12240" w:h="15840"/>
          <w:pgMar w:top="1304" w:right="1417" w:bottom="1304" w:left="1417" w:header="0" w:footer="567" w:gutter="0"/>
          <w:pgBorders>
            <w:top w:val="none" w:sz="0" w:space="0"/>
            <w:left w:val="none" w:sz="0" w:space="0"/>
            <w:bottom w:val="none" w:sz="0" w:space="0"/>
            <w:right w:val="none" w:sz="0" w:space="0"/>
          </w:pgBorders>
          <w:cols w:space="0" w:num="1"/>
          <w:rtlGutter w:val="1"/>
          <w:docGrid w:linePitch="286" w:charSpace="0"/>
        </w:sectPr>
      </w:pPr>
    </w:p>
    <w:p w14:paraId="46A96633">
      <w:pPr>
        <w:spacing w:before="0" w:beforeLines="0" w:after="0" w:afterLines="0" w:line="360" w:lineRule="auto"/>
        <w:jc w:val="center"/>
        <w:outlineLvl w:val="0"/>
        <w:rPr>
          <w:rFonts w:ascii="宋体" w:hAnsi="宋体" w:eastAsia="宋体"/>
          <w:b/>
          <w:color w:val="auto"/>
          <w:sz w:val="32"/>
          <w:szCs w:val="32"/>
          <w:highlight w:val="none"/>
        </w:rPr>
      </w:pPr>
      <w:bookmarkStart w:id="483" w:name="_Toc49205972"/>
      <w:bookmarkStart w:id="484" w:name="_Toc40299642"/>
      <w:bookmarkStart w:id="485" w:name="_Toc29222"/>
      <w:bookmarkStart w:id="486" w:name="_Toc40300015"/>
      <w:r>
        <w:rPr>
          <w:rFonts w:hint="eastAsia" w:ascii="宋体" w:hAnsi="宋体" w:eastAsia="宋体"/>
          <w:b/>
          <w:color w:val="auto"/>
          <w:sz w:val="32"/>
          <w:szCs w:val="32"/>
          <w:highlight w:val="none"/>
        </w:rPr>
        <w:t>第一部分</w:t>
      </w:r>
      <w:r>
        <w:rPr>
          <w:rFonts w:hint="eastAsia" w:ascii="宋体" w:hAnsi="宋体" w:eastAsia="宋体"/>
          <w:b/>
          <w:bCs/>
          <w:color w:val="auto"/>
          <w:sz w:val="32"/>
          <w:szCs w:val="32"/>
          <w:highlight w:val="none"/>
        </w:rPr>
        <w:t xml:space="preserve"> 监理合同协议书</w:t>
      </w:r>
      <w:bookmarkEnd w:id="483"/>
      <w:bookmarkEnd w:id="484"/>
      <w:bookmarkEnd w:id="485"/>
      <w:bookmarkEnd w:id="486"/>
    </w:p>
    <w:p w14:paraId="1C14813C">
      <w:pPr>
        <w:rPr>
          <w:rFonts w:hint="eastAsia"/>
          <w:color w:val="auto"/>
          <w:highlight w:val="none"/>
        </w:rPr>
      </w:pPr>
    </w:p>
    <w:p w14:paraId="28562A04">
      <w:pPr>
        <w:widowControl/>
        <w:tabs>
          <w:tab w:val="left" w:pos="2977"/>
        </w:tabs>
        <w:spacing w:beforeLines="0" w:line="360" w:lineRule="auto"/>
        <w:ind w:firstLine="480" w:firstLineChars="200"/>
        <w:rPr>
          <w:rFonts w:hint="eastAsia" w:ascii="宋体" w:hAnsi="宋体" w:eastAsia="宋体" w:cs="宋体"/>
          <w:b/>
          <w:color w:val="auto"/>
          <w:sz w:val="24"/>
          <w:highlight w:val="none"/>
        </w:rPr>
      </w:pPr>
      <w:r>
        <w:rPr>
          <w:rFonts w:hint="eastAsia" w:ascii="宋体" w:hAnsi="宋体" w:eastAsia="宋体"/>
          <w:color w:val="auto"/>
          <w:sz w:val="24"/>
          <w:szCs w:val="28"/>
          <w:highlight w:val="none"/>
        </w:rPr>
        <w:t>委托人</w:t>
      </w:r>
      <w:r>
        <w:rPr>
          <w:rFonts w:hint="eastAsia" w:ascii="宋体" w:hAnsi="宋体" w:eastAsia="宋体"/>
          <w:color w:val="auto"/>
          <w:sz w:val="24"/>
          <w:szCs w:val="28"/>
          <w:highlight w:val="none"/>
          <w:u w:val="single"/>
        </w:rPr>
        <w:t xml:space="preserve"> 广州燃气集团有限公司 </w:t>
      </w:r>
      <w:r>
        <w:rPr>
          <w:rFonts w:hint="eastAsia" w:ascii="宋体" w:hAnsi="宋体" w:eastAsia="宋体"/>
          <w:color w:val="auto"/>
          <w:sz w:val="24"/>
          <w:szCs w:val="28"/>
          <w:highlight w:val="none"/>
        </w:rPr>
        <w:t>与监理人</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经双方协商一致，签订本</w:t>
      </w:r>
      <w:r>
        <w:rPr>
          <w:rFonts w:hint="eastAsia" w:ascii="宋体" w:hAnsi="宋体" w:eastAsia="宋体" w:cs="宋体"/>
          <w:color w:val="auto"/>
          <w:sz w:val="24"/>
          <w:highlight w:val="none"/>
        </w:rPr>
        <w:t xml:space="preserve">合同。 </w:t>
      </w:r>
    </w:p>
    <w:p w14:paraId="5C4D3285">
      <w:pPr>
        <w:tabs>
          <w:tab w:val="left" w:pos="0"/>
        </w:tabs>
        <w:spacing w:beforeLines="0"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一、委托人委托监理人监理的工程（以下简称“本工程”）概况如下：</w:t>
      </w:r>
    </w:p>
    <w:p w14:paraId="0E6D9C75">
      <w:pPr>
        <w:tabs>
          <w:tab w:val="left" w:pos="7513"/>
        </w:tabs>
        <w:spacing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8"/>
          <w:highlight w:val="none"/>
          <w:lang w:val="en-US" w:eastAsia="zh-CN"/>
        </w:rPr>
        <w:t>1.</w:t>
      </w:r>
      <w:r>
        <w:rPr>
          <w:rFonts w:hint="eastAsia" w:ascii="宋体" w:hAnsi="宋体" w:eastAsia="宋体" w:cs="宋体"/>
          <w:color w:val="auto"/>
          <w:sz w:val="24"/>
          <w:szCs w:val="28"/>
          <w:highlight w:val="none"/>
        </w:rPr>
        <w:t>工程名称：</w:t>
      </w:r>
      <w:r>
        <w:rPr>
          <w:rFonts w:hint="eastAsia" w:ascii="宋体" w:hAnsi="宋体" w:eastAsia="宋体" w:cs="宋体"/>
          <w:color w:val="auto"/>
          <w:sz w:val="24"/>
          <w:szCs w:val="24"/>
          <w:highlight w:val="none"/>
          <w:u w:val="single"/>
          <w:lang w:val="en-US" w:eastAsia="zh-CN"/>
        </w:rPr>
        <w:t>广州LNG应急调峰气源站配套管线工程（黄阁门站-横沥调压和气化站段）线路工程与场站工程</w:t>
      </w:r>
      <w:r>
        <w:rPr>
          <w:rFonts w:hint="eastAsia" w:ascii="宋体" w:hAnsi="宋体" w:eastAsia="宋体" w:cs="宋体"/>
          <w:color w:val="auto"/>
          <w:sz w:val="24"/>
          <w:szCs w:val="24"/>
          <w:highlight w:val="none"/>
          <w:u w:val="single"/>
        </w:rPr>
        <w:t>施工监理</w:t>
      </w:r>
      <w:r>
        <w:rPr>
          <w:rFonts w:hint="eastAsia" w:ascii="宋体" w:hAnsi="宋体" w:eastAsia="宋体" w:cs="宋体"/>
          <w:color w:val="auto"/>
          <w:sz w:val="24"/>
          <w:szCs w:val="24"/>
          <w:highlight w:val="none"/>
          <w:u w:val="single"/>
          <w:lang w:val="en-US" w:eastAsia="zh-CN"/>
        </w:rPr>
        <w:t>服务</w:t>
      </w:r>
    </w:p>
    <w:p w14:paraId="57445630">
      <w:pPr>
        <w:widowControl/>
        <w:spacing w:beforeLines="0" w:line="360" w:lineRule="auto"/>
        <w:ind w:firstLine="360" w:firstLineChars="1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2.</w:t>
      </w:r>
      <w:r>
        <w:rPr>
          <w:rFonts w:hint="eastAsia" w:ascii="宋体" w:hAnsi="宋体" w:eastAsia="宋体" w:cs="宋体"/>
          <w:color w:val="auto"/>
          <w:sz w:val="24"/>
          <w:szCs w:val="28"/>
          <w:highlight w:val="none"/>
        </w:rPr>
        <w:t>工程地点：</w:t>
      </w:r>
      <w:r>
        <w:rPr>
          <w:rFonts w:hint="eastAsia" w:ascii="宋体" w:hAnsi="宋体" w:eastAsia="宋体" w:cs="宋体"/>
          <w:color w:val="auto"/>
          <w:sz w:val="24"/>
          <w:szCs w:val="28"/>
          <w:highlight w:val="none"/>
          <w:u w:val="single"/>
        </w:rPr>
        <w:t>广州市</w:t>
      </w:r>
      <w:r>
        <w:rPr>
          <w:rFonts w:hint="eastAsia" w:ascii="宋体" w:hAnsi="宋体" w:eastAsia="宋体" w:cs="宋体"/>
          <w:color w:val="auto"/>
          <w:sz w:val="24"/>
          <w:szCs w:val="28"/>
          <w:highlight w:val="none"/>
          <w:u w:val="single"/>
          <w:lang w:val="en-US" w:eastAsia="zh-CN"/>
        </w:rPr>
        <w:t>南沙</w:t>
      </w:r>
      <w:r>
        <w:rPr>
          <w:rFonts w:hint="eastAsia" w:ascii="宋体" w:hAnsi="宋体" w:eastAsia="宋体" w:cs="宋体"/>
          <w:color w:val="auto"/>
          <w:sz w:val="24"/>
          <w:szCs w:val="28"/>
          <w:highlight w:val="none"/>
          <w:u w:val="single"/>
        </w:rPr>
        <w:t>区</w:t>
      </w:r>
    </w:p>
    <w:p w14:paraId="010FB25C">
      <w:pPr>
        <w:widowControl/>
        <w:spacing w:beforeLines="0" w:line="360" w:lineRule="auto"/>
        <w:ind w:firstLine="36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工程概况：</w:t>
      </w:r>
    </w:p>
    <w:p w14:paraId="4C87AA5A">
      <w:pPr>
        <w:tabs>
          <w:tab w:val="left" w:pos="7513"/>
        </w:tabs>
        <w:spacing w:beforeLines="0" w:line="360" w:lineRule="auto"/>
        <w:ind w:firstLine="480" w:firstLineChars="200"/>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u w:val="single"/>
          <w:lang w:eastAsia="zh-CN"/>
        </w:rPr>
        <w:t>广州LNG应急调峰气源站配套管线工程(黄阁门站-横沥调压和气化站段）：新建超高压燃气管道30.1公里，管道全线位于广州市南沙区境内；新建大岗门站1座、横沥调压和气化站1座、细沥阀室1座、分输阀井1座。具体如下：</w:t>
      </w:r>
    </w:p>
    <w:p w14:paraId="1708D944">
      <w:pPr>
        <w:tabs>
          <w:tab w:val="left" w:pos="7513"/>
        </w:tabs>
        <w:spacing w:beforeLines="0" w:line="360" w:lineRule="auto"/>
        <w:ind w:firstLine="480" w:firstLineChars="200"/>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u w:val="single"/>
          <w:lang w:eastAsia="zh-CN"/>
        </w:rPr>
        <w:t>1）黄阁门站-横沥调压和气化站段：新建超高压管线28.2公里，设计压力9.2MPa，管径为DN700；</w:t>
      </w:r>
    </w:p>
    <w:p w14:paraId="7CC9702D">
      <w:pPr>
        <w:tabs>
          <w:tab w:val="left" w:pos="7513"/>
        </w:tabs>
        <w:spacing w:beforeLines="0" w:line="360" w:lineRule="auto"/>
        <w:ind w:firstLine="480" w:firstLineChars="200"/>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u w:val="single"/>
          <w:lang w:eastAsia="zh-CN"/>
        </w:rPr>
        <w:t>2）中海广东管道联络段管线：新建超高压管线0.9公里，设计压力9.2MPa，管径为DN500；</w:t>
      </w:r>
    </w:p>
    <w:p w14:paraId="0455C039">
      <w:pPr>
        <w:tabs>
          <w:tab w:val="left" w:pos="7513"/>
        </w:tabs>
        <w:spacing w:beforeLines="0" w:line="360" w:lineRule="auto"/>
        <w:ind w:firstLine="480" w:firstLineChars="200"/>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highlight w:val="none"/>
          <w:u w:val="single"/>
          <w:lang w:eastAsia="zh-CN"/>
        </w:rPr>
        <w:t>3）广州南部燃气应急联络线：新建超高压管线1公里，设计压力9.2MPa，管径为DN700。</w:t>
      </w:r>
    </w:p>
    <w:p w14:paraId="1BEE135B">
      <w:pPr>
        <w:spacing w:beforeLines="0" w:line="360" w:lineRule="auto"/>
        <w:ind w:left="0" w:leftChars="0" w:firstLine="458" w:firstLineChars="191"/>
        <w:rPr>
          <w:rFonts w:hint="eastAsia" w:ascii="宋体" w:hAnsi="宋体" w:eastAsia="宋体" w:cs="宋体"/>
          <w:color w:val="auto"/>
          <w:sz w:val="24"/>
          <w:szCs w:val="28"/>
          <w:highlight w:val="none"/>
        </w:rPr>
      </w:pPr>
      <w:r>
        <w:rPr>
          <w:rFonts w:hint="eastAsia" w:ascii="宋体" w:hAnsi="宋体" w:eastAsia="宋体"/>
          <w:color w:val="auto"/>
          <w:sz w:val="24"/>
          <w:szCs w:val="24"/>
          <w:highlight w:val="none"/>
        </w:rPr>
        <w:t>建筑安装工程费</w:t>
      </w:r>
      <w:r>
        <w:rPr>
          <w:rFonts w:hint="eastAsia" w:ascii="宋体" w:hAnsi="宋体" w:eastAsia="宋体"/>
          <w:color w:val="auto"/>
          <w:kern w:val="0"/>
          <w:sz w:val="24"/>
          <w:szCs w:val="24"/>
          <w:highlight w:val="none"/>
          <w:u w:val="single"/>
        </w:rPr>
        <w:t>约</w:t>
      </w:r>
      <w:r>
        <w:rPr>
          <w:rFonts w:hint="eastAsia" w:ascii="宋体" w:hAnsi="宋体" w:eastAsia="宋体"/>
          <w:color w:val="auto"/>
          <w:kern w:val="0"/>
          <w:sz w:val="24"/>
          <w:szCs w:val="24"/>
          <w:highlight w:val="none"/>
          <w:u w:val="single"/>
          <w:lang w:eastAsia="zh-CN"/>
        </w:rPr>
        <w:t>：</w:t>
      </w:r>
      <w:r>
        <w:rPr>
          <w:rFonts w:hint="eastAsia" w:ascii="宋体" w:hAnsi="宋体" w:eastAsia="宋体"/>
          <w:color w:val="auto"/>
          <w:kern w:val="0"/>
          <w:sz w:val="24"/>
          <w:szCs w:val="24"/>
          <w:highlight w:val="none"/>
          <w:u w:val="single"/>
          <w:lang w:val="en-US" w:eastAsia="zh-CN"/>
        </w:rPr>
        <w:t>47,069.92万元</w:t>
      </w:r>
      <w:r>
        <w:rPr>
          <w:rFonts w:hint="eastAsia" w:ascii="宋体" w:hAnsi="宋体" w:eastAsia="宋体" w:cs="宋体"/>
          <w:color w:val="auto"/>
          <w:sz w:val="24"/>
          <w:szCs w:val="28"/>
          <w:highlight w:val="none"/>
        </w:rPr>
        <w:t>。</w:t>
      </w:r>
    </w:p>
    <w:p w14:paraId="39AD8C45">
      <w:pPr>
        <w:spacing w:beforeLines="0" w:line="360" w:lineRule="auto"/>
        <w:ind w:firstLine="360"/>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监理范围：</w:t>
      </w:r>
      <w:r>
        <w:rPr>
          <w:rFonts w:hint="eastAsia" w:ascii="宋体" w:hAnsi="宋体" w:eastAsia="宋体" w:cs="宋体"/>
          <w:color w:val="auto"/>
          <w:sz w:val="24"/>
          <w:highlight w:val="none"/>
          <w:u w:val="single"/>
        </w:rPr>
        <w:t>上述工程的工程施工准备阶段、工程施工阶段、竣工结算阶段和工程保修阶段的质量控制、投资控制、进度控制、组织协调、合同及信息管理、安全文明、结算管理等监理服务工作。</w:t>
      </w:r>
      <w:r>
        <w:rPr>
          <w:rFonts w:hint="eastAsia" w:ascii="宋体" w:hAnsi="宋体" w:eastAsia="宋体" w:cs="宋体"/>
          <w:color w:val="auto"/>
          <w:sz w:val="24"/>
          <w:highlight w:val="none"/>
        </w:rPr>
        <w:t xml:space="preserve"> </w:t>
      </w:r>
    </w:p>
    <w:p w14:paraId="31996A4A">
      <w:pPr>
        <w:spacing w:beforeLines="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二、本合同中的有关词语含义与本合同第二部分《标准条件》</w:t>
      </w:r>
      <w:r>
        <w:rPr>
          <w:rFonts w:hint="eastAsia" w:ascii="宋体" w:hAnsi="宋体" w:eastAsia="宋体" w:cs="宋体"/>
          <w:color w:val="auto"/>
          <w:spacing w:val="-20"/>
          <w:sz w:val="24"/>
          <w:szCs w:val="28"/>
          <w:highlight w:val="none"/>
        </w:rPr>
        <w:t>中赋予它们的定义相同。</w:t>
      </w:r>
    </w:p>
    <w:p w14:paraId="718E5829">
      <w:pPr>
        <w:widowControl/>
        <w:spacing w:before="0" w:beforeLines="0"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color w:val="auto"/>
          <w:sz w:val="24"/>
          <w:highlight w:val="none"/>
        </w:rPr>
        <w:t>三、下列文件均为本合同的组成部分，并互为补充和解释的，</w:t>
      </w:r>
      <w:r>
        <w:rPr>
          <w:rFonts w:hint="eastAsia" w:ascii="宋体" w:hAnsi="宋体" w:eastAsia="宋体" w:cs="宋体"/>
          <w:bCs/>
          <w:color w:val="auto"/>
          <w:sz w:val="24"/>
          <w:highlight w:val="none"/>
        </w:rPr>
        <w:t xml:space="preserve">如下述各部分存在不一致之处，以先后排列次序为优先： </w:t>
      </w:r>
    </w:p>
    <w:p w14:paraId="7216D81A">
      <w:pPr>
        <w:widowControl/>
        <w:spacing w:before="0" w:beforeLines="0"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bCs/>
          <w:color w:val="auto"/>
          <w:sz w:val="24"/>
          <w:highlight w:val="none"/>
        </w:rPr>
        <w:t>1.在实施过程中双方共同签署的补充与修正文件</w:t>
      </w:r>
    </w:p>
    <w:p w14:paraId="3A012A2B">
      <w:pPr>
        <w:spacing w:beforeLines="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2.本合同协议书</w:t>
      </w:r>
    </w:p>
    <w:p w14:paraId="15DB6888">
      <w:pPr>
        <w:spacing w:beforeLines="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3.本合同专用条件</w:t>
      </w:r>
    </w:p>
    <w:p w14:paraId="44154105">
      <w:pPr>
        <w:spacing w:beforeLines="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4.本合同附件</w:t>
      </w:r>
    </w:p>
    <w:p w14:paraId="2FB8C214">
      <w:pPr>
        <w:spacing w:beforeLines="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5.本合同标准条件</w:t>
      </w:r>
    </w:p>
    <w:p w14:paraId="4D2D019E">
      <w:pPr>
        <w:spacing w:beforeLines="0"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color w:val="auto"/>
          <w:sz w:val="24"/>
          <w:highlight w:val="none"/>
        </w:rPr>
        <w:t>6.中标通知书</w:t>
      </w:r>
    </w:p>
    <w:p w14:paraId="4FB8712A">
      <w:pPr>
        <w:spacing w:beforeLines="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7.招标文件（包括补充、修改、澄清文件、答疑纪要等）</w:t>
      </w:r>
    </w:p>
    <w:p w14:paraId="492987FE">
      <w:pPr>
        <w:spacing w:beforeLines="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8.投标文件及其附件（其中更优响应将优先于招标文件解释）</w:t>
      </w:r>
    </w:p>
    <w:p w14:paraId="011B40F3">
      <w:pPr>
        <w:spacing w:beforeLines="0"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color w:val="auto"/>
          <w:sz w:val="24"/>
          <w:highlight w:val="none"/>
        </w:rPr>
        <w:t>9.标准、规范及有关技术文件、图纸</w:t>
      </w:r>
    </w:p>
    <w:p w14:paraId="0A91213E">
      <w:pPr>
        <w:spacing w:beforeLines="0" w:line="360" w:lineRule="auto"/>
        <w:ind w:left="2" w:leftChars="1"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四、监理人向委托人承诺，按照本合同的规定，承担本合同专用条件中议定范围内的</w:t>
      </w:r>
      <w:r>
        <w:rPr>
          <w:rFonts w:hint="eastAsia" w:ascii="宋体" w:hAnsi="宋体" w:eastAsia="宋体" w:cs="宋体"/>
          <w:color w:val="auto"/>
          <w:sz w:val="24"/>
          <w:highlight w:val="none"/>
        </w:rPr>
        <w:t xml:space="preserve">监理业务。 </w:t>
      </w:r>
    </w:p>
    <w:p w14:paraId="61A7B43A">
      <w:pPr>
        <w:tabs>
          <w:tab w:val="left" w:pos="0"/>
        </w:tabs>
        <w:spacing w:beforeLines="0"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color w:val="auto"/>
          <w:sz w:val="24"/>
          <w:highlight w:val="none"/>
        </w:rPr>
        <w:t>五、委托人向监理人承诺按照本合同专用条件注明的期限、方式、币种，</w:t>
      </w:r>
      <w:r>
        <w:rPr>
          <w:rFonts w:hint="eastAsia" w:ascii="宋体" w:hAnsi="宋体" w:eastAsia="宋体" w:cs="宋体"/>
          <w:snapToGrid w:val="0"/>
          <w:color w:val="auto"/>
          <w:kern w:val="0"/>
          <w:sz w:val="24"/>
          <w:highlight w:val="none"/>
        </w:rPr>
        <w:t>向监理人支付报酬。</w:t>
      </w:r>
    </w:p>
    <w:p w14:paraId="47964EE0">
      <w:pPr>
        <w:spacing w:beforeLines="0" w:line="360" w:lineRule="auto"/>
        <w:ind w:firstLine="57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六、合同价款：</w:t>
      </w:r>
    </w:p>
    <w:p w14:paraId="3C94183C">
      <w:pPr>
        <w:spacing w:beforeLines="0" w:line="360" w:lineRule="auto"/>
        <w:ind w:firstLine="484" w:firstLine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1.本合同总价款为￥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，人民币（大写）：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7B34168B">
      <w:pPr>
        <w:spacing w:beforeLines="0" w:line="360" w:lineRule="auto"/>
        <w:ind w:firstLine="484" w:firstLine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其中不含税金额为￥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，人民币（大写）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szCs w:val="24"/>
          <w:highlight w:val="none"/>
        </w:rPr>
        <w:t>增值税金额为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，人民币（大写）：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6%</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增值税。</w:t>
      </w:r>
    </w:p>
    <w:p w14:paraId="1B5F0FF2">
      <w:pPr>
        <w:spacing w:beforeLines="0" w:line="360" w:lineRule="auto"/>
        <w:ind w:firstLine="484" w:firstLine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为固定总价合同（中标价即为合同价）,在合同有效期内，不受国家政策和工程进度等因素的影响，6%增值税、监理人人员的工资、福利费、工会经费、教育经费、养老保险、住房公积金、办公费、差旅费、现场补贴、公司管理费、劳保用品费、办公室和现场必备的办公器具（包括计算机）、会议室用房、检测设备和交通工具合理的购置及使用费用、现场的住宿费、电话通讯费及其他任何必要的管理费用等均含在合同总价内。合同价款在约定后，任何一方不得擅自改变。</w:t>
      </w:r>
    </w:p>
    <w:p w14:paraId="0FFAA882">
      <w:pPr>
        <w:spacing w:beforeLines="0" w:line="360" w:lineRule="auto"/>
        <w:ind w:firstLine="484" w:firstLine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合同履行期间若国家颁布新的增值税率或因</w:t>
      </w:r>
      <w:r>
        <w:rPr>
          <w:rFonts w:hint="eastAsia" w:ascii="宋体" w:hAnsi="宋体" w:eastAsia="宋体" w:cs="宋体"/>
          <w:color w:val="auto"/>
          <w:sz w:val="24"/>
          <w:highlight w:val="none"/>
          <w:lang w:val="en-US" w:eastAsia="zh-CN"/>
        </w:rPr>
        <w:t>监理人</w:t>
      </w:r>
      <w:r>
        <w:rPr>
          <w:rFonts w:hint="eastAsia" w:ascii="宋体" w:hAnsi="宋体" w:eastAsia="宋体" w:cs="宋体"/>
          <w:color w:val="auto"/>
          <w:sz w:val="24"/>
          <w:highlight w:val="none"/>
        </w:rPr>
        <w:t>原因不能提供6%增值税专用发票，则应按</w:t>
      </w:r>
      <w:r>
        <w:rPr>
          <w:rFonts w:hint="eastAsia" w:ascii="宋体" w:hAnsi="宋体" w:eastAsia="宋体" w:cs="宋体"/>
          <w:color w:val="auto"/>
          <w:sz w:val="24"/>
          <w:highlight w:val="none"/>
          <w:lang w:val="en-US" w:eastAsia="zh-CN"/>
        </w:rPr>
        <w:t>监理人</w:t>
      </w:r>
      <w:r>
        <w:rPr>
          <w:rFonts w:hint="eastAsia" w:ascii="宋体" w:hAnsi="宋体" w:eastAsia="宋体" w:cs="宋体"/>
          <w:color w:val="auto"/>
          <w:sz w:val="24"/>
          <w:highlight w:val="none"/>
        </w:rPr>
        <w:t>实际开具增值税专用发票的税率与6%的税率差调减支付价款，税前价不变，应调减支付价款=合同价款÷1.06×税率差。</w:t>
      </w:r>
    </w:p>
    <w:p w14:paraId="64122CE2">
      <w:pPr>
        <w:spacing w:beforeLines="0" w:line="360" w:lineRule="auto"/>
        <w:ind w:firstLine="484" w:firstLine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七、本合同监理期限自合同生效之日起计，至工程项目全部完成竣工验收和工程质量保修期满止。本合同自双方签字盖章之日起生效，至双方履行完本合同约定的义务和责任后自然失效。</w:t>
      </w:r>
    </w:p>
    <w:p w14:paraId="788CB8E2">
      <w:pPr>
        <w:widowControl/>
        <w:spacing w:beforeLines="0" w:line="360" w:lineRule="auto"/>
        <w:ind w:firstLine="567"/>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本合同一式八份，其中正本一式两份，双方各执一份，副本一式六份，甲方执三份、乙方执三份，正副本</w:t>
      </w:r>
      <w:r>
        <w:rPr>
          <w:rFonts w:hint="eastAsia" w:ascii="宋体" w:hAnsi="宋体" w:eastAsia="宋体" w:cs="宋体"/>
          <w:color w:val="auto"/>
          <w:sz w:val="24"/>
          <w:highlight w:val="none"/>
        </w:rPr>
        <w:t>具有同等法律效力。</w:t>
      </w:r>
    </w:p>
    <w:p w14:paraId="208DDCF7">
      <w:pPr>
        <w:spacing w:beforeLines="0" w:line="360" w:lineRule="auto"/>
        <w:ind w:left="705" w:hanging="705"/>
        <w:rPr>
          <w:rFonts w:hint="eastAsia" w:ascii="宋体" w:hAnsi="宋体" w:eastAsia="宋体" w:cs="宋体"/>
          <w:color w:val="auto"/>
          <w:sz w:val="24"/>
          <w:szCs w:val="28"/>
          <w:highlight w:val="none"/>
        </w:rPr>
      </w:pPr>
    </w:p>
    <w:p w14:paraId="62A70B2B">
      <w:pPr>
        <w:spacing w:beforeLines="0" w:line="360" w:lineRule="auto"/>
        <w:jc w:val="left"/>
        <w:rPr>
          <w:rFonts w:hint="eastAsia" w:ascii="宋体" w:hAnsi="宋体" w:eastAsia="宋体" w:cs="宋体"/>
          <w:color w:val="auto"/>
          <w:szCs w:val="21"/>
          <w:highlight w:val="none"/>
        </w:rPr>
      </w:pPr>
      <w:r>
        <w:rPr>
          <w:rFonts w:hint="eastAsia" w:ascii="宋体" w:hAnsi="宋体" w:eastAsia="宋体" w:cs="宋体"/>
          <w:color w:val="auto"/>
          <w:sz w:val="24"/>
          <w:szCs w:val="28"/>
          <w:highlight w:val="none"/>
        </w:rPr>
        <w:t>委 托 人：（签章）                 监 理 人（签章）：</w:t>
      </w:r>
    </w:p>
    <w:p w14:paraId="15D1DA6B">
      <w:pPr>
        <w:spacing w:beforeLines="0" w:line="360" w:lineRule="auto"/>
        <w:ind w:right="-21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法定代表人：（签章）               法定代表人：（签章）</w:t>
      </w:r>
    </w:p>
    <w:p w14:paraId="449224B3">
      <w:pPr>
        <w:spacing w:beforeLines="0" w:line="360" w:lineRule="auto"/>
        <w:ind w:right="-21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委托代理人：                       委托代理人：</w:t>
      </w:r>
    </w:p>
    <w:p w14:paraId="6D18D906">
      <w:pPr>
        <w:spacing w:beforeLines="0" w:line="360" w:lineRule="auto"/>
        <w:ind w:right="-21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地    址：                         地    址：</w:t>
      </w:r>
    </w:p>
    <w:p w14:paraId="16F36134">
      <w:pPr>
        <w:spacing w:beforeLines="0" w:line="360" w:lineRule="auto"/>
        <w:ind w:right="-21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开户银行：                         开户银行：</w:t>
      </w:r>
    </w:p>
    <w:p w14:paraId="6D837394">
      <w:pPr>
        <w:spacing w:beforeLines="0"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帐    号：</w:t>
      </w:r>
      <w:r>
        <w:rPr>
          <w:rFonts w:hint="eastAsia" w:ascii="宋体" w:hAnsi="宋体" w:eastAsia="宋体" w:cs="宋体"/>
          <w:color w:val="auto"/>
          <w:sz w:val="24"/>
          <w:highlight w:val="none"/>
        </w:rPr>
        <w:t xml:space="preserve">                 </w:t>
      </w:r>
      <w:r>
        <w:rPr>
          <w:rFonts w:hint="eastAsia" w:ascii="宋体" w:hAnsi="宋体" w:eastAsia="宋体" w:cs="宋体"/>
          <w:color w:val="auto"/>
          <w:sz w:val="24"/>
          <w:szCs w:val="28"/>
          <w:highlight w:val="none"/>
        </w:rPr>
        <w:t xml:space="preserve">        帐    号：  </w:t>
      </w:r>
    </w:p>
    <w:p w14:paraId="32E377EC">
      <w:pPr>
        <w:spacing w:beforeLines="0" w:line="360" w:lineRule="auto"/>
        <w:ind w:right="-21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邮    编：</w:t>
      </w:r>
      <w:r>
        <w:rPr>
          <w:rFonts w:hint="eastAsia" w:ascii="宋体" w:hAnsi="宋体" w:eastAsia="宋体" w:cs="宋体"/>
          <w:color w:val="auto"/>
          <w:spacing w:val="20"/>
          <w:sz w:val="24"/>
          <w:szCs w:val="28"/>
          <w:highlight w:val="none"/>
        </w:rPr>
        <w:t xml:space="preserve">                   </w:t>
      </w:r>
      <w:r>
        <w:rPr>
          <w:rFonts w:hint="eastAsia" w:ascii="宋体" w:hAnsi="宋体" w:eastAsia="宋体" w:cs="宋体"/>
          <w:color w:val="auto"/>
          <w:sz w:val="24"/>
          <w:szCs w:val="28"/>
          <w:highlight w:val="none"/>
        </w:rPr>
        <w:t>邮    编：</w:t>
      </w:r>
    </w:p>
    <w:p w14:paraId="12797E31">
      <w:pPr>
        <w:spacing w:beforeLines="0" w:line="360" w:lineRule="auto"/>
        <w:ind w:left="4654" w:leftChars="-1" w:hanging="4656" w:hangingChars="194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电    话：</w:t>
      </w:r>
      <w:r>
        <w:rPr>
          <w:rFonts w:hint="eastAsia" w:ascii="宋体" w:hAnsi="宋体" w:eastAsia="宋体" w:cs="宋体"/>
          <w:color w:val="auto"/>
          <w:spacing w:val="20"/>
          <w:sz w:val="24"/>
          <w:szCs w:val="28"/>
          <w:highlight w:val="none"/>
        </w:rPr>
        <w:t xml:space="preserve">                   </w:t>
      </w:r>
      <w:r>
        <w:rPr>
          <w:rFonts w:hint="eastAsia" w:ascii="宋体" w:hAnsi="宋体" w:eastAsia="宋体" w:cs="宋体"/>
          <w:color w:val="auto"/>
          <w:sz w:val="24"/>
          <w:szCs w:val="28"/>
          <w:highlight w:val="none"/>
        </w:rPr>
        <w:t>电    话：</w:t>
      </w:r>
    </w:p>
    <w:p w14:paraId="155634AF">
      <w:pPr>
        <w:spacing w:beforeLines="0" w:line="360" w:lineRule="auto"/>
        <w:ind w:left="4654" w:leftChars="-1" w:hanging="4656" w:hangingChars="1940"/>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电子邮箱：                         电子邮箱：</w:t>
      </w:r>
    </w:p>
    <w:p w14:paraId="13D2A883">
      <w:pPr>
        <w:spacing w:beforeLines="0" w:line="360" w:lineRule="auto"/>
        <w:ind w:left="4654" w:leftChars="-1" w:right="-239" w:rightChars="-114" w:hanging="4656" w:hangingChars="194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签订日期：</w:t>
      </w:r>
      <w:r>
        <w:rPr>
          <w:rFonts w:hint="eastAsia" w:ascii="宋体" w:hAnsi="宋体" w:eastAsia="宋体" w:cs="宋体"/>
          <w:color w:val="auto"/>
          <w:spacing w:val="20"/>
          <w:sz w:val="24"/>
          <w:szCs w:val="28"/>
          <w:highlight w:val="none"/>
        </w:rPr>
        <w:t xml:space="preserve">    年 月 日</w:t>
      </w:r>
      <w:r>
        <w:rPr>
          <w:rFonts w:hint="eastAsia" w:ascii="宋体" w:hAnsi="宋体" w:eastAsia="宋体" w:cs="宋体"/>
          <w:color w:val="auto"/>
          <w:sz w:val="24"/>
          <w:szCs w:val="28"/>
          <w:highlight w:val="none"/>
        </w:rPr>
        <w:t xml:space="preserve">          签订日期：</w:t>
      </w:r>
      <w:r>
        <w:rPr>
          <w:rFonts w:hint="eastAsia" w:ascii="宋体" w:hAnsi="宋体" w:eastAsia="宋体" w:cs="宋体"/>
          <w:color w:val="auto"/>
          <w:spacing w:val="20"/>
          <w:sz w:val="24"/>
          <w:szCs w:val="28"/>
          <w:highlight w:val="none"/>
        </w:rPr>
        <w:t xml:space="preserve">     年 月 日</w:t>
      </w:r>
      <w:r>
        <w:rPr>
          <w:rFonts w:hint="eastAsia" w:ascii="宋体" w:hAnsi="宋体" w:eastAsia="宋体" w:cs="宋体"/>
          <w:color w:val="auto"/>
          <w:sz w:val="24"/>
          <w:szCs w:val="28"/>
          <w:highlight w:val="none"/>
        </w:rPr>
        <w:t xml:space="preserve">     </w:t>
      </w:r>
    </w:p>
    <w:p w14:paraId="0A211C04">
      <w:pPr>
        <w:spacing w:line="360" w:lineRule="auto"/>
        <w:jc w:val="center"/>
        <w:outlineLvl w:val="9"/>
        <w:rPr>
          <w:rFonts w:ascii="宋体" w:hAnsi="宋体" w:eastAsia="宋体"/>
          <w:b/>
          <w:color w:val="auto"/>
          <w:sz w:val="30"/>
          <w:szCs w:val="30"/>
          <w:highlight w:val="none"/>
        </w:rPr>
        <w:sectPr>
          <w:footerReference r:id="rId7" w:type="even"/>
          <w:pgSz w:w="12240" w:h="15840"/>
          <w:pgMar w:top="1304" w:right="1417" w:bottom="1304" w:left="1417" w:header="680" w:footer="680" w:gutter="0"/>
          <w:pgBorders>
            <w:top w:val="none" w:sz="0" w:space="0"/>
            <w:left w:val="none" w:sz="0" w:space="0"/>
            <w:bottom w:val="none" w:sz="0" w:space="0"/>
            <w:right w:val="none" w:sz="0" w:space="0"/>
          </w:pgBorders>
          <w:cols w:space="0" w:num="1"/>
          <w:rtlGutter w:val="1"/>
          <w:docGrid w:linePitch="0" w:charSpace="0"/>
        </w:sectPr>
      </w:pPr>
    </w:p>
    <w:p w14:paraId="48A0A158">
      <w:pPr>
        <w:spacing w:before="0" w:beforeLines="0" w:after="0" w:afterLines="0" w:line="360" w:lineRule="auto"/>
        <w:jc w:val="center"/>
        <w:outlineLvl w:val="0"/>
        <w:rPr>
          <w:rFonts w:hint="eastAsia" w:ascii="宋体" w:hAnsi="宋体" w:eastAsia="宋体"/>
          <w:b/>
          <w:color w:val="auto"/>
          <w:sz w:val="30"/>
          <w:szCs w:val="30"/>
          <w:highlight w:val="none"/>
        </w:rPr>
      </w:pPr>
      <w:bookmarkStart w:id="487" w:name="_Toc49205973"/>
      <w:bookmarkStart w:id="488" w:name="_Toc20753"/>
      <w:bookmarkStart w:id="489" w:name="_Toc40299643"/>
      <w:bookmarkStart w:id="490" w:name="_Toc40300016"/>
      <w:r>
        <w:rPr>
          <w:rFonts w:hint="eastAsia" w:ascii="宋体" w:hAnsi="宋体" w:eastAsia="宋体"/>
          <w:b/>
          <w:color w:val="auto"/>
          <w:sz w:val="30"/>
          <w:szCs w:val="30"/>
          <w:highlight w:val="none"/>
        </w:rPr>
        <w:t>第二部分</w:t>
      </w:r>
      <w:r>
        <w:rPr>
          <w:rFonts w:ascii="宋体" w:hAnsi="宋体" w:eastAsia="宋体"/>
          <w:b/>
          <w:color w:val="auto"/>
          <w:sz w:val="30"/>
          <w:szCs w:val="30"/>
          <w:highlight w:val="none"/>
        </w:rPr>
        <w:t xml:space="preserve"> </w:t>
      </w:r>
      <w:r>
        <w:rPr>
          <w:rFonts w:hint="eastAsia" w:ascii="宋体" w:hAnsi="宋体" w:eastAsia="宋体"/>
          <w:b/>
          <w:color w:val="auto"/>
          <w:sz w:val="30"/>
          <w:szCs w:val="30"/>
          <w:highlight w:val="none"/>
        </w:rPr>
        <w:t>标准条件</w:t>
      </w:r>
      <w:bookmarkEnd w:id="487"/>
      <w:bookmarkEnd w:id="488"/>
      <w:bookmarkEnd w:id="489"/>
      <w:bookmarkEnd w:id="490"/>
    </w:p>
    <w:p w14:paraId="52B09F8B">
      <w:pPr>
        <w:spacing w:before="0" w:beforeLines="-2147483648" w:after="0" w:afterLines="-2147483648" w:line="240" w:lineRule="auto"/>
        <w:jc w:val="left"/>
        <w:outlineLvl w:val="9"/>
        <w:rPr>
          <w:rFonts w:hint="default" w:asciiTheme="minorHAnsi" w:hAnsiTheme="minorHAnsi" w:eastAsiaTheme="minorEastAsia"/>
          <w:b w:val="0"/>
          <w:color w:val="auto"/>
          <w:sz w:val="21"/>
          <w:szCs w:val="22"/>
          <w:highlight w:val="none"/>
        </w:rPr>
      </w:pPr>
    </w:p>
    <w:p w14:paraId="72E112CD">
      <w:pPr>
        <w:spacing w:beforeLines="0" w:afterLines="0" w:line="360" w:lineRule="auto"/>
        <w:ind w:firstLine="360" w:firstLineChars="1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第一条 下列名词和用语，除上下文另有规定外，具有如下含义：</w:t>
      </w:r>
    </w:p>
    <w:p w14:paraId="031CCFED">
      <w:pPr>
        <w:spacing w:beforeLines="0" w:afterLines="0"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    ⑴“工程”是指委托人委托实施监理的工程。</w:t>
      </w:r>
    </w:p>
    <w:p w14:paraId="7B39BD65">
      <w:pPr>
        <w:spacing w:beforeLines="0" w:afterLines="0" w:line="360" w:lineRule="auto"/>
        <w:ind w:firstLine="135"/>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   ⑵“委托人”是指承担直接投资责任和委托监理业务的一方以及其合法继承人。</w:t>
      </w:r>
    </w:p>
    <w:p w14:paraId="2AED10B7">
      <w:pPr>
        <w:spacing w:beforeLines="0" w:afterLines="0" w:line="360" w:lineRule="auto"/>
        <w:ind w:firstLine="135"/>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   ⑶“监理人”是指承担监理业务和监理责任的一方，以及其合法继承人。 </w:t>
      </w:r>
    </w:p>
    <w:p w14:paraId="362C12BB">
      <w:pPr>
        <w:spacing w:beforeLines="0" w:afterLines="0" w:line="360" w:lineRule="auto"/>
        <w:ind w:firstLine="135"/>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   ⑷“监理机构”是指监理人派驻本工程现场实施监理业务的组织。 </w:t>
      </w:r>
    </w:p>
    <w:p w14:paraId="731F3E7F">
      <w:pPr>
        <w:spacing w:beforeLines="0" w:afterLines="0" w:line="360" w:lineRule="auto"/>
        <w:ind w:firstLine="135"/>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   ⑸“总监理工程师”是指经委托人同意，监理人派到监理机构全面履行本合同的全权负责人。</w:t>
      </w:r>
    </w:p>
    <w:p w14:paraId="12B81E6B">
      <w:pPr>
        <w:spacing w:beforeLines="0" w:afterLines="0" w:line="360" w:lineRule="auto"/>
        <w:ind w:firstLine="135"/>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   ⑹“承包人”是指除监理人以外，委托人就工程建设有关事宜签订合同的当事人。</w:t>
      </w:r>
    </w:p>
    <w:p w14:paraId="74CD3125">
      <w:pPr>
        <w:spacing w:beforeLines="0" w:afterLines="0" w:line="360" w:lineRule="auto"/>
        <w:ind w:firstLine="135"/>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   ⑺“工程监理的正常工作”是指双方在专用条件中约定，委托人委托的监理工作范围和内容。 </w:t>
      </w:r>
    </w:p>
    <w:p w14:paraId="594FCA32">
      <w:pPr>
        <w:spacing w:beforeLines="0" w:afterLines="0" w:line="360" w:lineRule="auto"/>
        <w:ind w:firstLine="135"/>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   ⑻“工程监理的附加工作”是指：① 委托人委托监理范围以外，通过双方书面协议另外增加的工作内容；② 由于委托人或承包人原因，使监理工作受到阻碍或延误，因增加工作量或持续时间而增加的工作。</w:t>
      </w:r>
    </w:p>
    <w:p w14:paraId="5D37EF58">
      <w:pPr>
        <w:spacing w:beforeLines="0" w:afterLines="0"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  </w:t>
      </w:r>
      <w:r>
        <w:rPr>
          <w:rFonts w:hint="eastAsia" w:ascii="宋体" w:hAnsi="宋体" w:eastAsia="宋体" w:cs="宋体"/>
          <w:color w:val="auto"/>
          <w:sz w:val="24"/>
          <w:szCs w:val="28"/>
          <w:highlight w:val="none"/>
          <w:lang w:val="en-US" w:eastAsia="zh-CN"/>
        </w:rPr>
        <w:t xml:space="preserve"> </w:t>
      </w:r>
      <w:r>
        <w:rPr>
          <w:rFonts w:hint="eastAsia" w:ascii="宋体" w:hAnsi="宋体" w:eastAsia="宋体" w:cs="宋体"/>
          <w:color w:val="auto"/>
          <w:sz w:val="24"/>
          <w:szCs w:val="28"/>
          <w:highlight w:val="none"/>
        </w:rPr>
        <w:t xml:space="preserve"> ⑼“工程监理的额外工作”是指正常工作和附加工作以外，根据招标文件规定监理人必须完成的工作，或非监理人自己的原因而暂停或终止监理业务，其善后工作及恢复监理业务的工作。</w:t>
      </w:r>
    </w:p>
    <w:p w14:paraId="5014A72D">
      <w:pPr>
        <w:spacing w:beforeLines="0" w:afterLines="0"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    ⑽“日”是指任何一天零时至第二天零时的时间段。 </w:t>
      </w:r>
    </w:p>
    <w:p w14:paraId="1A7ED6FA">
      <w:pPr>
        <w:spacing w:beforeLines="0" w:afterLines="0"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    ⑾“月”是指根据公历从一个月份中任何一天开始到下一个月份相应日期的前一天的时间段。</w:t>
      </w:r>
    </w:p>
    <w:p w14:paraId="1D9BF98E">
      <w:pPr>
        <w:spacing w:beforeLines="0" w:afterLines="0"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    第二条 建设工程委托监理合同适用的法律是指国家的法律、行政法规，以及专用条件中议定的部门规章或工程所在地的地方法规、地方规章。</w:t>
      </w:r>
    </w:p>
    <w:p w14:paraId="172F4343">
      <w:pPr>
        <w:spacing w:beforeLines="0" w:afterLines="0"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    第三条 本合同文件使用汉语语言文字书写、解释和说明。如专用条件约定使用两种以上（含两种）语言文字时，汉语应为解释和说明本合同的标准语言文字。</w:t>
      </w:r>
    </w:p>
    <w:p w14:paraId="4F074C5B">
      <w:pPr>
        <w:spacing w:beforeLines="0" w:afterLines="0" w:line="360" w:lineRule="auto"/>
        <w:jc w:val="center"/>
        <w:rPr>
          <w:rFonts w:hint="eastAsia" w:ascii="宋体" w:hAnsi="宋体" w:eastAsia="宋体" w:cs="宋体"/>
          <w:b/>
          <w:color w:val="auto"/>
          <w:sz w:val="24"/>
          <w:szCs w:val="28"/>
          <w:highlight w:val="none"/>
        </w:rPr>
      </w:pPr>
      <w:bookmarkStart w:id="491" w:name="_Toc40300017"/>
      <w:bookmarkStart w:id="492" w:name="_Toc40299644"/>
      <w:r>
        <w:rPr>
          <w:rFonts w:hint="eastAsia" w:ascii="宋体" w:hAnsi="宋体" w:eastAsia="宋体" w:cs="宋体"/>
          <w:b/>
          <w:color w:val="auto"/>
          <w:sz w:val="24"/>
          <w:szCs w:val="28"/>
          <w:highlight w:val="none"/>
        </w:rPr>
        <w:t>监理人义务</w:t>
      </w:r>
      <w:bookmarkEnd w:id="491"/>
      <w:bookmarkEnd w:id="492"/>
    </w:p>
    <w:p w14:paraId="0205F12E">
      <w:pPr>
        <w:spacing w:beforeLines="0" w:afterLines="0" w:line="360" w:lineRule="auto"/>
        <w:ind w:firstLine="57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第四条 监理人按合同约定派出监理工作需要的监理机构及监理人员，向委托人报送委派的总监理工程师及其监理机构主要成员名单、监理规划，完成监理合同专用条件中约定的监理工程范围内的监理业务。在履行合同义务期间，应按合同约定定期向委托人报告监理工作。 </w:t>
      </w:r>
    </w:p>
    <w:p w14:paraId="0357F4A1">
      <w:pPr>
        <w:spacing w:beforeLines="0" w:afterLines="0" w:line="360" w:lineRule="auto"/>
        <w:ind w:firstLine="57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第五条 监理人在履行本合同的义务期间，应认真、勤奋地工作，为委托人提供与其水平相适应的咨询意见，公正维护各方面的合法权益。</w:t>
      </w:r>
    </w:p>
    <w:p w14:paraId="75BD30B7">
      <w:pPr>
        <w:spacing w:beforeLines="0" w:afterLines="0" w:line="360" w:lineRule="auto"/>
        <w:ind w:firstLine="57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第六条 监理人使用委托人提供的设施和物品属委托人的财产。在监理工作完成或中止时，应将其设施和剩余的物品按合同约定的时间和方式移交给委托人。</w:t>
      </w:r>
    </w:p>
    <w:p w14:paraId="092A096C">
      <w:pPr>
        <w:spacing w:beforeLines="0" w:afterLines="0" w:line="360" w:lineRule="auto"/>
        <w:ind w:firstLine="57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第七条 在合同期内或合同终止后，未征得有关方同意，不得泄漏与本工程、本合同业务活动有关的保密资料。</w:t>
      </w:r>
    </w:p>
    <w:p w14:paraId="1842F98B">
      <w:pPr>
        <w:spacing w:beforeLines="0" w:afterLines="0" w:line="360" w:lineRule="auto"/>
        <w:jc w:val="center"/>
        <w:rPr>
          <w:rFonts w:hint="eastAsia" w:ascii="宋体" w:hAnsi="宋体" w:eastAsia="宋体" w:cs="宋体"/>
          <w:b/>
          <w:color w:val="auto"/>
          <w:sz w:val="24"/>
          <w:szCs w:val="28"/>
          <w:highlight w:val="none"/>
        </w:rPr>
      </w:pPr>
      <w:bookmarkStart w:id="493" w:name="_Toc40299645"/>
      <w:bookmarkStart w:id="494" w:name="_Toc40300018"/>
      <w:r>
        <w:rPr>
          <w:rFonts w:hint="eastAsia" w:ascii="宋体" w:hAnsi="宋体" w:eastAsia="宋体" w:cs="宋体"/>
          <w:b/>
          <w:color w:val="auto"/>
          <w:sz w:val="24"/>
          <w:szCs w:val="28"/>
          <w:highlight w:val="none"/>
        </w:rPr>
        <w:t>委托人义务</w:t>
      </w:r>
      <w:bookmarkEnd w:id="493"/>
      <w:bookmarkEnd w:id="494"/>
    </w:p>
    <w:p w14:paraId="7FD18B36">
      <w:pPr>
        <w:spacing w:beforeLines="0" w:afterLines="0" w:line="360" w:lineRule="auto"/>
        <w:ind w:firstLine="57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第八条 委托人在监理人开展监理业务之前应向监理人支付预付款。</w:t>
      </w:r>
    </w:p>
    <w:p w14:paraId="6FE37AE0">
      <w:pPr>
        <w:spacing w:beforeLines="0" w:afterLines="0" w:line="360" w:lineRule="auto"/>
        <w:ind w:firstLine="57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第九条 委托人应当负责工程建设的所有外部关系的协调，为监理工作提供外部条件。根据需要，如将部分或全部协调工作委托监理人承担，则应在专用条件中明确委托的工作和相应的报酬。</w:t>
      </w:r>
    </w:p>
    <w:p w14:paraId="77A9F6D7">
      <w:pPr>
        <w:spacing w:beforeLines="0" w:afterLines="0" w:line="360" w:lineRule="auto"/>
        <w:ind w:firstLine="57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第十条 委托人应当在双方约定的时间内免费向监理人提供与工程有关的为监理工作所需要的工程资料。</w:t>
      </w:r>
    </w:p>
    <w:p w14:paraId="21437D8D">
      <w:pPr>
        <w:spacing w:beforeLines="0" w:afterLines="0" w:line="360" w:lineRule="auto"/>
        <w:ind w:firstLine="57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第十一条 委托人应当在专用条款约定的时间内就监理人书面提交并要求作出决定的一切事宜作出书面决定。 </w:t>
      </w:r>
    </w:p>
    <w:p w14:paraId="7FD61B39">
      <w:pPr>
        <w:spacing w:beforeLines="0" w:afterLines="0" w:line="360" w:lineRule="auto"/>
        <w:ind w:firstLine="57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第十二条 委托人应当授权一名熟悉工程情况、能在规定时间内作出决定的常驻代表（在专用条件中约定），负责与监理人联系。更换常驻代表，要提前通知监理人。</w:t>
      </w:r>
    </w:p>
    <w:p w14:paraId="7B86AA86">
      <w:pPr>
        <w:spacing w:beforeLines="0" w:afterLines="0" w:line="360" w:lineRule="auto"/>
        <w:ind w:firstLine="57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第十三条 委托人应当将授予监理人的监理权利，以及监理人主要成员的职能分工、监理权限及时书面通知选定的承包合同的承包人，并在与第三人签订的合同中予以明确。 </w:t>
      </w:r>
    </w:p>
    <w:p w14:paraId="688EB9C4">
      <w:pPr>
        <w:spacing w:beforeLines="0" w:afterLines="0" w:line="360" w:lineRule="auto"/>
        <w:ind w:firstLine="57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第十四条 委托人应在不影响监理人开展监理工作的时间内提供如下资料： </w:t>
      </w:r>
    </w:p>
    <w:p w14:paraId="1A24C4D0">
      <w:pPr>
        <w:spacing w:beforeLines="0" w:afterLines="0" w:line="360" w:lineRule="auto"/>
        <w:ind w:firstLine="57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⑴ 与本工程合作的原材料、构配件、机械设备等生产厂家名录。 </w:t>
      </w:r>
    </w:p>
    <w:p w14:paraId="321DFC68">
      <w:pPr>
        <w:spacing w:beforeLines="0" w:afterLines="0" w:line="360" w:lineRule="auto"/>
        <w:ind w:firstLine="57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⑵ 提供与本工程有关的协作单位、配合单位的名录。 </w:t>
      </w:r>
    </w:p>
    <w:p w14:paraId="706440A0">
      <w:pPr>
        <w:tabs>
          <w:tab w:val="left" w:pos="360"/>
        </w:tabs>
        <w:spacing w:beforeLines="0" w:afterLines="0" w:line="360" w:lineRule="auto"/>
        <w:ind w:firstLine="537" w:firstLineChars="224"/>
        <w:rPr>
          <w:rFonts w:hint="eastAsia" w:ascii="宋体" w:hAnsi="宋体" w:eastAsia="宋体" w:cs="宋体"/>
          <w:color w:val="auto"/>
          <w:sz w:val="24"/>
          <w:highlight w:val="none"/>
        </w:rPr>
      </w:pPr>
      <w:r>
        <w:rPr>
          <w:rFonts w:hint="eastAsia" w:ascii="宋体" w:hAnsi="宋体" w:eastAsia="宋体" w:cs="宋体"/>
          <w:color w:val="auto"/>
          <w:sz w:val="24"/>
          <w:highlight w:val="none"/>
        </w:rPr>
        <w:t>第十五条 监理人办公用房、通讯设施、监理人人员工地住房等由监理人自理。</w:t>
      </w:r>
    </w:p>
    <w:p w14:paraId="27FB629F">
      <w:pPr>
        <w:tabs>
          <w:tab w:val="left" w:pos="360"/>
        </w:tabs>
        <w:spacing w:beforeLines="0" w:afterLines="0" w:line="360" w:lineRule="auto"/>
        <w:ind w:firstLine="537" w:firstLineChars="224"/>
        <w:rPr>
          <w:rFonts w:hint="eastAsia" w:ascii="宋体" w:hAnsi="宋体" w:eastAsia="宋体" w:cs="宋体"/>
          <w:color w:val="auto"/>
          <w:sz w:val="24"/>
          <w:highlight w:val="none"/>
        </w:rPr>
      </w:pPr>
      <w:r>
        <w:rPr>
          <w:rFonts w:hint="eastAsia" w:ascii="宋体" w:hAnsi="宋体" w:eastAsia="宋体" w:cs="宋体"/>
          <w:color w:val="auto"/>
          <w:sz w:val="24"/>
          <w:highlight w:val="none"/>
        </w:rPr>
        <w:t>第十六条 根据情况需要，如果双方约定，由委托人免费向监理人提供其他人员，应在监理合同专用条款中予以明确。</w:t>
      </w:r>
    </w:p>
    <w:p w14:paraId="3CCF7B4B">
      <w:pPr>
        <w:spacing w:beforeLines="0" w:afterLines="0" w:line="360" w:lineRule="auto"/>
        <w:jc w:val="center"/>
        <w:rPr>
          <w:rFonts w:hint="eastAsia" w:ascii="宋体" w:hAnsi="宋体" w:eastAsia="宋体" w:cs="宋体"/>
          <w:b/>
          <w:color w:val="auto"/>
          <w:sz w:val="24"/>
          <w:szCs w:val="28"/>
          <w:highlight w:val="none"/>
        </w:rPr>
      </w:pPr>
      <w:bookmarkStart w:id="495" w:name="_Toc40299646"/>
      <w:bookmarkStart w:id="496" w:name="_Toc40300019"/>
      <w:r>
        <w:rPr>
          <w:rFonts w:hint="eastAsia" w:ascii="宋体" w:hAnsi="宋体" w:eastAsia="宋体" w:cs="宋体"/>
          <w:b/>
          <w:color w:val="auto"/>
          <w:sz w:val="24"/>
          <w:szCs w:val="28"/>
          <w:highlight w:val="none"/>
        </w:rPr>
        <w:t>监理人权利</w:t>
      </w:r>
      <w:bookmarkEnd w:id="495"/>
      <w:bookmarkEnd w:id="496"/>
    </w:p>
    <w:p w14:paraId="7CA87F2A">
      <w:pPr>
        <w:spacing w:beforeLines="0" w:afterLines="0" w:line="360" w:lineRule="auto"/>
        <w:ind w:firstLine="57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第十七条 监理人在委托人委托的工程范围内，享有以下权利： </w:t>
      </w:r>
    </w:p>
    <w:p w14:paraId="351E8DD7">
      <w:pPr>
        <w:spacing w:beforeLines="0" w:afterLines="0" w:line="360" w:lineRule="auto"/>
        <w:ind w:firstLine="57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⑴ 选择工程总承包人的建议权。</w:t>
      </w:r>
    </w:p>
    <w:p w14:paraId="18AF49EB">
      <w:pPr>
        <w:spacing w:beforeLines="0" w:afterLines="0" w:line="360" w:lineRule="auto"/>
        <w:ind w:firstLine="57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⑵ 对工程建设有关事项包括工程规模、设计标准、规划设计、生产工艺设计和使用功能要求，向委托人的建议权。</w:t>
      </w:r>
    </w:p>
    <w:p w14:paraId="31C4AEF4">
      <w:pPr>
        <w:spacing w:beforeLines="0" w:afterLines="0" w:line="360" w:lineRule="auto"/>
        <w:ind w:firstLine="57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⑶ 对工程设计中的技术问题，按照安全和优化的原则，向设计人提供建议；如果拟提出的建议可能会提高工程造价，或延长工期，应当事先征得委托人的同意。当发现工程设计不符合国家颁布的建设工程质量标准或设计合同约定的质量标准时，监理人应当书面报告委托人并要求设计人更正。 </w:t>
      </w:r>
    </w:p>
    <w:p w14:paraId="44E6A65C">
      <w:pPr>
        <w:spacing w:beforeLines="0" w:afterLines="0" w:line="360" w:lineRule="auto"/>
        <w:ind w:firstLine="57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⑷ 审批工程施工组织设计和技术方案，按照保质量、保工期和降低成本的原则，向承包人提出建议，并向委托人提出书面报告。</w:t>
      </w:r>
    </w:p>
    <w:p w14:paraId="7500AE60">
      <w:pPr>
        <w:spacing w:beforeLines="0" w:afterLines="0" w:line="360" w:lineRule="auto"/>
        <w:ind w:firstLine="57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⑸ 主持工程建设有关协作单位的组织协调，重要协调事项应事先向委托人报告。</w:t>
      </w:r>
    </w:p>
    <w:p w14:paraId="62F47753">
      <w:pPr>
        <w:spacing w:beforeLines="0" w:afterLines="0" w:line="360" w:lineRule="auto"/>
        <w:ind w:firstLine="57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⑹ 征得委托人同意，监理人有权发布开工令、停工令、复工令，但应当事先向委托人报告。如在紧急情况下未能事先报告时，则应在24小时内向委托人作出书面报告。</w:t>
      </w:r>
    </w:p>
    <w:p w14:paraId="3CF5EC09">
      <w:pPr>
        <w:spacing w:beforeLines="0" w:afterLines="0" w:line="360" w:lineRule="auto"/>
        <w:ind w:firstLine="42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 ⑺工程上使用的材料和施工质量的检验权。对于不符合设计要求和合同约定及国家质量标准的材料、构配件、设备，有权通知承包人停止使用；对于不符合规范和质量标准的工序、分项工程和不安全施工作业，有权通知承包人停工整改、返工。承包人取得监理机构复工令后才能复工。</w:t>
      </w:r>
    </w:p>
    <w:p w14:paraId="1FECE505">
      <w:pPr>
        <w:spacing w:beforeLines="0" w:afterLines="0" w:line="360" w:lineRule="auto"/>
        <w:ind w:firstLine="57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⑻工程施工进度的检查、监督权，以及工程实际竣工日期提前或超过工程施工合同规定的竣工期限的签认权。 </w:t>
      </w:r>
    </w:p>
    <w:p w14:paraId="6FA1AF21">
      <w:pPr>
        <w:spacing w:beforeLines="0" w:afterLines="0" w:line="360" w:lineRule="auto"/>
        <w:ind w:firstLine="57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⑼ 在工程施工合同约定的工程价格范围内，工程计量的审核和签认权，以及工程结算的复核确认权与否决权。 </w:t>
      </w:r>
    </w:p>
    <w:p w14:paraId="1917D74A">
      <w:pPr>
        <w:tabs>
          <w:tab w:val="left" w:pos="1365"/>
        </w:tabs>
        <w:spacing w:beforeLines="0" w:afterLines="0" w:line="360" w:lineRule="auto"/>
        <w:ind w:firstLine="57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第十八条 监理人在委托人授权下，可对任何承包人合同规定的义务提出变更，但这种变更须经委托人事先批准。在紧急情况下未能事先报委托人批准时，监理人所做的变更也应尽快通知委托人。在监理过程中如发现工程承包人人员工作不力，监理机构有权要求承包人调换有关人员。 </w:t>
      </w:r>
    </w:p>
    <w:p w14:paraId="4AD4067C">
      <w:pPr>
        <w:spacing w:beforeLines="0" w:afterLines="0" w:line="360" w:lineRule="auto"/>
        <w:ind w:firstLine="57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第十九条 在委托的工程范围内，委托人或承包人对对方的任何意见和要求（包括索赔要求），均必须首先向监理机构提出，由监理机构研究处置意见，再同双方协商确定。当委托人和承包人发生争议时，监理机构应根据自己的职能，以独立的身份判断，公正地进行调解。当其双方的争议由政府建设行政主管部门调解或仲裁机关仲裁时，应当提供作证的事实材料。</w:t>
      </w:r>
    </w:p>
    <w:p w14:paraId="66CCF194">
      <w:pPr>
        <w:spacing w:beforeLines="0" w:afterLines="0" w:line="360" w:lineRule="auto"/>
        <w:jc w:val="center"/>
        <w:rPr>
          <w:rFonts w:hint="eastAsia" w:ascii="宋体" w:hAnsi="宋体" w:eastAsia="宋体" w:cs="宋体"/>
          <w:b/>
          <w:color w:val="auto"/>
          <w:sz w:val="24"/>
          <w:szCs w:val="28"/>
          <w:highlight w:val="none"/>
        </w:rPr>
      </w:pPr>
      <w:bookmarkStart w:id="497" w:name="_Toc40300020"/>
      <w:bookmarkStart w:id="498" w:name="_Toc40299647"/>
      <w:r>
        <w:rPr>
          <w:rFonts w:hint="eastAsia" w:ascii="宋体" w:hAnsi="宋体" w:eastAsia="宋体" w:cs="宋体"/>
          <w:b/>
          <w:color w:val="auto"/>
          <w:sz w:val="24"/>
          <w:szCs w:val="28"/>
          <w:highlight w:val="none"/>
        </w:rPr>
        <w:t>委托人权利</w:t>
      </w:r>
      <w:bookmarkEnd w:id="497"/>
      <w:bookmarkEnd w:id="498"/>
    </w:p>
    <w:p w14:paraId="27A131A5">
      <w:pPr>
        <w:spacing w:beforeLines="0" w:afterLines="0" w:line="360" w:lineRule="auto"/>
        <w:ind w:firstLine="57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第二十条 委托人有选定工程总承包人，以及与其订立合同的权利。</w:t>
      </w:r>
    </w:p>
    <w:p w14:paraId="2C60044F">
      <w:pPr>
        <w:spacing w:beforeLines="0" w:afterLines="0" w:line="360" w:lineRule="auto"/>
        <w:ind w:firstLine="57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第二十一条 委托人有对工程规模、设计标准、规划设计、生产工艺设计和设计使用功能要求的认定权，以及对工程计量支付、工程设计变更及材料供应和使用等重大问题具有最后确定权。</w:t>
      </w:r>
    </w:p>
    <w:p w14:paraId="04957D3F">
      <w:pPr>
        <w:spacing w:beforeLines="0" w:afterLines="0" w:line="360" w:lineRule="auto"/>
        <w:ind w:firstLine="57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第二十二条 监理人调换总监理工程师须事先经委托人同意。 </w:t>
      </w:r>
    </w:p>
    <w:p w14:paraId="5292F470">
      <w:pPr>
        <w:spacing w:beforeLines="0" w:afterLines="0" w:line="360" w:lineRule="auto"/>
        <w:ind w:firstLine="57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第二十三条 委托人有权要求监理人提交监理工作月报及监理业务范围内的专项报告。</w:t>
      </w:r>
    </w:p>
    <w:p w14:paraId="0E096742">
      <w:pPr>
        <w:spacing w:beforeLines="0" w:afterLines="0" w:line="360" w:lineRule="auto"/>
        <w:ind w:firstLine="57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第二十四条 当委托人发现监理人员不按监理合同履行监理职责，或与承包人串通给委托人或工程造成损失的，委托人有权要求监理人更换监理人员，直到终止合同并要求监理人承担相应的赔偿责任或连带责任。</w:t>
      </w:r>
    </w:p>
    <w:p w14:paraId="7FD1C0A5">
      <w:pPr>
        <w:spacing w:beforeLines="0" w:afterLines="0" w:line="360" w:lineRule="auto"/>
        <w:jc w:val="center"/>
        <w:rPr>
          <w:rFonts w:hint="eastAsia" w:ascii="宋体" w:hAnsi="宋体" w:eastAsia="宋体" w:cs="宋体"/>
          <w:b/>
          <w:color w:val="auto"/>
          <w:sz w:val="24"/>
          <w:szCs w:val="28"/>
          <w:highlight w:val="none"/>
        </w:rPr>
      </w:pPr>
      <w:bookmarkStart w:id="499" w:name="_Toc40300021"/>
      <w:bookmarkStart w:id="500" w:name="_Toc40299648"/>
      <w:r>
        <w:rPr>
          <w:rFonts w:hint="eastAsia" w:ascii="宋体" w:hAnsi="宋体" w:eastAsia="宋体" w:cs="宋体"/>
          <w:b/>
          <w:color w:val="auto"/>
          <w:sz w:val="24"/>
          <w:szCs w:val="28"/>
          <w:highlight w:val="none"/>
        </w:rPr>
        <w:t>监理人责任</w:t>
      </w:r>
      <w:bookmarkEnd w:id="499"/>
      <w:bookmarkEnd w:id="500"/>
    </w:p>
    <w:p w14:paraId="638F72E3">
      <w:pPr>
        <w:spacing w:beforeLines="0" w:afterLines="0" w:line="360" w:lineRule="auto"/>
        <w:ind w:firstLine="57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第二十五条 监理人的责任期即委托监理合同有效期。在监理过程中，如果因工程建设进度的推迟或延误而超过书面约定的日期，双方应进一步约定相应延长的合同期。</w:t>
      </w:r>
    </w:p>
    <w:p w14:paraId="2D4D83A9">
      <w:pPr>
        <w:spacing w:beforeLines="0" w:afterLines="0" w:line="360" w:lineRule="auto"/>
        <w:ind w:firstLine="57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第二十六条 监理人在责任期内，应当履行约定的义务。如果因监理人过失而造成了委托人的经济损失，应当向委托人赔偿。累计赔偿总额（除本合同第二十四条规定外）不应超过监理报酬总额（除去税金）。</w:t>
      </w:r>
    </w:p>
    <w:p w14:paraId="7E1328A9">
      <w:pPr>
        <w:spacing w:beforeLines="0" w:afterLines="0" w:line="360" w:lineRule="auto"/>
        <w:ind w:firstLine="57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第二十七条 监理人对承包人违反合同规定的质量要求和完工（交图、交货）时限，不承担责任。但对违反第五条规定引起的与之有关的事宜，向委托人承担赔偿责任。因不可抗力导致委托监理合同不能全部或部分履行，监理人不承担责任。</w:t>
      </w:r>
    </w:p>
    <w:p w14:paraId="1D76CC14">
      <w:pPr>
        <w:spacing w:beforeLines="0" w:afterLines="0" w:line="360" w:lineRule="auto"/>
        <w:ind w:firstLine="57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第二十八条 监理人向委托人提出赔偿要求不能成立时监理人应当补偿由于该索赔所导致委托人的各种费用支出。</w:t>
      </w:r>
    </w:p>
    <w:p w14:paraId="702DCBAB">
      <w:pPr>
        <w:spacing w:beforeLines="0" w:afterLines="0" w:line="360" w:lineRule="auto"/>
        <w:jc w:val="center"/>
        <w:rPr>
          <w:rFonts w:hint="eastAsia" w:ascii="宋体" w:hAnsi="宋体" w:eastAsia="宋体" w:cs="宋体"/>
          <w:b/>
          <w:color w:val="auto"/>
          <w:sz w:val="24"/>
          <w:szCs w:val="28"/>
          <w:highlight w:val="none"/>
        </w:rPr>
      </w:pPr>
      <w:bookmarkStart w:id="501" w:name="_Toc40299649"/>
      <w:bookmarkStart w:id="502" w:name="_Toc40300022"/>
      <w:r>
        <w:rPr>
          <w:rFonts w:hint="eastAsia" w:ascii="宋体" w:hAnsi="宋体" w:eastAsia="宋体" w:cs="宋体"/>
          <w:b/>
          <w:color w:val="auto"/>
          <w:sz w:val="24"/>
          <w:szCs w:val="28"/>
          <w:highlight w:val="none"/>
        </w:rPr>
        <w:t>委托人责任</w:t>
      </w:r>
      <w:bookmarkEnd w:id="501"/>
      <w:bookmarkEnd w:id="502"/>
    </w:p>
    <w:p w14:paraId="2A5F5BAB">
      <w:pPr>
        <w:spacing w:beforeLines="0" w:afterLines="0" w:line="360" w:lineRule="auto"/>
        <w:ind w:firstLine="57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第二十九条 委托人应当履行委托监理合同约定的义务，如有违反则应当承担违约责任，赔偿给监理人造成的经济损失。</w:t>
      </w:r>
    </w:p>
    <w:p w14:paraId="53545442">
      <w:pPr>
        <w:spacing w:beforeLines="0" w:afterLines="0" w:line="360" w:lineRule="auto"/>
        <w:ind w:firstLine="57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监理人处理委托业务时，因非监理人原因的事由受到损失的、可以向委托人要求补偿损失。 </w:t>
      </w:r>
    </w:p>
    <w:p w14:paraId="5C5202A9">
      <w:pPr>
        <w:spacing w:beforeLines="0" w:afterLines="0" w:line="360" w:lineRule="auto"/>
        <w:ind w:firstLine="57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第三十条 委托人如果向监理人提出赔偿的要求不能成立，则应当补偿由该索赔所引起的监理人的各种费用支出。</w:t>
      </w:r>
    </w:p>
    <w:p w14:paraId="752E45B0">
      <w:pPr>
        <w:spacing w:beforeLines="0" w:afterLines="0" w:line="360" w:lineRule="auto"/>
        <w:jc w:val="center"/>
        <w:rPr>
          <w:rFonts w:hint="eastAsia" w:ascii="宋体" w:hAnsi="宋体" w:eastAsia="宋体" w:cs="宋体"/>
          <w:b/>
          <w:color w:val="auto"/>
          <w:sz w:val="24"/>
          <w:szCs w:val="28"/>
          <w:highlight w:val="none"/>
        </w:rPr>
      </w:pPr>
      <w:bookmarkStart w:id="503" w:name="_Toc40300023"/>
      <w:bookmarkStart w:id="504" w:name="_Toc40299650"/>
      <w:r>
        <w:rPr>
          <w:rFonts w:hint="eastAsia" w:ascii="宋体" w:hAnsi="宋体" w:eastAsia="宋体" w:cs="宋体"/>
          <w:b/>
          <w:color w:val="auto"/>
          <w:sz w:val="24"/>
          <w:szCs w:val="28"/>
          <w:highlight w:val="none"/>
        </w:rPr>
        <w:t>合同生效、变更与终止</w:t>
      </w:r>
      <w:bookmarkEnd w:id="503"/>
      <w:bookmarkEnd w:id="504"/>
    </w:p>
    <w:p w14:paraId="76E9D3D3">
      <w:pPr>
        <w:spacing w:beforeLines="0" w:afterLines="0" w:line="360" w:lineRule="auto"/>
        <w:ind w:firstLine="57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第三十一条 由于委托人或承包人的原因使监理工作受到阻碍或延误，以致发生了附加工作或延长了持续时间，则监理人应当将此情况与可能产生的影响及时通知委托人。完成监理业务的工作量增加或工作时间延长，应得到附加工作的报酬。</w:t>
      </w:r>
    </w:p>
    <w:p w14:paraId="435E9677">
      <w:pPr>
        <w:spacing w:beforeLines="0" w:afterLines="0" w:line="360" w:lineRule="auto"/>
        <w:ind w:firstLine="57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第三十二条 在委托监理合同签订后，实际情况发生变化，使得监理人不能全部或部分执行监理业务时，监理人应当立即通知委托人。该监理业务的完成时间应予延长。当恢复执行监理业务时，应当增加不超过42日的时间用于恢复执行监理业务，并按双方约定的数量支付监理报酬。</w:t>
      </w:r>
    </w:p>
    <w:p w14:paraId="6902E909">
      <w:pPr>
        <w:spacing w:beforeLines="0" w:afterLines="0" w:line="360" w:lineRule="auto"/>
        <w:ind w:firstLine="57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第三十三条 监理人向委托人办理完竣工验收或工程移交手续，承包人和委托人已签订工程保修责任书，监理人收到监理报酬尾款后，本合同即终止。保修期间的责任，双方在专用条件中约定。</w:t>
      </w:r>
    </w:p>
    <w:p w14:paraId="36146D49">
      <w:pPr>
        <w:spacing w:beforeLines="0" w:afterLines="0" w:line="360" w:lineRule="auto"/>
        <w:ind w:firstLine="57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第三十四条 当事人一方要求变更或解除合同时，应当在42日前通知对方，因解除合同使一方遭受损失的，除依法可以免除责任的外，应由责任方负责赔偿。</w:t>
      </w:r>
    </w:p>
    <w:p w14:paraId="44AF87AF">
      <w:pPr>
        <w:spacing w:beforeLines="0" w:afterLines="0" w:line="360" w:lineRule="auto"/>
        <w:ind w:firstLine="57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变更或解除合同的通知或协议必须采取书面形式，协议未达成之前，原合同仍然有效。</w:t>
      </w:r>
    </w:p>
    <w:p w14:paraId="1BD6A821">
      <w:pPr>
        <w:spacing w:beforeLines="0" w:afterLines="0" w:line="360" w:lineRule="auto"/>
        <w:ind w:firstLine="57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第三十五条 监理人在应当获得监理报酬之日起30日内仍未收到支付单据，而委托人又未对监理人提出任何书面解释时，或根据第三十三条及第三十四条已暂停执行监理业务时限超过六个月的，监理人可向委托人发出终止合同的通知，发出通知后14日内仍未得到委托人答复，可进一步发出终止合同的通知，如果第二份通知发出后42日内仍未得到委托人答复，可终止合同或自行暂停或继续暂停执行全部或部分监理业务。委托人承担违约责任。</w:t>
      </w:r>
    </w:p>
    <w:p w14:paraId="4A979D7E">
      <w:pPr>
        <w:spacing w:beforeLines="0" w:afterLines="0" w:line="360" w:lineRule="auto"/>
        <w:ind w:firstLine="57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第三十六条 监理人由于非自己的原因而暂停或终止执行监理业务，其善后工作以及恢复执行监理业务的工作，应当视为额外工作，有权得到额外的报酬。</w:t>
      </w:r>
    </w:p>
    <w:p w14:paraId="391C111E">
      <w:pPr>
        <w:spacing w:beforeLines="0" w:afterLines="0" w:line="360" w:lineRule="auto"/>
        <w:ind w:firstLine="57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第三十七条 当委托人认为监理人无正当理由而又未履行监理义务时，可向监理人发出指明其未履行义务的通知。若委托人发出通知后21日内没有收到答复，可在第一个通知发出后35日内发出终止委托监理合同的通知，合同即行终止。监理人承担违约责任。</w:t>
      </w:r>
    </w:p>
    <w:p w14:paraId="153B774F">
      <w:pPr>
        <w:spacing w:beforeLines="0" w:afterLines="0" w:line="360" w:lineRule="auto"/>
        <w:ind w:firstLine="57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第三十八条 合同协议的终止并不影响各方应有的权利和应当承担的责任。 </w:t>
      </w:r>
    </w:p>
    <w:p w14:paraId="009394E7">
      <w:pPr>
        <w:spacing w:beforeLines="0" w:afterLines="0" w:line="360" w:lineRule="auto"/>
        <w:jc w:val="center"/>
        <w:rPr>
          <w:rFonts w:hint="eastAsia" w:ascii="宋体" w:hAnsi="宋体" w:eastAsia="宋体" w:cs="宋体"/>
          <w:b/>
          <w:color w:val="auto"/>
          <w:sz w:val="24"/>
          <w:szCs w:val="28"/>
          <w:highlight w:val="none"/>
        </w:rPr>
      </w:pPr>
      <w:bookmarkStart w:id="505" w:name="_Toc40300024"/>
      <w:bookmarkStart w:id="506" w:name="_Toc40299651"/>
      <w:r>
        <w:rPr>
          <w:rFonts w:hint="eastAsia" w:ascii="宋体" w:hAnsi="宋体" w:eastAsia="宋体" w:cs="宋体"/>
          <w:b/>
          <w:color w:val="auto"/>
          <w:sz w:val="24"/>
          <w:szCs w:val="28"/>
          <w:highlight w:val="none"/>
        </w:rPr>
        <w:t>监理报酬</w:t>
      </w:r>
      <w:bookmarkEnd w:id="505"/>
      <w:bookmarkEnd w:id="506"/>
    </w:p>
    <w:p w14:paraId="6B53F358">
      <w:pPr>
        <w:spacing w:beforeLines="0" w:afterLines="0" w:line="360" w:lineRule="auto"/>
        <w:ind w:firstLine="57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第三十九条 正常的监理工作、附加工作和额外工作的报酬，按照监理合同专用条件中第三十九条的方法计算，并按约定的时间和数额支付。</w:t>
      </w:r>
    </w:p>
    <w:p w14:paraId="224757AC">
      <w:pPr>
        <w:spacing w:beforeLines="0" w:afterLines="0" w:line="360" w:lineRule="auto"/>
        <w:ind w:firstLine="57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第四十条 如果委托人在规定的支付期限内未支付监理报酬，自规定之日起，还应向监理人支付滞纳金。滞纳金从规定支付期限最后一日起计算。</w:t>
      </w:r>
    </w:p>
    <w:p w14:paraId="49831B3D">
      <w:pPr>
        <w:spacing w:beforeLines="0" w:afterLines="0" w:line="360" w:lineRule="auto"/>
        <w:ind w:firstLine="57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第四十一条 支付监理报酬所采取的货币币种、汇率由合同专用条件约定。 </w:t>
      </w:r>
    </w:p>
    <w:p w14:paraId="3B11BEF1">
      <w:pPr>
        <w:spacing w:beforeLines="0" w:afterLines="0" w:line="360" w:lineRule="auto"/>
        <w:ind w:firstLine="57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第四十二条 如果委托人对监理人提交的支付通知中报酬或部分报酬项目提出异议，应当在收到支付通知书24小时内向监理人发出表示异议的通知，但委托人不得拖延其他无异议报酬项目的支付。 </w:t>
      </w:r>
    </w:p>
    <w:p w14:paraId="1E7066FE">
      <w:pPr>
        <w:spacing w:beforeLines="0" w:afterLines="0" w:line="360" w:lineRule="auto"/>
        <w:jc w:val="center"/>
        <w:rPr>
          <w:rFonts w:hint="eastAsia" w:ascii="宋体" w:hAnsi="宋体" w:eastAsia="宋体" w:cs="宋体"/>
          <w:b/>
          <w:color w:val="auto"/>
          <w:sz w:val="24"/>
          <w:szCs w:val="28"/>
          <w:highlight w:val="none"/>
        </w:rPr>
      </w:pPr>
      <w:r>
        <w:rPr>
          <w:rFonts w:hint="eastAsia" w:ascii="宋体" w:hAnsi="宋体" w:eastAsia="宋体" w:cs="宋体"/>
          <w:b/>
          <w:color w:val="auto"/>
          <w:sz w:val="24"/>
          <w:szCs w:val="28"/>
          <w:highlight w:val="none"/>
        </w:rPr>
        <w:t>其   他</w:t>
      </w:r>
    </w:p>
    <w:p w14:paraId="12DD5F54">
      <w:pPr>
        <w:spacing w:beforeLines="0" w:afterLines="0" w:line="360" w:lineRule="auto"/>
        <w:ind w:firstLine="57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第四十三条 委托的建设工程监理所必要的监理人员出外考察、材料设备复试，其费用支出经委托人同意的，在预算范围内向委托人实报实销。 </w:t>
      </w:r>
    </w:p>
    <w:p w14:paraId="4DE279D3">
      <w:pPr>
        <w:spacing w:beforeLines="0" w:afterLines="0" w:line="360" w:lineRule="auto"/>
        <w:ind w:firstLine="57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第四十四条 在监理业务范围内，如需聘用专家咨询或协助，由监理人聘用的，其费用由监理人承担；由委托人聘用的，其费用由委托人承担。 </w:t>
      </w:r>
    </w:p>
    <w:p w14:paraId="77F5FA44">
      <w:pPr>
        <w:spacing w:beforeLines="0" w:afterLines="0" w:line="360" w:lineRule="auto"/>
        <w:ind w:firstLine="57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第四十五条 监理人在监理工作过程中提出的合理化建议，使委托人得到了经济效益，委托人应按专用条件中的约定给予经济奖励。  </w:t>
      </w:r>
    </w:p>
    <w:p w14:paraId="0452BC53">
      <w:pPr>
        <w:spacing w:beforeLines="0" w:afterLines="0" w:line="360" w:lineRule="auto"/>
        <w:ind w:firstLine="57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第四十六条 监理人驻地监理机构及其职员不得接受监理工程项目施工承包人的任何报酬或者经济利益。监理人不得参与可能与委托人的利益相冲突的任何活动。</w:t>
      </w:r>
    </w:p>
    <w:p w14:paraId="7AFA01A6">
      <w:pPr>
        <w:spacing w:beforeLines="0" w:afterLines="0" w:line="360" w:lineRule="auto"/>
        <w:ind w:firstLine="57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第四十七条 监理人在监理过程中，不得泄露委托人声明的秘密，监理人亦不得泄露设计人、承包人等提供并申明的秘密。</w:t>
      </w:r>
    </w:p>
    <w:p w14:paraId="5BA64FAB">
      <w:pPr>
        <w:spacing w:beforeLines="0" w:afterLines="0" w:line="360" w:lineRule="auto"/>
        <w:ind w:firstLine="57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第四十八条 监理人对于由其编制的所有文件拥有版权，委托人有权为本工程使用或复制此类文件。 </w:t>
      </w:r>
    </w:p>
    <w:p w14:paraId="430895C2">
      <w:pPr>
        <w:spacing w:beforeLines="0" w:afterLines="0" w:line="360" w:lineRule="auto"/>
        <w:jc w:val="center"/>
        <w:rPr>
          <w:rFonts w:hint="eastAsia" w:ascii="宋体" w:hAnsi="宋体" w:eastAsia="宋体" w:cs="宋体"/>
          <w:b/>
          <w:color w:val="auto"/>
          <w:sz w:val="24"/>
          <w:szCs w:val="28"/>
          <w:highlight w:val="none"/>
        </w:rPr>
      </w:pPr>
      <w:bookmarkStart w:id="507" w:name="_Toc40299652"/>
      <w:bookmarkStart w:id="508" w:name="_Toc40300025"/>
      <w:r>
        <w:rPr>
          <w:rFonts w:hint="eastAsia" w:ascii="宋体" w:hAnsi="宋体" w:eastAsia="宋体" w:cs="宋体"/>
          <w:b/>
          <w:color w:val="auto"/>
          <w:sz w:val="24"/>
          <w:szCs w:val="28"/>
          <w:highlight w:val="none"/>
        </w:rPr>
        <w:t>争议的解决</w:t>
      </w:r>
      <w:bookmarkEnd w:id="507"/>
      <w:bookmarkEnd w:id="508"/>
    </w:p>
    <w:p w14:paraId="771C05CD">
      <w:pPr>
        <w:spacing w:beforeLines="0" w:afterLines="0" w:line="360" w:lineRule="auto"/>
        <w:ind w:firstLine="57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第四十九条 因违反或终止合同而引起的对对方损失和损害的赔偿，双方应当协商解决，如未能达成一致，可提交主管部门协调，如仍未能达成一致时，根据双方约定提交仲裁机关仲裁，或向人民法院起诉。 </w:t>
      </w:r>
    </w:p>
    <w:p w14:paraId="522877D5">
      <w:pPr>
        <w:tabs>
          <w:tab w:val="left" w:pos="2940"/>
        </w:tabs>
        <w:spacing w:beforeLines="0" w:afterLines="0" w:line="360" w:lineRule="auto"/>
        <w:ind w:firstLine="570"/>
        <w:jc w:val="center"/>
        <w:outlineLvl w:val="9"/>
        <w:rPr>
          <w:rFonts w:hint="eastAsia" w:ascii="宋体" w:hAnsi="宋体" w:eastAsia="宋体" w:cs="宋体"/>
          <w:b/>
          <w:color w:val="auto"/>
          <w:sz w:val="30"/>
          <w:szCs w:val="30"/>
          <w:highlight w:val="none"/>
        </w:rPr>
        <w:sectPr>
          <w:pgSz w:w="12240" w:h="15840"/>
          <w:pgMar w:top="1304" w:right="1417" w:bottom="1304" w:left="1417" w:header="680" w:footer="680" w:gutter="0"/>
          <w:pgBorders>
            <w:top w:val="none" w:sz="0" w:space="0"/>
            <w:left w:val="none" w:sz="0" w:space="0"/>
            <w:bottom w:val="none" w:sz="0" w:space="0"/>
            <w:right w:val="none" w:sz="0" w:space="0"/>
          </w:pgBorders>
          <w:cols w:space="0" w:num="1"/>
          <w:rtlGutter w:val="1"/>
          <w:docGrid w:linePitch="0" w:charSpace="0"/>
        </w:sectPr>
      </w:pPr>
    </w:p>
    <w:p w14:paraId="31287A27">
      <w:pPr>
        <w:tabs>
          <w:tab w:val="left" w:pos="2940"/>
        </w:tabs>
        <w:spacing w:before="0" w:beforeLines="0" w:after="0" w:afterLines="0" w:line="360" w:lineRule="auto"/>
        <w:ind w:firstLine="573"/>
        <w:jc w:val="center"/>
        <w:outlineLvl w:val="0"/>
        <w:rPr>
          <w:rFonts w:hint="eastAsia" w:ascii="宋体" w:hAnsi="宋体" w:eastAsia="宋体" w:cs="宋体"/>
          <w:b/>
          <w:color w:val="auto"/>
          <w:sz w:val="32"/>
          <w:szCs w:val="32"/>
          <w:highlight w:val="none"/>
        </w:rPr>
      </w:pPr>
      <w:bookmarkStart w:id="509" w:name="_Toc40300026"/>
      <w:bookmarkStart w:id="510" w:name="_Toc222"/>
      <w:bookmarkStart w:id="511" w:name="_Toc49205974"/>
      <w:bookmarkStart w:id="512" w:name="_Toc40299653"/>
      <w:r>
        <w:rPr>
          <w:rFonts w:hint="eastAsia" w:ascii="宋体" w:hAnsi="宋体" w:eastAsia="宋体" w:cs="宋体"/>
          <w:b/>
          <w:color w:val="auto"/>
          <w:sz w:val="32"/>
          <w:szCs w:val="32"/>
          <w:highlight w:val="none"/>
        </w:rPr>
        <w:t>第三部分 专用条件</w:t>
      </w:r>
      <w:bookmarkEnd w:id="509"/>
      <w:bookmarkEnd w:id="510"/>
      <w:bookmarkEnd w:id="511"/>
      <w:bookmarkEnd w:id="512"/>
    </w:p>
    <w:p w14:paraId="7303052C">
      <w:pPr>
        <w:spacing w:before="0" w:beforeLines="-2147483648" w:after="0" w:afterLines="-2147483648" w:line="240" w:lineRule="auto"/>
        <w:ind w:firstLine="0"/>
        <w:jc w:val="left"/>
        <w:outlineLvl w:val="9"/>
        <w:rPr>
          <w:rFonts w:hint="eastAsia" w:asciiTheme="minorHAnsi" w:hAnsiTheme="minorHAnsi" w:eastAsiaTheme="minorEastAsia"/>
          <w:b w:val="0"/>
          <w:color w:val="auto"/>
          <w:sz w:val="21"/>
          <w:szCs w:val="22"/>
          <w:highlight w:val="none"/>
        </w:rPr>
      </w:pPr>
    </w:p>
    <w:p w14:paraId="6BEE1C87">
      <w:pPr>
        <w:spacing w:beforeLines="0" w:afterLines="0" w:line="360" w:lineRule="auto"/>
        <w:ind w:left="2" w:firstLine="475" w:firstLineChars="198"/>
        <w:rPr>
          <w:rFonts w:hint="eastAsia" w:ascii="宋体" w:hAnsi="宋体" w:eastAsia="宋体" w:cs="宋体"/>
          <w:color w:val="auto"/>
          <w:sz w:val="24"/>
          <w:highlight w:val="none"/>
        </w:rPr>
      </w:pPr>
      <w:r>
        <w:rPr>
          <w:rFonts w:hint="eastAsia" w:ascii="宋体" w:hAnsi="宋体" w:eastAsia="宋体" w:cs="宋体"/>
          <w:color w:val="auto"/>
          <w:sz w:val="24"/>
          <w:highlight w:val="none"/>
        </w:rPr>
        <w:t>本专用条件对本合同标准条件中有需要进行定义、解释或具体约定的条款内容进行补充、删除或修改，其条款序号与标准条件中的一一对应，并且专用条件较标准条件具优先解释权。专用条件中缺号的条款表示按标准条件中对应的条款执行。</w:t>
      </w:r>
    </w:p>
    <w:p w14:paraId="5ED5F32C">
      <w:pPr>
        <w:spacing w:beforeLines="0" w:afterLines="0" w:line="360" w:lineRule="auto"/>
        <w:ind w:left="711" w:leftChars="228" w:hanging="232" w:hangingChars="97"/>
        <w:rPr>
          <w:rFonts w:hint="eastAsia" w:ascii="宋体" w:hAnsi="宋体" w:eastAsia="宋体" w:cs="宋体"/>
          <w:color w:val="auto"/>
          <w:sz w:val="24"/>
          <w:highlight w:val="none"/>
        </w:rPr>
      </w:pPr>
      <w:r>
        <w:rPr>
          <w:rFonts w:hint="eastAsia" w:ascii="宋体" w:hAnsi="宋体" w:eastAsia="宋体" w:cs="宋体"/>
          <w:color w:val="auto"/>
          <w:sz w:val="24"/>
          <w:highlight w:val="none"/>
        </w:rPr>
        <w:t>第一条  下列名词和用语，除上下文另有规定外，有如下含义。</w:t>
      </w:r>
    </w:p>
    <w:p w14:paraId="2A1AB5AA">
      <w:pPr>
        <w:spacing w:beforeLines="0" w:afterLines="0" w:line="360" w:lineRule="auto"/>
        <w:ind w:left="2" w:firstLine="475" w:firstLineChars="198"/>
        <w:rPr>
          <w:rFonts w:hint="eastAsia" w:ascii="宋体" w:hAnsi="宋体" w:eastAsia="宋体" w:cs="宋体"/>
          <w:color w:val="auto"/>
          <w:sz w:val="24"/>
          <w:highlight w:val="none"/>
        </w:rPr>
      </w:pPr>
      <w:r>
        <w:rPr>
          <w:rFonts w:hint="eastAsia" w:ascii="宋体" w:hAnsi="宋体" w:eastAsia="宋体" w:cs="宋体"/>
          <w:color w:val="auto"/>
          <w:sz w:val="24"/>
          <w:highlight w:val="none"/>
        </w:rPr>
        <w:t>（12）“合同有效期”是指自合同生效之日起至合同终止之日止。</w:t>
      </w:r>
    </w:p>
    <w:p w14:paraId="3EBE9CA6">
      <w:pPr>
        <w:spacing w:beforeLines="0" w:afterLines="0" w:line="360" w:lineRule="auto"/>
        <w:ind w:left="719" w:leftChars="228" w:hanging="240" w:hanging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第二条 本合同运用的法律及监理依据：</w:t>
      </w:r>
    </w:p>
    <w:p w14:paraId="005F239C">
      <w:pPr>
        <w:spacing w:beforeLines="0" w:afterLines="0" w:line="360" w:lineRule="auto"/>
        <w:ind w:left="719" w:leftChars="228" w:hanging="240" w:hanging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一、适用法规</w:t>
      </w:r>
    </w:p>
    <w:p w14:paraId="24D7E098">
      <w:pPr>
        <w:spacing w:beforeLines="0" w:afterLines="0" w:line="360" w:lineRule="auto"/>
        <w:ind w:left="719" w:leftChars="228" w:hanging="240" w:hanging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bookmarkStart w:id="513" w:name="OLE_LINK5"/>
      <w:r>
        <w:rPr>
          <w:rFonts w:hint="eastAsia" w:ascii="宋体" w:hAnsi="宋体" w:eastAsia="宋体" w:cs="宋体"/>
          <w:color w:val="auto"/>
          <w:sz w:val="24"/>
          <w:highlight w:val="none"/>
        </w:rPr>
        <w:t>中华人民共和国民法典》</w:t>
      </w:r>
      <w:bookmarkEnd w:id="513"/>
      <w:r>
        <w:rPr>
          <w:rFonts w:hint="eastAsia" w:ascii="宋体" w:hAnsi="宋体" w:eastAsia="宋体" w:cs="宋体"/>
          <w:color w:val="auto"/>
          <w:sz w:val="24"/>
          <w:highlight w:val="none"/>
        </w:rPr>
        <w:t>、《中华人民共和国建筑法》；</w:t>
      </w:r>
    </w:p>
    <w:p w14:paraId="3D32022F">
      <w:pPr>
        <w:spacing w:beforeLines="0" w:afterLines="0" w:line="360" w:lineRule="auto"/>
        <w:ind w:left="719" w:leftChars="228" w:hanging="240" w:hanging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2、《建设工程质量管理条例》及其它有关的法规、条例；</w:t>
      </w:r>
    </w:p>
    <w:p w14:paraId="6DF00027">
      <w:pPr>
        <w:spacing w:beforeLines="0" w:afterLines="0" w:line="360" w:lineRule="auto"/>
        <w:ind w:left="719" w:leftChars="228" w:hanging="240" w:hanging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3、广东省广州市有关工程建设管理方面的规定和办法。</w:t>
      </w:r>
    </w:p>
    <w:p w14:paraId="248C9F92">
      <w:pPr>
        <w:spacing w:beforeLines="0" w:afterLines="0" w:line="360" w:lineRule="auto"/>
        <w:ind w:left="719" w:leftChars="228" w:hanging="240" w:hanging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二、监理依据</w:t>
      </w:r>
    </w:p>
    <w:p w14:paraId="22886D23">
      <w:pPr>
        <w:numPr>
          <w:ilvl w:val="0"/>
          <w:numId w:val="3"/>
        </w:numPr>
        <w:tabs>
          <w:tab w:val="left" w:pos="924"/>
          <w:tab w:val="clear" w:pos="930"/>
        </w:tabs>
        <w:spacing w:beforeLines="0" w:afterLines="0" w:line="360" w:lineRule="auto"/>
        <w:ind w:left="0" w:firstLine="540"/>
        <w:rPr>
          <w:rFonts w:hint="eastAsia" w:ascii="宋体" w:hAnsi="宋体" w:eastAsia="宋体" w:cs="宋体"/>
          <w:color w:val="auto"/>
          <w:sz w:val="24"/>
          <w:highlight w:val="none"/>
        </w:rPr>
      </w:pPr>
      <w:r>
        <w:rPr>
          <w:rFonts w:hint="eastAsia" w:ascii="宋体" w:hAnsi="宋体" w:eastAsia="宋体" w:cs="宋体"/>
          <w:color w:val="auto"/>
          <w:sz w:val="24"/>
          <w:highlight w:val="none"/>
        </w:rPr>
        <w:t>本委托监理合同；</w:t>
      </w:r>
    </w:p>
    <w:p w14:paraId="26303F08">
      <w:pPr>
        <w:numPr>
          <w:ilvl w:val="0"/>
          <w:numId w:val="3"/>
        </w:numPr>
        <w:spacing w:beforeLines="0" w:afterLines="0" w:line="360" w:lineRule="auto"/>
        <w:ind w:left="0" w:firstLine="54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委托人和承包人签订的合同及补充协议或备忘录、委托人与管理人签订的建设管理合同；</w:t>
      </w:r>
    </w:p>
    <w:p w14:paraId="5A1F8F02">
      <w:pPr>
        <w:numPr>
          <w:ilvl w:val="0"/>
          <w:numId w:val="3"/>
        </w:numPr>
        <w:spacing w:beforeLines="0" w:afterLines="0" w:line="360" w:lineRule="auto"/>
        <w:ind w:left="0" w:firstLine="540"/>
        <w:rPr>
          <w:rFonts w:hint="eastAsia" w:ascii="宋体" w:hAnsi="宋体" w:eastAsia="宋体" w:cs="宋体"/>
          <w:color w:val="auto"/>
          <w:sz w:val="24"/>
          <w:highlight w:val="none"/>
        </w:rPr>
      </w:pPr>
      <w:r>
        <w:rPr>
          <w:rFonts w:hint="eastAsia" w:ascii="宋体" w:hAnsi="宋体" w:eastAsia="宋体" w:cs="宋体"/>
          <w:color w:val="auto"/>
          <w:sz w:val="24"/>
          <w:highlight w:val="none"/>
        </w:rPr>
        <w:t>经委托人审查认可的本工程正式的工程地质勘察报告、施工图纸、说明以及会审记录、有关工程洽商的技术、施工洽商记录、设计修改和变更文件；</w:t>
      </w:r>
    </w:p>
    <w:p w14:paraId="2652D392">
      <w:pPr>
        <w:numPr>
          <w:ilvl w:val="0"/>
          <w:numId w:val="3"/>
        </w:numPr>
        <w:spacing w:beforeLines="0" w:afterLines="0" w:line="360" w:lineRule="auto"/>
        <w:ind w:left="0" w:firstLine="540"/>
        <w:rPr>
          <w:rFonts w:hint="eastAsia" w:ascii="宋体" w:hAnsi="宋体" w:eastAsia="宋体" w:cs="宋体"/>
          <w:color w:val="auto"/>
          <w:sz w:val="24"/>
          <w:highlight w:val="none"/>
        </w:rPr>
      </w:pPr>
      <w:r>
        <w:rPr>
          <w:rFonts w:hint="eastAsia" w:ascii="宋体" w:hAnsi="宋体" w:eastAsia="宋体" w:cs="宋体"/>
          <w:color w:val="auto"/>
          <w:sz w:val="24"/>
          <w:highlight w:val="none"/>
        </w:rPr>
        <w:t>广州地区现行的有关工程结算定额和文件；</w:t>
      </w:r>
    </w:p>
    <w:p w14:paraId="13970267">
      <w:pPr>
        <w:numPr>
          <w:ilvl w:val="0"/>
          <w:numId w:val="3"/>
        </w:numPr>
        <w:spacing w:beforeLines="0" w:afterLines="0" w:line="360" w:lineRule="auto"/>
        <w:ind w:left="0" w:firstLine="540"/>
        <w:rPr>
          <w:rFonts w:hint="eastAsia" w:ascii="宋体" w:hAnsi="宋体" w:eastAsia="宋体" w:cs="宋体"/>
          <w:color w:val="auto"/>
          <w:sz w:val="24"/>
          <w:highlight w:val="none"/>
        </w:rPr>
      </w:pPr>
      <w:r>
        <w:rPr>
          <w:rFonts w:hint="eastAsia" w:ascii="宋体" w:hAnsi="宋体" w:eastAsia="宋体" w:cs="宋体"/>
          <w:color w:val="auto"/>
          <w:sz w:val="24"/>
          <w:highlight w:val="none"/>
        </w:rPr>
        <w:t>国家和广州地区现行的设计规范（规程）、建筑工程质量检测评定标准、施工和验收规范；</w:t>
      </w:r>
    </w:p>
    <w:p w14:paraId="57917981">
      <w:pPr>
        <w:numPr>
          <w:ilvl w:val="0"/>
          <w:numId w:val="3"/>
        </w:numPr>
        <w:spacing w:beforeLines="0" w:afterLines="0" w:line="360" w:lineRule="auto"/>
        <w:ind w:left="0" w:firstLine="540"/>
        <w:rPr>
          <w:rFonts w:hint="eastAsia" w:ascii="宋体" w:hAnsi="宋体" w:eastAsia="宋体" w:cs="宋体"/>
          <w:color w:val="auto"/>
          <w:sz w:val="24"/>
          <w:highlight w:val="none"/>
        </w:rPr>
      </w:pPr>
      <w:r>
        <w:rPr>
          <w:rFonts w:hint="eastAsia" w:ascii="宋体" w:hAnsi="宋体" w:eastAsia="宋体" w:cs="宋体"/>
          <w:color w:val="auto"/>
          <w:sz w:val="24"/>
          <w:highlight w:val="none"/>
        </w:rPr>
        <w:t>经委托人审批认可，由监理人编制的监理规划；</w:t>
      </w:r>
    </w:p>
    <w:p w14:paraId="445C43C6">
      <w:pPr>
        <w:numPr>
          <w:ilvl w:val="0"/>
          <w:numId w:val="3"/>
        </w:numPr>
        <w:spacing w:beforeLines="0" w:afterLines="0" w:line="360" w:lineRule="auto"/>
        <w:ind w:left="0" w:firstLine="54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委托人发出的指令。</w:t>
      </w:r>
    </w:p>
    <w:p w14:paraId="4D317A72">
      <w:pPr>
        <w:spacing w:beforeLines="0" w:afterLines="0" w:line="360" w:lineRule="auto"/>
        <w:jc w:val="center"/>
        <w:rPr>
          <w:rFonts w:hint="eastAsia" w:ascii="宋体" w:hAnsi="宋体" w:eastAsia="宋体" w:cs="宋体"/>
          <w:b/>
          <w:color w:val="auto"/>
          <w:sz w:val="24"/>
          <w:szCs w:val="28"/>
          <w:highlight w:val="none"/>
        </w:rPr>
      </w:pPr>
      <w:r>
        <w:rPr>
          <w:rFonts w:hint="eastAsia" w:ascii="宋体" w:hAnsi="宋体" w:eastAsia="宋体" w:cs="宋体"/>
          <w:b/>
          <w:color w:val="auto"/>
          <w:sz w:val="24"/>
          <w:szCs w:val="28"/>
          <w:highlight w:val="none"/>
        </w:rPr>
        <w:t>监理人义务</w:t>
      </w:r>
    </w:p>
    <w:p w14:paraId="5208BA88">
      <w:pPr>
        <w:spacing w:beforeLines="0" w:afterLines="0" w:line="360" w:lineRule="auto"/>
        <w:ind w:left="719" w:leftChars="228" w:hanging="240" w:hangingChars="1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第四条 监</w:t>
      </w:r>
      <w:r>
        <w:rPr>
          <w:rFonts w:hint="eastAsia" w:ascii="宋体" w:hAnsi="宋体" w:eastAsia="宋体" w:cs="宋体"/>
          <w:color w:val="auto"/>
          <w:sz w:val="24"/>
          <w:highlight w:val="none"/>
        </w:rPr>
        <w:t>理人员、监理范围和监理工作内容：</w:t>
      </w:r>
    </w:p>
    <w:p w14:paraId="1DE355F7">
      <w:pPr>
        <w:spacing w:beforeLines="0" w:afterLines="0" w:line="360" w:lineRule="auto"/>
        <w:ind w:left="719" w:leftChars="228" w:hanging="240" w:hanging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4.1、</w:t>
      </w:r>
      <w:r>
        <w:rPr>
          <w:rFonts w:hint="eastAsia" w:ascii="宋体" w:hAnsi="宋体" w:eastAsia="宋体" w:cs="宋体"/>
          <w:color w:val="auto"/>
          <w:spacing w:val="2"/>
          <w:position w:val="2"/>
          <w:sz w:val="24"/>
          <w:highlight w:val="none"/>
        </w:rPr>
        <w:t>监理人员：</w:t>
      </w:r>
    </w:p>
    <w:p w14:paraId="39A32F97">
      <w:pPr>
        <w:tabs>
          <w:tab w:val="left" w:pos="360"/>
        </w:tabs>
        <w:spacing w:beforeLines="0" w:afterLines="0" w:line="360" w:lineRule="auto"/>
        <w:ind w:firstLine="488" w:firstLineChars="200"/>
        <w:rPr>
          <w:rFonts w:hint="eastAsia" w:ascii="宋体" w:hAnsi="宋体" w:eastAsia="宋体" w:cs="宋体"/>
          <w:color w:val="auto"/>
          <w:spacing w:val="2"/>
          <w:position w:val="2"/>
          <w:sz w:val="24"/>
          <w:highlight w:val="none"/>
        </w:rPr>
      </w:pPr>
      <w:r>
        <w:rPr>
          <w:rFonts w:hint="eastAsia" w:ascii="宋体" w:hAnsi="宋体" w:eastAsia="宋体" w:cs="宋体"/>
          <w:color w:val="auto"/>
          <w:spacing w:val="2"/>
          <w:position w:val="2"/>
          <w:sz w:val="24"/>
          <w:highlight w:val="none"/>
        </w:rPr>
        <w:t>4.1.1、</w:t>
      </w:r>
      <w:r>
        <w:rPr>
          <w:rFonts w:hint="eastAsia" w:ascii="宋体" w:hAnsi="宋体" w:eastAsia="宋体" w:cs="宋体"/>
          <w:color w:val="auto"/>
          <w:sz w:val="24"/>
          <w:highlight w:val="none"/>
        </w:rPr>
        <w:t>监理</w:t>
      </w:r>
      <w:r>
        <w:rPr>
          <w:rFonts w:hint="eastAsia" w:ascii="宋体" w:hAnsi="宋体" w:eastAsia="宋体" w:cs="宋体"/>
          <w:color w:val="auto"/>
          <w:spacing w:val="2"/>
          <w:position w:val="2"/>
          <w:sz w:val="24"/>
          <w:highlight w:val="none"/>
        </w:rPr>
        <w:t>人应按合同约定及时将监理人的组织形式、人员构成及对总监理工程师的任命书面通知承包人。监理人应按投标文件的承诺委派总监理工程师、专业监理工程师和监理员，为其</w:t>
      </w:r>
      <w:r>
        <w:rPr>
          <w:rFonts w:hint="eastAsia" w:ascii="宋体" w:hAnsi="宋体" w:eastAsia="宋体" w:cs="宋体"/>
          <w:color w:val="auto"/>
          <w:sz w:val="24"/>
          <w:highlight w:val="none"/>
        </w:rPr>
        <w:t>购买工伤保险和人身意外伤害险。监理人投标时参与评分的专业监理工程师必须派驻现场，未经委托人书面同意不得更换。</w:t>
      </w:r>
      <w:r>
        <w:rPr>
          <w:rFonts w:hint="eastAsia" w:ascii="宋体" w:hAnsi="宋体" w:eastAsia="宋体" w:cs="宋体"/>
          <w:color w:val="auto"/>
          <w:spacing w:val="2"/>
          <w:position w:val="2"/>
          <w:sz w:val="24"/>
          <w:highlight w:val="none"/>
        </w:rPr>
        <w:t>派驻现场的</w:t>
      </w:r>
      <w:bookmarkStart w:id="514" w:name="OLE_LINK7"/>
      <w:r>
        <w:rPr>
          <w:rFonts w:hint="eastAsia" w:ascii="宋体" w:hAnsi="宋体" w:eastAsia="宋体" w:cs="宋体"/>
          <w:color w:val="auto"/>
          <w:spacing w:val="2"/>
          <w:position w:val="2"/>
          <w:sz w:val="24"/>
          <w:highlight w:val="none"/>
        </w:rPr>
        <w:t>监理人员情况</w:t>
      </w:r>
      <w:bookmarkEnd w:id="514"/>
      <w:r>
        <w:rPr>
          <w:rFonts w:hint="eastAsia" w:ascii="宋体" w:hAnsi="宋体" w:eastAsia="宋体" w:cs="宋体"/>
          <w:color w:val="auto"/>
          <w:spacing w:val="2"/>
          <w:position w:val="2"/>
          <w:sz w:val="24"/>
          <w:highlight w:val="none"/>
        </w:rPr>
        <w:t>见合同附件</w:t>
      </w:r>
      <w:r>
        <w:rPr>
          <w:rFonts w:hint="eastAsia" w:ascii="宋体" w:hAnsi="宋体" w:eastAsia="宋体" w:cs="宋体"/>
          <w:color w:val="auto"/>
          <w:spacing w:val="2"/>
          <w:position w:val="2"/>
          <w:sz w:val="24"/>
          <w:highlight w:val="none"/>
          <w:lang w:val="en-US" w:eastAsia="zh-CN"/>
        </w:rPr>
        <w:t>四、五</w:t>
      </w:r>
      <w:r>
        <w:rPr>
          <w:rFonts w:hint="eastAsia" w:ascii="宋体" w:hAnsi="宋体" w:eastAsia="宋体" w:cs="宋体"/>
          <w:color w:val="auto"/>
          <w:spacing w:val="2"/>
          <w:position w:val="2"/>
          <w:sz w:val="24"/>
          <w:highlight w:val="none"/>
        </w:rPr>
        <w:t>。本合同不允许设置总监代表。</w:t>
      </w:r>
    </w:p>
    <w:p w14:paraId="6C7F52BB">
      <w:pPr>
        <w:tabs>
          <w:tab w:val="left" w:pos="360"/>
        </w:tabs>
        <w:spacing w:beforeLines="0" w:afterLines="0" w:line="360" w:lineRule="auto"/>
        <w:ind w:firstLine="488" w:firstLineChars="200"/>
        <w:rPr>
          <w:rFonts w:hint="eastAsia" w:ascii="宋体" w:hAnsi="宋体" w:eastAsia="宋体" w:cs="宋体"/>
          <w:color w:val="auto"/>
          <w:sz w:val="24"/>
          <w:highlight w:val="none"/>
        </w:rPr>
      </w:pPr>
      <w:r>
        <w:rPr>
          <w:rFonts w:hint="eastAsia" w:ascii="宋体" w:hAnsi="宋体" w:eastAsia="宋体" w:cs="宋体"/>
          <w:color w:val="auto"/>
          <w:spacing w:val="2"/>
          <w:position w:val="2"/>
          <w:sz w:val="24"/>
          <w:highlight w:val="none"/>
        </w:rPr>
        <w:t>4.1.2、</w:t>
      </w:r>
      <w:r>
        <w:rPr>
          <w:rFonts w:hint="eastAsia" w:ascii="宋体" w:hAnsi="宋体" w:eastAsia="宋体" w:cs="宋体"/>
          <w:color w:val="auto"/>
          <w:sz w:val="24"/>
          <w:highlight w:val="none"/>
        </w:rPr>
        <w:t>监理人因工作安排或其它原因，需要更换派驻到项目所在地履行监理服务的主要监理人员时，更换总监理工程师的，监理人应提前7日书面通知委托人；更换其他监理人员，监理人应提前48小时书面通知。</w:t>
      </w:r>
      <w:r>
        <w:rPr>
          <w:rFonts w:hint="eastAsia" w:ascii="宋体" w:hAnsi="宋体" w:eastAsia="宋体" w:cs="宋体"/>
          <w:bCs/>
          <w:color w:val="auto"/>
          <w:sz w:val="24"/>
          <w:highlight w:val="none"/>
        </w:rPr>
        <w:t>未经委托人同意，不得随意更换监理人员；</w:t>
      </w:r>
      <w:r>
        <w:rPr>
          <w:rFonts w:hint="eastAsia" w:ascii="宋体" w:hAnsi="宋体" w:eastAsia="宋体" w:cs="宋体"/>
          <w:color w:val="auto"/>
          <w:sz w:val="24"/>
          <w:highlight w:val="none"/>
        </w:rPr>
        <w:t>委托人有权以书面形式要求监理人更换不能按照本监理合同的规定履行监理服务的派驻人员。</w:t>
      </w:r>
    </w:p>
    <w:p w14:paraId="36EA0FF8">
      <w:pPr>
        <w:tabs>
          <w:tab w:val="left" w:pos="360"/>
        </w:tabs>
        <w:spacing w:beforeLines="0" w:afterLines="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4.1.3、即使是委托人要求或同意更换的监理人员，其代替人员的资质及经验仍应得到委托人的认可，因此而产生的费用由监理人承担。</w:t>
      </w:r>
    </w:p>
    <w:p w14:paraId="57F51175">
      <w:pPr>
        <w:spacing w:beforeLines="0" w:afterLines="0" w:line="360" w:lineRule="auto"/>
        <w:ind w:firstLine="546" w:firstLineChars="224"/>
        <w:rPr>
          <w:rFonts w:hint="eastAsia" w:ascii="宋体" w:hAnsi="宋体" w:eastAsia="宋体" w:cs="宋体"/>
          <w:color w:val="auto"/>
          <w:spacing w:val="2"/>
          <w:position w:val="2"/>
          <w:sz w:val="24"/>
          <w:highlight w:val="none"/>
        </w:rPr>
      </w:pPr>
      <w:r>
        <w:rPr>
          <w:rFonts w:hint="eastAsia" w:ascii="宋体" w:hAnsi="宋体" w:eastAsia="宋体" w:cs="宋体"/>
          <w:color w:val="auto"/>
          <w:spacing w:val="2"/>
          <w:position w:val="2"/>
          <w:sz w:val="24"/>
          <w:highlight w:val="none"/>
        </w:rPr>
        <w:t>4.1.4、监理人派驻到项目所在地履行监理服务的总监理工程师及主要监理人员，必须常驻现场。</w:t>
      </w:r>
    </w:p>
    <w:p w14:paraId="744CD48D">
      <w:pPr>
        <w:spacing w:beforeLines="0" w:afterLines="0" w:line="360" w:lineRule="auto"/>
        <w:ind w:firstLine="537" w:firstLineChars="224"/>
        <w:rPr>
          <w:rFonts w:hint="eastAsia" w:ascii="宋体" w:hAnsi="宋体" w:eastAsia="宋体" w:cs="宋体"/>
          <w:color w:val="auto"/>
          <w:sz w:val="24"/>
          <w:highlight w:val="none"/>
        </w:rPr>
      </w:pPr>
      <w:r>
        <w:rPr>
          <w:rFonts w:hint="eastAsia" w:ascii="宋体" w:hAnsi="宋体" w:eastAsia="宋体" w:cs="宋体"/>
          <w:color w:val="auto"/>
          <w:sz w:val="24"/>
          <w:highlight w:val="none"/>
        </w:rPr>
        <w:t>4.1.5、监理人应按照委托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7A96028F">
      <w:pPr>
        <w:spacing w:beforeLines="0" w:afterLines="0" w:line="360" w:lineRule="auto"/>
        <w:ind w:firstLine="537" w:firstLineChars="224"/>
        <w:rPr>
          <w:rFonts w:hint="eastAsia" w:ascii="宋体" w:hAnsi="宋体" w:eastAsia="宋体" w:cs="宋体"/>
          <w:color w:val="auto"/>
          <w:sz w:val="24"/>
          <w:highlight w:val="none"/>
        </w:rPr>
      </w:pPr>
      <w:r>
        <w:rPr>
          <w:rFonts w:hint="eastAsia" w:ascii="宋体" w:hAnsi="宋体" w:eastAsia="宋体" w:cs="宋体"/>
          <w:color w:val="auto"/>
          <w:sz w:val="24"/>
          <w:highlight w:val="none"/>
        </w:rPr>
        <w:t>监理人发出的指示应送达承包人项目总负责人（兼施工项目负</w:t>
      </w:r>
      <w:r>
        <w:rPr>
          <w:rFonts w:hint="eastAsia" w:ascii="宋体" w:hAnsi="宋体" w:eastAsia="宋体" w:cs="宋体"/>
          <w:color w:val="auto"/>
          <w:sz w:val="24"/>
          <w:highlight w:val="none"/>
          <w:lang w:eastAsia="zh-CN"/>
        </w:rPr>
        <w:t>责人）或经其授权接收的人员</w:t>
      </w:r>
      <w:r>
        <w:rPr>
          <w:rFonts w:hint="eastAsia" w:ascii="宋体" w:hAnsi="宋体" w:eastAsia="宋体" w:cs="宋体"/>
          <w:color w:val="auto"/>
          <w:sz w:val="24"/>
          <w:highlight w:val="none"/>
        </w:rPr>
        <w:t>。除合同条款另有约定外，总监理工程师不应将专用条件第4.3.1.27条款约定应由总监理工程师作出确定的权力授权或委托给其他监理人员。</w:t>
      </w:r>
    </w:p>
    <w:p w14:paraId="4A5E427E">
      <w:pPr>
        <w:spacing w:beforeLines="0" w:afterLines="0" w:line="360" w:lineRule="auto"/>
        <w:ind w:firstLine="537" w:firstLineChars="224"/>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承包人对监理人发出的指示有疑问的，应向监理人提出书面异议，监理人应在48小时内对该指示予以确认、更改或撤销，监理人逾期未回复的，承包人有权拒绝执行上述指示。</w:t>
      </w:r>
    </w:p>
    <w:p w14:paraId="0EA5770C">
      <w:pPr>
        <w:tabs>
          <w:tab w:val="left" w:pos="360"/>
        </w:tabs>
        <w:spacing w:beforeLines="0" w:afterLines="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监理人对承包人的任何工作、工程或其采用的材料和工程设备未在约定的或合理期限内提出意见的，视为批准，但不免除或减轻承包人对该工作、工程、材料、工程设备等应承担的责任和义务。</w:t>
      </w:r>
    </w:p>
    <w:p w14:paraId="7BE7674A">
      <w:pPr>
        <w:tabs>
          <w:tab w:val="left" w:pos="360"/>
        </w:tabs>
        <w:spacing w:beforeLines="0" w:afterLines="0" w:line="360" w:lineRule="auto"/>
        <w:ind w:firstLine="488" w:firstLineChars="200"/>
        <w:rPr>
          <w:rFonts w:hint="eastAsia" w:ascii="宋体" w:hAnsi="宋体" w:eastAsia="宋体" w:cs="宋体"/>
          <w:color w:val="auto"/>
          <w:sz w:val="24"/>
          <w:highlight w:val="none"/>
        </w:rPr>
      </w:pPr>
      <w:r>
        <w:rPr>
          <w:rFonts w:hint="eastAsia" w:ascii="宋体" w:hAnsi="宋体" w:eastAsia="宋体" w:cs="宋体"/>
          <w:color w:val="auto"/>
          <w:spacing w:val="2"/>
          <w:position w:val="2"/>
          <w:sz w:val="24"/>
          <w:highlight w:val="none"/>
        </w:rPr>
        <w:t>4.1.6、监理人在本监理合同授权范围内行使合同规定的权利，履行相应的职责。</w:t>
      </w:r>
      <w:r>
        <w:rPr>
          <w:rFonts w:hint="eastAsia" w:ascii="宋体" w:hAnsi="宋体" w:eastAsia="宋体" w:cs="宋体"/>
          <w:color w:val="auto"/>
          <w:sz w:val="24"/>
          <w:highlight w:val="none"/>
        </w:rPr>
        <w:t>当委托人发现监理人员不按监理合同履行监理职责，或与承包人串通给委托人或工程造成损失的，委托人有权要求监理人更换监理人员，直到终止合同并要求监理人承担相应的赔偿责任或连带赔偿责任。</w:t>
      </w:r>
    </w:p>
    <w:p w14:paraId="0CC9E740">
      <w:pPr>
        <w:tabs>
          <w:tab w:val="left" w:pos="1800"/>
        </w:tabs>
        <w:spacing w:beforeLines="0" w:afterLines="0" w:line="360" w:lineRule="auto"/>
        <w:ind w:firstLine="537" w:firstLineChars="224"/>
        <w:rPr>
          <w:rFonts w:hint="eastAsia" w:ascii="宋体" w:hAnsi="宋体" w:eastAsia="宋体" w:cs="宋体"/>
          <w:color w:val="auto"/>
          <w:sz w:val="24"/>
          <w:highlight w:val="none"/>
        </w:rPr>
      </w:pPr>
      <w:r>
        <w:rPr>
          <w:rFonts w:hint="eastAsia" w:ascii="宋体" w:hAnsi="宋体" w:eastAsia="宋体" w:cs="宋体"/>
          <w:color w:val="auto"/>
          <w:sz w:val="24"/>
          <w:highlight w:val="none"/>
        </w:rPr>
        <w:t>4.1.7、监理人应指定一名注册造价工程师作为造价管理总负责人负责与委托人、承包方和监理人在造价事务方面的协调工作。造价工程师的职责包括但不限于完成合同（工程）变更费用/索赔费用、合同结算和合同款项支付等的审核，协助委托人编制竣工决算以及协助委托人完成造价资料管理等工作。</w:t>
      </w:r>
    </w:p>
    <w:p w14:paraId="03D72343">
      <w:pPr>
        <w:spacing w:beforeLines="0" w:afterLines="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4.2、监理范围：</w:t>
      </w:r>
    </w:p>
    <w:p w14:paraId="36B39DD0">
      <w:pPr>
        <w:adjustRightInd w:val="0"/>
        <w:snapToGrid w:val="0"/>
        <w:spacing w:beforeLines="0" w:afterLines="0"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4.2.1、</w:t>
      </w:r>
      <w:r>
        <w:rPr>
          <w:rFonts w:hint="eastAsia" w:ascii="宋体" w:hAnsi="宋体" w:eastAsia="宋体" w:cs="宋体"/>
          <w:color w:val="auto"/>
          <w:kern w:val="0"/>
          <w:sz w:val="24"/>
          <w:highlight w:val="none"/>
        </w:rPr>
        <w:t>工程施工监理：包括隶属于本工程的工程施工准备阶段、工程施工阶段、工程质量保修期阶段的质量控制、投资控制、进度控制、组织协调、合同管理、安全文明、结算管理等监理服务工作；协调各工序之间的施工关系，协助委托人做好征借地拆迁管理、施工期间有关设计管理等工作；监督和帮助承包商依法加强对工程安全文明生产管理、执行安全生产责任制度、采取有效措施防止伤亡和其他安全生产责任事故发生；按委托人授权处理与施工合同有关的一切事务，为工程按时、高质量完成提供优质服务。</w:t>
      </w:r>
    </w:p>
    <w:p w14:paraId="43706FC6">
      <w:pPr>
        <w:adjustRightInd w:val="0"/>
        <w:snapToGrid w:val="0"/>
        <w:spacing w:beforeLines="0" w:afterLines="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4.2.2、工程项目的管理：负责对整个工程内各专项工程的统一规划、统一调度、统一协调。协调各进驻单位（包括总包与分包单位）工程同步建设，对各进驻单位工程进度统一调控，以使各进驻单位施工期间能够做到井然有序，不相互干扰、制约。</w:t>
      </w:r>
    </w:p>
    <w:p w14:paraId="41A4E7A7">
      <w:pPr>
        <w:spacing w:beforeLines="0" w:afterLines="0"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4.3、监理工作内容</w:t>
      </w:r>
    </w:p>
    <w:p w14:paraId="01413461">
      <w:pPr>
        <w:spacing w:beforeLines="0" w:afterLines="0"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监理工作内容包括但不限于以下内容：</w:t>
      </w:r>
    </w:p>
    <w:p w14:paraId="0614BC01">
      <w:pPr>
        <w:tabs>
          <w:tab w:val="left" w:pos="360"/>
        </w:tabs>
        <w:spacing w:beforeLines="0" w:afterLines="0"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4.3.1工程实施阶段服务</w:t>
      </w:r>
    </w:p>
    <w:p w14:paraId="4187D594">
      <w:pPr>
        <w:tabs>
          <w:tab w:val="left" w:pos="360"/>
        </w:tabs>
        <w:spacing w:beforeLines="0" w:afterLines="0"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4.3.1.1、及时编制监理规划，在召开第一次工地会议前报送委托人。</w:t>
      </w:r>
    </w:p>
    <w:p w14:paraId="79ED1AEF">
      <w:pPr>
        <w:tabs>
          <w:tab w:val="left" w:pos="360"/>
        </w:tabs>
        <w:spacing w:beforeLines="0" w:afterLines="0"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4.3.1.2、工程开工前，总监理工程师及有关监理人员应参加由委托人主持召开的第一次工地会议，负责整理会议纪要，与会各方代表会签。</w:t>
      </w:r>
    </w:p>
    <w:p w14:paraId="4FAC6FAA">
      <w:pPr>
        <w:tabs>
          <w:tab w:val="left" w:pos="360"/>
        </w:tabs>
        <w:spacing w:beforeLines="0" w:afterLines="0"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4.3.1.3、定期（每周</w:t>
      </w:r>
      <w:r>
        <w:rPr>
          <w:rFonts w:hint="eastAsia" w:ascii="宋体" w:hAnsi="宋体" w:eastAsia="宋体" w:cs="宋体"/>
          <w:color w:val="auto"/>
          <w:sz w:val="24"/>
          <w:highlight w:val="none"/>
          <w:lang w:val="en-US" w:eastAsia="zh-CN"/>
        </w:rPr>
        <w:t>不少于</w:t>
      </w:r>
      <w:r>
        <w:rPr>
          <w:rFonts w:hint="eastAsia" w:ascii="宋体" w:hAnsi="宋体" w:eastAsia="宋体" w:cs="宋体"/>
          <w:color w:val="auto"/>
          <w:sz w:val="24"/>
          <w:highlight w:val="none"/>
        </w:rPr>
        <w:t>一次）召开监理例会，组织有关单位研究解决工程监理相关问题</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及时解决施工过程中的安全生产问题</w:t>
      </w:r>
      <w:r>
        <w:rPr>
          <w:rFonts w:hint="eastAsia" w:ascii="宋体" w:hAnsi="宋体" w:eastAsia="宋体" w:cs="宋体"/>
          <w:color w:val="auto"/>
          <w:sz w:val="24"/>
          <w:highlight w:val="none"/>
        </w:rPr>
        <w:t>。监理人可根据工程需要，主持或参加专题会议，解决监理工作范围内工程专项问题。负责整理监理例会、专题会议的会议纪要，与会各方代表会签。</w:t>
      </w:r>
    </w:p>
    <w:p w14:paraId="0BE6036A">
      <w:pPr>
        <w:tabs>
          <w:tab w:val="left" w:pos="360"/>
        </w:tabs>
        <w:spacing w:beforeLines="0" w:afterLines="0"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4.3.1.4、审查承包人报审的施工组织设计、专项施工方案</w:t>
      </w:r>
      <w:r>
        <w:rPr>
          <w:rFonts w:hint="eastAsia" w:ascii="宋体" w:hAnsi="宋体" w:eastAsia="宋体" w:cs="宋体"/>
          <w:color w:val="auto"/>
          <w:sz w:val="24"/>
          <w:highlight w:val="none"/>
          <w:lang w:val="en-US" w:eastAsia="zh-CN"/>
        </w:rPr>
        <w:t>和安全防护措施费用使用计划及执行情况</w:t>
      </w:r>
      <w:r>
        <w:rPr>
          <w:rFonts w:hint="eastAsia" w:ascii="宋体" w:hAnsi="宋体" w:eastAsia="宋体" w:cs="宋体"/>
          <w:color w:val="auto"/>
          <w:sz w:val="24"/>
          <w:highlight w:val="none"/>
        </w:rPr>
        <w:t>，符合要求的，由总监理工程师签认后报委托人。监理人应要求承包人按照已批准的施工组织设计、专项施工方案组织施工</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执行安全防护措施费用使用计划</w:t>
      </w:r>
      <w:r>
        <w:rPr>
          <w:rFonts w:hint="eastAsia" w:ascii="宋体" w:hAnsi="宋体" w:eastAsia="宋体" w:cs="宋体"/>
          <w:color w:val="auto"/>
          <w:sz w:val="24"/>
          <w:highlight w:val="none"/>
        </w:rPr>
        <w:t>。施工组织设计、专项施工方案</w:t>
      </w:r>
      <w:r>
        <w:rPr>
          <w:rFonts w:hint="eastAsia" w:ascii="宋体" w:hAnsi="宋体" w:eastAsia="宋体" w:cs="宋体"/>
          <w:color w:val="auto"/>
          <w:sz w:val="24"/>
          <w:highlight w:val="none"/>
          <w:lang w:val="en-US" w:eastAsia="zh-CN"/>
        </w:rPr>
        <w:t>和安全防护措施费用使用计划</w:t>
      </w:r>
      <w:r>
        <w:rPr>
          <w:rFonts w:hint="eastAsia" w:ascii="宋体" w:hAnsi="宋体" w:eastAsia="宋体" w:cs="宋体"/>
          <w:color w:val="auto"/>
          <w:sz w:val="24"/>
          <w:highlight w:val="none"/>
        </w:rPr>
        <w:t>需要调整的，监理人应按程序重新审查。</w:t>
      </w:r>
    </w:p>
    <w:p w14:paraId="6F5BFDC4">
      <w:pPr>
        <w:tabs>
          <w:tab w:val="left" w:pos="360"/>
        </w:tabs>
        <w:spacing w:beforeLines="0" w:afterLines="0"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4.3.1.5、检查承包人现场安全生产规章制度的建立和落实情况，检查承包人安全生产许可证及承包人项目经理资格证、专职安全生产管理人员上岗证和特种作业人员操作证，检查施工机械和设施的安全许可验收手续，定期巡视检查危险性较大的分部分项工程施工作业情况。</w:t>
      </w:r>
    </w:p>
    <w:p w14:paraId="5E3C41DD">
      <w:pPr>
        <w:tabs>
          <w:tab w:val="left" w:pos="360"/>
        </w:tabs>
        <w:spacing w:beforeLines="0" w:afterLines="0"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4.3.1.6、定期组织和参加各类安全检查活动，每周至少组织一次专项安全检查，并做好相关记录。及时掌握现场安全生产动态，建立安全管理台帐，发现工程存在安全事故隐患的，应签发监理通知，要求承包人整改</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情况严重的，应签发工程暂停令，并及时报告委托人。承包人拒不整改或者不停止施工的，监理人应及时向有关主管部门报送监理报告</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并</w:t>
      </w:r>
      <w:r>
        <w:rPr>
          <w:rFonts w:hint="eastAsia" w:ascii="宋体" w:hAnsi="宋体" w:eastAsia="宋体" w:cs="宋体"/>
          <w:color w:val="auto"/>
          <w:sz w:val="24"/>
          <w:highlight w:val="none"/>
        </w:rPr>
        <w:t>持续跟踪直至彻底整改消除。</w:t>
      </w:r>
    </w:p>
    <w:p w14:paraId="11EBDD9D">
      <w:pPr>
        <w:tabs>
          <w:tab w:val="left" w:pos="360"/>
        </w:tabs>
        <w:spacing w:beforeLines="0" w:afterLines="0"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4.3.1.7、监理人接到承包人的开工申请之日起3日内应予以回复。总监理工程师签发工程开工令、暂停令和复工令应事先征得委托人同意，在紧急情况下未能事先报告的，应在事后及时向委托人作出书面报告。</w:t>
      </w:r>
    </w:p>
    <w:p w14:paraId="1F9F99A6">
      <w:pPr>
        <w:tabs>
          <w:tab w:val="left" w:pos="360"/>
        </w:tabs>
        <w:spacing w:beforeLines="0" w:afterLines="0"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4.3.1.8、暂停施工事件发生时，监理人应如实记录所发生的情况。当暂停施工原因消失、具备复工条件时，承包人提出复工申请的，监理人应审查承包人报送的复工报审表及有关材料，符合要求后，总监理工程师应及时签发复工令；承包人未提出复工申请的，总监理工程师应根据工程实际情况指令承包人恢复施工。</w:t>
      </w:r>
    </w:p>
    <w:p w14:paraId="681DF2C8">
      <w:pPr>
        <w:tabs>
          <w:tab w:val="left" w:pos="360"/>
        </w:tabs>
        <w:spacing w:beforeLines="0" w:afterLines="0"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4.3.1.9、对采用新材料、新工艺、新技术、新设备的工程，以及专业性较强、危险性较大的分部分项工程，应在相应工程施工开始前由专业监理工程师编制监理实施细则，并报总监理工程师审批。</w:t>
      </w:r>
    </w:p>
    <w:p w14:paraId="3320292E">
      <w:pPr>
        <w:tabs>
          <w:tab w:val="left" w:pos="360"/>
        </w:tabs>
        <w:spacing w:beforeLines="0" w:afterLines="0"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4.3.1.10、熟悉工程设计文件，总监理工程师及有关监理人员应参加委托人主持的图纸会审和设计交底会议，负责整理会议纪要。</w:t>
      </w:r>
    </w:p>
    <w:p w14:paraId="01E5FFFE">
      <w:pPr>
        <w:tabs>
          <w:tab w:val="left" w:pos="360"/>
        </w:tabs>
        <w:spacing w:beforeLines="0" w:afterLines="0"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4.3.1.11、检查、复核承包人报送的施工控制测量成果及保护措施，签署意见；查验承包人在施工过程中报送的施工测量放线成果。</w:t>
      </w:r>
    </w:p>
    <w:p w14:paraId="0654A29A">
      <w:pPr>
        <w:tabs>
          <w:tab w:val="left" w:pos="360"/>
        </w:tabs>
        <w:spacing w:beforeLines="0" w:afterLines="0"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4.3.1.12、审查承包人报送的用于工程的材料、设备、构配件的质量证明文件，并按照有关规定或建设工程监理合同约定，对用于工程的材料进行见证取样、平行检验。对已进场经检验不合格的工程材料、设备、构配件，监理人应要求承包人限期将其撤出施工现场。</w:t>
      </w:r>
    </w:p>
    <w:p w14:paraId="033C6ECF">
      <w:pPr>
        <w:tabs>
          <w:tab w:val="left" w:pos="360"/>
        </w:tabs>
        <w:spacing w:beforeLines="0" w:afterLines="0"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4.3.1.13、监理人员应对施工过程进行巡视，对质量关键控制点进行控制，填写相应记录。</w:t>
      </w:r>
    </w:p>
    <w:p w14:paraId="0C8B9958">
      <w:pPr>
        <w:tabs>
          <w:tab w:val="left" w:pos="360"/>
        </w:tabs>
        <w:spacing w:beforeLines="0" w:afterLines="0"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4.3.1.14、专业监理工程师应根据承包人报验的检验批、隐蔽工程、分项工程进行验收，提出验收意见。总监理工程师应组织监理人员对承包人报验的分部工程进行验收，签署验收意见。对验收不合格的检验批、隐蔽工程、分项工程和分部工程，监理人应拒绝签认，并严禁承包人进行下一道工序施工。监理人不能按时进行检查的，应在检查前24小时向承包人提交书面延期要求，但延期不能超过48小时。监理人未按时进行检查，也未提出延期要求的，视为隐蔽工程检查合格，承包人可自行完成覆盖工作，并作相应记录报送监理人，监理人应签字确认。</w:t>
      </w:r>
    </w:p>
    <w:p w14:paraId="0BD54B59">
      <w:pPr>
        <w:tabs>
          <w:tab w:val="left" w:pos="360"/>
        </w:tabs>
        <w:spacing w:beforeLines="0" w:afterLines="0"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4.3.1.15、审查承包人提交的单位工程竣工验收报审表及竣工资料，组织工程竣工预验收。存在问题的，应要求承包人及时整改；合格的，总监理工程师应签发单位工程竣工验收报审表。承包人应提前21日将可以开始进行竣工试验的日期通知监理人，监理人应在该日期后14日内，确定竣工试验具体时间。监理人审查后认为尚不具备竣工验收条件的，应在收到竣工验收申请报告后的28日内通知承包人，指出在竣工验收前承包人还需进行的工作内容。承包人完成监理人通知的全部工作内容后，应再次提交竣工验收申请报告，直至监理人同意为止。监理人收到竣工验收申请报告后28日内不予答复的，视为同意承包人的竣工验收申请，并应在收到该竣工验收申请报告后28日内提请委托人进行竣工验收。</w:t>
      </w:r>
    </w:p>
    <w:p w14:paraId="2793785B">
      <w:pPr>
        <w:tabs>
          <w:tab w:val="left" w:pos="360"/>
        </w:tabs>
        <w:spacing w:beforeLines="0" w:afterLines="0"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4.3.1.16、参加由委托人组织的竣工验收，对验收中提出的整改问题，督促承包人及时整改。工程质量符合要求的，总监理工程师应在工程竣工验收报告中签署意见。</w:t>
      </w:r>
    </w:p>
    <w:p w14:paraId="5BBFEECB">
      <w:pPr>
        <w:tabs>
          <w:tab w:val="left" w:pos="360"/>
        </w:tabs>
        <w:spacing w:beforeLines="0" w:afterLines="0"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4.3.1.17、审查承包人报审的施工总进度计划和阶段性施工进度计划，提出审查意见，由总监理工程师审核后报委托人。监理人应在收到承包人进度计划以及设计和施工组织方案说明后7日内予以批复或提出修改意见，否则该进度计划视为已得到批准。</w:t>
      </w:r>
    </w:p>
    <w:p w14:paraId="1D888791">
      <w:pPr>
        <w:tabs>
          <w:tab w:val="left" w:pos="360"/>
        </w:tabs>
        <w:spacing w:beforeLines="0" w:afterLines="0"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4.3.1.18、承包人可以在实际进度发生滞后的当月25日前向监理人提交修订合同进度计划的申请报告，并附有关措施和相关资料，报监理人批准；监理人也可以直接向承包人作出修订合同进度计划的指示，承包人应按该指示修订合同进度计划，报监理人批准。监理人应在收到承包人修订合同进度计划后7日内作出审核、批准或提出修改意见。监理人在批复前应获得委托人同意。</w:t>
      </w:r>
    </w:p>
    <w:p w14:paraId="2EB00189">
      <w:pPr>
        <w:tabs>
          <w:tab w:val="left" w:pos="360"/>
        </w:tabs>
        <w:spacing w:beforeLines="0" w:afterLines="0"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4.3.1.19、由于承包人原因导致实际进度严重滞后于计划进度时，总监理工程师应签发监理通知，要求承包人采取补救措施，调整进度计划，并向委托人报告工期延误风险。</w:t>
      </w:r>
    </w:p>
    <w:p w14:paraId="59929466">
      <w:pPr>
        <w:tabs>
          <w:tab w:val="left" w:pos="360"/>
        </w:tabs>
        <w:spacing w:beforeLines="0" w:afterLines="0"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4.3.1.20、审查工程变更方案、工程量签证，对变更预算、进度款支付、竣工结算进行审核，对工程变更形成初步的书面审核意见。工程量的计算必须提供计算书。监理工程师应在收到变更工程价款报告之日起 14 日内予以审核，提出审核意见后送交委托人，委托人履行必要程序后决定确认与否。</w:t>
      </w:r>
    </w:p>
    <w:p w14:paraId="3B4F5142">
      <w:pPr>
        <w:tabs>
          <w:tab w:val="left" w:pos="360"/>
        </w:tabs>
        <w:spacing w:beforeLines="0" w:afterLines="0"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4.3.1.21、监理人应及时收集、整理有关工程费用的原始资料，为处理费用索赔提供证据。监理人应在收到索赔报告后14日内完成审查并报送委托人。监理人对索赔报告存在异议的，有权要求承包人提交全部原始记录副本。</w:t>
      </w:r>
    </w:p>
    <w:p w14:paraId="0C01B47C">
      <w:pPr>
        <w:tabs>
          <w:tab w:val="left" w:pos="360"/>
        </w:tabs>
        <w:spacing w:beforeLines="0" w:afterLines="0"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4.3.1.22、监理人批准承包人费用索赔应同时满足下列三个条件：</w:t>
      </w:r>
    </w:p>
    <w:p w14:paraId="785D6B05">
      <w:pPr>
        <w:tabs>
          <w:tab w:val="left" w:pos="360"/>
        </w:tabs>
        <w:spacing w:beforeLines="0" w:afterLines="0"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（1）、承包人在施工合同约定的期限内提出费用索赔；</w:t>
      </w:r>
    </w:p>
    <w:p w14:paraId="7B40C27A">
      <w:pPr>
        <w:tabs>
          <w:tab w:val="left" w:pos="360"/>
        </w:tabs>
        <w:spacing w:beforeLines="0" w:afterLines="0"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（2）、索赔事件是因非承包人原因造成，不可抗力除外；</w:t>
      </w:r>
    </w:p>
    <w:p w14:paraId="3742A8CE">
      <w:pPr>
        <w:tabs>
          <w:tab w:val="left" w:pos="360"/>
        </w:tabs>
        <w:spacing w:beforeLines="0" w:afterLines="0"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（3）、索赔事件造成承包人直接经济损失。</w:t>
      </w:r>
    </w:p>
    <w:p w14:paraId="7D538A49">
      <w:pPr>
        <w:tabs>
          <w:tab w:val="left" w:pos="360"/>
        </w:tabs>
        <w:spacing w:beforeLines="0" w:afterLines="0"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4.3.1.23、监理人批准工程延期应同时满足下列三个条件：</w:t>
      </w:r>
    </w:p>
    <w:p w14:paraId="5B8DFBC8">
      <w:pPr>
        <w:tabs>
          <w:tab w:val="left" w:pos="360"/>
        </w:tabs>
        <w:spacing w:beforeLines="0" w:afterLines="0"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（1）、承包人在施工合同约定的期限内提出工程延期；</w:t>
      </w:r>
    </w:p>
    <w:p w14:paraId="428FA1F0">
      <w:pPr>
        <w:tabs>
          <w:tab w:val="left" w:pos="360"/>
        </w:tabs>
        <w:spacing w:beforeLines="0" w:afterLines="0"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（2）、因非承包人原因造成施工进度滞后；</w:t>
      </w:r>
    </w:p>
    <w:p w14:paraId="5076387E">
      <w:pPr>
        <w:tabs>
          <w:tab w:val="left" w:pos="360"/>
        </w:tabs>
        <w:spacing w:beforeLines="0" w:afterLines="0"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（3）、施工进度滞后影响到施工合同约定的工期。</w:t>
      </w:r>
    </w:p>
    <w:p w14:paraId="6C06E5DF">
      <w:pPr>
        <w:tabs>
          <w:tab w:val="left" w:pos="360"/>
        </w:tabs>
        <w:spacing w:beforeLines="0" w:afterLines="0"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4.3.1.24、及时、准确、完整地收集、整理、编制、传递监理文件资料，按《建设工程档案编制规范》（DBJ 440100/T 153—2012）的要求组卷后移交给委托人，数量为原件一式两份，复印件一份。</w:t>
      </w:r>
    </w:p>
    <w:p w14:paraId="70CB6D2F">
      <w:pPr>
        <w:tabs>
          <w:tab w:val="left" w:pos="360"/>
        </w:tabs>
        <w:spacing w:beforeLines="0" w:afterLines="0"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4.3.1.25、需移交给委托人的监理文件资料主要包括但不限于以下文件资料：</w:t>
      </w:r>
    </w:p>
    <w:p w14:paraId="37BFB6A1">
      <w:pPr>
        <w:tabs>
          <w:tab w:val="left" w:pos="360"/>
        </w:tabs>
        <w:spacing w:beforeLines="0" w:afterLines="0"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（1）、监理规划</w:t>
      </w:r>
    </w:p>
    <w:p w14:paraId="194E9EFE">
      <w:pPr>
        <w:tabs>
          <w:tab w:val="left" w:pos="360"/>
        </w:tabs>
        <w:spacing w:beforeLines="0" w:afterLines="0"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（2）、监理细则</w:t>
      </w:r>
    </w:p>
    <w:p w14:paraId="602CBEA9">
      <w:pPr>
        <w:tabs>
          <w:tab w:val="left" w:pos="360"/>
        </w:tabs>
        <w:spacing w:beforeLines="0" w:afterLines="0"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（3）、监理月报中的有关质量问题</w:t>
      </w:r>
    </w:p>
    <w:p w14:paraId="6ED01C9B">
      <w:pPr>
        <w:tabs>
          <w:tab w:val="left" w:pos="360"/>
        </w:tabs>
        <w:spacing w:beforeLines="0" w:afterLines="0"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（4）、监理会议纪要中的有关质量问题</w:t>
      </w:r>
    </w:p>
    <w:p w14:paraId="35B41CFF">
      <w:pPr>
        <w:tabs>
          <w:tab w:val="left" w:pos="360"/>
        </w:tabs>
        <w:spacing w:beforeLines="0" w:afterLines="0"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（5）、工程开工/复工报审表</w:t>
      </w:r>
    </w:p>
    <w:p w14:paraId="73BCE49A">
      <w:pPr>
        <w:tabs>
          <w:tab w:val="left" w:pos="360"/>
        </w:tabs>
        <w:spacing w:beforeLines="0" w:afterLines="0"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（6）、开工报告</w:t>
      </w:r>
    </w:p>
    <w:p w14:paraId="7B83DB4C">
      <w:pPr>
        <w:tabs>
          <w:tab w:val="left" w:pos="360"/>
        </w:tabs>
        <w:spacing w:beforeLines="0" w:afterLines="0"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（7）、复工报告</w:t>
      </w:r>
    </w:p>
    <w:p w14:paraId="1EE2E085">
      <w:pPr>
        <w:tabs>
          <w:tab w:val="left" w:pos="360"/>
        </w:tabs>
        <w:spacing w:beforeLines="0" w:afterLines="0"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（8）、工程暂停令</w:t>
      </w:r>
    </w:p>
    <w:p w14:paraId="6D9EBE3F">
      <w:pPr>
        <w:tabs>
          <w:tab w:val="left" w:pos="360"/>
        </w:tabs>
        <w:spacing w:beforeLines="0" w:afterLines="0"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（9）、监理工程师通知单</w:t>
      </w:r>
    </w:p>
    <w:p w14:paraId="45FA170A">
      <w:pPr>
        <w:tabs>
          <w:tab w:val="left" w:pos="360"/>
        </w:tabs>
        <w:spacing w:beforeLines="0" w:afterLines="0"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（10）、质量缺陷／隐患处理表</w:t>
      </w:r>
    </w:p>
    <w:p w14:paraId="4BCDDF5E">
      <w:pPr>
        <w:tabs>
          <w:tab w:val="left" w:pos="360"/>
        </w:tabs>
        <w:spacing w:beforeLines="0" w:afterLines="0"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（11）、质量事故报告</w:t>
      </w:r>
    </w:p>
    <w:p w14:paraId="1E836F66">
      <w:pPr>
        <w:tabs>
          <w:tab w:val="left" w:pos="360"/>
        </w:tabs>
        <w:spacing w:beforeLines="0" w:afterLines="0"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（12）、质量事故调查处理表</w:t>
      </w:r>
    </w:p>
    <w:p w14:paraId="6D8E5439">
      <w:pPr>
        <w:tabs>
          <w:tab w:val="left" w:pos="360"/>
        </w:tabs>
        <w:spacing w:beforeLines="0" w:afterLines="0"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（13）、竣工结算审核意见书</w:t>
      </w:r>
    </w:p>
    <w:p w14:paraId="5DDF26FE">
      <w:pPr>
        <w:tabs>
          <w:tab w:val="left" w:pos="360"/>
        </w:tabs>
        <w:spacing w:beforeLines="0" w:afterLines="0"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（14）、工程临时延期申请表</w:t>
      </w:r>
    </w:p>
    <w:p w14:paraId="0ADF5F40">
      <w:pPr>
        <w:tabs>
          <w:tab w:val="left" w:pos="360"/>
        </w:tabs>
        <w:spacing w:beforeLines="0" w:afterLines="0"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（15）、工程临时延期审批表</w:t>
      </w:r>
    </w:p>
    <w:p w14:paraId="1F54D98D">
      <w:pPr>
        <w:tabs>
          <w:tab w:val="left" w:pos="360"/>
        </w:tabs>
        <w:spacing w:beforeLines="0" w:afterLines="0"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（16）、工程最终延期审批表</w:t>
      </w:r>
    </w:p>
    <w:p w14:paraId="09743982">
      <w:pPr>
        <w:tabs>
          <w:tab w:val="left" w:pos="360"/>
        </w:tabs>
        <w:spacing w:beforeLines="0" w:afterLines="0"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（17）、合同争议、违约报告及处理意见</w:t>
      </w:r>
    </w:p>
    <w:p w14:paraId="178532E5">
      <w:pPr>
        <w:tabs>
          <w:tab w:val="left" w:pos="360"/>
        </w:tabs>
        <w:spacing w:beforeLines="0" w:afterLines="0"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（18）、合同变更材料</w:t>
      </w:r>
    </w:p>
    <w:p w14:paraId="0704EE19">
      <w:pPr>
        <w:tabs>
          <w:tab w:val="left" w:pos="360"/>
        </w:tabs>
        <w:spacing w:beforeLines="0" w:afterLines="0"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（19）、工程监理竣工总结</w:t>
      </w:r>
    </w:p>
    <w:p w14:paraId="0F714264">
      <w:pPr>
        <w:tabs>
          <w:tab w:val="left" w:pos="360"/>
        </w:tabs>
        <w:spacing w:beforeLines="0" w:afterLines="0"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（20）、质量评估报告</w:t>
      </w:r>
    </w:p>
    <w:p w14:paraId="3AB09F7D">
      <w:pPr>
        <w:tabs>
          <w:tab w:val="left" w:pos="360"/>
        </w:tabs>
        <w:spacing w:beforeLines="0" w:afterLines="0"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4.3.1.26、定期向委托人书面报告监理情况，包括监理周报，月报、年报。监理人还要就工程建设的重要阶段提出监理报告。监理报告内容的范围及深度应达到国家或行业有关部门对监理报告的要求及规定。</w:t>
      </w:r>
    </w:p>
    <w:p w14:paraId="62F58F83">
      <w:pPr>
        <w:tabs>
          <w:tab w:val="left" w:pos="360"/>
        </w:tabs>
        <w:spacing w:beforeLines="0" w:afterLines="0"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4.3.1.27、工程合同当事人进行商定或确定时（不包括委托人与监理人之间进行商定或确定），总监理工程师应当会同工程合同当事人尽量通过协商达成一致，不能达成一致的，由总监理工程师按照合同约定审慎做出公正的确定。总监理工程师应将确定以书面形式通知工程合同当事人，并附详细依据。工程合同当事人对总监理工程师的确定没有异议的，按照总监理工程师的确定执行。任何一方合同当事人有异议，按照当事人的合同约定处理。争议解决前，合同当事人暂按总监理工程师的确定执行；争议解决后，争议解决的结果与总监理工程师的确定不一致的，按照争议解决的结果执行，由此造成的损失由责任人承担。</w:t>
      </w:r>
    </w:p>
    <w:p w14:paraId="3ACBAAD0">
      <w:pPr>
        <w:tabs>
          <w:tab w:val="left" w:pos="360"/>
        </w:tabs>
        <w:spacing w:beforeLines="0" w:afterLines="0"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4.3.1.28、应严格履行《广州发展“三外”安全管理办法》（2025年4月修订）以及《</w:t>
      </w:r>
      <w:r>
        <w:rPr>
          <w:rFonts w:hint="eastAsia" w:ascii="宋体" w:hAnsi="宋体" w:eastAsia="宋体" w:cs="宋体"/>
          <w:color w:val="auto"/>
          <w:sz w:val="24"/>
          <w:highlight w:val="none"/>
          <w:lang w:eastAsia="zh-CN"/>
        </w:rPr>
        <w:t>广州发展智慧工程安全管控系统项目</w:t>
      </w:r>
      <w:r>
        <w:rPr>
          <w:rFonts w:hint="eastAsia" w:ascii="宋体" w:hAnsi="宋体" w:eastAsia="宋体" w:cs="宋体"/>
          <w:color w:val="auto"/>
          <w:sz w:val="24"/>
          <w:highlight w:val="none"/>
          <w:lang w:val="en-US" w:eastAsia="zh-CN"/>
        </w:rPr>
        <w:t>操作手册（监理单位用户）》中对监理的要求，对施工全过程安全风险以及安全生产费用等进行严格把控。根据建设单位要求编制监理日报或监理周报，安全监理工程师应在广州发展智慧工程管控系统中撰写监理日志。监理单位应对危险性较大的工程分项开展定期巡视检查和旁站监理，并做好记录。利用广州发展智慧工程管控系统进行现场安全全检查和隐患排查，针对发出的整改单及考核单应有专人跟踪、闭环管理。 发现问题要求施工单位整改事故隐患或暂时停工，督促施工单位整改并复查整改结果。对施工单位不安全行为及时向建设单位报告。</w:t>
      </w:r>
    </w:p>
    <w:p w14:paraId="6D3F8CCD">
      <w:pPr>
        <w:tabs>
          <w:tab w:val="left" w:pos="360"/>
        </w:tabs>
        <w:spacing w:beforeLines="0" w:afterLines="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4.3.2工程保修阶段服务</w:t>
      </w:r>
    </w:p>
    <w:p w14:paraId="3D4EB9E8">
      <w:pPr>
        <w:tabs>
          <w:tab w:val="left" w:pos="360"/>
        </w:tabs>
        <w:spacing w:beforeLines="0" w:afterLines="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4.3.2.1在保修期内，委托人要求监理人到达现场的，监理人必须在接到委托人通知后2日内到达现场，履行监理职责。</w:t>
      </w:r>
    </w:p>
    <w:p w14:paraId="236A1908">
      <w:pPr>
        <w:tabs>
          <w:tab w:val="left" w:pos="360"/>
        </w:tabs>
        <w:spacing w:beforeLines="0" w:afterLines="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4.3.2.2、对委托人或使用单位提出的工程质量缺陷，监理人应安排监理人员进行检查和记录，要求承包人予以修复，并监督实施，合格后予以签认。</w:t>
      </w:r>
    </w:p>
    <w:p w14:paraId="7B2CDEC7">
      <w:pPr>
        <w:tabs>
          <w:tab w:val="left" w:pos="360"/>
        </w:tabs>
        <w:spacing w:beforeLines="0" w:afterLines="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4.3.2.3、监理人应对工程质量缺陷原因进行调查，分析并确定责任归属。对非承包人原因造成的工程质量缺陷，应核实修复工程费用，签发工程款支付证书，并报建设单位。</w:t>
      </w:r>
    </w:p>
    <w:p w14:paraId="79C81B81">
      <w:pPr>
        <w:tabs>
          <w:tab w:val="left" w:pos="360"/>
        </w:tabs>
        <w:spacing w:beforeLines="0" w:afterLines="0" w:line="360" w:lineRule="auto"/>
        <w:ind w:firstLine="480" w:firstLineChars="200"/>
        <w:rPr>
          <w:rFonts w:hint="eastAsia" w:ascii="宋体" w:hAnsi="宋体" w:eastAsia="宋体" w:cs="宋体"/>
          <w:color w:val="auto"/>
          <w:sz w:val="24"/>
          <w:highlight w:val="none"/>
        </w:rPr>
      </w:pPr>
      <w:bookmarkStart w:id="515" w:name="OLE_LINK8"/>
      <w:r>
        <w:rPr>
          <w:rFonts w:hint="eastAsia" w:ascii="宋体" w:hAnsi="宋体" w:eastAsia="宋体" w:cs="宋体"/>
          <w:color w:val="auto"/>
          <w:sz w:val="24"/>
          <w:highlight w:val="none"/>
        </w:rPr>
        <w:t>第七条</w:t>
      </w:r>
      <w:bookmarkEnd w:id="515"/>
      <w:r>
        <w:rPr>
          <w:rFonts w:hint="eastAsia" w:ascii="宋体" w:hAnsi="宋体" w:eastAsia="宋体" w:cs="宋体"/>
          <w:color w:val="auto"/>
          <w:sz w:val="24"/>
          <w:highlight w:val="none"/>
        </w:rPr>
        <w:t xml:space="preserve"> 合同双方对提供给对方的本工程、本合同业务活动的有关资料，如有保密要求的，要在提供的资料上注明保密等级，另一方应按密级为对方保密，如发生泄密，由责任方承担有关责任。</w:t>
      </w:r>
    </w:p>
    <w:p w14:paraId="4D59F742">
      <w:pPr>
        <w:spacing w:beforeLines="0" w:afterLines="0" w:line="360" w:lineRule="auto"/>
        <w:ind w:firstLine="573"/>
        <w:jc w:val="center"/>
        <w:rPr>
          <w:rFonts w:hint="eastAsia" w:ascii="宋体" w:hAnsi="宋体" w:eastAsia="宋体" w:cs="宋体"/>
          <w:color w:val="auto"/>
          <w:sz w:val="24"/>
          <w:highlight w:val="none"/>
        </w:rPr>
      </w:pPr>
      <w:r>
        <w:rPr>
          <w:rFonts w:hint="eastAsia" w:ascii="宋体" w:hAnsi="宋体" w:eastAsia="宋体" w:cs="宋体"/>
          <w:b/>
          <w:color w:val="auto"/>
          <w:sz w:val="24"/>
          <w:szCs w:val="28"/>
          <w:highlight w:val="none"/>
        </w:rPr>
        <w:t>委托人义务</w:t>
      </w:r>
    </w:p>
    <w:p w14:paraId="2066A107">
      <w:pPr>
        <w:spacing w:beforeLines="0" w:afterLines="0" w:line="360" w:lineRule="auto"/>
        <w:ind w:firstLine="573"/>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第十条 双方约定，委托人应按下述时间提供工程资料：</w:t>
      </w:r>
    </w:p>
    <w:p w14:paraId="0A29B5DE">
      <w:pPr>
        <w:spacing w:beforeLines="0" w:afterLines="0" w:line="360" w:lineRule="auto"/>
        <w:ind w:left="2" w:firstLine="475" w:firstLineChars="198"/>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委托人应在合同签订后一周内无偿提供一份有关规划报建资料给监理人；在第三方施工图审查合格后一周内无偿提供两份施工图纸给监理人。缺项的资料，在委托人收到资料后一周内及时向监理人提供。</w:t>
      </w:r>
    </w:p>
    <w:p w14:paraId="7E63C5A5">
      <w:pPr>
        <w:spacing w:beforeLines="0" w:afterLines="0" w:line="360" w:lineRule="auto"/>
        <w:ind w:left="2" w:firstLine="475" w:firstLineChars="198"/>
        <w:rPr>
          <w:rFonts w:hint="eastAsia" w:ascii="宋体" w:hAnsi="宋体" w:eastAsia="宋体" w:cs="宋体"/>
          <w:color w:val="auto"/>
          <w:sz w:val="24"/>
          <w:highlight w:val="none"/>
        </w:rPr>
      </w:pPr>
      <w:r>
        <w:rPr>
          <w:rFonts w:hint="eastAsia" w:ascii="宋体" w:hAnsi="宋体" w:eastAsia="宋体" w:cs="宋体"/>
          <w:bCs/>
          <w:color w:val="auto"/>
          <w:sz w:val="24"/>
          <w:highlight w:val="none"/>
        </w:rPr>
        <w:t xml:space="preserve">第十一条 </w:t>
      </w:r>
      <w:r>
        <w:rPr>
          <w:rFonts w:hint="eastAsia" w:ascii="宋体" w:hAnsi="宋体" w:eastAsia="宋体" w:cs="宋体"/>
          <w:color w:val="auto"/>
          <w:sz w:val="24"/>
          <w:highlight w:val="none"/>
        </w:rPr>
        <w:t>监理人书面提交并要求作出决定的事宜，在按委托人要求提交完整资料后，除合同另有规定外委托人原则上应在</w:t>
      </w:r>
      <w:r>
        <w:rPr>
          <w:rFonts w:hint="eastAsia" w:ascii="宋体" w:hAnsi="宋体" w:eastAsia="宋体" w:cs="宋体"/>
          <w:color w:val="auto"/>
          <w:sz w:val="24"/>
          <w:highlight w:val="none"/>
          <w:u w:val="single"/>
        </w:rPr>
        <w:t xml:space="preserve"> 10</w:t>
      </w:r>
      <w:r>
        <w:rPr>
          <w:rFonts w:hint="eastAsia" w:ascii="宋体" w:hAnsi="宋体" w:eastAsia="宋体" w:cs="宋体"/>
          <w:color w:val="auto"/>
          <w:sz w:val="24"/>
          <w:highlight w:val="none"/>
        </w:rPr>
        <w:t>日内作出书面答复，重大事件回复时间可以适当延长。若在特殊情况下有特殊时间要求的，委托人应根据情况按监理人要求的时间及时答复。</w:t>
      </w:r>
    </w:p>
    <w:p w14:paraId="6733C477">
      <w:pPr>
        <w:spacing w:beforeLines="0" w:afterLines="0" w:line="360" w:lineRule="auto"/>
        <w:ind w:left="719" w:leftChars="228" w:hanging="240" w:hangingChars="100"/>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第十二条 委托人的常驻代表为</w:t>
      </w:r>
      <w:r>
        <w:rPr>
          <w:rFonts w:hint="eastAsia" w:ascii="宋体" w:hAnsi="宋体" w:eastAsia="宋体" w:cs="宋体"/>
          <w:bCs/>
          <w:color w:val="auto"/>
          <w:sz w:val="24"/>
          <w:highlight w:val="none"/>
          <w:u w:val="single"/>
        </w:rPr>
        <w:t xml:space="preserve">            </w:t>
      </w:r>
    </w:p>
    <w:p w14:paraId="0FA241F9">
      <w:pPr>
        <w:tabs>
          <w:tab w:val="left" w:pos="1365"/>
        </w:tabs>
        <w:spacing w:beforeLines="0" w:afterLines="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第十四条</w:t>
      </w:r>
      <w:r>
        <w:rPr>
          <w:rFonts w:hint="eastAsia" w:ascii="宋体" w:hAnsi="宋体" w:eastAsia="宋体" w:cs="宋体"/>
          <w:color w:val="auto"/>
          <w:sz w:val="24"/>
          <w:highlight w:val="none"/>
        </w:rPr>
        <w:t xml:space="preserve"> 委托人应在不影响监理人开展监理工作的时间内提供如下资料：提供与本工程有关的协作单位、配合单位的名录。</w:t>
      </w:r>
    </w:p>
    <w:p w14:paraId="5DF1EE02">
      <w:pPr>
        <w:spacing w:beforeLines="0" w:afterLines="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委托人应要求承包人在不影响监理人开展监理工作的时间内提供如下资料：与本工程合作的原材料、构配件、机械设备等生产厂家名录。</w:t>
      </w:r>
    </w:p>
    <w:p w14:paraId="0518C90F">
      <w:pPr>
        <w:spacing w:beforeLines="0" w:afterLines="0"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bCs/>
          <w:color w:val="auto"/>
          <w:sz w:val="24"/>
          <w:highlight w:val="none"/>
        </w:rPr>
        <w:t>第十五条</w:t>
      </w:r>
      <w:r>
        <w:rPr>
          <w:rFonts w:hint="eastAsia" w:ascii="宋体" w:hAnsi="宋体" w:eastAsia="宋体" w:cs="宋体"/>
          <w:color w:val="auto"/>
          <w:sz w:val="24"/>
          <w:highlight w:val="none"/>
        </w:rPr>
        <w:t xml:space="preserve"> 委托人免费向监理机构提供如下设施：</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b/>
          <w:color w:val="auto"/>
          <w:sz w:val="24"/>
          <w:highlight w:val="none"/>
          <w:u w:val="single"/>
        </w:rPr>
        <w:t>无</w:t>
      </w:r>
      <w:r>
        <w:rPr>
          <w:rFonts w:hint="eastAsia" w:ascii="宋体" w:hAnsi="宋体" w:eastAsia="宋体" w:cs="宋体"/>
          <w:b/>
          <w:color w:val="auto"/>
          <w:sz w:val="24"/>
          <w:highlight w:val="none"/>
          <w:u w:val="single"/>
          <w:lang w:val="en-US" w:eastAsia="zh-CN"/>
        </w:rPr>
        <w:t xml:space="preserve"> </w:t>
      </w:r>
    </w:p>
    <w:p w14:paraId="065056A5">
      <w:pPr>
        <w:spacing w:beforeLines="0" w:afterLines="0" w:line="360" w:lineRule="auto"/>
        <w:ind w:firstLine="47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监理人自备的、委托人给予补偿的设施如下：</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b/>
          <w:color w:val="auto"/>
          <w:sz w:val="24"/>
          <w:highlight w:val="none"/>
          <w:u w:val="single"/>
        </w:rPr>
        <w:t>无</w:t>
      </w:r>
      <w:r>
        <w:rPr>
          <w:rFonts w:hint="eastAsia" w:ascii="宋体" w:hAnsi="宋体" w:eastAsia="宋体" w:cs="宋体"/>
          <w:b/>
          <w:color w:val="auto"/>
          <w:sz w:val="24"/>
          <w:highlight w:val="none"/>
          <w:u w:val="single"/>
          <w:lang w:val="en-US" w:eastAsia="zh-CN"/>
        </w:rPr>
        <w:t xml:space="preserve"> </w:t>
      </w:r>
    </w:p>
    <w:p w14:paraId="5E0F2FFA">
      <w:pPr>
        <w:spacing w:beforeLines="0" w:afterLines="0" w:line="360" w:lineRule="auto"/>
        <w:jc w:val="center"/>
        <w:rPr>
          <w:rFonts w:hint="eastAsia" w:ascii="宋体" w:hAnsi="宋体" w:eastAsia="宋体" w:cs="宋体"/>
          <w:b/>
          <w:color w:val="auto"/>
          <w:sz w:val="24"/>
          <w:szCs w:val="28"/>
          <w:highlight w:val="none"/>
        </w:rPr>
      </w:pPr>
      <w:r>
        <w:rPr>
          <w:rFonts w:hint="eastAsia" w:ascii="宋体" w:hAnsi="宋体" w:eastAsia="宋体" w:cs="宋体"/>
          <w:b/>
          <w:color w:val="auto"/>
          <w:sz w:val="24"/>
          <w:szCs w:val="28"/>
          <w:highlight w:val="none"/>
        </w:rPr>
        <w:t>监理人权利</w:t>
      </w:r>
    </w:p>
    <w:p w14:paraId="070F3828">
      <w:pPr>
        <w:tabs>
          <w:tab w:val="left" w:pos="1365"/>
        </w:tabs>
        <w:spacing w:beforeLines="0" w:afterLines="0"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第十八条 监理人在委托人授权下，可对任何承包人合同规定的义务提出变更，但这种变更须经委托人事先批准。在监理过程中如发现工程承包人人员工作不力，监理机构有权提出要求承包人调换有关人员，经委托人同意后实施。 </w:t>
      </w:r>
    </w:p>
    <w:p w14:paraId="7F472786">
      <w:pPr>
        <w:tabs>
          <w:tab w:val="left" w:pos="1365"/>
        </w:tabs>
        <w:spacing w:beforeLines="0" w:afterLines="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 xml:space="preserve">第十九条 </w:t>
      </w:r>
      <w:r>
        <w:rPr>
          <w:rFonts w:hint="eastAsia" w:ascii="宋体" w:hAnsi="宋体" w:eastAsia="宋体" w:cs="宋体"/>
          <w:color w:val="auto"/>
          <w:sz w:val="24"/>
          <w:highlight w:val="none"/>
        </w:rPr>
        <w:t>在委托的工程范围内，承包人对委托人的任何意见和要求（包括索赔要求），均必须首先向监理机构提出，由监理机构研究处置意见，交委托人审核后确定。</w:t>
      </w:r>
    </w:p>
    <w:p w14:paraId="44E47DD8">
      <w:pPr>
        <w:spacing w:beforeLines="0" w:afterLines="0" w:line="360" w:lineRule="auto"/>
        <w:jc w:val="center"/>
        <w:rPr>
          <w:rFonts w:hint="eastAsia" w:ascii="宋体" w:hAnsi="宋体" w:eastAsia="宋体" w:cs="宋体"/>
          <w:b/>
          <w:color w:val="auto"/>
          <w:sz w:val="24"/>
          <w:szCs w:val="28"/>
          <w:highlight w:val="none"/>
        </w:rPr>
      </w:pPr>
      <w:r>
        <w:rPr>
          <w:rFonts w:hint="eastAsia" w:ascii="宋体" w:hAnsi="宋体" w:eastAsia="宋体" w:cs="宋体"/>
          <w:b/>
          <w:color w:val="auto"/>
          <w:sz w:val="24"/>
          <w:szCs w:val="28"/>
          <w:highlight w:val="none"/>
        </w:rPr>
        <w:t>委托人权利</w:t>
      </w:r>
    </w:p>
    <w:p w14:paraId="1EBF86CA">
      <w:pPr>
        <w:adjustRightInd w:val="0"/>
        <w:spacing w:beforeLines="0" w:afterLines="0" w:line="360" w:lineRule="auto"/>
        <w:ind w:firstLine="480" w:firstLineChars="200"/>
        <w:textAlignment w:val="baseline"/>
        <w:rPr>
          <w:rFonts w:hint="eastAsia" w:ascii="宋体" w:hAnsi="宋体" w:eastAsia="宋体" w:cs="宋体"/>
          <w:color w:val="auto"/>
          <w:sz w:val="24"/>
          <w:szCs w:val="28"/>
          <w:highlight w:val="none"/>
        </w:rPr>
      </w:pPr>
      <w:r>
        <w:rPr>
          <w:rFonts w:hint="eastAsia" w:ascii="宋体" w:hAnsi="宋体" w:eastAsia="宋体" w:cs="宋体"/>
          <w:bCs/>
          <w:color w:val="auto"/>
          <w:sz w:val="24"/>
          <w:szCs w:val="28"/>
          <w:highlight w:val="none"/>
        </w:rPr>
        <w:t>第二十四条 当委托</w:t>
      </w:r>
      <w:r>
        <w:rPr>
          <w:rFonts w:hint="eastAsia" w:ascii="宋体" w:hAnsi="宋体" w:eastAsia="宋体" w:cs="宋体"/>
          <w:color w:val="auto"/>
          <w:sz w:val="24"/>
          <w:szCs w:val="28"/>
          <w:highlight w:val="none"/>
        </w:rPr>
        <w:t>人发现监理人员不按监理合同履行监理职责，或与承包人串通给委托人或工程造成损失的，委托人有权要求监理人更换监理人员，直到终止合同并要求监理人承担相应的赔偿责任或连带责任。</w:t>
      </w:r>
    </w:p>
    <w:p w14:paraId="6F1754EF">
      <w:pPr>
        <w:adjustRightInd w:val="0"/>
        <w:spacing w:beforeLines="0" w:afterLines="0" w:line="360" w:lineRule="auto"/>
        <w:ind w:firstLine="480"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委托人将定期或不定期对监理人履约情况进行检查</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每周抽查不少于一次，每月全面检查不少于一次</w:t>
      </w:r>
      <w:r>
        <w:rPr>
          <w:rFonts w:hint="eastAsia" w:ascii="宋体" w:hAnsi="宋体" w:eastAsia="宋体" w:cs="宋体"/>
          <w:color w:val="auto"/>
          <w:sz w:val="24"/>
          <w:highlight w:val="none"/>
        </w:rPr>
        <w:t>。如监理人在责任期内未按照招标文件、投标文件和本合同的有关内容和规定执行，违反下述任一条款，接受委托人的通报批评，并需承担相应的违约责任：</w:t>
      </w:r>
    </w:p>
    <w:p w14:paraId="3B3B331B">
      <w:pPr>
        <w:tabs>
          <w:tab w:val="left" w:pos="360"/>
          <w:tab w:val="left" w:pos="420"/>
        </w:tabs>
        <w:spacing w:beforeLines="0" w:afterLines="0" w:line="360" w:lineRule="auto"/>
        <w:ind w:left="2"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24.1</w:t>
      </w:r>
      <w:r>
        <w:rPr>
          <w:rFonts w:hint="eastAsia" w:ascii="宋体" w:hAnsi="宋体" w:eastAsia="宋体" w:cs="宋体"/>
          <w:bCs/>
          <w:color w:val="auto"/>
          <w:sz w:val="24"/>
          <w:highlight w:val="none"/>
        </w:rPr>
        <w:t>监理人未按</w:t>
      </w:r>
      <w:r>
        <w:rPr>
          <w:rFonts w:hint="eastAsia" w:ascii="宋体" w:hAnsi="宋体" w:eastAsia="宋体" w:cs="宋体"/>
          <w:color w:val="auto"/>
          <w:sz w:val="24"/>
          <w:highlight w:val="none"/>
        </w:rPr>
        <w:t>专用条件第四条</w:t>
      </w:r>
      <w:r>
        <w:rPr>
          <w:rFonts w:hint="eastAsia" w:ascii="宋体" w:hAnsi="宋体" w:eastAsia="宋体" w:cs="宋体"/>
          <w:bCs/>
          <w:color w:val="auto"/>
          <w:sz w:val="24"/>
          <w:highlight w:val="none"/>
        </w:rPr>
        <w:t>4.1.1要求配置</w:t>
      </w:r>
      <w:r>
        <w:rPr>
          <w:rFonts w:hint="eastAsia" w:ascii="宋体" w:hAnsi="宋体" w:eastAsia="宋体" w:cs="宋体"/>
          <w:color w:val="auto"/>
          <w:sz w:val="24"/>
          <w:highlight w:val="none"/>
        </w:rPr>
        <w:t>总监理工程师的，每次</w:t>
      </w:r>
      <w:r>
        <w:rPr>
          <w:rFonts w:hint="eastAsia" w:ascii="宋体" w:hAnsi="宋体" w:eastAsia="宋体" w:cs="宋体"/>
          <w:color w:val="auto"/>
          <w:sz w:val="24"/>
          <w:highlight w:val="none"/>
          <w:lang w:eastAsia="zh-CN"/>
        </w:rPr>
        <w:t>扣</w:t>
      </w:r>
      <w:r>
        <w:rPr>
          <w:rFonts w:hint="eastAsia" w:ascii="宋体" w:hAnsi="宋体" w:eastAsia="宋体" w:cs="宋体"/>
          <w:color w:val="auto"/>
          <w:sz w:val="24"/>
          <w:highlight w:val="none"/>
        </w:rPr>
        <w:t>100000元的违约金并责令改正；</w:t>
      </w:r>
      <w:r>
        <w:rPr>
          <w:rFonts w:hint="eastAsia" w:ascii="宋体" w:hAnsi="宋体" w:eastAsia="宋体" w:cs="宋体"/>
          <w:bCs/>
          <w:color w:val="auto"/>
          <w:sz w:val="24"/>
          <w:highlight w:val="none"/>
        </w:rPr>
        <w:t>未按</w:t>
      </w:r>
      <w:r>
        <w:rPr>
          <w:rFonts w:hint="eastAsia" w:ascii="宋体" w:hAnsi="宋体" w:eastAsia="宋体" w:cs="宋体"/>
          <w:color w:val="auto"/>
          <w:sz w:val="24"/>
          <w:highlight w:val="none"/>
        </w:rPr>
        <w:t>专用条件第四条</w:t>
      </w:r>
      <w:r>
        <w:rPr>
          <w:rFonts w:hint="eastAsia" w:ascii="宋体" w:hAnsi="宋体" w:eastAsia="宋体" w:cs="宋体"/>
          <w:bCs/>
          <w:color w:val="auto"/>
          <w:sz w:val="24"/>
          <w:highlight w:val="none"/>
        </w:rPr>
        <w:t>4.1.1要求配置</w:t>
      </w:r>
      <w:r>
        <w:rPr>
          <w:rFonts w:hint="eastAsia" w:ascii="宋体" w:hAnsi="宋体" w:eastAsia="宋体" w:cs="宋体"/>
          <w:color w:val="auto"/>
          <w:sz w:val="24"/>
          <w:highlight w:val="none"/>
        </w:rPr>
        <w:t>专业监理工程师的，每人每次</w:t>
      </w:r>
      <w:r>
        <w:rPr>
          <w:rFonts w:hint="eastAsia" w:ascii="宋体" w:hAnsi="宋体" w:eastAsia="宋体" w:cs="宋体"/>
          <w:color w:val="auto"/>
          <w:sz w:val="24"/>
          <w:highlight w:val="none"/>
          <w:lang w:eastAsia="zh-CN"/>
        </w:rPr>
        <w:t>扣</w:t>
      </w:r>
      <w:r>
        <w:rPr>
          <w:rFonts w:hint="eastAsia" w:ascii="宋体" w:hAnsi="宋体" w:eastAsia="宋体" w:cs="宋体"/>
          <w:color w:val="auto"/>
          <w:sz w:val="24"/>
          <w:highlight w:val="none"/>
        </w:rPr>
        <w:t>50000元的违约金并责令改正；</w:t>
      </w:r>
      <w:r>
        <w:rPr>
          <w:rFonts w:hint="eastAsia" w:ascii="宋体" w:hAnsi="宋体" w:eastAsia="宋体" w:cs="宋体"/>
          <w:bCs/>
          <w:color w:val="auto"/>
          <w:sz w:val="24"/>
          <w:highlight w:val="none"/>
        </w:rPr>
        <w:t>未按</w:t>
      </w:r>
      <w:r>
        <w:rPr>
          <w:rFonts w:hint="eastAsia" w:ascii="宋体" w:hAnsi="宋体" w:eastAsia="宋体" w:cs="宋体"/>
          <w:color w:val="auto"/>
          <w:sz w:val="24"/>
          <w:highlight w:val="none"/>
        </w:rPr>
        <w:t>专用条件第四条</w:t>
      </w:r>
      <w:r>
        <w:rPr>
          <w:rFonts w:hint="eastAsia" w:ascii="宋体" w:hAnsi="宋体" w:eastAsia="宋体" w:cs="宋体"/>
          <w:bCs/>
          <w:color w:val="auto"/>
          <w:sz w:val="24"/>
          <w:highlight w:val="none"/>
        </w:rPr>
        <w:t>4.1.1要求配置监理员的，</w:t>
      </w:r>
      <w:r>
        <w:rPr>
          <w:rFonts w:hint="eastAsia" w:ascii="宋体" w:hAnsi="宋体" w:eastAsia="宋体" w:cs="宋体"/>
          <w:color w:val="auto"/>
          <w:sz w:val="24"/>
          <w:highlight w:val="none"/>
        </w:rPr>
        <w:t>每人每次</w:t>
      </w:r>
      <w:r>
        <w:rPr>
          <w:rFonts w:hint="eastAsia" w:ascii="宋体" w:hAnsi="宋体" w:eastAsia="宋体" w:cs="宋体"/>
          <w:color w:val="auto"/>
          <w:sz w:val="24"/>
          <w:highlight w:val="none"/>
          <w:lang w:eastAsia="zh-CN"/>
        </w:rPr>
        <w:t>扣</w:t>
      </w:r>
      <w:r>
        <w:rPr>
          <w:rFonts w:hint="eastAsia" w:ascii="宋体" w:hAnsi="宋体" w:eastAsia="宋体" w:cs="宋体"/>
          <w:color w:val="auto"/>
          <w:sz w:val="24"/>
          <w:highlight w:val="none"/>
        </w:rPr>
        <w:t>10000元的违约金并责令改正。监理人拒不改正的，</w:t>
      </w:r>
      <w:r>
        <w:rPr>
          <w:rFonts w:hint="eastAsia" w:ascii="宋体" w:hAnsi="宋体" w:eastAsia="宋体" w:cs="宋体"/>
          <w:bCs/>
          <w:color w:val="auto"/>
          <w:sz w:val="24"/>
          <w:highlight w:val="none"/>
        </w:rPr>
        <w:t>委托人可以向监理人终止合同。</w:t>
      </w:r>
    </w:p>
    <w:p w14:paraId="2F20BD9E">
      <w:pPr>
        <w:spacing w:beforeLines="0" w:afterLines="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24.2项目施工期间，总监理工程师每月驻场不少于20日，未经委托人现场代表批准不在场，每日</w:t>
      </w:r>
      <w:r>
        <w:rPr>
          <w:rFonts w:hint="eastAsia" w:ascii="宋体" w:hAnsi="宋体" w:eastAsia="宋体" w:cs="宋体"/>
          <w:color w:val="auto"/>
          <w:sz w:val="24"/>
          <w:highlight w:val="none"/>
          <w:lang w:eastAsia="zh-CN"/>
        </w:rPr>
        <w:t>扣</w:t>
      </w:r>
      <w:r>
        <w:rPr>
          <w:rFonts w:hint="eastAsia" w:ascii="宋体" w:hAnsi="宋体" w:eastAsia="宋体" w:cs="宋体"/>
          <w:color w:val="auto"/>
          <w:sz w:val="24"/>
          <w:highlight w:val="none"/>
        </w:rPr>
        <w:t>10000元的违约金。各专业监理工程师因事离场2日或2日以上应经委托人现场代表批准，否则每人每次</w:t>
      </w:r>
      <w:r>
        <w:rPr>
          <w:rFonts w:hint="eastAsia" w:ascii="宋体" w:hAnsi="宋体" w:eastAsia="宋体" w:cs="宋体"/>
          <w:color w:val="auto"/>
          <w:sz w:val="24"/>
          <w:highlight w:val="none"/>
          <w:lang w:eastAsia="zh-CN"/>
        </w:rPr>
        <w:t>扣</w:t>
      </w:r>
      <w:r>
        <w:rPr>
          <w:rFonts w:hint="eastAsia" w:ascii="宋体" w:hAnsi="宋体" w:eastAsia="宋体" w:cs="宋体"/>
          <w:color w:val="auto"/>
          <w:sz w:val="24"/>
          <w:highlight w:val="none"/>
        </w:rPr>
        <w:t>5000元的违约金。</w:t>
      </w:r>
    </w:p>
    <w:p w14:paraId="44A5EA24">
      <w:pPr>
        <w:spacing w:beforeLines="0" w:afterLines="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24.3总监理工程师未经委托人现场代表批准不参加每周的监理例会或委托人召开的协调会，每缺席一次予以通报批评一次并</w:t>
      </w:r>
      <w:r>
        <w:rPr>
          <w:rFonts w:hint="eastAsia" w:ascii="宋体" w:hAnsi="宋体" w:eastAsia="宋体" w:cs="宋体"/>
          <w:color w:val="auto"/>
          <w:sz w:val="24"/>
          <w:highlight w:val="none"/>
          <w:lang w:eastAsia="zh-CN"/>
        </w:rPr>
        <w:t>扣</w:t>
      </w:r>
      <w:r>
        <w:rPr>
          <w:rFonts w:hint="eastAsia" w:ascii="宋体" w:hAnsi="宋体" w:eastAsia="宋体" w:cs="宋体"/>
          <w:color w:val="auto"/>
          <w:sz w:val="24"/>
          <w:highlight w:val="none"/>
        </w:rPr>
        <w:t>5000元的违约金。</w:t>
      </w:r>
    </w:p>
    <w:p w14:paraId="3EEBB31A">
      <w:pPr>
        <w:spacing w:beforeLines="0" w:afterLines="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24.4在委托人、委托人的上级主管部门及政府相关部门组织的检查中，严禁总监理工程师未经委托人现场代表批准不在现场；专业监理工程师累计不在现场的次数应少于两次。发生上述任何情形之一，予以通报批评一次并</w:t>
      </w:r>
      <w:r>
        <w:rPr>
          <w:rFonts w:hint="eastAsia" w:ascii="宋体" w:hAnsi="宋体" w:eastAsia="宋体" w:cs="宋体"/>
          <w:color w:val="auto"/>
          <w:sz w:val="24"/>
          <w:highlight w:val="none"/>
          <w:lang w:eastAsia="zh-CN"/>
        </w:rPr>
        <w:t>扣</w:t>
      </w:r>
      <w:r>
        <w:rPr>
          <w:rFonts w:hint="eastAsia" w:ascii="宋体" w:hAnsi="宋体" w:eastAsia="宋体" w:cs="宋体"/>
          <w:color w:val="auto"/>
          <w:sz w:val="24"/>
          <w:highlight w:val="none"/>
        </w:rPr>
        <w:t>5000元的违约金。</w:t>
      </w:r>
    </w:p>
    <w:p w14:paraId="205EA3EE">
      <w:pPr>
        <w:spacing w:beforeLines="0" w:afterLines="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24.5监理人未能按委托人要求及时更换总监理工程师，每次</w:t>
      </w:r>
      <w:r>
        <w:rPr>
          <w:rFonts w:hint="eastAsia" w:ascii="宋体" w:hAnsi="宋体" w:eastAsia="宋体" w:cs="宋体"/>
          <w:color w:val="auto"/>
          <w:sz w:val="24"/>
          <w:highlight w:val="none"/>
          <w:lang w:eastAsia="zh-CN"/>
        </w:rPr>
        <w:t>扣</w:t>
      </w:r>
      <w:r>
        <w:rPr>
          <w:rFonts w:hint="eastAsia" w:ascii="宋体" w:hAnsi="宋体" w:eastAsia="宋体" w:cs="宋体"/>
          <w:color w:val="auto"/>
          <w:sz w:val="24"/>
          <w:highlight w:val="none"/>
        </w:rPr>
        <w:t>25000元的违约金；监理人未能按委托人要求及时更换专业监理工程师的，每人每次</w:t>
      </w:r>
      <w:r>
        <w:rPr>
          <w:rFonts w:hint="eastAsia" w:ascii="宋体" w:hAnsi="宋体" w:eastAsia="宋体" w:cs="宋体"/>
          <w:color w:val="auto"/>
          <w:sz w:val="24"/>
          <w:highlight w:val="none"/>
          <w:lang w:eastAsia="zh-CN"/>
        </w:rPr>
        <w:t>扣</w:t>
      </w:r>
      <w:r>
        <w:rPr>
          <w:rFonts w:hint="eastAsia" w:ascii="宋体" w:hAnsi="宋体" w:eastAsia="宋体" w:cs="宋体"/>
          <w:color w:val="auto"/>
          <w:sz w:val="24"/>
          <w:highlight w:val="none"/>
        </w:rPr>
        <w:t>15000元的违约金。</w:t>
      </w:r>
    </w:p>
    <w:p w14:paraId="55597B5D">
      <w:pPr>
        <w:spacing w:beforeLines="0" w:afterLines="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24.6监理人未能按要求将监理规划和监理实施细则报送委托人的，每延误一日</w:t>
      </w:r>
      <w:r>
        <w:rPr>
          <w:rFonts w:hint="eastAsia" w:ascii="宋体" w:hAnsi="宋体" w:eastAsia="宋体" w:cs="宋体"/>
          <w:color w:val="auto"/>
          <w:sz w:val="24"/>
          <w:highlight w:val="none"/>
          <w:lang w:eastAsia="zh-CN"/>
        </w:rPr>
        <w:t>扣</w:t>
      </w:r>
      <w:r>
        <w:rPr>
          <w:rFonts w:hint="eastAsia" w:ascii="宋体" w:hAnsi="宋体" w:eastAsia="宋体" w:cs="宋体"/>
          <w:color w:val="auto"/>
          <w:sz w:val="24"/>
          <w:highlight w:val="none"/>
        </w:rPr>
        <w:t>500元的违约金。</w:t>
      </w:r>
    </w:p>
    <w:p w14:paraId="24CF6217">
      <w:pPr>
        <w:spacing w:beforeLines="0" w:afterLines="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24.7监理人未能及时发现施工图纸的重大错误并向委托人报告的，每次</w:t>
      </w:r>
      <w:r>
        <w:rPr>
          <w:rFonts w:hint="eastAsia" w:ascii="宋体" w:hAnsi="宋体" w:eastAsia="宋体" w:cs="宋体"/>
          <w:color w:val="auto"/>
          <w:sz w:val="24"/>
          <w:highlight w:val="none"/>
          <w:lang w:eastAsia="zh-CN"/>
        </w:rPr>
        <w:t>扣</w:t>
      </w:r>
      <w:r>
        <w:rPr>
          <w:rFonts w:hint="eastAsia" w:ascii="宋体" w:hAnsi="宋体" w:eastAsia="宋体" w:cs="宋体"/>
          <w:color w:val="auto"/>
          <w:sz w:val="24"/>
          <w:highlight w:val="none"/>
        </w:rPr>
        <w:t>10000元的违约金。</w:t>
      </w:r>
    </w:p>
    <w:p w14:paraId="23F2D579">
      <w:pPr>
        <w:spacing w:beforeLines="0" w:afterLines="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24.8监理人未能按要求认真组织施工图纸会审、施工组织设计（方案）审批或经监理人审核批准后的施工组织设计（方案）严重不合理，导致施工组织混乱的，每项</w:t>
      </w:r>
      <w:r>
        <w:rPr>
          <w:rFonts w:hint="eastAsia" w:ascii="宋体" w:hAnsi="宋体" w:eastAsia="宋体" w:cs="宋体"/>
          <w:color w:val="auto"/>
          <w:sz w:val="24"/>
          <w:highlight w:val="none"/>
          <w:lang w:eastAsia="zh-CN"/>
        </w:rPr>
        <w:t>扣</w:t>
      </w:r>
      <w:r>
        <w:rPr>
          <w:rFonts w:hint="eastAsia" w:ascii="宋体" w:hAnsi="宋体" w:eastAsia="宋体" w:cs="宋体"/>
          <w:color w:val="auto"/>
          <w:sz w:val="24"/>
          <w:highlight w:val="none"/>
        </w:rPr>
        <w:t>3000元的违约金。</w:t>
      </w:r>
    </w:p>
    <w:p w14:paraId="4257BE80">
      <w:pPr>
        <w:spacing w:beforeLines="0" w:afterLines="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24.9专业监理工程师未能及时发现参建单位报送的控制桩的校核成果、控制桩的保护措施以及平面控制网、高程控制网和临时水准点的测量成果所存在问题的，每次</w:t>
      </w:r>
      <w:r>
        <w:rPr>
          <w:rFonts w:hint="eastAsia" w:ascii="宋体" w:hAnsi="宋体" w:eastAsia="宋体" w:cs="宋体"/>
          <w:color w:val="auto"/>
          <w:sz w:val="24"/>
          <w:highlight w:val="none"/>
          <w:lang w:eastAsia="zh-CN"/>
        </w:rPr>
        <w:t>扣</w:t>
      </w:r>
      <w:r>
        <w:rPr>
          <w:rFonts w:hint="eastAsia" w:ascii="宋体" w:hAnsi="宋体" w:eastAsia="宋体" w:cs="宋体"/>
          <w:color w:val="auto"/>
          <w:sz w:val="24"/>
          <w:highlight w:val="none"/>
        </w:rPr>
        <w:t>3000元的违约金。</w:t>
      </w:r>
    </w:p>
    <w:p w14:paraId="3A354198">
      <w:pPr>
        <w:spacing w:beforeLines="0" w:afterLines="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24.10监理人员未按专用条件第四条4.3.1.13点要求对质量关键控制点进行控制的，每次</w:t>
      </w:r>
      <w:r>
        <w:rPr>
          <w:rFonts w:hint="eastAsia" w:ascii="宋体" w:hAnsi="宋体" w:eastAsia="宋体" w:cs="宋体"/>
          <w:color w:val="auto"/>
          <w:sz w:val="24"/>
          <w:highlight w:val="none"/>
          <w:lang w:eastAsia="zh-CN"/>
        </w:rPr>
        <w:t>扣</w:t>
      </w:r>
      <w:r>
        <w:rPr>
          <w:rFonts w:hint="eastAsia" w:ascii="宋体" w:hAnsi="宋体" w:eastAsia="宋体" w:cs="宋体"/>
          <w:color w:val="auto"/>
          <w:sz w:val="24"/>
          <w:highlight w:val="none"/>
        </w:rPr>
        <w:t>2000元的违约金。</w:t>
      </w:r>
    </w:p>
    <w:p w14:paraId="68396FD9">
      <w:pPr>
        <w:spacing w:beforeLines="0" w:afterLines="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24.11监理人的检测仪器及设备未按投标文件承诺的数量、规格、时间进场的，每件每日</w:t>
      </w:r>
      <w:r>
        <w:rPr>
          <w:rFonts w:hint="eastAsia" w:ascii="宋体" w:hAnsi="宋体" w:eastAsia="宋体" w:cs="宋体"/>
          <w:color w:val="auto"/>
          <w:sz w:val="24"/>
          <w:highlight w:val="none"/>
          <w:lang w:eastAsia="zh-CN"/>
        </w:rPr>
        <w:t>扣</w:t>
      </w:r>
      <w:r>
        <w:rPr>
          <w:rFonts w:hint="eastAsia" w:ascii="宋体" w:hAnsi="宋体" w:eastAsia="宋体" w:cs="宋体"/>
          <w:color w:val="auto"/>
          <w:sz w:val="24"/>
          <w:highlight w:val="none"/>
        </w:rPr>
        <w:t>1000元的违约金；</w:t>
      </w:r>
    </w:p>
    <w:p w14:paraId="59B5740F">
      <w:pPr>
        <w:spacing w:beforeLines="0" w:afterLines="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24.12监理人的检测仪器及设备不能保持良好运作性能并影响了监理人开展正常工作的，每件每日</w:t>
      </w:r>
      <w:r>
        <w:rPr>
          <w:rFonts w:hint="eastAsia" w:ascii="宋体" w:hAnsi="宋体" w:eastAsia="宋体" w:cs="宋体"/>
          <w:color w:val="auto"/>
          <w:sz w:val="24"/>
          <w:highlight w:val="none"/>
          <w:lang w:eastAsia="zh-CN"/>
        </w:rPr>
        <w:t>扣</w:t>
      </w:r>
      <w:r>
        <w:rPr>
          <w:rFonts w:hint="eastAsia" w:ascii="宋体" w:hAnsi="宋体" w:eastAsia="宋体" w:cs="宋体"/>
          <w:color w:val="auto"/>
          <w:sz w:val="24"/>
          <w:highlight w:val="none"/>
        </w:rPr>
        <w:t>1000元的违约金。</w:t>
      </w:r>
    </w:p>
    <w:p w14:paraId="28C52E81">
      <w:pPr>
        <w:spacing w:beforeLines="0" w:afterLines="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24.13因监理人未履行相关管理责任导致施工现场文明施工问题被政府有关部门通报批评或罚款的，每次</w:t>
      </w:r>
      <w:r>
        <w:rPr>
          <w:rFonts w:hint="eastAsia" w:ascii="宋体" w:hAnsi="宋体" w:eastAsia="宋体" w:cs="宋体"/>
          <w:color w:val="auto"/>
          <w:sz w:val="24"/>
          <w:highlight w:val="none"/>
          <w:lang w:eastAsia="zh-CN"/>
        </w:rPr>
        <w:t>扣</w:t>
      </w:r>
      <w:r>
        <w:rPr>
          <w:rFonts w:hint="eastAsia" w:ascii="宋体" w:hAnsi="宋体" w:eastAsia="宋体" w:cs="宋体"/>
          <w:color w:val="auto"/>
          <w:sz w:val="24"/>
          <w:highlight w:val="none"/>
        </w:rPr>
        <w:t>2000元的违约金。</w:t>
      </w:r>
    </w:p>
    <w:p w14:paraId="32786EA8">
      <w:pPr>
        <w:spacing w:beforeLines="0" w:afterLines="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24.14因监理人怠于履行工程质量和工程安全控制监理工作，导致发生重大工程质量或安全事故的，每次</w:t>
      </w:r>
      <w:r>
        <w:rPr>
          <w:rFonts w:hint="eastAsia" w:ascii="宋体" w:hAnsi="宋体" w:eastAsia="宋体" w:cs="宋体"/>
          <w:color w:val="auto"/>
          <w:sz w:val="24"/>
          <w:highlight w:val="none"/>
          <w:lang w:eastAsia="zh-CN"/>
        </w:rPr>
        <w:t>扣</w:t>
      </w:r>
      <w:r>
        <w:rPr>
          <w:rFonts w:hint="eastAsia" w:ascii="宋体" w:hAnsi="宋体" w:eastAsia="宋体" w:cs="宋体"/>
          <w:color w:val="auto"/>
          <w:sz w:val="24"/>
          <w:highlight w:val="none"/>
        </w:rPr>
        <w:t>50000元的违约金。</w:t>
      </w:r>
    </w:p>
    <w:p w14:paraId="13B5541D">
      <w:pPr>
        <w:spacing w:beforeLines="0" w:afterLines="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24.15工程施工过程中出现其他质量、安全问题或缺陷，监理人未提出质疑或不责令承包人及时处置的，每次</w:t>
      </w:r>
      <w:r>
        <w:rPr>
          <w:rFonts w:hint="eastAsia" w:ascii="宋体" w:hAnsi="宋体" w:eastAsia="宋体" w:cs="宋体"/>
          <w:color w:val="auto"/>
          <w:sz w:val="24"/>
          <w:highlight w:val="none"/>
          <w:lang w:eastAsia="zh-CN"/>
        </w:rPr>
        <w:t>扣</w:t>
      </w:r>
      <w:r>
        <w:rPr>
          <w:rFonts w:hint="eastAsia" w:ascii="宋体" w:hAnsi="宋体" w:eastAsia="宋体" w:cs="宋体"/>
          <w:color w:val="auto"/>
          <w:sz w:val="24"/>
          <w:highlight w:val="none"/>
        </w:rPr>
        <w:t>5000元的违约金。</w:t>
      </w:r>
    </w:p>
    <w:p w14:paraId="433A2DC0">
      <w:pPr>
        <w:spacing w:beforeLines="0" w:afterLines="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24.16监理人对工程计量、现场签证弄虚作假的，每宗</w:t>
      </w:r>
      <w:r>
        <w:rPr>
          <w:rFonts w:hint="eastAsia" w:ascii="宋体" w:hAnsi="宋体" w:eastAsia="宋体" w:cs="宋体"/>
          <w:color w:val="auto"/>
          <w:sz w:val="24"/>
          <w:highlight w:val="none"/>
          <w:lang w:eastAsia="zh-CN"/>
        </w:rPr>
        <w:t>扣</w:t>
      </w:r>
      <w:r>
        <w:rPr>
          <w:rFonts w:hint="eastAsia" w:ascii="宋体" w:hAnsi="宋体" w:eastAsia="宋体" w:cs="宋体"/>
          <w:color w:val="auto"/>
          <w:sz w:val="24"/>
          <w:highlight w:val="none"/>
        </w:rPr>
        <w:t>10000元的违约金；对工程进度款支付及工程变更未认真审核造成委托人损失的，该损失由监理人承担，并每次</w:t>
      </w:r>
      <w:r>
        <w:rPr>
          <w:rFonts w:hint="eastAsia" w:ascii="宋体" w:hAnsi="宋体" w:eastAsia="宋体" w:cs="宋体"/>
          <w:color w:val="auto"/>
          <w:sz w:val="24"/>
          <w:highlight w:val="none"/>
          <w:lang w:eastAsia="zh-CN"/>
        </w:rPr>
        <w:t>扣</w:t>
      </w:r>
      <w:r>
        <w:rPr>
          <w:rFonts w:hint="eastAsia" w:ascii="宋体" w:hAnsi="宋体" w:eastAsia="宋体" w:cs="宋体"/>
          <w:color w:val="auto"/>
          <w:sz w:val="24"/>
          <w:highlight w:val="none"/>
        </w:rPr>
        <w:t>10000元的违约金。</w:t>
      </w:r>
    </w:p>
    <w:p w14:paraId="55F6C614">
      <w:pPr>
        <w:spacing w:beforeLines="0" w:afterLines="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24.17监理人对工程计量、现场签证工程量的审核，包括在现场签证、变更审核、结算审核等过程中的对工程量的数量、以及工程量的计量方式的审核，每宗审核有误，每宗</w:t>
      </w:r>
      <w:r>
        <w:rPr>
          <w:rFonts w:hint="eastAsia" w:ascii="宋体" w:hAnsi="宋体" w:eastAsia="宋体" w:cs="宋体"/>
          <w:color w:val="auto"/>
          <w:sz w:val="24"/>
          <w:highlight w:val="none"/>
          <w:lang w:eastAsia="zh-CN"/>
        </w:rPr>
        <w:t>扣</w:t>
      </w:r>
      <w:r>
        <w:rPr>
          <w:rFonts w:hint="eastAsia" w:ascii="宋体" w:hAnsi="宋体" w:eastAsia="宋体" w:cs="宋体"/>
          <w:color w:val="auto"/>
          <w:sz w:val="24"/>
          <w:highlight w:val="none"/>
        </w:rPr>
        <w:t>1000元的违约金。</w:t>
      </w:r>
    </w:p>
    <w:p w14:paraId="2AAC11B4">
      <w:pPr>
        <w:spacing w:beforeLines="0" w:afterLines="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24.18监理人未按时提交监理周报、月报、监理总结、质量评估报告的，每次</w:t>
      </w:r>
      <w:r>
        <w:rPr>
          <w:rFonts w:hint="eastAsia" w:ascii="宋体" w:hAnsi="宋体" w:eastAsia="宋体" w:cs="宋体"/>
          <w:color w:val="auto"/>
          <w:sz w:val="24"/>
          <w:highlight w:val="none"/>
          <w:lang w:val="en-US" w:eastAsia="zh-CN"/>
        </w:rPr>
        <w:t>扣</w:t>
      </w:r>
      <w:r>
        <w:rPr>
          <w:rFonts w:hint="eastAsia" w:ascii="宋体" w:hAnsi="宋体" w:eastAsia="宋体" w:cs="宋体"/>
          <w:color w:val="auto"/>
          <w:sz w:val="24"/>
          <w:highlight w:val="none"/>
        </w:rPr>
        <w:t>1000元的违约金。</w:t>
      </w:r>
    </w:p>
    <w:p w14:paraId="2453A3D4">
      <w:pPr>
        <w:spacing w:beforeLines="0" w:afterLines="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24.19监理人未按要求收集、保管、提交工程监理资料的，每次</w:t>
      </w:r>
      <w:r>
        <w:rPr>
          <w:rFonts w:hint="eastAsia" w:ascii="宋体" w:hAnsi="宋体" w:eastAsia="宋体" w:cs="宋体"/>
          <w:color w:val="auto"/>
          <w:sz w:val="24"/>
          <w:highlight w:val="none"/>
          <w:lang w:eastAsia="zh-CN"/>
        </w:rPr>
        <w:t>扣</w:t>
      </w:r>
      <w:r>
        <w:rPr>
          <w:rFonts w:hint="eastAsia" w:ascii="宋体" w:hAnsi="宋体" w:eastAsia="宋体" w:cs="宋体"/>
          <w:color w:val="auto"/>
          <w:sz w:val="24"/>
          <w:highlight w:val="none"/>
        </w:rPr>
        <w:t>2000元的违约金。</w:t>
      </w:r>
    </w:p>
    <w:p w14:paraId="1132D941">
      <w:pPr>
        <w:spacing w:beforeLines="0" w:afterLines="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24.20对工程暂停及复工、费用索赔、施工合同争议或解除的调解和处理以及其他监理工作，监理人不履行或怠于履行的，每次</w:t>
      </w:r>
      <w:r>
        <w:rPr>
          <w:rFonts w:hint="eastAsia" w:ascii="宋体" w:hAnsi="宋体" w:eastAsia="宋体" w:cs="宋体"/>
          <w:color w:val="auto"/>
          <w:sz w:val="24"/>
          <w:highlight w:val="none"/>
          <w:lang w:eastAsia="zh-CN"/>
        </w:rPr>
        <w:t>扣</w:t>
      </w:r>
      <w:r>
        <w:rPr>
          <w:rFonts w:hint="eastAsia" w:ascii="宋体" w:hAnsi="宋体" w:eastAsia="宋体" w:cs="宋体"/>
          <w:color w:val="auto"/>
          <w:sz w:val="24"/>
          <w:highlight w:val="none"/>
        </w:rPr>
        <w:t>2000元的违约金。</w:t>
      </w:r>
    </w:p>
    <w:p w14:paraId="3271E626">
      <w:pPr>
        <w:spacing w:beforeLines="0" w:afterLines="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24.21监理人利用监理职权谋取任何不正当利益，包括无偿使用承包人提供的工作、生活、娱乐设施等，每发现一次</w:t>
      </w:r>
      <w:r>
        <w:rPr>
          <w:rFonts w:hint="eastAsia" w:ascii="宋体" w:hAnsi="宋体" w:eastAsia="宋体" w:cs="宋体"/>
          <w:color w:val="auto"/>
          <w:sz w:val="24"/>
          <w:highlight w:val="none"/>
          <w:lang w:eastAsia="zh-CN"/>
        </w:rPr>
        <w:t>扣</w:t>
      </w:r>
      <w:r>
        <w:rPr>
          <w:rFonts w:hint="eastAsia" w:ascii="宋体" w:hAnsi="宋体" w:eastAsia="宋体" w:cs="宋体"/>
          <w:color w:val="auto"/>
          <w:sz w:val="24"/>
          <w:highlight w:val="none"/>
        </w:rPr>
        <w:t>5000元的违约金。</w:t>
      </w:r>
    </w:p>
    <w:p w14:paraId="59E8FE81">
      <w:pPr>
        <w:tabs>
          <w:tab w:val="left" w:pos="360"/>
        </w:tabs>
        <w:spacing w:beforeLines="0" w:afterLines="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24.22监理人对承包人提交的明显不真实、不合理、不合法的资料予以确认并同意提交给委托人的，每次</w:t>
      </w:r>
      <w:r>
        <w:rPr>
          <w:rFonts w:hint="eastAsia" w:ascii="宋体" w:hAnsi="宋体" w:eastAsia="宋体" w:cs="宋体"/>
          <w:color w:val="auto"/>
          <w:sz w:val="24"/>
          <w:highlight w:val="none"/>
          <w:lang w:eastAsia="zh-CN"/>
        </w:rPr>
        <w:t>扣</w:t>
      </w:r>
      <w:r>
        <w:rPr>
          <w:rFonts w:hint="eastAsia" w:ascii="宋体" w:hAnsi="宋体" w:eastAsia="宋体" w:cs="宋体"/>
          <w:color w:val="auto"/>
          <w:sz w:val="24"/>
          <w:highlight w:val="none"/>
        </w:rPr>
        <w:t>2000元的违约金。</w:t>
      </w:r>
    </w:p>
    <w:p w14:paraId="52949F28">
      <w:pPr>
        <w:spacing w:beforeLines="0" w:afterLines="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24.23在收到施工单位提交的施工组织设计（方案）、专项方案、人员材料机械报验资料后的3日内，监理人须出具审批意见，否则每延误1日</w:t>
      </w:r>
      <w:r>
        <w:rPr>
          <w:rFonts w:hint="eastAsia" w:ascii="宋体" w:hAnsi="宋体" w:eastAsia="宋体" w:cs="宋体"/>
          <w:color w:val="auto"/>
          <w:sz w:val="24"/>
          <w:highlight w:val="none"/>
          <w:lang w:eastAsia="zh-CN"/>
        </w:rPr>
        <w:t>扣</w:t>
      </w:r>
      <w:r>
        <w:rPr>
          <w:rFonts w:hint="eastAsia" w:ascii="宋体" w:hAnsi="宋体" w:eastAsia="宋体" w:cs="宋体"/>
          <w:color w:val="auto"/>
          <w:sz w:val="24"/>
          <w:highlight w:val="none"/>
        </w:rPr>
        <w:t>5000元的违约金。监理人应在收到变更工程价款报告之日起 14 日内予以审核，提出审核意见后送交委托人，否则每延误1日</w:t>
      </w:r>
      <w:r>
        <w:rPr>
          <w:rFonts w:hint="eastAsia" w:ascii="宋体" w:hAnsi="宋体" w:eastAsia="宋体" w:cs="宋体"/>
          <w:color w:val="auto"/>
          <w:sz w:val="24"/>
          <w:highlight w:val="none"/>
          <w:lang w:eastAsia="zh-CN"/>
        </w:rPr>
        <w:t>扣</w:t>
      </w:r>
      <w:r>
        <w:rPr>
          <w:rFonts w:hint="eastAsia" w:ascii="宋体" w:hAnsi="宋体" w:eastAsia="宋体" w:cs="宋体"/>
          <w:color w:val="auto"/>
          <w:sz w:val="24"/>
          <w:highlight w:val="none"/>
        </w:rPr>
        <w:t>5000元的违约金。</w:t>
      </w:r>
    </w:p>
    <w:p w14:paraId="38440708">
      <w:pPr>
        <w:spacing w:beforeLines="0" w:afterLines="0"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24.24监理人未按专用条件第四条4.3.1.19点要求工作时，每次</w:t>
      </w:r>
      <w:r>
        <w:rPr>
          <w:rFonts w:hint="eastAsia" w:ascii="宋体" w:hAnsi="宋体" w:eastAsia="宋体" w:cs="宋体"/>
          <w:color w:val="auto"/>
          <w:sz w:val="24"/>
          <w:szCs w:val="28"/>
          <w:highlight w:val="none"/>
          <w:lang w:val="en-US" w:eastAsia="zh-CN"/>
        </w:rPr>
        <w:t>扣</w:t>
      </w:r>
      <w:r>
        <w:rPr>
          <w:rFonts w:hint="eastAsia" w:ascii="宋体" w:hAnsi="宋体" w:eastAsia="宋体" w:cs="宋体"/>
          <w:color w:val="auto"/>
          <w:sz w:val="24"/>
          <w:szCs w:val="28"/>
          <w:highlight w:val="none"/>
        </w:rPr>
        <w:t>5000元的违约金。</w:t>
      </w:r>
    </w:p>
    <w:p w14:paraId="1B2ADE44">
      <w:pPr>
        <w:spacing w:beforeLines="0" w:afterLines="0"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24.25 监理人未按投标承诺配齐投入本项目的检测设备及交通工具</w:t>
      </w:r>
      <w:r>
        <w:rPr>
          <w:rFonts w:hint="eastAsia" w:ascii="宋体" w:hAnsi="宋体" w:eastAsia="宋体" w:cs="宋体"/>
          <w:color w:val="auto"/>
          <w:sz w:val="24"/>
          <w:szCs w:val="28"/>
          <w:highlight w:val="none"/>
          <w:lang w:eastAsia="zh-CN"/>
        </w:rPr>
        <w:t>（</w:t>
      </w:r>
      <w:r>
        <w:rPr>
          <w:rFonts w:hint="eastAsia" w:ascii="宋体" w:hAnsi="宋体" w:eastAsia="宋体" w:cs="宋体"/>
          <w:color w:val="auto"/>
          <w:sz w:val="24"/>
          <w:szCs w:val="28"/>
          <w:highlight w:val="none"/>
          <w:lang w:val="en-US" w:eastAsia="zh-CN"/>
        </w:rPr>
        <w:t>详见</w:t>
      </w:r>
      <w:r>
        <w:rPr>
          <w:rFonts w:hint="eastAsia" w:ascii="宋体" w:hAnsi="宋体" w:eastAsia="宋体" w:cs="宋体"/>
          <w:color w:val="auto"/>
          <w:sz w:val="24"/>
          <w:szCs w:val="28"/>
          <w:highlight w:val="none"/>
        </w:rPr>
        <w:t>附件</w:t>
      </w:r>
      <w:r>
        <w:rPr>
          <w:rFonts w:hint="eastAsia" w:ascii="宋体" w:hAnsi="宋体" w:eastAsia="宋体" w:cs="宋体"/>
          <w:color w:val="auto"/>
          <w:sz w:val="24"/>
          <w:szCs w:val="28"/>
          <w:highlight w:val="none"/>
          <w:lang w:val="en-US" w:eastAsia="zh-CN"/>
        </w:rPr>
        <w:t>六</w:t>
      </w:r>
      <w:r>
        <w:rPr>
          <w:rFonts w:hint="eastAsia" w:ascii="宋体" w:hAnsi="宋体" w:eastAsia="宋体" w:cs="宋体"/>
          <w:color w:val="auto"/>
          <w:sz w:val="24"/>
          <w:szCs w:val="28"/>
          <w:highlight w:val="none"/>
          <w:lang w:eastAsia="zh-CN"/>
        </w:rPr>
        <w:t>）</w:t>
      </w:r>
      <w:r>
        <w:rPr>
          <w:rFonts w:hint="eastAsia" w:ascii="宋体" w:hAnsi="宋体" w:eastAsia="宋体" w:cs="宋体"/>
          <w:color w:val="auto"/>
          <w:sz w:val="24"/>
          <w:szCs w:val="28"/>
          <w:highlight w:val="none"/>
        </w:rPr>
        <w:t>，每项</w:t>
      </w:r>
      <w:r>
        <w:rPr>
          <w:rFonts w:hint="eastAsia" w:ascii="宋体" w:hAnsi="宋体" w:eastAsia="宋体" w:cs="宋体"/>
          <w:color w:val="auto"/>
          <w:sz w:val="24"/>
          <w:szCs w:val="28"/>
          <w:highlight w:val="none"/>
          <w:lang w:eastAsia="zh-CN"/>
        </w:rPr>
        <w:t>扣</w:t>
      </w:r>
      <w:r>
        <w:rPr>
          <w:rFonts w:hint="eastAsia" w:ascii="宋体" w:hAnsi="宋体" w:eastAsia="宋体" w:cs="宋体"/>
          <w:color w:val="auto"/>
          <w:sz w:val="24"/>
          <w:szCs w:val="28"/>
          <w:highlight w:val="none"/>
        </w:rPr>
        <w:t>5000元的违约金。</w:t>
      </w:r>
    </w:p>
    <w:p w14:paraId="00292DD8">
      <w:pPr>
        <w:spacing w:beforeLines="0" w:afterLines="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上述条款所述监理人应承担的违约金将会在当期监理服务费支付中扣除。监理人累计通报批评不应超过三次。否则，委托人将此作为监理人行为不良记录上报建设主管部门。</w:t>
      </w:r>
    </w:p>
    <w:p w14:paraId="7B5EE0C3">
      <w:pPr>
        <w:spacing w:beforeLines="0" w:afterLines="0"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监理人责任</w:t>
      </w:r>
    </w:p>
    <w:p w14:paraId="0707CCD3">
      <w:pPr>
        <w:spacing w:beforeLines="0" w:afterLines="0"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bCs/>
          <w:color w:val="auto"/>
          <w:sz w:val="24"/>
          <w:highlight w:val="none"/>
        </w:rPr>
        <w:t>第二十六条 监理</w:t>
      </w:r>
      <w:r>
        <w:rPr>
          <w:rFonts w:hint="eastAsia" w:ascii="宋体" w:hAnsi="宋体" w:eastAsia="宋体" w:cs="宋体"/>
          <w:color w:val="auto"/>
          <w:sz w:val="24"/>
          <w:highlight w:val="none"/>
        </w:rPr>
        <w:t>人在责任期内如果因监理人原因而造成的委托人的经济损失，应当向委托人赔偿。赔偿总额为实际损失的100%。</w:t>
      </w:r>
    </w:p>
    <w:p w14:paraId="52D8E77E">
      <w:pPr>
        <w:spacing w:beforeLines="0" w:afterLines="0"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委托人责任</w:t>
      </w:r>
    </w:p>
    <w:p w14:paraId="096B1F3F">
      <w:pPr>
        <w:spacing w:beforeLines="0" w:afterLines="0"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bCs/>
          <w:color w:val="auto"/>
          <w:sz w:val="24"/>
          <w:highlight w:val="none"/>
        </w:rPr>
        <w:t>第二十九条 监</w:t>
      </w:r>
      <w:r>
        <w:rPr>
          <w:rFonts w:hint="eastAsia" w:ascii="宋体" w:hAnsi="宋体" w:eastAsia="宋体" w:cs="宋体"/>
          <w:color w:val="auto"/>
          <w:sz w:val="24"/>
          <w:highlight w:val="none"/>
        </w:rPr>
        <w:t>理人处理委托业务时，因委托人未履行本合同约定的内容受到损失的，可以向委托人要求补偿其直接经济损失。</w:t>
      </w:r>
    </w:p>
    <w:p w14:paraId="6EAA4945">
      <w:pPr>
        <w:spacing w:beforeLines="0" w:afterLines="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如因非委托人原因造成监理人遭受损失，委托人不承担责任，但监理人可要求委托人依法协助其向责任人追偿。</w:t>
      </w:r>
    </w:p>
    <w:p w14:paraId="5A118492">
      <w:pPr>
        <w:spacing w:beforeLines="0" w:afterLines="0" w:line="360" w:lineRule="auto"/>
        <w:jc w:val="center"/>
        <w:rPr>
          <w:rFonts w:hint="eastAsia" w:ascii="宋体" w:hAnsi="宋体" w:eastAsia="宋体" w:cs="宋体"/>
          <w:b/>
          <w:color w:val="auto"/>
          <w:sz w:val="24"/>
          <w:szCs w:val="28"/>
          <w:highlight w:val="none"/>
        </w:rPr>
      </w:pPr>
      <w:r>
        <w:rPr>
          <w:rFonts w:hint="eastAsia" w:ascii="宋体" w:hAnsi="宋体" w:eastAsia="宋体" w:cs="宋体"/>
          <w:b/>
          <w:color w:val="auto"/>
          <w:sz w:val="24"/>
          <w:szCs w:val="28"/>
          <w:highlight w:val="none"/>
        </w:rPr>
        <w:t>合同生效、变更与终止</w:t>
      </w:r>
    </w:p>
    <w:p w14:paraId="4B02CD83">
      <w:pPr>
        <w:spacing w:beforeLines="0" w:afterLines="0"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第三十一条 由于委托人或承包人的原因使监理工作受到阻碍或延误，以致发生了附加工作或延长了持续时间，则监理人应当将此情况与可能产生的影响及时通知委托人。完成监理业务的时间经委托人书面同意后可相应延长，监理人的报酬计算方式按照监理合同协议书第六条约定进行计算。</w:t>
      </w:r>
    </w:p>
    <w:p w14:paraId="679DD1F7">
      <w:pPr>
        <w:spacing w:beforeLines="0" w:afterLines="0" w:line="360" w:lineRule="auto"/>
        <w:ind w:firstLine="480"/>
        <w:rPr>
          <w:rFonts w:hint="eastAsia" w:ascii="宋体" w:hAnsi="宋体" w:eastAsia="宋体" w:cs="宋体"/>
          <w:color w:val="auto"/>
          <w:sz w:val="24"/>
          <w:highlight w:val="none"/>
        </w:rPr>
      </w:pPr>
      <w:r>
        <w:rPr>
          <w:rFonts w:hint="eastAsia" w:ascii="宋体" w:hAnsi="宋体" w:eastAsia="宋体" w:cs="宋体"/>
          <w:bCs/>
          <w:color w:val="auto"/>
          <w:sz w:val="24"/>
          <w:highlight w:val="none"/>
        </w:rPr>
        <w:t>第三十二条 在委</w:t>
      </w:r>
      <w:r>
        <w:rPr>
          <w:rFonts w:hint="eastAsia" w:ascii="宋体" w:hAnsi="宋体" w:eastAsia="宋体" w:cs="宋体"/>
          <w:color w:val="auto"/>
          <w:sz w:val="24"/>
          <w:highlight w:val="none"/>
        </w:rPr>
        <w:t>托监理合同签订后，实际情况发生变化，使得监理人不能全部或部分执行监理业务时，监理人应当立即通知委托人，委托人确认是否延长完成时间，合同价保持固定不变。发生恢复执行监理业务时，监理人应按委托人指定的期限内恢复执行监理业务。</w:t>
      </w:r>
    </w:p>
    <w:p w14:paraId="789BF751">
      <w:pPr>
        <w:spacing w:beforeLines="0" w:afterLines="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第三十三条 本合同自双方签字盖章之日起生效，至双方履行完本合同约定的义务和责任后自然终止。本合同监理期限自合同生效之日起计，至完成竣工结算及缺陷责任期结束之日止。</w:t>
      </w:r>
    </w:p>
    <w:p w14:paraId="3FAAE00A">
      <w:pPr>
        <w:tabs>
          <w:tab w:val="left" w:pos="360"/>
        </w:tabs>
        <w:spacing w:beforeLines="0" w:afterLines="0" w:line="360" w:lineRule="auto"/>
        <w:jc w:val="center"/>
        <w:rPr>
          <w:rFonts w:hint="eastAsia" w:ascii="宋体" w:hAnsi="宋体" w:eastAsia="宋体" w:cs="宋体"/>
          <w:b/>
          <w:color w:val="auto"/>
          <w:sz w:val="24"/>
          <w:szCs w:val="28"/>
          <w:highlight w:val="none"/>
        </w:rPr>
      </w:pPr>
      <w:r>
        <w:rPr>
          <w:rFonts w:hint="eastAsia" w:ascii="宋体" w:hAnsi="宋体" w:eastAsia="宋体" w:cs="宋体"/>
          <w:b/>
          <w:color w:val="auto"/>
          <w:sz w:val="24"/>
          <w:szCs w:val="28"/>
          <w:highlight w:val="none"/>
        </w:rPr>
        <w:t>监理报酬</w:t>
      </w:r>
    </w:p>
    <w:p w14:paraId="3FC5ADFD">
      <w:pPr>
        <w:spacing w:beforeLines="0" w:afterLines="0"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第三十</w:t>
      </w:r>
      <w:r>
        <w:rPr>
          <w:rFonts w:hint="eastAsia" w:ascii="宋体" w:hAnsi="宋体" w:eastAsia="宋体" w:cs="宋体"/>
          <w:bCs/>
          <w:color w:val="auto"/>
          <w:sz w:val="24"/>
          <w:highlight w:val="none"/>
          <w:lang w:val="en-US" w:eastAsia="zh-CN"/>
        </w:rPr>
        <w:t>九</w:t>
      </w:r>
      <w:r>
        <w:rPr>
          <w:rFonts w:hint="eastAsia" w:ascii="宋体" w:hAnsi="宋体" w:eastAsia="宋体" w:cs="宋体"/>
          <w:bCs/>
          <w:color w:val="auto"/>
          <w:sz w:val="24"/>
          <w:highlight w:val="none"/>
        </w:rPr>
        <w:t xml:space="preserve">条 </w:t>
      </w:r>
    </w:p>
    <w:p w14:paraId="33BBE473">
      <w:pPr>
        <w:spacing w:beforeLines="0" w:afterLines="0"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39.1</w:t>
      </w:r>
      <w:r>
        <w:rPr>
          <w:rFonts w:hint="eastAsia" w:ascii="宋体" w:hAnsi="宋体" w:eastAsia="宋体" w:cs="宋体"/>
          <w:bCs/>
          <w:color w:val="auto"/>
          <w:sz w:val="24"/>
          <w:highlight w:val="none"/>
        </w:rPr>
        <w:t>监理报酬</w:t>
      </w:r>
    </w:p>
    <w:p w14:paraId="4B3DFF9D">
      <w:pPr>
        <w:spacing w:beforeLines="0" w:afterLines="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3</w:t>
      </w:r>
      <w:r>
        <w:rPr>
          <w:rFonts w:hint="eastAsia" w:ascii="宋体" w:hAnsi="宋体" w:eastAsia="宋体" w:cs="宋体"/>
          <w:bCs/>
          <w:color w:val="auto"/>
          <w:sz w:val="24"/>
          <w:highlight w:val="none"/>
          <w:lang w:val="en-US" w:eastAsia="zh-CN"/>
        </w:rPr>
        <w:t>9.1</w:t>
      </w:r>
      <w:r>
        <w:rPr>
          <w:rFonts w:hint="eastAsia" w:ascii="宋体" w:hAnsi="宋体" w:eastAsia="宋体" w:cs="宋体"/>
          <w:bCs/>
          <w:color w:val="auto"/>
          <w:sz w:val="24"/>
          <w:highlight w:val="none"/>
        </w:rPr>
        <w:t>.1 监理报酬</w:t>
      </w:r>
      <w:r>
        <w:rPr>
          <w:rFonts w:hint="eastAsia" w:ascii="宋体" w:hAnsi="宋体" w:eastAsia="宋体" w:cs="宋体"/>
          <w:color w:val="auto"/>
          <w:sz w:val="24"/>
          <w:highlight w:val="none"/>
        </w:rPr>
        <w:t>必须包括各阶段所需要的增加、减少监理工程师的所有费用，还包括工程结束后的质量保修期内的监理服务所需要的费用。</w:t>
      </w:r>
    </w:p>
    <w:p w14:paraId="268594ED">
      <w:pPr>
        <w:spacing w:beforeLines="0" w:afterLines="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9.1</w:t>
      </w:r>
      <w:r>
        <w:rPr>
          <w:rFonts w:hint="eastAsia" w:ascii="宋体" w:hAnsi="宋体" w:eastAsia="宋体" w:cs="宋体"/>
          <w:color w:val="auto"/>
          <w:sz w:val="24"/>
          <w:highlight w:val="none"/>
        </w:rPr>
        <w:t>.2 包括必要的取样、监督各种材料送样检测等费用；超时工作、节假日加班、以及各部分工期延长的监理服务及其他为适当地完成约定监理服务范围的一切费用。</w:t>
      </w:r>
    </w:p>
    <w:p w14:paraId="2036CE88">
      <w:pPr>
        <w:spacing w:beforeLines="0" w:afterLines="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9.1</w:t>
      </w:r>
      <w:r>
        <w:rPr>
          <w:rFonts w:hint="eastAsia" w:ascii="宋体" w:hAnsi="宋体" w:eastAsia="宋体" w:cs="宋体"/>
          <w:color w:val="auto"/>
          <w:sz w:val="24"/>
          <w:highlight w:val="none"/>
        </w:rPr>
        <w:t>.3 包括执行监理工作所引起的一切费用，含监理直接成本、监理间接成本、监理税金和监理利润。包括（但不限于）监理人员工资、旅费、住宿费、往返工地现场交通费、所需外部服务支出、行政管理人员工资（如行政、管理、经销、后勤和指导人员薪金）、事假、病假和假日薪金支出、各类人员保险费支出、退休费等津贴支出、监理人有关规定交缴的有关税金总额，如营业税、所得税和个人入息税等项。</w:t>
      </w:r>
    </w:p>
    <w:p w14:paraId="2282B934">
      <w:pPr>
        <w:spacing w:beforeLines="0" w:afterLines="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lang w:val="en-US" w:eastAsia="zh-CN"/>
        </w:rPr>
        <w:t>39.2</w:t>
      </w:r>
      <w:r>
        <w:rPr>
          <w:rFonts w:hint="eastAsia" w:ascii="宋体" w:hAnsi="宋体" w:eastAsia="宋体" w:cs="宋体"/>
          <w:bCs/>
          <w:color w:val="auto"/>
          <w:sz w:val="24"/>
          <w:highlight w:val="none"/>
        </w:rPr>
        <w:t xml:space="preserve"> </w:t>
      </w:r>
      <w:r>
        <w:rPr>
          <w:rFonts w:hint="eastAsia" w:ascii="宋体" w:hAnsi="宋体" w:eastAsia="宋体" w:cs="宋体"/>
          <w:color w:val="auto"/>
          <w:sz w:val="24"/>
          <w:highlight w:val="none"/>
        </w:rPr>
        <w:t>如委托人或委托人上级主管部门对本项目实施计划发生调整或终止，监理人须按照委托人要求相应调整实施计划，合同价保持固定不变，必要时委托方有权解除本合同，监理人所发生的工作量按实结算。</w:t>
      </w:r>
    </w:p>
    <w:p w14:paraId="1B2CCA32">
      <w:pPr>
        <w:spacing w:beforeLines="0" w:afterLines="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39.3</w:t>
      </w:r>
      <w:r>
        <w:rPr>
          <w:rFonts w:hint="eastAsia" w:ascii="宋体" w:hAnsi="宋体" w:eastAsia="宋体" w:cs="宋体"/>
          <w:color w:val="auto"/>
          <w:sz w:val="24"/>
          <w:highlight w:val="none"/>
        </w:rPr>
        <w:t xml:space="preserve"> 监理人在</w:t>
      </w:r>
      <w:r>
        <w:rPr>
          <w:rFonts w:hint="eastAsia" w:ascii="宋体" w:hAnsi="宋体" w:eastAsia="宋体"/>
          <w:color w:val="auto"/>
          <w:sz w:val="24"/>
          <w:highlight w:val="none"/>
        </w:rPr>
        <w:t>合同签订</w:t>
      </w:r>
      <w:r>
        <w:rPr>
          <w:rFonts w:hint="eastAsia" w:ascii="宋体" w:hAnsi="宋体" w:eastAsia="宋体"/>
          <w:color w:val="auto"/>
          <w:sz w:val="24"/>
          <w:highlight w:val="none"/>
          <w:lang w:val="en-US" w:eastAsia="zh-CN"/>
        </w:rPr>
        <w:t>后5日内或中标通知书发出</w:t>
      </w:r>
      <w:r>
        <w:rPr>
          <w:rFonts w:hint="eastAsia" w:ascii="宋体" w:hAnsi="宋体" w:eastAsia="宋体"/>
          <w:color w:val="auto"/>
          <w:sz w:val="24"/>
          <w:highlight w:val="none"/>
        </w:rPr>
        <w:t>后</w:t>
      </w:r>
      <w:r>
        <w:rPr>
          <w:rFonts w:hint="eastAsia" w:ascii="宋体" w:hAnsi="宋体" w:eastAsia="宋体" w:cs="宋体"/>
          <w:color w:val="auto"/>
          <w:sz w:val="24"/>
          <w:highlight w:val="none"/>
          <w:lang w:val="en-US" w:eastAsia="zh-CN"/>
        </w:rPr>
        <w:t>35</w:t>
      </w:r>
      <w:r>
        <w:rPr>
          <w:rFonts w:hint="eastAsia" w:ascii="宋体" w:hAnsi="宋体" w:eastAsia="宋体" w:cs="宋体"/>
          <w:color w:val="auto"/>
          <w:sz w:val="24"/>
          <w:highlight w:val="none"/>
        </w:rPr>
        <w:t>日内（两种情形以时间先到为准）向委托人提供履约保函，作为监理人提交的履约保证金。该保函要求在中国注册的具有法人资格的全国性商 业银行地级以上分支机构出具的无条件的、不可撤销的担保函，获得保函的费用以及延长保函期限的费用均由监理人承担。监理人不履行或怠于履行其在本合同书项下任何一项义务，即构成违约，委托人有权用履约保函的资金补偿其任何直接或间接损失及收取违约金等。该保函担保金额为合同总价的10%，该保函有效期至本工程竣工验收合格或工程交工验收完成后</w:t>
      </w:r>
      <w:r>
        <w:rPr>
          <w:rFonts w:hint="eastAsia" w:ascii="宋体" w:hAnsi="宋体" w:eastAsia="宋体" w:cs="宋体"/>
          <w:color w:val="auto"/>
          <w:sz w:val="24"/>
          <w:highlight w:val="none"/>
          <w:lang w:eastAsia="zh-CN"/>
        </w:rPr>
        <w:t>六个月</w:t>
      </w:r>
      <w:r>
        <w:rPr>
          <w:rFonts w:hint="eastAsia" w:ascii="宋体" w:hAnsi="宋体" w:eastAsia="宋体" w:cs="宋体"/>
          <w:color w:val="auto"/>
          <w:sz w:val="24"/>
          <w:highlight w:val="none"/>
        </w:rPr>
        <w:t>内。如在保函有效期内，监理人未完全履行合同或合同双方存在合同纠纷并且尚未完全得到解决，监理人应无条件在保函到期日前办理完毕保函延期或续办保函手续，保函延期或续办保函的有效期应到上述纠纷最终解决且双方所有债权债务结清时止。</w:t>
      </w:r>
    </w:p>
    <w:p w14:paraId="75C6E1EF">
      <w:pPr>
        <w:spacing w:beforeLines="0" w:afterLines="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39.4</w:t>
      </w:r>
      <w:r>
        <w:rPr>
          <w:rFonts w:hint="eastAsia" w:ascii="宋体" w:hAnsi="宋体" w:eastAsia="宋体" w:cs="宋体"/>
          <w:color w:val="auto"/>
          <w:sz w:val="24"/>
          <w:highlight w:val="none"/>
        </w:rPr>
        <w:t xml:space="preserve"> 履约保函应使用合同中规定的格式</w:t>
      </w:r>
      <w:r>
        <w:rPr>
          <w:rFonts w:hint="eastAsia" w:ascii="宋体" w:hAnsi="宋体" w:eastAsia="宋体" w:cs="宋体"/>
          <w:color w:val="auto"/>
          <w:sz w:val="24"/>
          <w:highlight w:val="none"/>
          <w:lang w:val="en-US" w:eastAsia="zh-CN"/>
        </w:rPr>
        <w:t>或经委托人书面认可的履约保函格式</w:t>
      </w:r>
      <w:r>
        <w:rPr>
          <w:rFonts w:hint="eastAsia" w:ascii="宋体" w:hAnsi="宋体" w:eastAsia="宋体" w:cs="宋体"/>
          <w:color w:val="auto"/>
          <w:sz w:val="24"/>
          <w:highlight w:val="none"/>
        </w:rPr>
        <w:t>。如监理人不按合同规定的格式和时间提交履约保函，委托人有权单方解除本合同，并没收监理人提交的投标保证金，且委托人并不因此承担监理人为参与本项目投标、签订、履行本合同所投入的任何前期费用和损失。</w:t>
      </w:r>
    </w:p>
    <w:p w14:paraId="1B5AF1C8">
      <w:pPr>
        <w:spacing w:beforeLines="0" w:afterLines="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39.5</w:t>
      </w:r>
      <w:r>
        <w:rPr>
          <w:rFonts w:hint="eastAsia" w:ascii="宋体" w:hAnsi="宋体" w:eastAsia="宋体" w:cs="宋体"/>
          <w:color w:val="auto"/>
          <w:sz w:val="24"/>
          <w:highlight w:val="none"/>
        </w:rPr>
        <w:t xml:space="preserve"> 合同价款的支付</w:t>
      </w:r>
    </w:p>
    <w:p w14:paraId="215F3966">
      <w:pPr>
        <w:spacing w:beforeLines="0" w:afterLines="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39.</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1 合同预付款</w:t>
      </w:r>
    </w:p>
    <w:p w14:paraId="6D40D314">
      <w:pPr>
        <w:spacing w:beforeLines="0" w:afterLines="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合同生效日期起14日内，监理人提交下列单据经委托人审核无误后21日内，委托人支付给监理人本合同价的</w:t>
      </w: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0%作为预付款：</w:t>
      </w:r>
    </w:p>
    <w:p w14:paraId="4220758D">
      <w:pPr>
        <w:spacing w:beforeLines="0" w:afterLines="0" w:line="360" w:lineRule="auto"/>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A 金额为合同价的</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val="zh-CN"/>
        </w:rPr>
        <w:t>0%的正式发票。</w:t>
      </w:r>
    </w:p>
    <w:p w14:paraId="1591A689">
      <w:pPr>
        <w:spacing w:beforeLines="0" w:afterLines="0" w:line="360" w:lineRule="auto"/>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en-US" w:eastAsia="zh-CN"/>
        </w:rPr>
        <w:t xml:space="preserve">B </w:t>
      </w:r>
      <w:r>
        <w:rPr>
          <w:rFonts w:hint="eastAsia" w:ascii="宋体" w:hAnsi="宋体" w:eastAsia="宋体" w:cs="宋体"/>
          <w:color w:val="auto"/>
          <w:sz w:val="24"/>
          <w:highlight w:val="none"/>
          <w:lang w:val="zh-CN"/>
        </w:rPr>
        <w:t>经委托人认可的由监理人开户银行开具的金额为本合同总价款10%的不可撤销的以委托人为受益人的履约保函，格式见本合同附件</w:t>
      </w:r>
      <w:r>
        <w:rPr>
          <w:rFonts w:hint="eastAsia" w:ascii="宋体" w:hAnsi="宋体" w:eastAsia="宋体" w:cs="宋体"/>
          <w:color w:val="auto"/>
          <w:sz w:val="24"/>
          <w:highlight w:val="none"/>
          <w:lang w:val="en-US" w:eastAsia="zh-CN"/>
        </w:rPr>
        <w:t>七</w:t>
      </w:r>
      <w:r>
        <w:rPr>
          <w:rFonts w:hint="eastAsia" w:ascii="宋体" w:hAnsi="宋体" w:eastAsia="宋体" w:cs="宋体"/>
          <w:color w:val="auto"/>
          <w:sz w:val="24"/>
          <w:highlight w:val="none"/>
          <w:lang w:val="zh-CN"/>
        </w:rPr>
        <w:t>。</w:t>
      </w:r>
    </w:p>
    <w:p w14:paraId="031757F2">
      <w:pPr>
        <w:spacing w:beforeLines="0" w:afterLines="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39</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.2 合同进度款</w:t>
      </w:r>
    </w:p>
    <w:p w14:paraId="05297316">
      <w:pPr>
        <w:spacing w:beforeLines="0" w:afterLines="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委托人按下列时间及金额,并在收到监理人提交的相应金额的正式发票后21日内，向监理人支付监理服务费。</w:t>
      </w:r>
    </w:p>
    <w:p w14:paraId="3BBFB78C">
      <w:pPr>
        <w:numPr>
          <w:ilvl w:val="0"/>
          <w:numId w:val="4"/>
        </w:numPr>
        <w:spacing w:beforeLines="0" w:afterLines="0" w:line="360" w:lineRule="auto"/>
        <w:ind w:firstLine="480" w:firstLineChars="200"/>
        <w:rPr>
          <w:rFonts w:hint="default" w:ascii="宋体" w:hAnsi="宋体" w:eastAsia="宋体" w:cs="宋体"/>
          <w:color w:val="auto"/>
          <w:sz w:val="24"/>
          <w:szCs w:val="24"/>
          <w:highlight w:val="none"/>
          <w:u w:val="none"/>
        </w:rPr>
      </w:pPr>
      <w:r>
        <w:rPr>
          <w:rFonts w:ascii="宋体" w:hAnsi="宋体" w:eastAsia="宋体" w:cs="宋体"/>
          <w:color w:val="auto"/>
          <w:sz w:val="24"/>
          <w:szCs w:val="24"/>
          <w:highlight w:val="none"/>
          <w:u w:val="none"/>
        </w:rPr>
        <w:t>线路工程</w:t>
      </w:r>
      <w:r>
        <w:rPr>
          <w:rFonts w:hint="default" w:ascii="宋体" w:hAnsi="宋体" w:eastAsia="宋体" w:cs="宋体"/>
          <w:color w:val="auto"/>
          <w:sz w:val="24"/>
          <w:szCs w:val="24"/>
          <w:highlight w:val="none"/>
          <w:u w:val="none"/>
          <w:lang w:eastAsia="zh-CN"/>
        </w:rPr>
        <w:t>（</w:t>
      </w:r>
      <w:r>
        <w:rPr>
          <w:rFonts w:hint="default" w:ascii="宋体" w:hAnsi="宋体" w:eastAsia="宋体" w:cs="宋体"/>
          <w:color w:val="auto"/>
          <w:sz w:val="24"/>
          <w:szCs w:val="24"/>
          <w:highlight w:val="none"/>
          <w:u w:val="none"/>
          <w:lang w:val="en-US" w:eastAsia="zh-CN"/>
        </w:rPr>
        <w:t>含阀室、阀井）</w:t>
      </w:r>
      <w:r>
        <w:rPr>
          <w:rFonts w:ascii="宋体" w:hAnsi="宋体" w:eastAsia="宋体" w:cs="宋体"/>
          <w:color w:val="auto"/>
          <w:sz w:val="24"/>
          <w:szCs w:val="24"/>
          <w:highlight w:val="none"/>
          <w:u w:val="none"/>
        </w:rPr>
        <w:t>进度款：</w:t>
      </w:r>
      <w:r>
        <w:rPr>
          <w:rFonts w:hint="default" w:ascii="宋体" w:hAnsi="宋体" w:eastAsia="宋体" w:cs="宋体"/>
          <w:color w:val="auto"/>
          <w:sz w:val="24"/>
          <w:szCs w:val="24"/>
          <w:highlight w:val="none"/>
          <w:u w:val="none"/>
        </w:rPr>
        <w:t>每月10日前，承包人按上月完成工程量报</w:t>
      </w:r>
      <w:r>
        <w:rPr>
          <w:rFonts w:hint="eastAsia" w:ascii="宋体" w:hAnsi="宋体" w:eastAsia="宋体" w:cs="宋体"/>
          <w:color w:val="auto"/>
          <w:sz w:val="24"/>
          <w:szCs w:val="24"/>
          <w:highlight w:val="none"/>
          <w:u w:val="none"/>
          <w:lang w:val="en-US" w:eastAsia="zh-CN"/>
        </w:rPr>
        <w:t>委托人</w:t>
      </w:r>
      <w:r>
        <w:rPr>
          <w:rFonts w:hint="default" w:ascii="宋体" w:hAnsi="宋体" w:eastAsia="宋体" w:cs="宋体"/>
          <w:color w:val="auto"/>
          <w:sz w:val="24"/>
          <w:szCs w:val="24"/>
          <w:highlight w:val="none"/>
          <w:u w:val="none"/>
        </w:rPr>
        <w:t>审批</w:t>
      </w:r>
      <w:r>
        <w:rPr>
          <w:rFonts w:hint="default" w:ascii="宋体" w:hAnsi="宋体" w:eastAsia="宋体" w:cs="宋体"/>
          <w:color w:val="auto"/>
          <w:sz w:val="24"/>
          <w:szCs w:val="24"/>
          <w:highlight w:val="none"/>
          <w:u w:val="none"/>
          <w:lang w:eastAsia="zh-CN"/>
        </w:rPr>
        <w:t>，</w:t>
      </w:r>
      <w:r>
        <w:rPr>
          <w:rFonts w:hint="default" w:ascii="宋体" w:hAnsi="宋体" w:eastAsia="宋体" w:cs="宋体"/>
          <w:color w:val="auto"/>
          <w:sz w:val="24"/>
          <w:szCs w:val="24"/>
          <w:highlight w:val="none"/>
          <w:u w:val="none"/>
        </w:rPr>
        <w:t>如承包人付款申请中列明的工作量与</w:t>
      </w:r>
      <w:r>
        <w:rPr>
          <w:rFonts w:hint="eastAsia" w:ascii="宋体" w:hAnsi="宋体" w:eastAsia="宋体" w:cs="宋体"/>
          <w:color w:val="auto"/>
          <w:sz w:val="24"/>
          <w:szCs w:val="24"/>
          <w:highlight w:val="none"/>
          <w:u w:val="none"/>
          <w:lang w:val="en-US" w:eastAsia="zh-CN"/>
        </w:rPr>
        <w:t>委托人</w:t>
      </w:r>
      <w:r>
        <w:rPr>
          <w:rFonts w:hint="default" w:ascii="宋体" w:hAnsi="宋体" w:eastAsia="宋体" w:cs="宋体"/>
          <w:color w:val="auto"/>
          <w:sz w:val="24"/>
          <w:szCs w:val="24"/>
          <w:highlight w:val="none"/>
          <w:u w:val="none"/>
        </w:rPr>
        <w:t>核实后的工作量不一致的，以</w:t>
      </w:r>
      <w:r>
        <w:rPr>
          <w:rFonts w:hint="eastAsia" w:ascii="宋体" w:hAnsi="宋体" w:eastAsia="宋体" w:cs="宋体"/>
          <w:color w:val="auto"/>
          <w:sz w:val="24"/>
          <w:szCs w:val="24"/>
          <w:highlight w:val="none"/>
          <w:u w:val="none"/>
          <w:lang w:val="en-US" w:eastAsia="zh-CN"/>
        </w:rPr>
        <w:t>委托人</w:t>
      </w:r>
      <w:r>
        <w:rPr>
          <w:rFonts w:hint="default" w:ascii="宋体" w:hAnsi="宋体" w:eastAsia="宋体" w:cs="宋体"/>
          <w:color w:val="auto"/>
          <w:sz w:val="24"/>
          <w:szCs w:val="24"/>
          <w:highlight w:val="none"/>
          <w:u w:val="none"/>
        </w:rPr>
        <w:t>核实后的工作量为准。</w:t>
      </w:r>
      <w:r>
        <w:rPr>
          <w:rFonts w:hint="eastAsia" w:ascii="宋体" w:hAnsi="宋体" w:eastAsia="宋体" w:cs="宋体"/>
          <w:color w:val="auto"/>
          <w:sz w:val="24"/>
          <w:szCs w:val="24"/>
          <w:highlight w:val="none"/>
          <w:u w:val="none"/>
          <w:lang w:val="en-US" w:eastAsia="zh-CN"/>
        </w:rPr>
        <w:t>委托人</w:t>
      </w:r>
      <w:r>
        <w:rPr>
          <w:rFonts w:hint="default" w:ascii="宋体" w:hAnsi="宋体" w:eastAsia="宋体" w:cs="宋体"/>
          <w:color w:val="auto"/>
          <w:sz w:val="24"/>
          <w:szCs w:val="24"/>
          <w:highlight w:val="none"/>
          <w:u w:val="none"/>
        </w:rPr>
        <w:t>按核实的已完</w:t>
      </w:r>
      <w:r>
        <w:rPr>
          <w:rFonts w:hint="eastAsia" w:ascii="宋体" w:hAnsi="宋体" w:eastAsia="宋体" w:cs="宋体"/>
          <w:color w:val="auto"/>
          <w:sz w:val="24"/>
          <w:szCs w:val="24"/>
          <w:highlight w:val="none"/>
          <w:u w:val="none"/>
          <w:lang w:val="en-US" w:eastAsia="zh-CN"/>
        </w:rPr>
        <w:t>成</w:t>
      </w:r>
      <w:r>
        <w:rPr>
          <w:rFonts w:hint="default" w:ascii="宋体" w:hAnsi="宋体" w:eastAsia="宋体" w:cs="宋体"/>
          <w:color w:val="auto"/>
          <w:sz w:val="24"/>
          <w:szCs w:val="24"/>
          <w:highlight w:val="none"/>
          <w:u w:val="none"/>
        </w:rPr>
        <w:t>工程量</w:t>
      </w:r>
      <w:r>
        <w:rPr>
          <w:rFonts w:hint="eastAsia" w:ascii="宋体" w:hAnsi="宋体" w:eastAsia="宋体" w:cs="宋体"/>
          <w:color w:val="auto"/>
          <w:sz w:val="24"/>
          <w:szCs w:val="24"/>
          <w:highlight w:val="none"/>
          <w:u w:val="none"/>
          <w:lang w:val="en-US" w:eastAsia="zh-CN"/>
        </w:rPr>
        <w:t>支付至</w:t>
      </w:r>
      <w:r>
        <w:rPr>
          <w:rFonts w:ascii="宋体" w:hAnsi="宋体" w:eastAsia="宋体" w:cs="宋体"/>
          <w:color w:val="auto"/>
          <w:sz w:val="24"/>
          <w:szCs w:val="24"/>
          <w:highlight w:val="none"/>
          <w:u w:val="none"/>
        </w:rPr>
        <w:t>该项合同价的</w:t>
      </w:r>
      <w:r>
        <w:rPr>
          <w:rFonts w:hint="eastAsia" w:ascii="宋体" w:hAnsi="宋体" w:eastAsia="宋体" w:cs="宋体"/>
          <w:color w:val="auto"/>
          <w:sz w:val="24"/>
          <w:szCs w:val="24"/>
          <w:highlight w:val="none"/>
          <w:u w:val="none"/>
          <w:lang w:val="en-US" w:eastAsia="zh-CN"/>
        </w:rPr>
        <w:t>7</w:t>
      </w:r>
      <w:r>
        <w:rPr>
          <w:rFonts w:hint="default" w:ascii="宋体" w:hAnsi="宋体" w:eastAsia="宋体" w:cs="宋体"/>
          <w:color w:val="auto"/>
          <w:sz w:val="24"/>
          <w:szCs w:val="24"/>
          <w:highlight w:val="none"/>
          <w:u w:val="none"/>
        </w:rPr>
        <w:t>0%。</w:t>
      </w:r>
      <w:r>
        <w:rPr>
          <w:rFonts w:hint="eastAsia" w:ascii="宋体" w:hAnsi="宋体" w:eastAsia="宋体" w:cs="宋体"/>
          <w:color w:val="auto"/>
          <w:sz w:val="24"/>
          <w:szCs w:val="24"/>
          <w:highlight w:val="none"/>
          <w:u w:val="none"/>
          <w:lang w:val="en-US" w:eastAsia="zh-CN"/>
        </w:rPr>
        <w:t>线路工程具备通气条件后，支付</w:t>
      </w:r>
      <w:r>
        <w:rPr>
          <w:rFonts w:ascii="宋体" w:hAnsi="宋体" w:eastAsia="宋体" w:cs="宋体"/>
          <w:color w:val="auto"/>
          <w:sz w:val="24"/>
          <w:szCs w:val="24"/>
          <w:highlight w:val="none"/>
          <w:u w:val="none"/>
        </w:rPr>
        <w:t>该项合同价</w:t>
      </w:r>
      <w:r>
        <w:rPr>
          <w:rFonts w:hint="default" w:ascii="宋体" w:hAnsi="宋体" w:eastAsia="宋体" w:cs="宋体"/>
          <w:color w:val="auto"/>
          <w:sz w:val="24"/>
          <w:szCs w:val="24"/>
          <w:highlight w:val="none"/>
          <w:u w:val="none"/>
        </w:rPr>
        <w:t>的</w:t>
      </w:r>
      <w:r>
        <w:rPr>
          <w:rFonts w:hint="eastAsia" w:ascii="宋体" w:hAnsi="宋体" w:eastAsia="宋体" w:cs="宋体"/>
          <w:color w:val="auto"/>
          <w:sz w:val="24"/>
          <w:szCs w:val="24"/>
          <w:highlight w:val="none"/>
          <w:u w:val="none"/>
          <w:lang w:val="en-US" w:eastAsia="zh-CN"/>
        </w:rPr>
        <w:t>5</w:t>
      </w:r>
      <w:r>
        <w:rPr>
          <w:rFonts w:hint="default"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highlight w:val="none"/>
        </w:rPr>
        <w:t>工程实体验收后</w:t>
      </w:r>
      <w:r>
        <w:rPr>
          <w:rFonts w:ascii="宋体" w:hAnsi="宋体" w:eastAsia="宋体" w:cs="宋体"/>
          <w:color w:val="auto"/>
          <w:sz w:val="24"/>
          <w:szCs w:val="24"/>
          <w:highlight w:val="none"/>
          <w:u w:val="none"/>
        </w:rPr>
        <w:t>，支付该项合同价的</w:t>
      </w:r>
      <w:r>
        <w:rPr>
          <w:rFonts w:hint="eastAsia" w:ascii="宋体" w:hAnsi="宋体" w:eastAsia="宋体" w:cs="宋体"/>
          <w:color w:val="auto"/>
          <w:sz w:val="24"/>
          <w:szCs w:val="24"/>
          <w:highlight w:val="none"/>
          <w:u w:val="none"/>
          <w:lang w:val="en-US" w:eastAsia="zh-CN"/>
        </w:rPr>
        <w:t>3</w:t>
      </w:r>
      <w:r>
        <w:rPr>
          <w:rFonts w:hint="default"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highlight w:val="none"/>
        </w:rPr>
        <w:t>工程竣工验收合格后</w:t>
      </w:r>
      <w:r>
        <w:rPr>
          <w:rFonts w:ascii="宋体" w:hAnsi="宋体" w:eastAsia="宋体" w:cs="宋体"/>
          <w:color w:val="auto"/>
          <w:sz w:val="24"/>
          <w:szCs w:val="24"/>
          <w:highlight w:val="none"/>
          <w:u w:val="none"/>
        </w:rPr>
        <w:t>，支付该项合同价的</w:t>
      </w:r>
      <w:r>
        <w:rPr>
          <w:rFonts w:hint="eastAsia" w:ascii="宋体" w:hAnsi="宋体" w:eastAsia="宋体" w:cs="宋体"/>
          <w:color w:val="auto"/>
          <w:sz w:val="24"/>
          <w:szCs w:val="24"/>
          <w:highlight w:val="none"/>
          <w:u w:val="none"/>
          <w:lang w:val="en-US" w:eastAsia="zh-CN"/>
        </w:rPr>
        <w:t>2</w:t>
      </w:r>
      <w:r>
        <w:rPr>
          <w:rFonts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eastAsia="zh-CN"/>
        </w:rPr>
        <w:t>。</w:t>
      </w:r>
      <w:r>
        <w:rPr>
          <w:rFonts w:ascii="宋体" w:hAnsi="宋体" w:eastAsia="宋体" w:cs="宋体"/>
          <w:color w:val="auto"/>
          <w:sz w:val="24"/>
          <w:szCs w:val="24"/>
          <w:highlight w:val="none"/>
          <w:u w:val="none"/>
        </w:rPr>
        <w:t>该项合同价按</w:t>
      </w:r>
      <w:r>
        <w:rPr>
          <w:rFonts w:hint="eastAsia" w:ascii="宋体" w:hAnsi="宋体" w:eastAsia="宋体" w:cs="宋体"/>
          <w:color w:val="auto"/>
          <w:sz w:val="24"/>
          <w:szCs w:val="24"/>
          <w:highlight w:val="none"/>
          <w:u w:val="none"/>
          <w:lang w:val="en-US" w:eastAsia="zh-CN"/>
        </w:rPr>
        <w:t>该项</w:t>
      </w:r>
      <w:r>
        <w:rPr>
          <w:rFonts w:ascii="宋体" w:hAnsi="宋体" w:eastAsia="宋体" w:cs="宋体"/>
          <w:color w:val="auto"/>
          <w:sz w:val="24"/>
          <w:szCs w:val="24"/>
          <w:highlight w:val="none"/>
          <w:u w:val="none"/>
        </w:rPr>
        <w:t>合同单价*已完工程量计算</w:t>
      </w:r>
      <w:r>
        <w:rPr>
          <w:rFonts w:hint="eastAsia" w:ascii="宋体" w:hAnsi="宋体" w:eastAsia="宋体" w:cs="宋体"/>
          <w:color w:val="auto"/>
          <w:sz w:val="24"/>
          <w:szCs w:val="24"/>
          <w:highlight w:val="none"/>
          <w:u w:val="none"/>
          <w:lang w:eastAsia="zh-CN"/>
        </w:rPr>
        <w:t>，</w:t>
      </w:r>
      <w:r>
        <w:rPr>
          <w:rFonts w:hint="default" w:ascii="宋体" w:hAnsi="宋体" w:eastAsia="宋体" w:cs="宋体"/>
          <w:color w:val="auto"/>
          <w:sz w:val="24"/>
          <w:szCs w:val="24"/>
          <w:highlight w:val="none"/>
          <w:u w:val="none"/>
        </w:rPr>
        <w:t>承包人</w:t>
      </w:r>
      <w:r>
        <w:rPr>
          <w:rFonts w:ascii="宋体" w:hAnsi="宋体" w:eastAsia="宋体" w:cs="宋体"/>
          <w:color w:val="auto"/>
          <w:sz w:val="24"/>
          <w:szCs w:val="24"/>
          <w:highlight w:val="none"/>
          <w:u w:val="none"/>
        </w:rPr>
        <w:t>申报已完工程进度款</w:t>
      </w:r>
      <w:r>
        <w:rPr>
          <w:rFonts w:hint="eastAsia" w:ascii="宋体" w:hAnsi="宋体" w:eastAsia="宋体" w:cs="宋体"/>
          <w:color w:val="auto"/>
          <w:sz w:val="24"/>
          <w:szCs w:val="24"/>
          <w:highlight w:val="none"/>
          <w:u w:val="none"/>
          <w:lang w:val="en-US" w:eastAsia="zh-CN"/>
        </w:rPr>
        <w:t>不足</w:t>
      </w:r>
      <w:r>
        <w:rPr>
          <w:rFonts w:ascii="宋体" w:hAnsi="宋体" w:eastAsia="宋体" w:cs="宋体"/>
          <w:color w:val="auto"/>
          <w:sz w:val="24"/>
          <w:szCs w:val="24"/>
          <w:highlight w:val="none"/>
          <w:u w:val="none"/>
        </w:rPr>
        <w:t>1公里时不支付进度款，完成工程量累计到下</w:t>
      </w:r>
      <w:r>
        <w:rPr>
          <w:rFonts w:hint="eastAsia" w:ascii="宋体" w:hAnsi="宋体" w:eastAsia="宋体" w:cs="宋体"/>
          <w:color w:val="auto"/>
          <w:sz w:val="24"/>
          <w:szCs w:val="24"/>
          <w:highlight w:val="none"/>
          <w:u w:val="none"/>
          <w:lang w:val="en-US" w:eastAsia="zh-CN"/>
        </w:rPr>
        <w:t>次进度款申请</w:t>
      </w:r>
      <w:r>
        <w:rPr>
          <w:rFonts w:hint="eastAsia" w:ascii="宋体" w:hAnsi="宋体" w:eastAsia="宋体" w:cs="宋体"/>
          <w:color w:val="auto"/>
          <w:sz w:val="24"/>
          <w:szCs w:val="24"/>
          <w:highlight w:val="none"/>
          <w:u w:val="none"/>
          <w:lang w:eastAsia="zh-CN"/>
        </w:rPr>
        <w:t>。</w:t>
      </w:r>
    </w:p>
    <w:p w14:paraId="3C4DE287">
      <w:pPr>
        <w:numPr>
          <w:ilvl w:val="0"/>
          <w:numId w:val="4"/>
        </w:numPr>
        <w:spacing w:beforeLines="0" w:afterLines="0" w:line="360" w:lineRule="auto"/>
        <w:ind w:firstLine="480" w:firstLineChars="200"/>
        <w:rPr>
          <w:rFonts w:hint="eastAsia" w:ascii="宋体" w:hAnsi="宋体" w:eastAsia="宋体" w:cs="宋体"/>
          <w:color w:val="auto"/>
          <w:sz w:val="24"/>
          <w:highlight w:val="none"/>
          <w:u w:val="none"/>
        </w:rPr>
      </w:pPr>
      <w:r>
        <w:rPr>
          <w:rFonts w:ascii="宋体" w:hAnsi="宋体" w:eastAsia="宋体" w:cs="宋体"/>
          <w:color w:val="auto"/>
          <w:sz w:val="24"/>
          <w:szCs w:val="24"/>
          <w:highlight w:val="none"/>
          <w:u w:val="none"/>
        </w:rPr>
        <w:t>大岗门站具备通气条件后，支付</w:t>
      </w:r>
      <w:r>
        <w:rPr>
          <w:rFonts w:hint="eastAsia" w:ascii="宋体" w:hAnsi="宋体" w:eastAsia="宋体" w:cs="宋体"/>
          <w:color w:val="auto"/>
          <w:sz w:val="24"/>
          <w:szCs w:val="24"/>
          <w:highlight w:val="none"/>
          <w:u w:val="none"/>
          <w:lang w:val="en-US" w:eastAsia="zh-CN"/>
        </w:rPr>
        <w:t>至</w:t>
      </w:r>
      <w:r>
        <w:rPr>
          <w:rFonts w:ascii="宋体" w:hAnsi="宋体" w:eastAsia="宋体" w:cs="宋体"/>
          <w:color w:val="auto"/>
          <w:sz w:val="24"/>
          <w:szCs w:val="24"/>
          <w:highlight w:val="none"/>
          <w:u w:val="none"/>
        </w:rPr>
        <w:t>该项合同价的</w:t>
      </w:r>
      <w:r>
        <w:rPr>
          <w:rFonts w:hint="eastAsia" w:ascii="宋体" w:hAnsi="宋体" w:eastAsia="宋体" w:cs="宋体"/>
          <w:color w:val="auto"/>
          <w:sz w:val="24"/>
          <w:szCs w:val="24"/>
          <w:highlight w:val="none"/>
          <w:u w:val="none"/>
          <w:lang w:val="en-US" w:eastAsia="zh-CN"/>
        </w:rPr>
        <w:t>6</w:t>
      </w:r>
      <w:r>
        <w:rPr>
          <w:rFonts w:ascii="宋体" w:hAnsi="宋体" w:eastAsia="宋体" w:cs="宋体"/>
          <w:color w:val="auto"/>
          <w:sz w:val="24"/>
          <w:szCs w:val="24"/>
          <w:highlight w:val="none"/>
          <w:u w:val="none"/>
        </w:rPr>
        <w:t>0%</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highlight w:val="none"/>
        </w:rPr>
        <w:t>工程实体验收后</w:t>
      </w:r>
      <w:r>
        <w:rPr>
          <w:rFonts w:ascii="宋体" w:hAnsi="宋体" w:eastAsia="宋体" w:cs="宋体"/>
          <w:color w:val="auto"/>
          <w:sz w:val="24"/>
          <w:szCs w:val="24"/>
          <w:highlight w:val="none"/>
          <w:u w:val="none"/>
        </w:rPr>
        <w:t>，支付该项合同价的</w:t>
      </w:r>
      <w:r>
        <w:rPr>
          <w:rFonts w:hint="eastAsia" w:ascii="宋体" w:hAnsi="宋体" w:eastAsia="宋体" w:cs="宋体"/>
          <w:color w:val="auto"/>
          <w:sz w:val="24"/>
          <w:szCs w:val="24"/>
          <w:highlight w:val="none"/>
          <w:u w:val="none"/>
          <w:lang w:val="en-US" w:eastAsia="zh-CN"/>
        </w:rPr>
        <w:t>1</w:t>
      </w:r>
      <w:r>
        <w:rPr>
          <w:rFonts w:hint="eastAsia" w:ascii="宋体" w:hAnsi="宋体" w:eastAsia="宋体" w:cs="宋体"/>
          <w:color w:val="auto"/>
          <w:sz w:val="24"/>
          <w:szCs w:val="24"/>
          <w:highlight w:val="none"/>
          <w:u w:val="none"/>
          <w:lang w:eastAsia="zh-CN"/>
        </w:rPr>
        <w:t>5</w:t>
      </w:r>
      <w:r>
        <w:rPr>
          <w:rFonts w:ascii="宋体" w:hAnsi="宋体" w:eastAsia="宋体" w:cs="宋体"/>
          <w:color w:val="auto"/>
          <w:sz w:val="24"/>
          <w:szCs w:val="24"/>
          <w:highlight w:val="none"/>
          <w:u w:val="none"/>
        </w:rPr>
        <w:t>%；</w:t>
      </w:r>
      <w:r>
        <w:rPr>
          <w:rFonts w:hint="eastAsia" w:ascii="宋体" w:hAnsi="宋体" w:eastAsia="宋体" w:cs="宋体"/>
          <w:color w:val="auto"/>
          <w:sz w:val="24"/>
          <w:highlight w:val="none"/>
        </w:rPr>
        <w:t>工程竣工验收合格后</w:t>
      </w:r>
      <w:r>
        <w:rPr>
          <w:rFonts w:ascii="宋体" w:hAnsi="宋体" w:eastAsia="宋体" w:cs="宋体"/>
          <w:color w:val="auto"/>
          <w:sz w:val="24"/>
          <w:szCs w:val="24"/>
          <w:highlight w:val="none"/>
          <w:u w:val="none"/>
        </w:rPr>
        <w:t>，支付该项合同价的</w:t>
      </w:r>
      <w:r>
        <w:rPr>
          <w:rFonts w:hint="eastAsia" w:ascii="宋体" w:hAnsi="宋体" w:eastAsia="宋体" w:cs="宋体"/>
          <w:color w:val="auto"/>
          <w:sz w:val="24"/>
          <w:szCs w:val="24"/>
          <w:highlight w:val="none"/>
          <w:u w:val="none"/>
          <w:lang w:eastAsia="zh-CN"/>
        </w:rPr>
        <w:t>5</w:t>
      </w:r>
      <w:r>
        <w:rPr>
          <w:rFonts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eastAsia="zh-CN"/>
        </w:rPr>
        <w:t>。</w:t>
      </w:r>
    </w:p>
    <w:p w14:paraId="4C41FE03">
      <w:pPr>
        <w:numPr>
          <w:ilvl w:val="0"/>
          <w:numId w:val="4"/>
        </w:numPr>
        <w:spacing w:beforeLines="0" w:afterLines="0" w:line="360" w:lineRule="auto"/>
        <w:ind w:firstLine="480" w:firstLineChars="200"/>
        <w:rPr>
          <w:rFonts w:hint="eastAsia" w:ascii="宋体" w:hAnsi="宋体" w:eastAsia="宋体" w:cs="宋体"/>
          <w:color w:val="auto"/>
          <w:sz w:val="24"/>
          <w:highlight w:val="none"/>
          <w:u w:val="none"/>
        </w:rPr>
      </w:pPr>
      <w:r>
        <w:rPr>
          <w:rFonts w:ascii="宋体" w:hAnsi="宋体" w:eastAsia="宋体" w:cs="宋体"/>
          <w:color w:val="auto"/>
          <w:sz w:val="24"/>
          <w:szCs w:val="24"/>
          <w:highlight w:val="none"/>
          <w:u w:val="none"/>
        </w:rPr>
        <w:t>横沥调压和气化站具备通气条件后，支付</w:t>
      </w:r>
      <w:r>
        <w:rPr>
          <w:rFonts w:hint="eastAsia" w:ascii="宋体" w:hAnsi="宋体" w:eastAsia="宋体" w:cs="宋体"/>
          <w:color w:val="auto"/>
          <w:sz w:val="24"/>
          <w:szCs w:val="24"/>
          <w:highlight w:val="none"/>
          <w:u w:val="none"/>
          <w:lang w:val="en-US" w:eastAsia="zh-CN"/>
        </w:rPr>
        <w:t>至</w:t>
      </w:r>
      <w:r>
        <w:rPr>
          <w:rFonts w:ascii="宋体" w:hAnsi="宋体" w:eastAsia="宋体" w:cs="宋体"/>
          <w:color w:val="auto"/>
          <w:sz w:val="24"/>
          <w:szCs w:val="24"/>
          <w:highlight w:val="none"/>
          <w:u w:val="none"/>
        </w:rPr>
        <w:t>该项合同价的</w:t>
      </w:r>
      <w:r>
        <w:rPr>
          <w:rFonts w:hint="eastAsia" w:ascii="宋体" w:hAnsi="宋体" w:eastAsia="宋体" w:cs="宋体"/>
          <w:color w:val="auto"/>
          <w:sz w:val="24"/>
          <w:szCs w:val="24"/>
          <w:highlight w:val="none"/>
          <w:u w:val="none"/>
          <w:lang w:val="en-US" w:eastAsia="zh-CN"/>
        </w:rPr>
        <w:t>6</w:t>
      </w:r>
      <w:r>
        <w:rPr>
          <w:rFonts w:ascii="宋体" w:hAnsi="宋体" w:eastAsia="宋体" w:cs="宋体"/>
          <w:color w:val="auto"/>
          <w:sz w:val="24"/>
          <w:szCs w:val="24"/>
          <w:highlight w:val="none"/>
          <w:u w:val="none"/>
        </w:rPr>
        <w:t>0%</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highlight w:val="none"/>
        </w:rPr>
        <w:t>工程实体验收后</w:t>
      </w:r>
      <w:r>
        <w:rPr>
          <w:rFonts w:ascii="宋体" w:hAnsi="宋体" w:eastAsia="宋体" w:cs="宋体"/>
          <w:color w:val="auto"/>
          <w:sz w:val="24"/>
          <w:szCs w:val="24"/>
          <w:highlight w:val="none"/>
          <w:u w:val="none"/>
        </w:rPr>
        <w:t>，支付该项合同价的</w:t>
      </w:r>
      <w:r>
        <w:rPr>
          <w:rFonts w:hint="eastAsia" w:ascii="宋体" w:hAnsi="宋体" w:eastAsia="宋体" w:cs="宋体"/>
          <w:color w:val="auto"/>
          <w:sz w:val="24"/>
          <w:szCs w:val="24"/>
          <w:highlight w:val="none"/>
          <w:u w:val="none"/>
          <w:lang w:val="en-US" w:eastAsia="zh-CN"/>
        </w:rPr>
        <w:t>1</w:t>
      </w:r>
      <w:r>
        <w:rPr>
          <w:rFonts w:hint="eastAsia" w:ascii="宋体" w:hAnsi="宋体" w:eastAsia="宋体" w:cs="宋体"/>
          <w:color w:val="auto"/>
          <w:sz w:val="24"/>
          <w:szCs w:val="24"/>
          <w:highlight w:val="none"/>
          <w:u w:val="none"/>
          <w:lang w:eastAsia="zh-CN"/>
        </w:rPr>
        <w:t>5</w:t>
      </w:r>
      <w:r>
        <w:rPr>
          <w:rFonts w:ascii="宋体" w:hAnsi="宋体" w:eastAsia="宋体" w:cs="宋体"/>
          <w:color w:val="auto"/>
          <w:sz w:val="24"/>
          <w:szCs w:val="24"/>
          <w:highlight w:val="none"/>
          <w:u w:val="none"/>
        </w:rPr>
        <w:t>%；</w:t>
      </w:r>
      <w:r>
        <w:rPr>
          <w:rFonts w:hint="eastAsia" w:ascii="宋体" w:hAnsi="宋体" w:eastAsia="宋体" w:cs="宋体"/>
          <w:color w:val="auto"/>
          <w:sz w:val="24"/>
          <w:highlight w:val="none"/>
        </w:rPr>
        <w:t>工程竣工验收合格后</w:t>
      </w:r>
      <w:r>
        <w:rPr>
          <w:rFonts w:ascii="宋体" w:hAnsi="宋体" w:eastAsia="宋体" w:cs="宋体"/>
          <w:color w:val="auto"/>
          <w:sz w:val="24"/>
          <w:szCs w:val="24"/>
          <w:highlight w:val="none"/>
          <w:u w:val="none"/>
        </w:rPr>
        <w:t>，支付该项合同价的</w:t>
      </w:r>
      <w:r>
        <w:rPr>
          <w:rFonts w:hint="eastAsia" w:ascii="宋体" w:hAnsi="宋体" w:eastAsia="宋体" w:cs="宋体"/>
          <w:color w:val="auto"/>
          <w:sz w:val="24"/>
          <w:szCs w:val="24"/>
          <w:highlight w:val="none"/>
          <w:u w:val="none"/>
          <w:lang w:eastAsia="zh-CN"/>
        </w:rPr>
        <w:t>5</w:t>
      </w:r>
      <w:r>
        <w:rPr>
          <w:rFonts w:ascii="宋体" w:hAnsi="宋体" w:eastAsia="宋体" w:cs="宋体"/>
          <w:color w:val="auto"/>
          <w:sz w:val="24"/>
          <w:szCs w:val="24"/>
          <w:highlight w:val="none"/>
          <w:u w:val="none"/>
        </w:rPr>
        <w:t>%；</w:t>
      </w:r>
    </w:p>
    <w:p w14:paraId="31D97FDF">
      <w:pPr>
        <w:spacing w:beforeLines="0" w:afterLines="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D、</w:t>
      </w:r>
      <w:r>
        <w:rPr>
          <w:rFonts w:ascii="宋体" w:hAnsi="宋体" w:eastAsia="宋体" w:cs="宋体"/>
          <w:color w:val="auto"/>
          <w:sz w:val="24"/>
          <w:szCs w:val="24"/>
          <w:highlight w:val="none"/>
        </w:rPr>
        <w:t>在支付上述进度款时逐步扣回预付款（按当期进度款项的</w:t>
      </w:r>
      <w:r>
        <w:rPr>
          <w:rFonts w:hint="eastAsia" w:ascii="宋体" w:hAnsi="宋体" w:eastAsia="宋体" w:cs="宋体"/>
          <w:color w:val="auto"/>
          <w:sz w:val="24"/>
          <w:szCs w:val="24"/>
          <w:highlight w:val="none"/>
          <w:lang w:val="en-US" w:eastAsia="zh-CN"/>
        </w:rPr>
        <w:t>20%</w:t>
      </w:r>
      <w:r>
        <w:rPr>
          <w:rFonts w:ascii="宋体" w:hAnsi="宋体" w:eastAsia="宋体" w:cs="宋体"/>
          <w:color w:val="auto"/>
          <w:sz w:val="24"/>
          <w:szCs w:val="24"/>
          <w:highlight w:val="none"/>
        </w:rPr>
        <w:t>抵扣工程预付款），累计支付达到合同总价的</w:t>
      </w:r>
      <w:r>
        <w:rPr>
          <w:rFonts w:hint="eastAsia" w:ascii="宋体" w:hAnsi="宋体" w:eastAsia="宋体" w:cs="宋体"/>
          <w:color w:val="auto"/>
          <w:sz w:val="24"/>
          <w:szCs w:val="24"/>
          <w:highlight w:val="none"/>
          <w:lang w:eastAsia="zh-CN"/>
        </w:rPr>
        <w:t>5</w:t>
      </w:r>
      <w:r>
        <w:rPr>
          <w:rFonts w:ascii="宋体" w:hAnsi="宋体" w:eastAsia="宋体" w:cs="宋体"/>
          <w:color w:val="auto"/>
          <w:sz w:val="24"/>
          <w:szCs w:val="24"/>
          <w:highlight w:val="none"/>
        </w:rPr>
        <w:t>0%（含预付款）时，预付款全部转为进度款</w:t>
      </w:r>
      <w:r>
        <w:rPr>
          <w:rFonts w:hint="eastAsia" w:ascii="宋体" w:hAnsi="宋体" w:eastAsia="宋体" w:cs="宋体"/>
          <w:color w:val="auto"/>
          <w:sz w:val="24"/>
          <w:highlight w:val="none"/>
        </w:rPr>
        <w:t>；</w:t>
      </w:r>
    </w:p>
    <w:p w14:paraId="1EFB4AE3">
      <w:pPr>
        <w:spacing w:beforeLines="0" w:afterLines="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E、 </w:t>
      </w:r>
      <w:r>
        <w:rPr>
          <w:rFonts w:hint="eastAsia" w:ascii="宋体" w:hAnsi="宋体" w:eastAsia="宋体" w:cs="宋体"/>
          <w:color w:val="auto"/>
          <w:sz w:val="24"/>
          <w:highlight w:val="none"/>
        </w:rPr>
        <w:t>工程竣工资料（监理资料）移交委托人档案室后，</w:t>
      </w:r>
      <w:r>
        <w:rPr>
          <w:rFonts w:hint="eastAsia" w:ascii="宋体" w:hAnsi="宋体" w:eastAsia="宋体" w:cs="宋体"/>
          <w:color w:val="auto"/>
          <w:sz w:val="24"/>
          <w:highlight w:val="none"/>
          <w:lang w:val="en-US" w:eastAsia="zh-CN"/>
        </w:rPr>
        <w:t>支付合同总价的5%（</w:t>
      </w:r>
      <w:r>
        <w:rPr>
          <w:rFonts w:hint="eastAsia" w:ascii="宋体" w:hAnsi="宋体" w:eastAsia="宋体" w:cs="宋体"/>
          <w:color w:val="auto"/>
          <w:sz w:val="24"/>
          <w:highlight w:val="none"/>
        </w:rPr>
        <w:t>支付至合同</w:t>
      </w:r>
      <w:r>
        <w:rPr>
          <w:rFonts w:hint="eastAsia" w:ascii="宋体" w:hAnsi="宋体" w:eastAsia="宋体" w:cs="宋体"/>
          <w:color w:val="auto"/>
          <w:sz w:val="24"/>
          <w:highlight w:val="none"/>
          <w:lang w:val="en-US" w:eastAsia="zh-CN"/>
        </w:rPr>
        <w:t>总</w:t>
      </w:r>
      <w:r>
        <w:rPr>
          <w:rFonts w:hint="eastAsia" w:ascii="宋体" w:hAnsi="宋体" w:eastAsia="宋体" w:cs="宋体"/>
          <w:color w:val="auto"/>
          <w:sz w:val="24"/>
          <w:highlight w:val="none"/>
        </w:rPr>
        <w:t>价的</w:t>
      </w:r>
      <w:r>
        <w:rPr>
          <w:rFonts w:hint="default" w:ascii="宋体" w:hAnsi="宋体" w:eastAsia="宋体" w:cs="宋体"/>
          <w:color w:val="auto"/>
          <w:sz w:val="24"/>
          <w:highlight w:val="none"/>
        </w:rPr>
        <w:t>85</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w:t>
      </w:r>
    </w:p>
    <w:p w14:paraId="0AA7A123">
      <w:pPr>
        <w:spacing w:beforeLines="0" w:afterLines="0"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 xml:space="preserve">F、 </w:t>
      </w:r>
      <w:r>
        <w:rPr>
          <w:rFonts w:hint="eastAsia" w:ascii="宋体" w:hAnsi="宋体" w:eastAsia="宋体" w:cs="宋体"/>
          <w:color w:val="auto"/>
          <w:sz w:val="24"/>
          <w:highlight w:val="none"/>
        </w:rPr>
        <w:t>完成工程施工结算审定，支付至合同</w:t>
      </w:r>
      <w:r>
        <w:rPr>
          <w:rFonts w:hint="eastAsia" w:ascii="宋体" w:hAnsi="宋体" w:eastAsia="宋体" w:cs="宋体"/>
          <w:color w:val="auto"/>
          <w:sz w:val="24"/>
          <w:highlight w:val="none"/>
          <w:lang w:val="en-US" w:eastAsia="zh-CN"/>
        </w:rPr>
        <w:t>总</w:t>
      </w:r>
      <w:r>
        <w:rPr>
          <w:rFonts w:hint="eastAsia" w:ascii="宋体" w:hAnsi="宋体" w:eastAsia="宋体" w:cs="宋体"/>
          <w:color w:val="auto"/>
          <w:sz w:val="24"/>
          <w:highlight w:val="none"/>
        </w:rPr>
        <w:t>价的97%</w:t>
      </w:r>
      <w:r>
        <w:rPr>
          <w:rFonts w:hint="eastAsia" w:ascii="宋体" w:hAnsi="宋体" w:eastAsia="宋体" w:cs="宋体"/>
          <w:color w:val="auto"/>
          <w:sz w:val="24"/>
          <w:highlight w:val="none"/>
          <w:lang w:eastAsia="zh-CN"/>
        </w:rPr>
        <w:t>（发票需</w:t>
      </w:r>
      <w:r>
        <w:rPr>
          <w:rFonts w:hint="eastAsia" w:ascii="宋体" w:hAnsi="宋体" w:eastAsia="宋体" w:cs="宋体"/>
          <w:color w:val="auto"/>
          <w:sz w:val="24"/>
          <w:highlight w:val="none"/>
        </w:rPr>
        <w:t>包含质量保证金的剩余价款全额</w:t>
      </w:r>
      <w:r>
        <w:rPr>
          <w:rFonts w:hint="eastAsia" w:ascii="宋体" w:hAnsi="宋体" w:eastAsia="宋体" w:cs="宋体"/>
          <w:color w:val="auto"/>
          <w:sz w:val="24"/>
          <w:highlight w:val="none"/>
          <w:lang w:eastAsia="zh-CN"/>
        </w:rPr>
        <w:t>）。</w:t>
      </w:r>
    </w:p>
    <w:p w14:paraId="39C3A2D7">
      <w:pPr>
        <w:spacing w:beforeLines="0" w:afterLines="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39.</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3 质量保证金的支付</w:t>
      </w:r>
    </w:p>
    <w:p w14:paraId="27D1A977">
      <w:pPr>
        <w:spacing w:beforeLines="0" w:afterLines="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合同结算价的3%作为质量保证金，工程缺陷责任期满后一个月内支付。</w:t>
      </w:r>
    </w:p>
    <w:p w14:paraId="185F2ECE">
      <w:pPr>
        <w:spacing w:beforeLines="0" w:afterLines="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第四十一条 双方同意用人民币支付监理酬金。</w:t>
      </w:r>
    </w:p>
    <w:p w14:paraId="3DA3A417">
      <w:pPr>
        <w:spacing w:beforeLines="0" w:afterLines="0"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其他</w:t>
      </w:r>
    </w:p>
    <w:p w14:paraId="422702B0">
      <w:pPr>
        <w:spacing w:beforeLines="0" w:afterLines="0" w:line="360" w:lineRule="auto"/>
        <w:ind w:left="711" w:leftChars="228" w:hanging="232" w:hangingChars="97"/>
        <w:rPr>
          <w:rFonts w:hint="eastAsia" w:ascii="宋体" w:hAnsi="宋体" w:eastAsia="宋体" w:cs="宋体"/>
          <w:color w:val="auto"/>
          <w:sz w:val="24"/>
          <w:highlight w:val="none"/>
        </w:rPr>
      </w:pPr>
      <w:r>
        <w:rPr>
          <w:rFonts w:hint="eastAsia" w:ascii="宋体" w:hAnsi="宋体" w:eastAsia="宋体" w:cs="宋体"/>
          <w:bCs/>
          <w:color w:val="auto"/>
          <w:sz w:val="24"/>
          <w:highlight w:val="none"/>
        </w:rPr>
        <w:t>第四十五条 奖</w:t>
      </w:r>
      <w:r>
        <w:rPr>
          <w:rFonts w:hint="eastAsia" w:ascii="宋体" w:hAnsi="宋体" w:eastAsia="宋体" w:cs="宋体"/>
          <w:color w:val="auto"/>
          <w:sz w:val="24"/>
          <w:highlight w:val="none"/>
        </w:rPr>
        <w:t>励办法：无。</w:t>
      </w:r>
    </w:p>
    <w:p w14:paraId="7AA03DBB">
      <w:pPr>
        <w:spacing w:beforeLines="0" w:afterLines="0"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争议的解决</w:t>
      </w:r>
    </w:p>
    <w:p w14:paraId="23033D90">
      <w:pPr>
        <w:spacing w:beforeLines="0" w:afterLines="0" w:line="360" w:lineRule="auto"/>
        <w:ind w:left="2" w:firstLine="475" w:firstLineChars="198"/>
        <w:rPr>
          <w:rFonts w:ascii="宋体" w:hAnsi="宋体" w:eastAsia="宋体"/>
          <w:color w:val="auto"/>
          <w:sz w:val="24"/>
          <w:highlight w:val="none"/>
        </w:rPr>
      </w:pPr>
      <w:r>
        <w:rPr>
          <w:rFonts w:hint="eastAsia" w:ascii="宋体" w:hAnsi="宋体" w:eastAsia="宋体" w:cs="宋体"/>
          <w:color w:val="auto"/>
          <w:sz w:val="24"/>
          <w:highlight w:val="none"/>
        </w:rPr>
        <w:t>第四十九条 本合同在履行过程中发生争议时，当事人双方应及时协商解决。协商不成时双方应向广州市天河区人民法院起诉。</w:t>
      </w:r>
    </w:p>
    <w:p w14:paraId="57517259">
      <w:pPr>
        <w:numPr>
          <w:ilvl w:val="0"/>
          <w:numId w:val="5"/>
        </w:numPr>
        <w:spacing w:before="0" w:beforeLines="0" w:after="0" w:afterLines="0" w:line="360" w:lineRule="auto"/>
        <w:jc w:val="center"/>
        <w:outlineLvl w:val="0"/>
        <w:rPr>
          <w:rFonts w:ascii="宋体" w:hAnsi="宋体" w:eastAsia="宋体"/>
          <w:b/>
          <w:color w:val="auto"/>
          <w:sz w:val="30"/>
          <w:szCs w:val="30"/>
          <w:highlight w:val="none"/>
        </w:rPr>
      </w:pPr>
      <w:r>
        <w:rPr>
          <w:rFonts w:ascii="宋体" w:hAnsi="宋体" w:eastAsia="宋体"/>
          <w:b/>
          <w:color w:val="auto"/>
          <w:spacing w:val="20"/>
          <w:sz w:val="28"/>
          <w:szCs w:val="28"/>
          <w:highlight w:val="none"/>
        </w:rPr>
        <w:br w:type="page"/>
      </w:r>
      <w:bookmarkStart w:id="516" w:name="_Toc1979"/>
      <w:bookmarkStart w:id="517" w:name="_Toc40299654"/>
      <w:bookmarkStart w:id="518" w:name="_Toc49205975"/>
      <w:bookmarkStart w:id="519" w:name="_Toc40300027"/>
      <w:r>
        <w:rPr>
          <w:rFonts w:hint="eastAsia" w:ascii="宋体" w:hAnsi="宋体" w:eastAsia="宋体"/>
          <w:b/>
          <w:color w:val="auto"/>
          <w:sz w:val="32"/>
          <w:szCs w:val="32"/>
          <w:highlight w:val="none"/>
        </w:rPr>
        <w:t>合同附件</w:t>
      </w:r>
      <w:bookmarkEnd w:id="516"/>
      <w:bookmarkEnd w:id="517"/>
      <w:bookmarkEnd w:id="518"/>
      <w:bookmarkEnd w:id="519"/>
    </w:p>
    <w:p w14:paraId="7835F711">
      <w:pPr>
        <w:pStyle w:val="5"/>
        <w:spacing w:before="0" w:after="0" w:line="360" w:lineRule="auto"/>
        <w:rPr>
          <w:rFonts w:hint="eastAsia" w:ascii="宋体" w:hAnsi="宋体" w:eastAsia="宋体"/>
          <w:color w:val="auto"/>
          <w:sz w:val="28"/>
          <w:szCs w:val="28"/>
          <w:highlight w:val="none"/>
          <w:lang w:val="en-US" w:eastAsia="zh-CN"/>
        </w:rPr>
      </w:pPr>
      <w:r>
        <w:rPr>
          <w:rFonts w:hint="eastAsia" w:ascii="宋体" w:hAnsi="宋体"/>
          <w:color w:val="auto"/>
          <w:sz w:val="28"/>
          <w:szCs w:val="28"/>
          <w:highlight w:val="none"/>
        </w:rPr>
        <w:t>附件一 安健环管理协议</w:t>
      </w:r>
      <w:r>
        <w:rPr>
          <w:rFonts w:hint="eastAsia" w:ascii="宋体" w:hAnsi="宋体"/>
          <w:color w:val="auto"/>
          <w:sz w:val="28"/>
          <w:szCs w:val="28"/>
          <w:highlight w:val="none"/>
          <w:lang w:val="en-US" w:eastAsia="zh-CN"/>
        </w:rPr>
        <w:t>书</w:t>
      </w:r>
    </w:p>
    <w:p w14:paraId="79A3F422">
      <w:pPr>
        <w:rPr>
          <w:color w:val="auto"/>
          <w:highlight w:val="none"/>
        </w:rPr>
      </w:pPr>
    </w:p>
    <w:p w14:paraId="41192E0B">
      <w:pPr>
        <w:spacing w:line="360" w:lineRule="auto"/>
        <w:jc w:val="center"/>
        <w:rPr>
          <w:rFonts w:hint="eastAsia" w:ascii="宋体" w:hAnsi="宋体" w:eastAsia="宋体" w:cs="宋体"/>
          <w:b/>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安</w:t>
      </w:r>
      <w:r>
        <w:rPr>
          <w:rFonts w:hint="eastAsia" w:ascii="宋体" w:hAnsi="宋体" w:eastAsia="宋体" w:cs="宋体"/>
          <w:b/>
          <w:bCs/>
          <w:color w:val="auto"/>
          <w:sz w:val="32"/>
          <w:szCs w:val="32"/>
          <w:highlight w:val="none"/>
        </w:rPr>
        <w:t>健环管理协议书</w:t>
      </w:r>
    </w:p>
    <w:p w14:paraId="3701303E">
      <w:pPr>
        <w:tabs>
          <w:tab w:val="left" w:pos="840"/>
        </w:tabs>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业主方  （以下简称甲方）：</w:t>
      </w:r>
    </w:p>
    <w:p w14:paraId="558E71D4">
      <w:pPr>
        <w:tabs>
          <w:tab w:val="left" w:pos="840"/>
        </w:tabs>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监理</w:t>
      </w:r>
      <w:r>
        <w:rPr>
          <w:rFonts w:hint="eastAsia" w:ascii="宋体" w:hAnsi="宋体" w:eastAsia="宋体" w:cs="宋体"/>
          <w:color w:val="auto"/>
          <w:sz w:val="24"/>
          <w:szCs w:val="24"/>
          <w:highlight w:val="none"/>
        </w:rPr>
        <w:t xml:space="preserve">方  （以下简称乙方）： </w:t>
      </w:r>
    </w:p>
    <w:p w14:paraId="7BA7E9AA">
      <w:pPr>
        <w:tabs>
          <w:tab w:val="left" w:pos="840"/>
        </w:tabs>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项目名称：广州LNG应急调峰气源站配套管线工程（黄阁门站-横沥调压和气化站段）线路工程与场站工程施工监理</w:t>
      </w:r>
    </w:p>
    <w:p w14:paraId="08950935">
      <w:pPr>
        <w:tabs>
          <w:tab w:val="left" w:pos="840"/>
        </w:tabs>
        <w:spacing w:line="4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为明确甲、乙双方在</w:t>
      </w:r>
      <w:r>
        <w:rPr>
          <w:rFonts w:hint="eastAsia" w:ascii="宋体" w:hAnsi="宋体" w:eastAsia="宋体" w:cs="宋体"/>
          <w:color w:val="auto"/>
          <w:sz w:val="24"/>
          <w:szCs w:val="24"/>
          <w:highlight w:val="none"/>
          <w:u w:val="single"/>
        </w:rPr>
        <w:t>广州LNG应急调峰气源站配套管线工程（黄阁门站-横沥调压和气化站段）线路工程与场站工程施工监理</w:t>
      </w:r>
      <w:r>
        <w:rPr>
          <w:rFonts w:hint="eastAsia" w:ascii="宋体" w:hAnsi="宋体" w:eastAsia="宋体" w:cs="宋体"/>
          <w:color w:val="auto"/>
          <w:sz w:val="24"/>
          <w:szCs w:val="24"/>
          <w:highlight w:val="none"/>
        </w:rPr>
        <w:t>项目中的安全生产、消防安全、职业健康卫生、环境保护等方面事宜的责任、义务和权利，依照国家和政府的有关法律法规，双方经协商一致，达成以下协议：</w:t>
      </w:r>
    </w:p>
    <w:p w14:paraId="30F0A511">
      <w:pPr>
        <w:tabs>
          <w:tab w:val="left" w:pos="840"/>
        </w:tabs>
        <w:spacing w:line="460" w:lineRule="exact"/>
        <w:ind w:firstLine="482" w:firstLineChars="20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一、甲方权利义务：</w:t>
      </w:r>
    </w:p>
    <w:p w14:paraId="0657F09A">
      <w:pPr>
        <w:tabs>
          <w:tab w:val="left" w:pos="840"/>
        </w:tabs>
        <w:spacing w:line="4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（一）甲方应明确</w:t>
      </w:r>
      <w:r>
        <w:rPr>
          <w:rFonts w:hint="eastAsia" w:ascii="宋体" w:hAnsi="宋体" w:eastAsia="宋体" w:cs="宋体"/>
          <w:color w:val="auto"/>
          <w:sz w:val="24"/>
          <w:szCs w:val="24"/>
          <w:highlight w:val="none"/>
          <w:lang w:val="en-US" w:eastAsia="zh-CN"/>
        </w:rPr>
        <w:t>外委服务业务</w:t>
      </w:r>
      <w:r>
        <w:rPr>
          <w:rFonts w:hint="eastAsia" w:ascii="宋体" w:hAnsi="宋体" w:eastAsia="宋体" w:cs="宋体"/>
          <w:color w:val="auto"/>
          <w:sz w:val="24"/>
          <w:szCs w:val="24"/>
          <w:highlight w:val="none"/>
        </w:rPr>
        <w:t>的工作任务和工作要求，将工作过程中可能产生的生产安全、职业病危害及其后果、生产安全事故防范、职业病防护措施等如实告知乙方。</w:t>
      </w:r>
    </w:p>
    <w:p w14:paraId="3DA35D02">
      <w:pPr>
        <w:tabs>
          <w:tab w:val="left" w:pos="840"/>
        </w:tabs>
        <w:spacing w:line="4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（二）甲方对于首次上岗的乙方员工，进行安全生产、消防安全、职业健康卫生、环境保护等方面制度、操作规程应知应会</w:t>
      </w:r>
      <w:r>
        <w:rPr>
          <w:rFonts w:hint="eastAsia" w:ascii="宋体" w:hAnsi="宋体" w:eastAsia="宋体" w:cs="宋体"/>
          <w:color w:val="auto"/>
          <w:sz w:val="24"/>
          <w:szCs w:val="24"/>
          <w:highlight w:val="none"/>
          <w:lang w:val="en-US" w:eastAsia="zh-CN"/>
        </w:rPr>
        <w:t>交底或</w:t>
      </w:r>
      <w:r>
        <w:rPr>
          <w:rFonts w:hint="eastAsia" w:ascii="宋体" w:hAnsi="宋体" w:eastAsia="宋体" w:cs="宋体"/>
          <w:color w:val="auto"/>
          <w:sz w:val="24"/>
          <w:szCs w:val="24"/>
          <w:highlight w:val="none"/>
        </w:rPr>
        <w:t>培训考核，并做好相关记录。</w:t>
      </w:r>
    </w:p>
    <w:p w14:paraId="1DB36856">
      <w:pPr>
        <w:tabs>
          <w:tab w:val="left" w:pos="840"/>
        </w:tabs>
        <w:spacing w:line="4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（三）乙方人员体检健康证明</w:t>
      </w:r>
      <w:r>
        <w:rPr>
          <w:rFonts w:hint="eastAsia" w:ascii="宋体" w:hAnsi="宋体" w:eastAsia="宋体" w:cs="宋体"/>
          <w:color w:val="auto"/>
          <w:sz w:val="24"/>
          <w:szCs w:val="24"/>
          <w:highlight w:val="none"/>
          <w:lang w:val="en-US" w:eastAsia="zh-CN"/>
        </w:rPr>
        <w:t>须</w:t>
      </w:r>
      <w:r>
        <w:rPr>
          <w:rFonts w:hint="eastAsia" w:ascii="宋体" w:hAnsi="宋体" w:eastAsia="宋体" w:cs="宋体"/>
          <w:color w:val="auto"/>
          <w:sz w:val="24"/>
          <w:szCs w:val="24"/>
          <w:highlight w:val="none"/>
        </w:rPr>
        <w:t>在甲方备案，甲方有权抽查复检经过乙方认定体检合格的乙方人员，对于复检不合格的乙方员工，甲方有权要求乙方及时更换，同时乙方必须保证出勤到岗人数，不影响甲方的生产；甲方有权抽查乙方员工的劳动合同、身份证明等，乙方及其员工应配合甲方的抽检。</w:t>
      </w:r>
    </w:p>
    <w:p w14:paraId="3E64A284">
      <w:pPr>
        <w:tabs>
          <w:tab w:val="left" w:pos="840"/>
        </w:tabs>
        <w:spacing w:line="4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（四）乙方员工有下列行为的，甲方有权要求乙方立即更换：</w:t>
      </w:r>
    </w:p>
    <w:p w14:paraId="369BB753">
      <w:pPr>
        <w:tabs>
          <w:tab w:val="left" w:pos="840"/>
        </w:tabs>
        <w:spacing w:line="4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1、乙方员工经规程制度培训考核不合格，不具备履职能力的；</w:t>
      </w:r>
    </w:p>
    <w:p w14:paraId="25EDA6D7">
      <w:pPr>
        <w:tabs>
          <w:tab w:val="left" w:pos="840"/>
        </w:tabs>
        <w:spacing w:line="4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2、乙方员工经实际生产过程检验或职业卫生鉴定机构鉴定存在身心健康缺陷不能履行岗位职责的；</w:t>
      </w:r>
    </w:p>
    <w:p w14:paraId="339BA7F6">
      <w:pPr>
        <w:tabs>
          <w:tab w:val="left" w:pos="840"/>
        </w:tabs>
        <w:spacing w:line="4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3、乙方员工违反甲方规章制度、岗位职责、规程及劳动纪律的；</w:t>
      </w:r>
    </w:p>
    <w:p w14:paraId="475BC1E5">
      <w:pPr>
        <w:tabs>
          <w:tab w:val="left" w:pos="840"/>
        </w:tabs>
        <w:spacing w:line="4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4、乙方员工不能提供真实有效的健康证明、身份证明的，或提供虚假的健康证明、身份证明的；</w:t>
      </w:r>
    </w:p>
    <w:p w14:paraId="4A93BC89">
      <w:pPr>
        <w:tabs>
          <w:tab w:val="left" w:pos="840"/>
        </w:tabs>
        <w:spacing w:line="4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一经发现，甲方有权要求乙方退回或更换，乙方不得因为不合格人员辞退减少出勤人数。</w:t>
      </w:r>
    </w:p>
    <w:p w14:paraId="517BE240">
      <w:pPr>
        <w:tabs>
          <w:tab w:val="left" w:pos="840"/>
        </w:tabs>
        <w:spacing w:line="460" w:lineRule="exact"/>
        <w:ind w:firstLine="482" w:firstLineChars="20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二、乙方的权利义务：</w:t>
      </w:r>
    </w:p>
    <w:p w14:paraId="218A275E">
      <w:pPr>
        <w:tabs>
          <w:tab w:val="left" w:pos="840"/>
        </w:tabs>
        <w:spacing w:line="4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（一）乙方应保证严格遵守有关的中国人民共和国的法律法规，并承诺遵守甲方的安全生产、消防安全、职业健康卫生、环境保护等方面制度、规程。</w:t>
      </w:r>
    </w:p>
    <w:p w14:paraId="5064F2AC">
      <w:pPr>
        <w:tabs>
          <w:tab w:val="left" w:pos="840"/>
        </w:tabs>
        <w:spacing w:line="4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乙方应与选派甲方工作的劳动者订立劳动合同，并在劳动合同中写明：工作过程中可能产生的生产安全、职业病危害及其后果及相关防范措施，不得隐瞒或者欺骗。乙方应根据国家相关法规要求，为其员工配备符合规范的、必要的劳保用品。</w:t>
      </w:r>
    </w:p>
    <w:p w14:paraId="7149369D">
      <w:pPr>
        <w:tabs>
          <w:tab w:val="left" w:pos="840"/>
        </w:tabs>
        <w:spacing w:line="4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乙方应对选派甲方工作的可能接触职业病危害作业的劳动者，按照安全生产监督管理部门、卫生行政部门的规定组织上岗前、在岗期间和离岗时的职业健康检查，并将检查结果书面告知劳动者及甲方；乙方应选派符合甲方要求的身体健康的员工到甲方指定的工作地点工作，并指定工作现场安全生产管理人员。</w:t>
      </w:r>
    </w:p>
    <w:p w14:paraId="3A1FFDF6">
      <w:pPr>
        <w:tabs>
          <w:tab w:val="left" w:pos="840"/>
        </w:tabs>
        <w:spacing w:line="4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（三）乙方应向甲方提供其员工的劳动用工相关其他有关证明的原件或复印件（包括但不限于身份证和健康证明等）的复印件，并保证其资料的真实有效性。</w:t>
      </w:r>
    </w:p>
    <w:p w14:paraId="57843294">
      <w:pPr>
        <w:tabs>
          <w:tab w:val="left" w:pos="840"/>
        </w:tabs>
        <w:spacing w:line="4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（四）除经甲方特殊的同意情况外，乙方员工必须符合以下条件：</w:t>
      </w:r>
    </w:p>
    <w:p w14:paraId="29B44D3C">
      <w:pPr>
        <w:tabs>
          <w:tab w:val="left" w:pos="840"/>
        </w:tabs>
        <w:spacing w:line="4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身体健康，精神状态良好；</w:t>
      </w:r>
    </w:p>
    <w:p w14:paraId="5D26397D">
      <w:pPr>
        <w:tabs>
          <w:tab w:val="left" w:pos="840"/>
        </w:tabs>
        <w:spacing w:line="4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无禁忌症，</w:t>
      </w:r>
      <w:r>
        <w:rPr>
          <w:rFonts w:hint="eastAsia" w:ascii="宋体" w:hAnsi="宋体" w:eastAsia="宋体" w:cs="宋体"/>
          <w:color w:val="auto"/>
          <w:sz w:val="24"/>
          <w:szCs w:val="24"/>
          <w:highlight w:val="none"/>
        </w:rPr>
        <w:t>未患有职业病。</w:t>
      </w:r>
    </w:p>
    <w:p w14:paraId="4B441E46">
      <w:pPr>
        <w:tabs>
          <w:tab w:val="left" w:pos="840"/>
        </w:tabs>
        <w:spacing w:line="4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具备符合工作要求的有效个人资质证书和相关技能；</w:t>
      </w:r>
    </w:p>
    <w:p w14:paraId="4655B074">
      <w:pPr>
        <w:tabs>
          <w:tab w:val="left" w:pos="840"/>
        </w:tabs>
        <w:spacing w:line="4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（五）教育乙方员工遵守中华人民共和国法律法规和甲方的工作规章制度。服从甲方安全管理人员的监督管理。</w:t>
      </w:r>
    </w:p>
    <w:p w14:paraId="3A69F9BD">
      <w:pPr>
        <w:tabs>
          <w:tab w:val="left" w:pos="840"/>
        </w:tabs>
        <w:spacing w:line="4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（六）乙方应教导其员工严格按照甲方的工作描述，生产操作规程等质量标准进行工作。 </w:t>
      </w:r>
      <w:r>
        <w:rPr>
          <w:rFonts w:hint="eastAsia" w:ascii="宋体" w:hAnsi="宋体" w:eastAsia="宋体" w:cs="宋体"/>
          <w:color w:val="auto"/>
          <w:sz w:val="24"/>
          <w:szCs w:val="24"/>
          <w:highlight w:val="none"/>
          <w:lang w:val="en-US" w:eastAsia="zh-CN"/>
        </w:rPr>
        <w:t>工作过程中发生的一切不安全事件和后果均</w:t>
      </w:r>
      <w:r>
        <w:rPr>
          <w:rFonts w:hint="eastAsia" w:ascii="宋体" w:hAnsi="宋体" w:eastAsia="宋体" w:cs="宋体"/>
          <w:color w:val="auto"/>
          <w:sz w:val="24"/>
          <w:szCs w:val="24"/>
          <w:highlight w:val="none"/>
        </w:rPr>
        <w:t>由乙方承担。</w:t>
      </w:r>
    </w:p>
    <w:p w14:paraId="1AE78C12">
      <w:pPr>
        <w:tabs>
          <w:tab w:val="left" w:pos="840"/>
        </w:tabs>
        <w:spacing w:line="4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乙方人员在工作期间发生工伤，乙方应承担工伤认定申请和劳动能力鉴定申请，以及协调工作，甲方应积极配合。工伤认定申请和劳动能力鉴定申请结束后，由乙方按照《工伤保险条例》的有关规定承担用人单位的义务，并按有关规定执行。</w:t>
      </w:r>
    </w:p>
    <w:p w14:paraId="73EB2B2E">
      <w:pPr>
        <w:tabs>
          <w:tab w:val="left" w:pos="840"/>
        </w:tabs>
        <w:spacing w:line="460" w:lineRule="exact"/>
        <w:ind w:firstLine="482" w:firstLineChars="20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三、检查和考核：</w:t>
      </w:r>
    </w:p>
    <w:p w14:paraId="62B9808F">
      <w:pPr>
        <w:tabs>
          <w:tab w:val="left" w:pos="840"/>
        </w:tabs>
        <w:spacing w:line="4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1、甲方安全管理人员有权对乙方的安全生产管理进行监督，对乙方的单位或个人的违章行为，有权按照甲方公司相关制度规定进行</w:t>
      </w:r>
      <w:r>
        <w:rPr>
          <w:rFonts w:hint="eastAsia" w:ascii="宋体" w:hAnsi="宋体" w:eastAsia="宋体" w:cs="宋体"/>
          <w:color w:val="auto"/>
          <w:sz w:val="24"/>
          <w:szCs w:val="24"/>
          <w:highlight w:val="none"/>
          <w:lang w:val="en-US" w:eastAsia="zh-CN"/>
        </w:rPr>
        <w:t>考核</w:t>
      </w:r>
      <w:r>
        <w:rPr>
          <w:rFonts w:hint="eastAsia" w:ascii="宋体" w:hAnsi="宋体" w:eastAsia="宋体" w:cs="宋体"/>
          <w:color w:val="auto"/>
          <w:sz w:val="24"/>
          <w:szCs w:val="24"/>
          <w:highlight w:val="none"/>
        </w:rPr>
        <w:t>，直至责令停工整顿。</w:t>
      </w:r>
    </w:p>
    <w:p w14:paraId="7BB43391">
      <w:pPr>
        <w:tabs>
          <w:tab w:val="left" w:pos="840"/>
        </w:tabs>
        <w:spacing w:line="4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2、如乙方提供虚假资质证明材料，不具备履行本合同的合法资质的，甲方有权立即终止本合同，给甲方造成损失的，乙方应承担赔偿责任。</w:t>
      </w:r>
    </w:p>
    <w:p w14:paraId="45CFDC55">
      <w:pPr>
        <w:tabs>
          <w:tab w:val="left" w:pos="840"/>
        </w:tabs>
        <w:spacing w:line="4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3、如乙方未按本合同规定期限提交乙方派往甲方工作的员工的有关证明材料，又无正当理由的，甲方有权单方终止本合同，给甲方造成损失的，由乙方予以赔偿。</w:t>
      </w:r>
    </w:p>
    <w:p w14:paraId="62A707B1">
      <w:pPr>
        <w:tabs>
          <w:tab w:val="left" w:pos="840"/>
        </w:tabs>
        <w:spacing w:line="4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4、乙方违反中国有关法律法规和本合同的其他规定的，甲方有权终止本协议的履行；给甲方造成损失的，由乙方赔偿损失。</w:t>
      </w:r>
    </w:p>
    <w:p w14:paraId="39E2F39A">
      <w:pPr>
        <w:tabs>
          <w:tab w:val="left" w:pos="840"/>
        </w:tabs>
        <w:spacing w:line="46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四、不安全事件报告及处理</w:t>
      </w:r>
    </w:p>
    <w:p w14:paraId="58605E96">
      <w:pPr>
        <w:tabs>
          <w:tab w:val="left" w:pos="840"/>
        </w:tabs>
        <w:spacing w:line="4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1.乙方在工作中发生不安全事件时，</w:t>
      </w:r>
      <w:r>
        <w:rPr>
          <w:rFonts w:hint="eastAsia" w:ascii="宋体" w:hAnsi="宋体" w:eastAsia="宋体" w:cs="宋体"/>
          <w:color w:val="auto"/>
          <w:sz w:val="24"/>
          <w:szCs w:val="24"/>
          <w:highlight w:val="none"/>
          <w:lang w:val="en-US" w:eastAsia="zh-CN"/>
        </w:rPr>
        <w:t>应立即报告甲方。</w:t>
      </w:r>
      <w:r>
        <w:rPr>
          <w:rFonts w:hint="eastAsia" w:ascii="宋体" w:hAnsi="宋体" w:eastAsia="宋体" w:cs="宋体"/>
          <w:color w:val="auto"/>
          <w:sz w:val="24"/>
          <w:szCs w:val="24"/>
          <w:highlight w:val="none"/>
        </w:rPr>
        <w:t xml:space="preserve">属乙方负责，由乙方组织调查、分析和处理，甲方应给予配合，乙方应将结论书面报甲方；发生影响或损失较大的不安全事件时，可由甲方组织调查、分析和处理。 </w:t>
      </w:r>
    </w:p>
    <w:p w14:paraId="73173A51">
      <w:pPr>
        <w:tabs>
          <w:tab w:val="left" w:pos="840"/>
        </w:tabs>
        <w:spacing w:line="4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2.乙方在工作过程中发生一般及以上生产安全事故，乙方应</w:t>
      </w:r>
      <w:r>
        <w:rPr>
          <w:rFonts w:hint="eastAsia" w:ascii="宋体" w:hAnsi="宋体" w:eastAsia="宋体" w:cs="宋体"/>
          <w:color w:val="auto"/>
          <w:sz w:val="24"/>
          <w:szCs w:val="24"/>
          <w:highlight w:val="none"/>
          <w:lang w:val="en-US" w:eastAsia="zh-CN"/>
        </w:rPr>
        <w:t>立即</w:t>
      </w:r>
      <w:r>
        <w:rPr>
          <w:rFonts w:hint="eastAsia" w:ascii="宋体" w:hAnsi="宋体" w:eastAsia="宋体" w:cs="宋体"/>
          <w:color w:val="auto"/>
          <w:sz w:val="24"/>
          <w:szCs w:val="24"/>
          <w:highlight w:val="none"/>
        </w:rPr>
        <w:t>向甲方报告事故具体情况；发生人身伤亡事故，乙方应按国家有关规定立即向属地政府安监部门报告，同时告知甲方；发生事故后，乙方应迅速组织抢救伤员和现场应急处置，派专人保护事故现场，积极配合并接受相应级别政府调查组调查处理，积极做好善后处理工作。</w:t>
      </w:r>
    </w:p>
    <w:p w14:paraId="6363EA43">
      <w:pPr>
        <w:tabs>
          <w:tab w:val="left" w:pos="840"/>
        </w:tabs>
        <w:spacing w:line="4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3.因乙方发生不安全事件造成的经济损失由乙方承担。</w:t>
      </w:r>
    </w:p>
    <w:p w14:paraId="014B10D4">
      <w:pPr>
        <w:tabs>
          <w:tab w:val="left" w:pos="840"/>
        </w:tabs>
        <w:spacing w:line="4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五、本协议书与《工程施工监理合同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广州LNG应急调峰气源站配套管线工程（黄阁门站-横沥调压和气化站段）线路工程与场站工程</w:t>
      </w:r>
      <w:r>
        <w:rPr>
          <w:rFonts w:hint="eastAsia" w:ascii="宋体" w:hAnsi="宋体" w:eastAsia="宋体" w:cs="宋体"/>
          <w:color w:val="auto"/>
          <w:sz w:val="24"/>
          <w:szCs w:val="24"/>
          <w:highlight w:val="none"/>
          <w:lang w:eastAsia="zh-CN"/>
        </w:rPr>
        <w:t>施工监理</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》为一整体合同文件；本协议书共</w:t>
      </w:r>
      <w:r>
        <w:rPr>
          <w:rFonts w:hint="eastAsia" w:ascii="宋体" w:hAnsi="宋体" w:eastAsia="宋体" w:cs="宋体"/>
          <w:color w:val="auto"/>
          <w:sz w:val="24"/>
          <w:szCs w:val="24"/>
          <w:highlight w:val="none"/>
          <w:lang w:val="en-US" w:eastAsia="zh-CN"/>
        </w:rPr>
        <w:t xml:space="preserve"> 捌</w:t>
      </w:r>
      <w:r>
        <w:rPr>
          <w:rFonts w:hint="eastAsia" w:ascii="宋体" w:hAnsi="宋体" w:eastAsia="宋体" w:cs="宋体"/>
          <w:color w:val="auto"/>
          <w:sz w:val="24"/>
          <w:szCs w:val="28"/>
          <w:highlight w:val="none"/>
          <w:lang w:val="en-US" w:eastAsia="zh-CN"/>
        </w:rPr>
        <w:t xml:space="preserve"> </w:t>
      </w:r>
      <w:r>
        <w:rPr>
          <w:rFonts w:hint="eastAsia" w:ascii="宋体" w:hAnsi="宋体" w:eastAsia="宋体" w:cs="宋体"/>
          <w:color w:val="auto"/>
          <w:sz w:val="24"/>
          <w:szCs w:val="24"/>
          <w:highlight w:val="none"/>
        </w:rPr>
        <w:t>份，甲方</w:t>
      </w:r>
      <w:r>
        <w:rPr>
          <w:rFonts w:hint="eastAsia" w:ascii="宋体" w:hAnsi="宋体" w:eastAsia="宋体" w:cs="宋体"/>
          <w:color w:val="auto"/>
          <w:sz w:val="24"/>
          <w:szCs w:val="24"/>
          <w:highlight w:val="none"/>
          <w:lang w:val="en-US" w:eastAsia="zh-CN"/>
        </w:rPr>
        <w:t xml:space="preserve"> 肆</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份，乙方</w:t>
      </w:r>
      <w:r>
        <w:rPr>
          <w:rFonts w:hint="eastAsia" w:ascii="宋体" w:hAnsi="宋体" w:eastAsia="宋体" w:cs="宋体"/>
          <w:color w:val="auto"/>
          <w:sz w:val="24"/>
          <w:szCs w:val="24"/>
          <w:highlight w:val="none"/>
          <w:lang w:val="en-US" w:eastAsia="zh-CN"/>
        </w:rPr>
        <w:t xml:space="preserve"> 肆</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w:t>
      </w:r>
    </w:p>
    <w:p w14:paraId="13B26947">
      <w:pPr>
        <w:tabs>
          <w:tab w:val="left" w:pos="840"/>
        </w:tabs>
        <w:spacing w:line="460" w:lineRule="exact"/>
        <w:jc w:val="both"/>
        <w:rPr>
          <w:rFonts w:hint="eastAsia" w:ascii="宋体" w:hAnsi="宋体" w:eastAsia="宋体" w:cs="宋体"/>
          <w:color w:val="auto"/>
          <w:sz w:val="24"/>
          <w:szCs w:val="24"/>
          <w:highlight w:val="none"/>
        </w:rPr>
      </w:pPr>
    </w:p>
    <w:p w14:paraId="5C503EC4">
      <w:pPr>
        <w:tabs>
          <w:tab w:val="left" w:pos="840"/>
        </w:tabs>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甲方：（盖章）                           乙方：（盖章）</w:t>
      </w:r>
    </w:p>
    <w:p w14:paraId="1C1011AD">
      <w:pPr>
        <w:tabs>
          <w:tab w:val="left" w:pos="840"/>
        </w:tabs>
        <w:spacing w:line="460" w:lineRule="exact"/>
        <w:jc w:val="both"/>
        <w:rPr>
          <w:rFonts w:hint="eastAsia" w:ascii="宋体" w:hAnsi="宋体" w:eastAsia="宋体" w:cs="宋体"/>
          <w:color w:val="auto"/>
          <w:sz w:val="24"/>
          <w:szCs w:val="24"/>
          <w:highlight w:val="none"/>
        </w:rPr>
      </w:pPr>
    </w:p>
    <w:p w14:paraId="062B182D">
      <w:pPr>
        <w:tabs>
          <w:tab w:val="left" w:pos="840"/>
        </w:tabs>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法定代表人（负责人）：（签名）          法定代表人（负责人）：（签名）</w:t>
      </w:r>
    </w:p>
    <w:p w14:paraId="5A7715D0">
      <w:pPr>
        <w:tabs>
          <w:tab w:val="left" w:pos="840"/>
        </w:tabs>
        <w:spacing w:line="460" w:lineRule="exact"/>
        <w:jc w:val="both"/>
        <w:rPr>
          <w:rFonts w:hint="eastAsia" w:ascii="宋体" w:hAnsi="宋体" w:eastAsia="宋体" w:cs="宋体"/>
          <w:color w:val="auto"/>
          <w:sz w:val="24"/>
          <w:szCs w:val="24"/>
          <w:highlight w:val="none"/>
        </w:rPr>
      </w:pPr>
    </w:p>
    <w:p w14:paraId="69853A44">
      <w:pPr>
        <w:tabs>
          <w:tab w:val="left" w:pos="840"/>
        </w:tabs>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授权委托人：（签名）                      授权委托人：（签名）</w:t>
      </w:r>
    </w:p>
    <w:p w14:paraId="59E2591C">
      <w:pPr>
        <w:tabs>
          <w:tab w:val="left" w:pos="840"/>
        </w:tabs>
        <w:spacing w:line="460" w:lineRule="exact"/>
        <w:jc w:val="both"/>
        <w:rPr>
          <w:rFonts w:hint="eastAsia" w:ascii="宋体" w:hAnsi="宋体" w:eastAsia="宋体" w:cs="宋体"/>
          <w:color w:val="auto"/>
          <w:sz w:val="24"/>
          <w:szCs w:val="24"/>
          <w:highlight w:val="none"/>
        </w:rPr>
      </w:pPr>
    </w:p>
    <w:p w14:paraId="0ACD3E25">
      <w:pPr>
        <w:tabs>
          <w:tab w:val="left" w:pos="840"/>
        </w:tabs>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                               年  月  日</w:t>
      </w:r>
    </w:p>
    <w:p w14:paraId="55D3045D">
      <w:pPr>
        <w:pStyle w:val="2"/>
        <w:rPr>
          <w:color w:val="auto"/>
          <w:highlight w:val="none"/>
        </w:rPr>
      </w:pPr>
    </w:p>
    <w:p w14:paraId="38B06253">
      <w:pPr>
        <w:pStyle w:val="5"/>
        <w:spacing w:before="0" w:after="0" w:line="360" w:lineRule="auto"/>
        <w:rPr>
          <w:rFonts w:ascii="宋体" w:hAnsi="宋体"/>
          <w:color w:val="auto"/>
          <w:sz w:val="28"/>
          <w:szCs w:val="28"/>
          <w:highlight w:val="none"/>
        </w:rPr>
      </w:pPr>
      <w:bookmarkStart w:id="520" w:name="_Toc49205976"/>
      <w:bookmarkStart w:id="521" w:name="_Toc40300028"/>
      <w:bookmarkStart w:id="522" w:name="_Toc40299655"/>
      <w:bookmarkStart w:id="523" w:name="_Toc31876"/>
      <w:bookmarkStart w:id="524" w:name="_Toc46811823"/>
      <w:r>
        <w:rPr>
          <w:rFonts w:hint="eastAsia" w:ascii="宋体" w:hAnsi="宋体"/>
          <w:color w:val="auto"/>
          <w:sz w:val="28"/>
          <w:szCs w:val="28"/>
          <w:highlight w:val="none"/>
        </w:rPr>
        <w:t>附件</w:t>
      </w:r>
      <w:r>
        <w:rPr>
          <w:rFonts w:hint="eastAsia" w:ascii="宋体" w:hAnsi="宋体"/>
          <w:color w:val="auto"/>
          <w:sz w:val="28"/>
          <w:szCs w:val="28"/>
          <w:highlight w:val="none"/>
          <w:lang w:val="en-US" w:eastAsia="zh-CN"/>
        </w:rPr>
        <w:t>二</w:t>
      </w:r>
      <w:r>
        <w:rPr>
          <w:rFonts w:hint="eastAsia" w:ascii="宋体" w:hAnsi="宋体"/>
          <w:color w:val="auto"/>
          <w:sz w:val="28"/>
          <w:szCs w:val="28"/>
          <w:highlight w:val="none"/>
        </w:rPr>
        <w:t xml:space="preserve"> 廉洁协议</w:t>
      </w:r>
      <w:bookmarkEnd w:id="520"/>
      <w:bookmarkEnd w:id="521"/>
      <w:bookmarkEnd w:id="522"/>
      <w:bookmarkEnd w:id="523"/>
    </w:p>
    <w:p w14:paraId="4B6B1768">
      <w:pPr>
        <w:spacing w:line="500" w:lineRule="exact"/>
        <w:jc w:val="left"/>
        <w:rPr>
          <w:rFonts w:ascii="宋体" w:hAnsi="宋体" w:eastAsia="宋体"/>
          <w:b/>
          <w:color w:val="auto"/>
          <w:sz w:val="28"/>
          <w:szCs w:val="28"/>
          <w:highlight w:val="none"/>
          <w:u w:val="single"/>
        </w:rPr>
      </w:pPr>
      <w:r>
        <w:rPr>
          <w:rFonts w:hint="eastAsia" w:ascii="宋体" w:hAnsi="宋体" w:eastAsia="宋体"/>
          <w:color w:val="auto"/>
          <w:sz w:val="24"/>
          <w:highlight w:val="none"/>
        </w:rPr>
        <w:t xml:space="preserve"> </w:t>
      </w:r>
      <w:r>
        <w:rPr>
          <w:rFonts w:hint="eastAsia" w:ascii="宋体" w:hAnsi="宋体" w:eastAsia="宋体"/>
          <w:b/>
          <w:color w:val="auto"/>
          <w:sz w:val="28"/>
          <w:szCs w:val="28"/>
          <w:highlight w:val="none"/>
        </w:rPr>
        <w:t>对应合同名称：</w:t>
      </w:r>
      <w:r>
        <w:rPr>
          <w:rFonts w:ascii="宋体" w:hAnsi="宋体" w:eastAsia="宋体"/>
          <w:b/>
          <w:color w:val="auto"/>
          <w:sz w:val="28"/>
          <w:szCs w:val="28"/>
          <w:highlight w:val="none"/>
          <w:u w:val="single"/>
        </w:rPr>
        <w:t xml:space="preserve">   </w:t>
      </w:r>
      <w:r>
        <w:rPr>
          <w:rFonts w:hint="eastAsia" w:ascii="宋体" w:hAnsi="宋体" w:eastAsia="宋体"/>
          <w:b/>
          <w:color w:val="auto"/>
          <w:sz w:val="28"/>
          <w:szCs w:val="28"/>
          <w:highlight w:val="none"/>
          <w:u w:val="single"/>
        </w:rPr>
        <w:t xml:space="preserve">     </w:t>
      </w:r>
      <w:r>
        <w:rPr>
          <w:rFonts w:ascii="宋体" w:hAnsi="宋体" w:eastAsia="宋体"/>
          <w:b/>
          <w:color w:val="auto"/>
          <w:sz w:val="28"/>
          <w:szCs w:val="28"/>
          <w:highlight w:val="none"/>
          <w:u w:val="single"/>
        </w:rPr>
        <w:t xml:space="preserve">   </w:t>
      </w:r>
    </w:p>
    <w:p w14:paraId="7692AB23">
      <w:pPr>
        <w:spacing w:line="500" w:lineRule="exact"/>
        <w:ind w:firstLine="880" w:firstLineChars="200"/>
        <w:rPr>
          <w:rFonts w:ascii="宋体" w:hAnsi="宋体" w:eastAsia="宋体"/>
          <w:color w:val="auto"/>
          <w:sz w:val="44"/>
          <w:szCs w:val="44"/>
          <w:highlight w:val="none"/>
        </w:rPr>
      </w:pPr>
    </w:p>
    <w:p w14:paraId="11FF00F1">
      <w:pPr>
        <w:spacing w:line="500" w:lineRule="exact"/>
        <w:jc w:val="center"/>
        <w:rPr>
          <w:rFonts w:ascii="宋体" w:hAnsi="宋体" w:eastAsia="宋体"/>
          <w:b/>
          <w:bCs/>
          <w:color w:val="auto"/>
          <w:sz w:val="32"/>
          <w:szCs w:val="32"/>
          <w:highlight w:val="none"/>
        </w:rPr>
      </w:pPr>
      <w:r>
        <w:rPr>
          <w:rFonts w:hint="eastAsia" w:ascii="宋体" w:hAnsi="宋体" w:eastAsia="宋体"/>
          <w:b/>
          <w:bCs/>
          <w:color w:val="auto"/>
          <w:sz w:val="32"/>
          <w:szCs w:val="32"/>
          <w:highlight w:val="none"/>
        </w:rPr>
        <w:t>廉洁协议</w:t>
      </w:r>
    </w:p>
    <w:p w14:paraId="5BA1F3B8">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甲方: </w:t>
      </w:r>
    </w:p>
    <w:p w14:paraId="10B5AA90">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乙方:</w:t>
      </w:r>
    </w:p>
    <w:p w14:paraId="3D02AFE3">
      <w:pPr>
        <w:spacing w:after="0" w:line="360" w:lineRule="auto"/>
        <w:ind w:left="0" w:leftChars="0"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为了增强甲乙双方依法经营、廉洁从业意识，完善自我约束、自我监督机制，营造守法诚信、廉洁高效的工作环境，防止发生违法违纪行为，保护国家、集体和当事人的合法权益，根据中央、省和广州市有关党风建设和反腐倡廉工作的各项规定，特订立本廉洁协议：</w:t>
      </w:r>
    </w:p>
    <w:p w14:paraId="7DCF543E">
      <w:pPr>
        <w:spacing w:after="0" w:line="360" w:lineRule="auto"/>
        <w:ind w:left="0" w:leftChars="0" w:firstLine="482" w:firstLineChars="200"/>
        <w:rPr>
          <w:rFonts w:ascii="宋体" w:hAnsi="宋体" w:eastAsia="宋体"/>
          <w:b/>
          <w:color w:val="auto"/>
          <w:sz w:val="24"/>
          <w:szCs w:val="24"/>
          <w:highlight w:val="none"/>
        </w:rPr>
      </w:pPr>
      <w:r>
        <w:rPr>
          <w:rFonts w:hint="eastAsia" w:ascii="宋体" w:hAnsi="宋体" w:eastAsia="宋体"/>
          <w:b/>
          <w:color w:val="auto"/>
          <w:sz w:val="24"/>
          <w:szCs w:val="24"/>
          <w:highlight w:val="none"/>
        </w:rPr>
        <w:t>第一条</w:t>
      </w:r>
      <w:r>
        <w:rPr>
          <w:rFonts w:ascii="宋体" w:hAnsi="宋体" w:eastAsia="宋体"/>
          <w:b/>
          <w:color w:val="auto"/>
          <w:sz w:val="24"/>
          <w:szCs w:val="24"/>
          <w:highlight w:val="none"/>
        </w:rPr>
        <w:t xml:space="preserve"> </w:t>
      </w:r>
      <w:r>
        <w:rPr>
          <w:rFonts w:hint="eastAsia" w:ascii="宋体" w:hAnsi="宋体" w:eastAsia="宋体"/>
          <w:b/>
          <w:color w:val="auto"/>
          <w:sz w:val="24"/>
          <w:szCs w:val="24"/>
          <w:highlight w:val="none"/>
        </w:rPr>
        <w:t>双方共同的责任和义务</w:t>
      </w:r>
    </w:p>
    <w:p w14:paraId="33A5CCD9">
      <w:pPr>
        <w:spacing w:after="0" w:line="360" w:lineRule="auto"/>
        <w:ind w:left="0" w:leftChars="0"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（一）严格遵守关于市场准入、招标投标、工程建设管理、物资采购、投资并购、国有资产处置等市场经济活动的法律法规制度以及党风建设和反腐倡廉工作的各项规定。</w:t>
      </w:r>
    </w:p>
    <w:p w14:paraId="71EE423F">
      <w:pPr>
        <w:spacing w:after="0" w:line="360" w:lineRule="auto"/>
        <w:ind w:left="0" w:leftChars="0"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（二）严格履行合同约定，自觉承担合同义务。</w:t>
      </w:r>
    </w:p>
    <w:p w14:paraId="348C53E7">
      <w:pPr>
        <w:spacing w:after="0" w:line="360" w:lineRule="auto"/>
        <w:ind w:left="0" w:leftChars="0"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（三）业务活动必须坚持公平、公正、公开和诚实守信的原则（除法律法规另有规定者外），不得为获取不正当利益，损害国家、集体和对方利益。</w:t>
      </w:r>
    </w:p>
    <w:p w14:paraId="66E30658">
      <w:pPr>
        <w:spacing w:after="0" w:line="360" w:lineRule="auto"/>
        <w:ind w:left="0" w:leftChars="0"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（四）建立健全自我监督机制，开展廉洁教育，公布举报电话，监督并认真查处违法违纪行为。</w:t>
      </w:r>
    </w:p>
    <w:p w14:paraId="029A93D4">
      <w:pPr>
        <w:spacing w:after="0" w:line="360" w:lineRule="auto"/>
        <w:ind w:left="0" w:leftChars="0"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（五）发现对方在业务活动中有违规、违纪、违法行为的，应及时提醒对方，情节严重的，应向有关纪检监察部门举报。</w:t>
      </w:r>
    </w:p>
    <w:p w14:paraId="72FF8208">
      <w:pPr>
        <w:spacing w:after="0" w:line="360" w:lineRule="auto"/>
        <w:ind w:left="0" w:leftChars="0" w:firstLine="482" w:firstLineChars="200"/>
        <w:rPr>
          <w:rFonts w:hint="eastAsia" w:ascii="宋体" w:hAnsi="宋体" w:eastAsia="宋体"/>
          <w:b/>
          <w:color w:val="auto"/>
          <w:sz w:val="24"/>
          <w:szCs w:val="24"/>
          <w:highlight w:val="none"/>
        </w:rPr>
      </w:pPr>
      <w:r>
        <w:rPr>
          <w:rFonts w:hint="eastAsia" w:ascii="宋体" w:hAnsi="宋体" w:eastAsia="宋体"/>
          <w:b/>
          <w:color w:val="auto"/>
          <w:sz w:val="24"/>
          <w:szCs w:val="24"/>
          <w:highlight w:val="none"/>
        </w:rPr>
        <w:t>第二条 甲方的责任和义务</w:t>
      </w:r>
    </w:p>
    <w:p w14:paraId="5F9DF810">
      <w:pPr>
        <w:spacing w:after="0" w:line="360" w:lineRule="auto"/>
        <w:ind w:left="0" w:leftChars="0"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甲方相关工作人员，在业务活动的事前、事中、事后，应遵守以下规定：</w:t>
      </w:r>
    </w:p>
    <w:p w14:paraId="37AF8ADF">
      <w:pPr>
        <w:spacing w:after="0" w:line="360" w:lineRule="auto"/>
        <w:ind w:left="0" w:leftChars="0"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（一）贯彻落实广州发展集团股份有限公司有关党风廉政建设责任制及廉洁从业的规定，建立企业诚信档案； </w:t>
      </w:r>
    </w:p>
    <w:p w14:paraId="4F2B7FBE">
      <w:pPr>
        <w:spacing w:after="0" w:line="360" w:lineRule="auto"/>
        <w:ind w:left="0" w:leftChars="0"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（二）按照公平、公正、公开和诚实守信的原则开展各项业务活动，为乙方提供公平的竞争环境与平台； </w:t>
      </w:r>
    </w:p>
    <w:p w14:paraId="3ED742FD">
      <w:pPr>
        <w:spacing w:after="0" w:line="360" w:lineRule="auto"/>
        <w:ind w:left="0" w:leftChars="0"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（三）不准向乙方泄露涉及有关业务活动的内部决策机密； </w:t>
      </w:r>
    </w:p>
    <w:p w14:paraId="0CF55806">
      <w:pPr>
        <w:spacing w:after="0" w:line="360" w:lineRule="auto"/>
        <w:ind w:left="0" w:leftChars="0"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（四）不准向乙方和相关单位索要或接受回扣、红包、礼金、购物卡、有价证券、贵重物品和好处费、感谢费等； </w:t>
      </w:r>
    </w:p>
    <w:p w14:paraId="20BF11D4">
      <w:pPr>
        <w:spacing w:after="0" w:line="360" w:lineRule="auto"/>
        <w:ind w:left="0" w:leftChars="0"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（五）不准在乙方和相关单位报销任何应由甲方或个人支付的费用；</w:t>
      </w:r>
    </w:p>
    <w:p w14:paraId="5F208AD7">
      <w:pPr>
        <w:spacing w:after="0" w:line="360" w:lineRule="auto"/>
        <w:ind w:left="0" w:leftChars="0"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（六）不准要求、暗示或接受乙方和相关单位为个人装修住房、婚丧嫁娶、配偶子女的工作安排以及境内外旅游等提供方便；</w:t>
      </w:r>
    </w:p>
    <w:p w14:paraId="60CEC273">
      <w:pPr>
        <w:spacing w:after="0" w:line="360" w:lineRule="auto"/>
        <w:ind w:left="0" w:leftChars="0"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（七）不准向乙方介绍配偶、子女、亲属参与与甲方有关的经济活动，不得以任何理由向乙方和相关单位推荐第三方单位；</w:t>
      </w:r>
    </w:p>
    <w:p w14:paraId="58FB7160">
      <w:pPr>
        <w:spacing w:after="0" w:line="360" w:lineRule="auto"/>
        <w:ind w:left="0" w:leftChars="0"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（八）不准参与影响相关工作正常和公正开展的其他活动；</w:t>
      </w:r>
    </w:p>
    <w:p w14:paraId="75085E49">
      <w:pPr>
        <w:spacing w:after="0" w:line="360" w:lineRule="auto"/>
        <w:ind w:left="0" w:leftChars="0" w:firstLine="480" w:firstLineChars="200"/>
        <w:rPr>
          <w:rFonts w:hint="eastAsia" w:ascii="宋体" w:hAnsi="宋体" w:eastAsia="宋体"/>
          <w:b/>
          <w:color w:val="auto"/>
          <w:sz w:val="24"/>
          <w:szCs w:val="24"/>
          <w:highlight w:val="none"/>
        </w:rPr>
      </w:pPr>
      <w:r>
        <w:rPr>
          <w:rFonts w:hint="eastAsia" w:ascii="宋体" w:hAnsi="宋体" w:eastAsia="宋体"/>
          <w:color w:val="auto"/>
          <w:sz w:val="24"/>
          <w:szCs w:val="24"/>
          <w:highlight w:val="none"/>
        </w:rPr>
        <w:t>（九）不准违反《中共中央纪委关于严格禁止利用职务上的便利谋取不正当利益的若干规定》的内容。</w:t>
      </w:r>
    </w:p>
    <w:p w14:paraId="29F3D47F">
      <w:pPr>
        <w:spacing w:after="0" w:line="360" w:lineRule="auto"/>
        <w:ind w:left="0" w:leftChars="0" w:firstLine="482" w:firstLineChars="200"/>
        <w:rPr>
          <w:rFonts w:ascii="宋体" w:hAnsi="宋体" w:eastAsia="宋体"/>
          <w:b/>
          <w:color w:val="auto"/>
          <w:sz w:val="24"/>
          <w:szCs w:val="24"/>
          <w:highlight w:val="none"/>
        </w:rPr>
      </w:pPr>
      <w:r>
        <w:rPr>
          <w:rFonts w:hint="eastAsia" w:ascii="宋体" w:hAnsi="宋体" w:eastAsia="宋体"/>
          <w:b/>
          <w:color w:val="auto"/>
          <w:sz w:val="24"/>
          <w:szCs w:val="24"/>
          <w:highlight w:val="none"/>
        </w:rPr>
        <w:t>第三条</w:t>
      </w:r>
      <w:r>
        <w:rPr>
          <w:rFonts w:ascii="宋体" w:hAnsi="宋体" w:eastAsia="宋体"/>
          <w:b/>
          <w:color w:val="auto"/>
          <w:sz w:val="24"/>
          <w:szCs w:val="24"/>
          <w:highlight w:val="none"/>
        </w:rPr>
        <w:t xml:space="preserve"> </w:t>
      </w:r>
      <w:r>
        <w:rPr>
          <w:rFonts w:hint="eastAsia" w:ascii="宋体" w:hAnsi="宋体" w:eastAsia="宋体"/>
          <w:b/>
          <w:color w:val="auto"/>
          <w:sz w:val="24"/>
          <w:szCs w:val="24"/>
          <w:highlight w:val="none"/>
        </w:rPr>
        <w:t>乙方的责任和义务</w:t>
      </w:r>
    </w:p>
    <w:p w14:paraId="748F6ABD">
      <w:pPr>
        <w:spacing w:after="0" w:line="360" w:lineRule="auto"/>
        <w:ind w:left="0" w:leftChars="0"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乙方及其下属企业相关工作人员，在与甲方业务活动的交往过程中，应遵守以下规定：</w:t>
      </w:r>
    </w:p>
    <w:p w14:paraId="3BD69461">
      <w:pPr>
        <w:spacing w:after="0" w:line="360" w:lineRule="auto"/>
        <w:ind w:left="0" w:leftChars="0"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（一）不准以任何理由为甲方和相关单位报销应由对方或个人支付的费用；</w:t>
      </w:r>
    </w:p>
    <w:p w14:paraId="262C7043">
      <w:pPr>
        <w:spacing w:after="0" w:line="360" w:lineRule="auto"/>
        <w:ind w:left="0" w:leftChars="0"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（二）不准以任何理由向甲方、甲方的母公司、上级主管部门及甲方的其他关联公司的负责人及其工作人员赠送回扣、红包、礼金、购物卡、有价证券、贵重物品和好处费、感谢费等；</w:t>
      </w:r>
    </w:p>
    <w:p w14:paraId="306A8E43">
      <w:pPr>
        <w:spacing w:after="0" w:line="360" w:lineRule="auto"/>
        <w:ind w:left="0" w:leftChars="0"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（三）不准以任何理由为甲方、与甲方相关的单位或个人提供高消费宴请及娱乐活动；</w:t>
      </w:r>
    </w:p>
    <w:p w14:paraId="399614FE">
      <w:pPr>
        <w:spacing w:after="0" w:line="360" w:lineRule="auto"/>
        <w:ind w:left="0" w:leftChars="0"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（四）不准以任何理由为甲方、与甲方相关的单位或个人购置或提供通讯工具、交通工具和高档办公用品；</w:t>
      </w:r>
    </w:p>
    <w:p w14:paraId="0F910138">
      <w:pPr>
        <w:spacing w:after="0" w:line="360" w:lineRule="auto"/>
        <w:ind w:left="0" w:leftChars="0"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（五）不准接受或暗示为甲方、与甲方相关的单位或个人装修住房、婚丧嫁取、配偶子女的工作安排以及境内外旅游等提供方便；</w:t>
      </w:r>
    </w:p>
    <w:p w14:paraId="2ED9B497">
      <w:pPr>
        <w:spacing w:after="0" w:line="360" w:lineRule="auto"/>
        <w:ind w:left="0" w:leftChars="0"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（六）不准以谋取非正当利益为目的，擅自与甲方工作人员就业务问题进行私下商谈或者达成利益默契；</w:t>
      </w:r>
    </w:p>
    <w:p w14:paraId="3F53975A">
      <w:pPr>
        <w:spacing w:after="0" w:line="360" w:lineRule="auto"/>
        <w:ind w:left="0" w:leftChars="0"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（七）发现甲方工作人员有违反本廉洁协议规定的，应向甲方单位举报。甲方受理举报部门：纪委办公室；举报电话：【020-37852099】；举报传真：【020-37852095】；举报邮箱：【</w:t>
      </w:r>
      <w:r>
        <w:rPr>
          <w:rFonts w:hint="eastAsia" w:ascii="宋体" w:hAnsi="宋体" w:eastAsia="宋体" w:cstheme="minorBidi"/>
          <w:color w:val="auto"/>
          <w:sz w:val="24"/>
          <w:szCs w:val="24"/>
          <w:highlight w:val="none"/>
        </w:rPr>
        <w:t>gzrqjwbgs@gdg.com.cn</w:t>
      </w:r>
      <w:r>
        <w:rPr>
          <w:rFonts w:hint="eastAsia" w:ascii="宋体" w:hAnsi="宋体" w:eastAsia="宋体"/>
          <w:color w:val="auto"/>
          <w:sz w:val="24"/>
          <w:szCs w:val="24"/>
          <w:highlight w:val="none"/>
        </w:rPr>
        <w:t>】。</w:t>
      </w:r>
    </w:p>
    <w:p w14:paraId="584ADB54">
      <w:pPr>
        <w:spacing w:after="0" w:line="360" w:lineRule="auto"/>
        <w:ind w:left="420" w:leftChars="200" w:firstLine="560"/>
        <w:rPr>
          <w:rFonts w:ascii="宋体" w:hAnsi="宋体" w:eastAsia="宋体"/>
          <w:b/>
          <w:color w:val="auto"/>
          <w:sz w:val="24"/>
          <w:szCs w:val="24"/>
          <w:highlight w:val="none"/>
        </w:rPr>
      </w:pPr>
      <w:r>
        <w:rPr>
          <w:rFonts w:hint="eastAsia" w:ascii="宋体" w:hAnsi="宋体" w:eastAsia="宋体"/>
          <w:b/>
          <w:color w:val="auto"/>
          <w:sz w:val="24"/>
          <w:szCs w:val="24"/>
          <w:highlight w:val="none"/>
        </w:rPr>
        <w:t>第四条</w:t>
      </w:r>
      <w:r>
        <w:rPr>
          <w:rFonts w:ascii="宋体" w:hAnsi="宋体" w:eastAsia="宋体"/>
          <w:b/>
          <w:color w:val="auto"/>
          <w:sz w:val="24"/>
          <w:szCs w:val="24"/>
          <w:highlight w:val="none"/>
        </w:rPr>
        <w:t xml:space="preserve"> </w:t>
      </w:r>
      <w:r>
        <w:rPr>
          <w:rFonts w:hint="eastAsia" w:ascii="宋体" w:hAnsi="宋体" w:eastAsia="宋体"/>
          <w:b/>
          <w:color w:val="auto"/>
          <w:sz w:val="24"/>
          <w:szCs w:val="24"/>
          <w:highlight w:val="none"/>
        </w:rPr>
        <w:t>法律责任</w:t>
      </w:r>
    </w:p>
    <w:p w14:paraId="4B64286F">
      <w:pPr>
        <w:spacing w:after="0" w:line="360" w:lineRule="auto"/>
        <w:ind w:left="420" w:leftChars="200" w:firstLine="560"/>
        <w:rPr>
          <w:rFonts w:ascii="宋体" w:hAnsi="宋体" w:eastAsia="宋体"/>
          <w:color w:val="auto"/>
          <w:sz w:val="24"/>
          <w:szCs w:val="24"/>
          <w:highlight w:val="none"/>
        </w:rPr>
      </w:pPr>
      <w:r>
        <w:rPr>
          <w:rFonts w:hint="eastAsia" w:ascii="宋体" w:hAnsi="宋体" w:eastAsia="宋体"/>
          <w:color w:val="auto"/>
          <w:sz w:val="24"/>
          <w:szCs w:val="24"/>
          <w:highlight w:val="none"/>
        </w:rPr>
        <w:t>（一）甲方违反本廉洁协议第一条、甲方相关工作人员违反本廉洁协议第二条约定的，经查证属实，严格按照管理权限，依据有关法律法规和规章制度给予相关人员纪律处分或组织处理；相关工作人员涉嫌犯罪的，移送司法机关依法追究刑事责任。</w:t>
      </w:r>
    </w:p>
    <w:p w14:paraId="4A653157">
      <w:pPr>
        <w:spacing w:after="0" w:line="360" w:lineRule="auto"/>
        <w:ind w:left="420" w:leftChars="200" w:firstLine="560"/>
        <w:rPr>
          <w:rFonts w:ascii="宋体" w:hAnsi="宋体" w:eastAsia="宋体"/>
          <w:color w:val="auto"/>
          <w:sz w:val="24"/>
          <w:szCs w:val="24"/>
          <w:highlight w:val="none"/>
        </w:rPr>
      </w:pPr>
      <w:r>
        <w:rPr>
          <w:rFonts w:hint="eastAsia" w:ascii="宋体" w:hAnsi="宋体" w:eastAsia="宋体"/>
          <w:color w:val="auto"/>
          <w:sz w:val="24"/>
          <w:szCs w:val="24"/>
          <w:highlight w:val="none"/>
        </w:rPr>
        <w:t>（二）乙方及其下属企业及其工作人员违反本廉洁协议第一、三条约定的，经查证属实，甲方可视情节轻重对乙方实施一定期限的市场禁入，以及有权立即单方解除与乙方已签订的相关业务合同以终止相关业务合作；乙方及其下属企业的工作人员涉嫌犯罪的，移送司法机关依法追究刑事责任。</w:t>
      </w:r>
    </w:p>
    <w:p w14:paraId="3D87F437">
      <w:pPr>
        <w:spacing w:after="0" w:line="360" w:lineRule="auto"/>
        <w:ind w:left="420" w:leftChars="200" w:firstLine="560"/>
        <w:rPr>
          <w:rFonts w:ascii="宋体" w:hAnsi="宋体" w:eastAsia="宋体"/>
          <w:b/>
          <w:color w:val="auto"/>
          <w:sz w:val="24"/>
          <w:szCs w:val="24"/>
          <w:highlight w:val="none"/>
        </w:rPr>
      </w:pPr>
      <w:r>
        <w:rPr>
          <w:rFonts w:hint="eastAsia" w:ascii="宋体" w:hAnsi="宋体" w:eastAsia="宋体"/>
          <w:b/>
          <w:color w:val="auto"/>
          <w:sz w:val="24"/>
          <w:szCs w:val="24"/>
          <w:highlight w:val="none"/>
        </w:rPr>
        <w:t>第五条</w:t>
      </w:r>
      <w:r>
        <w:rPr>
          <w:rFonts w:ascii="宋体" w:hAnsi="宋体" w:eastAsia="宋体"/>
          <w:b/>
          <w:color w:val="auto"/>
          <w:sz w:val="24"/>
          <w:szCs w:val="24"/>
          <w:highlight w:val="none"/>
        </w:rPr>
        <w:t xml:space="preserve"> </w:t>
      </w:r>
      <w:r>
        <w:rPr>
          <w:rFonts w:hint="eastAsia" w:ascii="宋体" w:hAnsi="宋体" w:eastAsia="宋体"/>
          <w:b/>
          <w:color w:val="auto"/>
          <w:sz w:val="24"/>
          <w:szCs w:val="24"/>
          <w:highlight w:val="none"/>
        </w:rPr>
        <w:t>协议生效及法律效力</w:t>
      </w:r>
    </w:p>
    <w:p w14:paraId="577BE008">
      <w:pPr>
        <w:spacing w:after="0" w:line="360" w:lineRule="auto"/>
        <w:ind w:left="420" w:leftChars="200" w:firstLine="560"/>
        <w:rPr>
          <w:rFonts w:ascii="宋体" w:hAnsi="宋体" w:eastAsia="宋体"/>
          <w:color w:val="auto"/>
          <w:sz w:val="24"/>
          <w:szCs w:val="24"/>
          <w:highlight w:val="none"/>
        </w:rPr>
      </w:pPr>
      <w:r>
        <w:rPr>
          <w:rFonts w:hint="eastAsia" w:ascii="宋体" w:hAnsi="宋体" w:eastAsia="宋体"/>
          <w:color w:val="auto"/>
          <w:sz w:val="24"/>
          <w:szCs w:val="24"/>
          <w:highlight w:val="none"/>
        </w:rPr>
        <w:t>（一）本廉洁协议经双方签字盖章后立即生效。</w:t>
      </w:r>
    </w:p>
    <w:p w14:paraId="161C62B2">
      <w:pPr>
        <w:spacing w:after="0" w:line="360" w:lineRule="auto"/>
        <w:ind w:left="420" w:leftChars="200" w:firstLine="560"/>
        <w:rPr>
          <w:rFonts w:ascii="宋体" w:hAnsi="宋体" w:eastAsia="宋体"/>
          <w:color w:val="auto"/>
          <w:sz w:val="24"/>
          <w:szCs w:val="24"/>
          <w:highlight w:val="none"/>
        </w:rPr>
      </w:pPr>
      <w:r>
        <w:rPr>
          <w:rFonts w:hint="eastAsia" w:ascii="宋体" w:hAnsi="宋体" w:eastAsia="宋体"/>
          <w:color w:val="auto"/>
          <w:sz w:val="24"/>
          <w:szCs w:val="24"/>
          <w:highlight w:val="none"/>
        </w:rPr>
        <w:t>（二）除非甲乙双方另行签订新的廉洁协议，否则本廉洁协议在甲方与乙方存在业务关系期间均对双方产生约束力。</w:t>
      </w:r>
    </w:p>
    <w:p w14:paraId="42C41167">
      <w:pPr>
        <w:spacing w:after="0" w:line="360" w:lineRule="auto"/>
        <w:ind w:left="420" w:leftChars="200" w:firstLine="560"/>
        <w:rPr>
          <w:rFonts w:ascii="宋体" w:hAnsi="宋体" w:eastAsia="宋体"/>
          <w:b/>
          <w:color w:val="auto"/>
          <w:sz w:val="24"/>
          <w:szCs w:val="24"/>
          <w:highlight w:val="none"/>
        </w:rPr>
      </w:pPr>
      <w:r>
        <w:rPr>
          <w:rFonts w:hint="eastAsia" w:ascii="宋体" w:hAnsi="宋体" w:eastAsia="宋体"/>
          <w:b/>
          <w:color w:val="auto"/>
          <w:sz w:val="24"/>
          <w:szCs w:val="24"/>
          <w:highlight w:val="none"/>
        </w:rPr>
        <w:t>第六条</w:t>
      </w:r>
      <w:r>
        <w:rPr>
          <w:rFonts w:ascii="宋体" w:hAnsi="宋体" w:eastAsia="宋体"/>
          <w:b/>
          <w:color w:val="auto"/>
          <w:sz w:val="24"/>
          <w:szCs w:val="24"/>
          <w:highlight w:val="none"/>
        </w:rPr>
        <w:t xml:space="preserve"> </w:t>
      </w:r>
      <w:r>
        <w:rPr>
          <w:rFonts w:hint="eastAsia" w:ascii="宋体" w:hAnsi="宋体" w:eastAsia="宋体"/>
          <w:b/>
          <w:color w:val="auto"/>
          <w:sz w:val="24"/>
          <w:szCs w:val="24"/>
          <w:highlight w:val="none"/>
        </w:rPr>
        <w:t>协议书份数</w:t>
      </w:r>
    </w:p>
    <w:p w14:paraId="55BC9723">
      <w:pPr>
        <w:spacing w:after="0" w:line="360" w:lineRule="auto"/>
        <w:ind w:left="420" w:leftChars="200" w:firstLine="560"/>
        <w:rPr>
          <w:rFonts w:ascii="宋体" w:hAnsi="宋体" w:eastAsia="宋体"/>
          <w:color w:val="auto"/>
          <w:sz w:val="24"/>
          <w:szCs w:val="24"/>
          <w:highlight w:val="none"/>
        </w:rPr>
      </w:pPr>
      <w:r>
        <w:rPr>
          <w:rFonts w:hint="eastAsia" w:ascii="宋体" w:hAnsi="宋体" w:eastAsia="宋体"/>
          <w:color w:val="auto"/>
          <w:sz w:val="24"/>
          <w:szCs w:val="24"/>
          <w:highlight w:val="none"/>
        </w:rPr>
        <w:t>本廉洁协议一式</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【捌】份，甲方</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【肆】份，乙方【肆】份。</w:t>
      </w:r>
    </w:p>
    <w:p w14:paraId="42DB1C1B">
      <w:pPr>
        <w:spacing w:after="0" w:line="360" w:lineRule="auto"/>
        <w:ind w:left="420" w:leftChars="200" w:firstLine="560"/>
        <w:rPr>
          <w:rFonts w:ascii="宋体" w:hAnsi="宋体" w:eastAsia="宋体"/>
          <w:color w:val="auto"/>
          <w:sz w:val="24"/>
          <w:szCs w:val="24"/>
          <w:highlight w:val="none"/>
        </w:rPr>
      </w:pPr>
      <w:r>
        <w:rPr>
          <w:rFonts w:hint="eastAsia" w:ascii="宋体" w:hAnsi="宋体" w:eastAsia="宋体"/>
          <w:color w:val="auto"/>
          <w:sz w:val="24"/>
          <w:szCs w:val="24"/>
          <w:highlight w:val="none"/>
        </w:rPr>
        <w:t>甲乙双方确认在签订本廉洁协议前已仔细阅读条款内容，甲乙双方对本廉洁协议所产生的法律责任已清楚知悉并承诺遵守。</w:t>
      </w:r>
    </w:p>
    <w:p w14:paraId="31AE71DD">
      <w:pPr>
        <w:spacing w:after="0" w:line="360" w:lineRule="auto"/>
        <w:ind w:left="200"/>
        <w:rPr>
          <w:rFonts w:ascii="宋体" w:hAnsi="宋体" w:eastAsia="宋体"/>
          <w:color w:val="auto"/>
          <w:sz w:val="24"/>
          <w:szCs w:val="24"/>
          <w:highlight w:val="none"/>
        </w:rPr>
      </w:pPr>
    </w:p>
    <w:p w14:paraId="28BF5116">
      <w:pPr>
        <w:spacing w:after="0" w:line="360" w:lineRule="auto"/>
        <w:ind w:left="420" w:leftChars="200" w:firstLine="560"/>
        <w:rPr>
          <w:rFonts w:ascii="宋体" w:hAnsi="宋体" w:eastAsia="宋体"/>
          <w:color w:val="auto"/>
          <w:sz w:val="24"/>
          <w:szCs w:val="24"/>
          <w:highlight w:val="none"/>
        </w:rPr>
      </w:pPr>
      <w:r>
        <w:rPr>
          <w:rFonts w:hint="eastAsia" w:ascii="宋体" w:hAnsi="宋体" w:eastAsia="宋体"/>
          <w:color w:val="auto"/>
          <w:sz w:val="24"/>
          <w:szCs w:val="24"/>
          <w:highlight w:val="none"/>
        </w:rPr>
        <w:t>甲方（盖章）：</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乙方（盖章）：</w:t>
      </w:r>
    </w:p>
    <w:p w14:paraId="3E8A401D">
      <w:pPr>
        <w:spacing w:after="0" w:line="360" w:lineRule="auto"/>
        <w:ind w:left="420" w:leftChars="200" w:firstLine="560"/>
        <w:rPr>
          <w:rFonts w:ascii="宋体" w:hAnsi="宋体" w:eastAsia="宋体"/>
          <w:color w:val="auto"/>
          <w:sz w:val="24"/>
          <w:szCs w:val="24"/>
          <w:highlight w:val="none"/>
        </w:rPr>
      </w:pPr>
      <w:r>
        <w:rPr>
          <w:rFonts w:hint="eastAsia" w:ascii="宋体" w:hAnsi="宋体" w:eastAsia="宋体"/>
          <w:color w:val="auto"/>
          <w:sz w:val="24"/>
          <w:szCs w:val="24"/>
          <w:highlight w:val="none"/>
        </w:rPr>
        <w:t>法定代表人</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法定代表人</w:t>
      </w:r>
    </w:p>
    <w:p w14:paraId="6C0166E1">
      <w:pPr>
        <w:spacing w:after="0" w:line="360" w:lineRule="auto"/>
        <w:ind w:left="420" w:leftChars="200"/>
        <w:rPr>
          <w:rFonts w:ascii="宋体" w:hAnsi="宋体" w:eastAsia="宋体"/>
          <w:color w:val="auto"/>
          <w:sz w:val="24"/>
          <w:szCs w:val="24"/>
          <w:highlight w:val="none"/>
        </w:rPr>
      </w:pPr>
      <w:r>
        <w:rPr>
          <w:rFonts w:hint="eastAsia" w:ascii="宋体" w:hAnsi="宋体" w:eastAsia="宋体"/>
          <w:color w:val="auto"/>
          <w:sz w:val="24"/>
          <w:szCs w:val="24"/>
          <w:highlight w:val="none"/>
        </w:rPr>
        <w:t>（或委托代理人）：</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（或委托代理人）：</w:t>
      </w:r>
      <w:r>
        <w:rPr>
          <w:rFonts w:ascii="宋体" w:hAnsi="宋体" w:eastAsia="宋体"/>
          <w:color w:val="auto"/>
          <w:sz w:val="24"/>
          <w:szCs w:val="24"/>
          <w:highlight w:val="none"/>
        </w:rPr>
        <w:t xml:space="preserve">             </w:t>
      </w:r>
    </w:p>
    <w:p w14:paraId="2338DF18">
      <w:pPr>
        <w:spacing w:after="0" w:line="360" w:lineRule="auto"/>
        <w:ind w:left="420" w:leftChars="200"/>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年</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月</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日</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年</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月</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日</w:t>
      </w:r>
    </w:p>
    <w:p w14:paraId="21A35A66">
      <w:pPr>
        <w:spacing w:line="360" w:lineRule="auto"/>
        <w:rPr>
          <w:rFonts w:ascii="宋体" w:hAnsi="宋体" w:eastAsia="宋体"/>
          <w:color w:val="auto"/>
          <w:sz w:val="24"/>
          <w:szCs w:val="24"/>
          <w:highlight w:val="none"/>
        </w:rPr>
      </w:pPr>
    </w:p>
    <w:p w14:paraId="5671500F">
      <w:pPr>
        <w:spacing w:line="360" w:lineRule="auto"/>
        <w:ind w:firstLine="1200" w:firstLineChars="500"/>
        <w:rPr>
          <w:rFonts w:ascii="宋体" w:hAnsi="宋体" w:eastAsia="宋体"/>
          <w:color w:val="auto"/>
          <w:sz w:val="24"/>
          <w:szCs w:val="24"/>
          <w:highlight w:val="none"/>
        </w:rPr>
        <w:sectPr>
          <w:pgSz w:w="12240" w:h="15840"/>
          <w:pgMar w:top="1304" w:right="1417" w:bottom="1304" w:left="1417" w:header="680" w:footer="680" w:gutter="0"/>
          <w:pgBorders>
            <w:top w:val="none" w:sz="0" w:space="0"/>
            <w:left w:val="none" w:sz="0" w:space="0"/>
            <w:bottom w:val="none" w:sz="0" w:space="0"/>
            <w:right w:val="none" w:sz="0" w:space="0"/>
          </w:pgBorders>
          <w:cols w:space="0" w:num="1"/>
          <w:rtlGutter w:val="1"/>
          <w:docGrid w:linePitch="312" w:charSpace="0"/>
        </w:sectPr>
      </w:pPr>
    </w:p>
    <w:bookmarkEnd w:id="524"/>
    <w:p w14:paraId="5F4414C7">
      <w:pPr>
        <w:pStyle w:val="5"/>
        <w:spacing w:before="0" w:after="0" w:line="360" w:lineRule="auto"/>
        <w:rPr>
          <w:rFonts w:ascii="宋体" w:hAnsi="宋体"/>
          <w:color w:val="auto"/>
          <w:sz w:val="28"/>
          <w:szCs w:val="28"/>
          <w:highlight w:val="none"/>
        </w:rPr>
      </w:pPr>
      <w:bookmarkStart w:id="525" w:name="_Toc40300029"/>
      <w:bookmarkStart w:id="526" w:name="_Toc46713390"/>
      <w:bookmarkStart w:id="527" w:name="_Toc49205977"/>
      <w:bookmarkStart w:id="528" w:name="_Toc23930"/>
      <w:bookmarkStart w:id="529" w:name="_Toc46811829"/>
      <w:bookmarkStart w:id="530" w:name="_Toc40299656"/>
      <w:bookmarkStart w:id="531" w:name="_Toc46713391"/>
      <w:bookmarkStart w:id="532" w:name="_Toc46811830"/>
      <w:r>
        <w:rPr>
          <w:rFonts w:hint="eastAsia" w:ascii="宋体" w:hAnsi="宋体"/>
          <w:color w:val="auto"/>
          <w:sz w:val="28"/>
          <w:szCs w:val="28"/>
          <w:highlight w:val="none"/>
        </w:rPr>
        <w:t>附件</w:t>
      </w:r>
      <w:r>
        <w:rPr>
          <w:rFonts w:hint="eastAsia" w:ascii="宋体" w:hAnsi="宋体"/>
          <w:color w:val="auto"/>
          <w:sz w:val="28"/>
          <w:szCs w:val="28"/>
          <w:highlight w:val="none"/>
          <w:lang w:val="en-US" w:eastAsia="zh-CN"/>
        </w:rPr>
        <w:t>三</w:t>
      </w:r>
      <w:r>
        <w:rPr>
          <w:rFonts w:hint="eastAsia" w:ascii="宋体" w:hAnsi="宋体"/>
          <w:color w:val="auto"/>
          <w:sz w:val="28"/>
          <w:szCs w:val="28"/>
          <w:highlight w:val="none"/>
        </w:rPr>
        <w:t xml:space="preserve"> </w:t>
      </w:r>
      <w:r>
        <w:rPr>
          <w:rFonts w:ascii="宋体" w:hAnsi="宋体"/>
          <w:color w:val="auto"/>
          <w:sz w:val="28"/>
          <w:szCs w:val="28"/>
          <w:highlight w:val="none"/>
        </w:rPr>
        <w:t>本项目的监理组织机构</w:t>
      </w:r>
      <w:bookmarkEnd w:id="525"/>
      <w:bookmarkEnd w:id="526"/>
      <w:bookmarkEnd w:id="527"/>
      <w:bookmarkEnd w:id="528"/>
      <w:bookmarkEnd w:id="529"/>
      <w:bookmarkEnd w:id="530"/>
    </w:p>
    <w:p w14:paraId="4B18290B">
      <w:pPr>
        <w:rPr>
          <w:rFonts w:ascii="宋体" w:hAnsi="宋体" w:eastAsia="宋体"/>
          <w:color w:val="auto"/>
          <w:highlight w:val="none"/>
        </w:rPr>
      </w:pPr>
    </w:p>
    <w:p w14:paraId="2766A758">
      <w:pPr>
        <w:spacing w:after="240" w:afterLines="100"/>
        <w:rPr>
          <w:rFonts w:hint="eastAsia" w:ascii="宋体" w:hAnsi="宋体" w:eastAsia="宋体"/>
          <w:color w:val="auto"/>
          <w:sz w:val="24"/>
          <w:highlight w:val="none"/>
        </w:rPr>
      </w:pPr>
      <w:r>
        <w:rPr>
          <w:rFonts w:hint="eastAsia" w:ascii="宋体" w:hAnsi="宋体" w:eastAsia="宋体"/>
          <w:color w:val="auto"/>
          <w:sz w:val="24"/>
          <w:highlight w:val="none"/>
        </w:rPr>
        <w:t xml:space="preserve">总监：         </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 xml:space="preserve"> 联系电话：          邮箱：</w:t>
      </w:r>
    </w:p>
    <w:p w14:paraId="06274FE0">
      <w:pPr>
        <w:spacing w:after="240" w:afterLines="100"/>
        <w:rPr>
          <w:rFonts w:hint="eastAsia" w:ascii="宋体" w:hAnsi="宋体" w:eastAsia="宋体"/>
          <w:color w:val="auto"/>
          <w:sz w:val="24"/>
          <w:highlight w:val="none"/>
        </w:rPr>
      </w:pPr>
    </w:p>
    <w:p w14:paraId="62E29DB1">
      <w:pPr>
        <w:spacing w:after="240" w:afterLines="100"/>
        <w:rPr>
          <w:rFonts w:hint="eastAsia" w:ascii="宋体" w:hAnsi="宋体" w:eastAsia="宋体"/>
          <w:color w:val="auto"/>
          <w:sz w:val="24"/>
          <w:highlight w:val="none"/>
        </w:rPr>
      </w:pPr>
      <w:r>
        <w:rPr>
          <w:rFonts w:hint="eastAsia" w:ascii="宋体" w:hAnsi="宋体" w:eastAsia="宋体"/>
          <w:color w:val="auto"/>
          <w:sz w:val="24"/>
          <w:highlight w:val="none"/>
        </w:rPr>
        <w:t xml:space="preserve">专业监理工程师：       </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 xml:space="preserve"> 联系电话：    </w:t>
      </w:r>
    </w:p>
    <w:p w14:paraId="3C1F83B0">
      <w:pPr>
        <w:spacing w:after="240" w:afterLines="100"/>
        <w:rPr>
          <w:rFonts w:hint="eastAsia" w:ascii="宋体" w:hAnsi="宋体" w:eastAsia="宋体"/>
          <w:color w:val="auto"/>
          <w:sz w:val="24"/>
          <w:highlight w:val="none"/>
        </w:rPr>
      </w:pPr>
    </w:p>
    <w:p w14:paraId="5C419229">
      <w:pPr>
        <w:spacing w:after="240" w:afterLines="100"/>
        <w:rPr>
          <w:rFonts w:hint="eastAsia" w:ascii="宋体" w:hAnsi="宋体" w:eastAsia="宋体"/>
          <w:bCs w:val="0"/>
          <w:color w:val="auto"/>
          <w:sz w:val="24"/>
          <w:szCs w:val="22"/>
          <w:highlight w:val="none"/>
          <w:lang w:val="en-US" w:eastAsia="zh-CN"/>
        </w:rPr>
      </w:pPr>
      <w:r>
        <w:rPr>
          <w:rFonts w:hint="eastAsia" w:ascii="宋体" w:hAnsi="宋体" w:eastAsia="宋体"/>
          <w:bCs w:val="0"/>
          <w:color w:val="auto"/>
          <w:sz w:val="24"/>
          <w:szCs w:val="22"/>
          <w:highlight w:val="none"/>
          <w:lang w:val="en-US" w:eastAsia="zh-CN"/>
        </w:rPr>
        <w:t>安全监理工程师：             联系电话：</w:t>
      </w:r>
    </w:p>
    <w:p w14:paraId="72E30705">
      <w:pPr>
        <w:spacing w:after="240" w:afterLines="100"/>
        <w:rPr>
          <w:rFonts w:hint="eastAsia" w:ascii="宋体" w:hAnsi="宋体" w:eastAsia="宋体"/>
          <w:color w:val="auto"/>
          <w:sz w:val="24"/>
          <w:highlight w:val="none"/>
        </w:rPr>
      </w:pPr>
    </w:p>
    <w:bookmarkEnd w:id="531"/>
    <w:bookmarkEnd w:id="532"/>
    <w:p w14:paraId="3A5B10A5">
      <w:pPr>
        <w:rPr>
          <w:rFonts w:ascii="宋体" w:hAnsi="宋体" w:eastAsia="宋体"/>
          <w:bCs/>
          <w:color w:val="auto"/>
          <w:sz w:val="24"/>
          <w:szCs w:val="24"/>
          <w:highlight w:val="none"/>
        </w:rPr>
      </w:pPr>
      <w:r>
        <w:rPr>
          <w:rFonts w:hint="eastAsia" w:ascii="宋体" w:hAnsi="宋体" w:eastAsia="宋体"/>
          <w:bCs/>
          <w:color w:val="auto"/>
          <w:sz w:val="24"/>
          <w:szCs w:val="24"/>
          <w:highlight w:val="none"/>
        </w:rPr>
        <w:t xml:space="preserve">驻场监理员：       </w:t>
      </w:r>
      <w:r>
        <w:rPr>
          <w:rFonts w:hint="eastAsia" w:ascii="宋体" w:hAnsi="宋体" w:eastAsia="宋体"/>
          <w:bCs/>
          <w:color w:val="auto"/>
          <w:sz w:val="24"/>
          <w:szCs w:val="24"/>
          <w:highlight w:val="none"/>
          <w:lang w:val="en-US" w:eastAsia="zh-CN"/>
        </w:rPr>
        <w:t xml:space="preserve">           </w:t>
      </w:r>
      <w:r>
        <w:rPr>
          <w:rFonts w:hint="eastAsia" w:ascii="宋体" w:hAnsi="宋体" w:eastAsia="宋体"/>
          <w:bCs/>
          <w:color w:val="auto"/>
          <w:sz w:val="24"/>
          <w:szCs w:val="24"/>
          <w:highlight w:val="none"/>
        </w:rPr>
        <w:t>联系电话：</w:t>
      </w:r>
    </w:p>
    <w:p w14:paraId="6A8CB41C">
      <w:pPr>
        <w:pStyle w:val="5"/>
        <w:spacing w:before="0" w:after="0" w:line="360" w:lineRule="auto"/>
        <w:rPr>
          <w:rFonts w:ascii="宋体" w:hAnsi="宋体"/>
          <w:color w:val="auto"/>
          <w:sz w:val="28"/>
          <w:szCs w:val="28"/>
          <w:highlight w:val="none"/>
        </w:rPr>
      </w:pPr>
      <w:r>
        <w:rPr>
          <w:rFonts w:ascii="宋体" w:hAnsi="宋体"/>
          <w:color w:val="auto"/>
          <w:sz w:val="24"/>
          <w:szCs w:val="24"/>
          <w:highlight w:val="none"/>
        </w:rPr>
        <w:br w:type="page"/>
      </w:r>
      <w:bookmarkStart w:id="533" w:name="_Toc40299657"/>
      <w:bookmarkStart w:id="534" w:name="_Toc49205978"/>
      <w:bookmarkStart w:id="535" w:name="_Toc10839"/>
      <w:bookmarkStart w:id="536" w:name="_Toc40300030"/>
      <w:r>
        <w:rPr>
          <w:rFonts w:hint="eastAsia" w:ascii="宋体" w:hAnsi="宋体"/>
          <w:color w:val="auto"/>
          <w:sz w:val="28"/>
          <w:szCs w:val="28"/>
          <w:highlight w:val="none"/>
        </w:rPr>
        <w:t>附件</w:t>
      </w:r>
      <w:r>
        <w:rPr>
          <w:rFonts w:hint="eastAsia" w:ascii="宋体" w:hAnsi="宋体"/>
          <w:color w:val="auto"/>
          <w:sz w:val="28"/>
          <w:szCs w:val="28"/>
          <w:highlight w:val="none"/>
          <w:lang w:val="en-US" w:eastAsia="zh-CN"/>
        </w:rPr>
        <w:t>四</w:t>
      </w:r>
      <w:r>
        <w:rPr>
          <w:rFonts w:hint="eastAsia" w:ascii="宋体" w:hAnsi="宋体"/>
          <w:color w:val="auto"/>
          <w:sz w:val="28"/>
          <w:szCs w:val="28"/>
          <w:highlight w:val="none"/>
        </w:rPr>
        <w:t xml:space="preserve"> </w:t>
      </w:r>
      <w:bookmarkStart w:id="537" w:name="OLE_LINK1"/>
      <w:r>
        <w:rPr>
          <w:rFonts w:hint="eastAsia" w:ascii="宋体" w:hAnsi="宋体"/>
          <w:color w:val="auto"/>
          <w:sz w:val="28"/>
          <w:szCs w:val="28"/>
          <w:highlight w:val="none"/>
        </w:rPr>
        <w:t>投入本项目的监理人员汇总表</w:t>
      </w:r>
      <w:bookmarkEnd w:id="537"/>
      <w:r>
        <w:rPr>
          <w:rFonts w:hint="eastAsia" w:ascii="宋体" w:hAnsi="宋体"/>
          <w:color w:val="auto"/>
          <w:sz w:val="28"/>
          <w:szCs w:val="28"/>
          <w:highlight w:val="none"/>
        </w:rPr>
        <w:t>（须满足投标文件的承诺）</w:t>
      </w:r>
      <w:bookmarkEnd w:id="533"/>
      <w:bookmarkEnd w:id="534"/>
      <w:bookmarkEnd w:id="535"/>
      <w:bookmarkEnd w:id="536"/>
    </w:p>
    <w:tbl>
      <w:tblPr>
        <w:tblStyle w:val="40"/>
        <w:tblW w:w="99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945"/>
        <w:gridCol w:w="1195"/>
        <w:gridCol w:w="1392"/>
        <w:gridCol w:w="803"/>
        <w:gridCol w:w="1435"/>
        <w:gridCol w:w="1095"/>
        <w:gridCol w:w="1899"/>
        <w:gridCol w:w="493"/>
      </w:tblGrid>
      <w:tr w14:paraId="51056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97" w:type="dxa"/>
            <w:vMerge w:val="restart"/>
            <w:vAlign w:val="center"/>
          </w:tcPr>
          <w:p w14:paraId="7C176AD9">
            <w:pPr>
              <w:spacing w:line="26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序号</w:t>
            </w:r>
          </w:p>
        </w:tc>
        <w:tc>
          <w:tcPr>
            <w:tcW w:w="945" w:type="dxa"/>
            <w:vMerge w:val="restart"/>
            <w:vAlign w:val="center"/>
          </w:tcPr>
          <w:p w14:paraId="4460C31D">
            <w:pPr>
              <w:spacing w:line="26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姓名</w:t>
            </w:r>
          </w:p>
        </w:tc>
        <w:tc>
          <w:tcPr>
            <w:tcW w:w="1195" w:type="dxa"/>
            <w:vMerge w:val="restart"/>
            <w:vAlign w:val="center"/>
          </w:tcPr>
          <w:p w14:paraId="6062696B">
            <w:pPr>
              <w:spacing w:line="26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职称</w:t>
            </w:r>
          </w:p>
        </w:tc>
        <w:tc>
          <w:tcPr>
            <w:tcW w:w="4725" w:type="dxa"/>
            <w:gridSpan w:val="4"/>
            <w:vAlign w:val="center"/>
          </w:tcPr>
          <w:p w14:paraId="4964DE33">
            <w:pPr>
              <w:spacing w:line="26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执业资格或职业资格或毕业证专业证明</w:t>
            </w:r>
          </w:p>
        </w:tc>
        <w:tc>
          <w:tcPr>
            <w:tcW w:w="1899" w:type="dxa"/>
            <w:vMerge w:val="restart"/>
            <w:vAlign w:val="center"/>
          </w:tcPr>
          <w:p w14:paraId="3E3C01C3">
            <w:pPr>
              <w:spacing w:line="26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在本项目中</w:t>
            </w:r>
          </w:p>
          <w:p w14:paraId="08E98EFA">
            <w:pPr>
              <w:spacing w:line="26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担任的岗位（总监、专业监理工程师、监理员）</w:t>
            </w:r>
          </w:p>
        </w:tc>
        <w:tc>
          <w:tcPr>
            <w:tcW w:w="493" w:type="dxa"/>
            <w:vMerge w:val="restart"/>
            <w:vAlign w:val="center"/>
          </w:tcPr>
          <w:p w14:paraId="36BE42FC">
            <w:pPr>
              <w:spacing w:line="26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备注</w:t>
            </w:r>
          </w:p>
        </w:tc>
      </w:tr>
      <w:tr w14:paraId="7F555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697" w:type="dxa"/>
            <w:vMerge w:val="continue"/>
            <w:vAlign w:val="center"/>
          </w:tcPr>
          <w:p w14:paraId="60A1EA29">
            <w:pPr>
              <w:spacing w:line="260" w:lineRule="exact"/>
              <w:jc w:val="center"/>
              <w:rPr>
                <w:rFonts w:ascii="宋体" w:hAnsi="宋体" w:eastAsia="宋体"/>
                <w:color w:val="auto"/>
                <w:szCs w:val="21"/>
                <w:highlight w:val="none"/>
              </w:rPr>
            </w:pPr>
          </w:p>
        </w:tc>
        <w:tc>
          <w:tcPr>
            <w:tcW w:w="945" w:type="dxa"/>
            <w:vMerge w:val="continue"/>
            <w:vAlign w:val="center"/>
          </w:tcPr>
          <w:p w14:paraId="2366C5DA">
            <w:pPr>
              <w:spacing w:line="260" w:lineRule="exact"/>
              <w:jc w:val="center"/>
              <w:rPr>
                <w:rFonts w:ascii="宋体" w:hAnsi="宋体" w:eastAsia="宋体"/>
                <w:color w:val="auto"/>
                <w:szCs w:val="21"/>
                <w:highlight w:val="none"/>
              </w:rPr>
            </w:pPr>
          </w:p>
        </w:tc>
        <w:tc>
          <w:tcPr>
            <w:tcW w:w="1195" w:type="dxa"/>
            <w:vMerge w:val="continue"/>
            <w:vAlign w:val="center"/>
          </w:tcPr>
          <w:p w14:paraId="28638453">
            <w:pPr>
              <w:spacing w:line="260" w:lineRule="exact"/>
              <w:jc w:val="center"/>
              <w:rPr>
                <w:rFonts w:ascii="宋体" w:hAnsi="宋体" w:eastAsia="宋体"/>
                <w:color w:val="auto"/>
                <w:szCs w:val="21"/>
                <w:highlight w:val="none"/>
              </w:rPr>
            </w:pPr>
          </w:p>
        </w:tc>
        <w:tc>
          <w:tcPr>
            <w:tcW w:w="1392" w:type="dxa"/>
            <w:vAlign w:val="center"/>
          </w:tcPr>
          <w:p w14:paraId="0F0BF74D">
            <w:pPr>
              <w:spacing w:line="26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证书名称</w:t>
            </w:r>
          </w:p>
        </w:tc>
        <w:tc>
          <w:tcPr>
            <w:tcW w:w="803" w:type="dxa"/>
            <w:vAlign w:val="center"/>
          </w:tcPr>
          <w:p w14:paraId="1598DCB9">
            <w:pPr>
              <w:spacing w:line="26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级别</w:t>
            </w:r>
          </w:p>
        </w:tc>
        <w:tc>
          <w:tcPr>
            <w:tcW w:w="1435" w:type="dxa"/>
            <w:vAlign w:val="center"/>
          </w:tcPr>
          <w:p w14:paraId="607EEB32">
            <w:pPr>
              <w:spacing w:line="26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证号</w:t>
            </w:r>
          </w:p>
        </w:tc>
        <w:tc>
          <w:tcPr>
            <w:tcW w:w="1095" w:type="dxa"/>
            <w:vAlign w:val="center"/>
          </w:tcPr>
          <w:p w14:paraId="439FA43E">
            <w:pPr>
              <w:spacing w:line="26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专业</w:t>
            </w:r>
          </w:p>
        </w:tc>
        <w:tc>
          <w:tcPr>
            <w:tcW w:w="1899" w:type="dxa"/>
            <w:vMerge w:val="continue"/>
            <w:vAlign w:val="center"/>
          </w:tcPr>
          <w:p w14:paraId="3ADD3849">
            <w:pPr>
              <w:spacing w:line="260" w:lineRule="exact"/>
              <w:jc w:val="center"/>
              <w:rPr>
                <w:rFonts w:ascii="宋体" w:hAnsi="宋体" w:eastAsia="宋体"/>
                <w:color w:val="auto"/>
                <w:szCs w:val="21"/>
                <w:highlight w:val="none"/>
              </w:rPr>
            </w:pPr>
          </w:p>
        </w:tc>
        <w:tc>
          <w:tcPr>
            <w:tcW w:w="493" w:type="dxa"/>
            <w:vMerge w:val="continue"/>
            <w:vAlign w:val="center"/>
          </w:tcPr>
          <w:p w14:paraId="7018113B">
            <w:pPr>
              <w:spacing w:line="260" w:lineRule="exact"/>
              <w:jc w:val="center"/>
              <w:rPr>
                <w:rFonts w:ascii="宋体" w:hAnsi="宋体" w:eastAsia="宋体"/>
                <w:color w:val="auto"/>
                <w:szCs w:val="21"/>
                <w:highlight w:val="none"/>
              </w:rPr>
            </w:pPr>
          </w:p>
        </w:tc>
      </w:tr>
      <w:tr w14:paraId="11007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697" w:type="dxa"/>
            <w:vAlign w:val="center"/>
          </w:tcPr>
          <w:p w14:paraId="4D0CF53F">
            <w:pPr>
              <w:spacing w:line="260" w:lineRule="exact"/>
              <w:jc w:val="center"/>
              <w:rPr>
                <w:rFonts w:ascii="宋体" w:hAnsi="宋体" w:eastAsia="宋体"/>
                <w:color w:val="auto"/>
                <w:szCs w:val="21"/>
                <w:highlight w:val="none"/>
              </w:rPr>
            </w:pPr>
          </w:p>
        </w:tc>
        <w:tc>
          <w:tcPr>
            <w:tcW w:w="945" w:type="dxa"/>
            <w:vAlign w:val="center"/>
          </w:tcPr>
          <w:p w14:paraId="36C159FD">
            <w:pPr>
              <w:spacing w:line="260" w:lineRule="exact"/>
              <w:jc w:val="center"/>
              <w:rPr>
                <w:rFonts w:ascii="宋体" w:hAnsi="宋体" w:eastAsia="宋体"/>
                <w:color w:val="auto"/>
                <w:szCs w:val="21"/>
                <w:highlight w:val="none"/>
              </w:rPr>
            </w:pPr>
          </w:p>
        </w:tc>
        <w:tc>
          <w:tcPr>
            <w:tcW w:w="1195" w:type="dxa"/>
            <w:vAlign w:val="center"/>
          </w:tcPr>
          <w:p w14:paraId="1E83FC0F">
            <w:pPr>
              <w:spacing w:line="260" w:lineRule="exact"/>
              <w:jc w:val="center"/>
              <w:rPr>
                <w:rFonts w:ascii="宋体" w:hAnsi="宋体" w:eastAsia="宋体"/>
                <w:color w:val="auto"/>
                <w:szCs w:val="21"/>
                <w:highlight w:val="none"/>
              </w:rPr>
            </w:pPr>
          </w:p>
        </w:tc>
        <w:tc>
          <w:tcPr>
            <w:tcW w:w="1392" w:type="dxa"/>
            <w:vAlign w:val="center"/>
          </w:tcPr>
          <w:p w14:paraId="758184C6">
            <w:pPr>
              <w:spacing w:line="260" w:lineRule="exact"/>
              <w:jc w:val="center"/>
              <w:rPr>
                <w:rFonts w:ascii="宋体" w:hAnsi="宋体" w:eastAsia="宋体"/>
                <w:color w:val="auto"/>
                <w:szCs w:val="21"/>
                <w:highlight w:val="none"/>
              </w:rPr>
            </w:pPr>
          </w:p>
        </w:tc>
        <w:tc>
          <w:tcPr>
            <w:tcW w:w="803" w:type="dxa"/>
            <w:vAlign w:val="center"/>
          </w:tcPr>
          <w:p w14:paraId="5B4520CD">
            <w:pPr>
              <w:spacing w:line="260" w:lineRule="exact"/>
              <w:jc w:val="center"/>
              <w:rPr>
                <w:rFonts w:ascii="宋体" w:hAnsi="宋体" w:eastAsia="宋体"/>
                <w:color w:val="auto"/>
                <w:szCs w:val="21"/>
                <w:highlight w:val="none"/>
              </w:rPr>
            </w:pPr>
          </w:p>
        </w:tc>
        <w:tc>
          <w:tcPr>
            <w:tcW w:w="1435" w:type="dxa"/>
            <w:vAlign w:val="center"/>
          </w:tcPr>
          <w:p w14:paraId="6F36B546">
            <w:pPr>
              <w:spacing w:line="260" w:lineRule="exact"/>
              <w:jc w:val="center"/>
              <w:rPr>
                <w:rFonts w:ascii="宋体" w:hAnsi="宋体" w:eastAsia="宋体"/>
                <w:color w:val="auto"/>
                <w:szCs w:val="21"/>
                <w:highlight w:val="none"/>
              </w:rPr>
            </w:pPr>
          </w:p>
        </w:tc>
        <w:tc>
          <w:tcPr>
            <w:tcW w:w="1095" w:type="dxa"/>
            <w:vAlign w:val="center"/>
          </w:tcPr>
          <w:p w14:paraId="3761E4E7">
            <w:pPr>
              <w:spacing w:line="260" w:lineRule="exact"/>
              <w:ind w:firstLine="105" w:firstLineChars="50"/>
              <w:jc w:val="center"/>
              <w:rPr>
                <w:rFonts w:ascii="宋体" w:hAnsi="宋体" w:eastAsia="宋体"/>
                <w:color w:val="auto"/>
                <w:szCs w:val="21"/>
                <w:highlight w:val="none"/>
              </w:rPr>
            </w:pPr>
          </w:p>
        </w:tc>
        <w:tc>
          <w:tcPr>
            <w:tcW w:w="1899" w:type="dxa"/>
            <w:vAlign w:val="center"/>
          </w:tcPr>
          <w:p w14:paraId="79231009">
            <w:pPr>
              <w:spacing w:line="260" w:lineRule="exact"/>
              <w:ind w:firstLine="105" w:firstLineChars="50"/>
              <w:jc w:val="center"/>
              <w:rPr>
                <w:rFonts w:ascii="宋体" w:hAnsi="宋体" w:eastAsia="宋体"/>
                <w:color w:val="auto"/>
                <w:szCs w:val="21"/>
                <w:highlight w:val="none"/>
              </w:rPr>
            </w:pPr>
          </w:p>
        </w:tc>
        <w:tc>
          <w:tcPr>
            <w:tcW w:w="493" w:type="dxa"/>
            <w:vAlign w:val="center"/>
          </w:tcPr>
          <w:p w14:paraId="1C6B6B3B">
            <w:pPr>
              <w:spacing w:line="260" w:lineRule="exact"/>
              <w:jc w:val="center"/>
              <w:rPr>
                <w:rFonts w:ascii="宋体" w:hAnsi="宋体" w:eastAsia="宋体"/>
                <w:color w:val="auto"/>
                <w:szCs w:val="21"/>
                <w:highlight w:val="none"/>
              </w:rPr>
            </w:pPr>
          </w:p>
        </w:tc>
      </w:tr>
      <w:tr w14:paraId="3A385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697" w:type="dxa"/>
            <w:vAlign w:val="center"/>
          </w:tcPr>
          <w:p w14:paraId="664596C2">
            <w:pPr>
              <w:spacing w:line="260" w:lineRule="exact"/>
              <w:jc w:val="center"/>
              <w:rPr>
                <w:rFonts w:ascii="宋体" w:hAnsi="宋体" w:eastAsia="宋体"/>
                <w:color w:val="auto"/>
                <w:szCs w:val="21"/>
                <w:highlight w:val="none"/>
              </w:rPr>
            </w:pPr>
          </w:p>
        </w:tc>
        <w:tc>
          <w:tcPr>
            <w:tcW w:w="945" w:type="dxa"/>
            <w:vAlign w:val="center"/>
          </w:tcPr>
          <w:p w14:paraId="20F49E00">
            <w:pPr>
              <w:spacing w:line="260" w:lineRule="exact"/>
              <w:jc w:val="center"/>
              <w:rPr>
                <w:rFonts w:ascii="宋体" w:hAnsi="宋体" w:eastAsia="宋体"/>
                <w:color w:val="auto"/>
                <w:szCs w:val="21"/>
                <w:highlight w:val="none"/>
              </w:rPr>
            </w:pPr>
          </w:p>
        </w:tc>
        <w:tc>
          <w:tcPr>
            <w:tcW w:w="1195" w:type="dxa"/>
            <w:vAlign w:val="center"/>
          </w:tcPr>
          <w:p w14:paraId="1448C62B">
            <w:pPr>
              <w:spacing w:line="260" w:lineRule="exact"/>
              <w:jc w:val="center"/>
              <w:rPr>
                <w:rFonts w:ascii="宋体" w:hAnsi="宋体" w:eastAsia="宋体"/>
                <w:color w:val="auto"/>
                <w:szCs w:val="21"/>
                <w:highlight w:val="none"/>
              </w:rPr>
            </w:pPr>
          </w:p>
        </w:tc>
        <w:tc>
          <w:tcPr>
            <w:tcW w:w="1392" w:type="dxa"/>
            <w:vAlign w:val="center"/>
          </w:tcPr>
          <w:p w14:paraId="240341DE">
            <w:pPr>
              <w:spacing w:line="260" w:lineRule="exact"/>
              <w:jc w:val="center"/>
              <w:rPr>
                <w:rFonts w:ascii="宋体" w:hAnsi="宋体" w:eastAsia="宋体"/>
                <w:color w:val="auto"/>
                <w:szCs w:val="21"/>
                <w:highlight w:val="none"/>
              </w:rPr>
            </w:pPr>
          </w:p>
        </w:tc>
        <w:tc>
          <w:tcPr>
            <w:tcW w:w="803" w:type="dxa"/>
            <w:vAlign w:val="center"/>
          </w:tcPr>
          <w:p w14:paraId="1DF14009">
            <w:pPr>
              <w:spacing w:line="260" w:lineRule="exact"/>
              <w:jc w:val="center"/>
              <w:rPr>
                <w:rFonts w:ascii="宋体" w:hAnsi="宋体" w:eastAsia="宋体"/>
                <w:color w:val="auto"/>
                <w:szCs w:val="21"/>
                <w:highlight w:val="none"/>
              </w:rPr>
            </w:pPr>
          </w:p>
        </w:tc>
        <w:tc>
          <w:tcPr>
            <w:tcW w:w="1435" w:type="dxa"/>
            <w:vAlign w:val="center"/>
          </w:tcPr>
          <w:p w14:paraId="4127CE1A">
            <w:pPr>
              <w:spacing w:line="260" w:lineRule="exact"/>
              <w:jc w:val="center"/>
              <w:rPr>
                <w:rFonts w:ascii="宋体" w:hAnsi="宋体" w:eastAsia="宋体"/>
                <w:color w:val="auto"/>
                <w:szCs w:val="21"/>
                <w:highlight w:val="none"/>
              </w:rPr>
            </w:pPr>
          </w:p>
        </w:tc>
        <w:tc>
          <w:tcPr>
            <w:tcW w:w="1095" w:type="dxa"/>
            <w:vAlign w:val="center"/>
          </w:tcPr>
          <w:p w14:paraId="2BF922E3">
            <w:pPr>
              <w:spacing w:line="260" w:lineRule="exact"/>
              <w:jc w:val="center"/>
              <w:rPr>
                <w:rFonts w:ascii="宋体" w:hAnsi="宋体" w:eastAsia="宋体"/>
                <w:color w:val="auto"/>
                <w:szCs w:val="21"/>
                <w:highlight w:val="none"/>
              </w:rPr>
            </w:pPr>
          </w:p>
        </w:tc>
        <w:tc>
          <w:tcPr>
            <w:tcW w:w="1899" w:type="dxa"/>
            <w:vAlign w:val="center"/>
          </w:tcPr>
          <w:p w14:paraId="3B6183FB">
            <w:pPr>
              <w:spacing w:line="260" w:lineRule="exact"/>
              <w:jc w:val="center"/>
              <w:rPr>
                <w:rFonts w:ascii="宋体" w:hAnsi="宋体" w:eastAsia="宋体"/>
                <w:color w:val="auto"/>
                <w:szCs w:val="21"/>
                <w:highlight w:val="none"/>
              </w:rPr>
            </w:pPr>
          </w:p>
        </w:tc>
        <w:tc>
          <w:tcPr>
            <w:tcW w:w="493" w:type="dxa"/>
            <w:vAlign w:val="center"/>
          </w:tcPr>
          <w:p w14:paraId="570ACD57">
            <w:pPr>
              <w:spacing w:line="260" w:lineRule="exact"/>
              <w:jc w:val="center"/>
              <w:rPr>
                <w:rFonts w:ascii="宋体" w:hAnsi="宋体" w:eastAsia="宋体"/>
                <w:color w:val="auto"/>
                <w:szCs w:val="21"/>
                <w:highlight w:val="none"/>
              </w:rPr>
            </w:pPr>
          </w:p>
        </w:tc>
      </w:tr>
      <w:tr w14:paraId="27609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97" w:type="dxa"/>
            <w:vAlign w:val="center"/>
          </w:tcPr>
          <w:p w14:paraId="4969B361">
            <w:pPr>
              <w:spacing w:line="260" w:lineRule="exact"/>
              <w:jc w:val="center"/>
              <w:rPr>
                <w:rFonts w:ascii="宋体" w:hAnsi="宋体" w:eastAsia="宋体"/>
                <w:color w:val="auto"/>
                <w:szCs w:val="21"/>
                <w:highlight w:val="none"/>
              </w:rPr>
            </w:pPr>
          </w:p>
        </w:tc>
        <w:tc>
          <w:tcPr>
            <w:tcW w:w="945" w:type="dxa"/>
            <w:vAlign w:val="center"/>
          </w:tcPr>
          <w:p w14:paraId="1700CB99">
            <w:pPr>
              <w:spacing w:line="260" w:lineRule="exact"/>
              <w:jc w:val="center"/>
              <w:rPr>
                <w:rFonts w:ascii="宋体" w:hAnsi="宋体" w:eastAsia="宋体"/>
                <w:color w:val="auto"/>
                <w:szCs w:val="21"/>
                <w:highlight w:val="none"/>
              </w:rPr>
            </w:pPr>
          </w:p>
        </w:tc>
        <w:tc>
          <w:tcPr>
            <w:tcW w:w="1195" w:type="dxa"/>
            <w:vAlign w:val="center"/>
          </w:tcPr>
          <w:p w14:paraId="17F5716B">
            <w:pPr>
              <w:spacing w:line="260" w:lineRule="exact"/>
              <w:jc w:val="center"/>
              <w:rPr>
                <w:rFonts w:ascii="宋体" w:hAnsi="宋体" w:eastAsia="宋体"/>
                <w:color w:val="auto"/>
                <w:szCs w:val="21"/>
                <w:highlight w:val="none"/>
              </w:rPr>
            </w:pPr>
          </w:p>
        </w:tc>
        <w:tc>
          <w:tcPr>
            <w:tcW w:w="1392" w:type="dxa"/>
            <w:vAlign w:val="center"/>
          </w:tcPr>
          <w:p w14:paraId="139D5514">
            <w:pPr>
              <w:spacing w:line="260" w:lineRule="exact"/>
              <w:jc w:val="center"/>
              <w:rPr>
                <w:rFonts w:ascii="宋体" w:hAnsi="宋体" w:eastAsia="宋体"/>
                <w:color w:val="auto"/>
                <w:szCs w:val="21"/>
                <w:highlight w:val="none"/>
              </w:rPr>
            </w:pPr>
          </w:p>
        </w:tc>
        <w:tc>
          <w:tcPr>
            <w:tcW w:w="803" w:type="dxa"/>
            <w:vAlign w:val="center"/>
          </w:tcPr>
          <w:p w14:paraId="2FA3736B">
            <w:pPr>
              <w:spacing w:line="260" w:lineRule="exact"/>
              <w:jc w:val="center"/>
              <w:rPr>
                <w:rFonts w:ascii="宋体" w:hAnsi="宋体" w:eastAsia="宋体"/>
                <w:color w:val="auto"/>
                <w:szCs w:val="21"/>
                <w:highlight w:val="none"/>
              </w:rPr>
            </w:pPr>
          </w:p>
        </w:tc>
        <w:tc>
          <w:tcPr>
            <w:tcW w:w="1435" w:type="dxa"/>
            <w:vAlign w:val="center"/>
          </w:tcPr>
          <w:p w14:paraId="0A9CFEC5">
            <w:pPr>
              <w:spacing w:line="260" w:lineRule="exact"/>
              <w:jc w:val="center"/>
              <w:rPr>
                <w:rFonts w:ascii="宋体" w:hAnsi="宋体" w:eastAsia="宋体"/>
                <w:color w:val="auto"/>
                <w:szCs w:val="21"/>
                <w:highlight w:val="none"/>
              </w:rPr>
            </w:pPr>
          </w:p>
        </w:tc>
        <w:tc>
          <w:tcPr>
            <w:tcW w:w="1095" w:type="dxa"/>
            <w:vAlign w:val="center"/>
          </w:tcPr>
          <w:p w14:paraId="751BA587">
            <w:pPr>
              <w:spacing w:line="260" w:lineRule="exact"/>
              <w:jc w:val="center"/>
              <w:rPr>
                <w:rFonts w:ascii="宋体" w:hAnsi="宋体" w:eastAsia="宋体"/>
                <w:color w:val="auto"/>
                <w:szCs w:val="21"/>
                <w:highlight w:val="none"/>
              </w:rPr>
            </w:pPr>
          </w:p>
        </w:tc>
        <w:tc>
          <w:tcPr>
            <w:tcW w:w="1899" w:type="dxa"/>
            <w:vAlign w:val="center"/>
          </w:tcPr>
          <w:p w14:paraId="75165CF7">
            <w:pPr>
              <w:spacing w:line="260" w:lineRule="exact"/>
              <w:jc w:val="center"/>
              <w:rPr>
                <w:rFonts w:ascii="宋体" w:hAnsi="宋体" w:eastAsia="宋体"/>
                <w:color w:val="auto"/>
                <w:szCs w:val="21"/>
                <w:highlight w:val="none"/>
              </w:rPr>
            </w:pPr>
          </w:p>
        </w:tc>
        <w:tc>
          <w:tcPr>
            <w:tcW w:w="493" w:type="dxa"/>
            <w:vAlign w:val="center"/>
          </w:tcPr>
          <w:p w14:paraId="40701F93">
            <w:pPr>
              <w:spacing w:line="260" w:lineRule="exact"/>
              <w:jc w:val="center"/>
              <w:rPr>
                <w:rFonts w:ascii="宋体" w:hAnsi="宋体" w:eastAsia="宋体"/>
                <w:color w:val="auto"/>
                <w:szCs w:val="21"/>
                <w:highlight w:val="none"/>
              </w:rPr>
            </w:pPr>
          </w:p>
        </w:tc>
      </w:tr>
      <w:tr w14:paraId="5080A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97" w:type="dxa"/>
            <w:vAlign w:val="center"/>
          </w:tcPr>
          <w:p w14:paraId="3CCDD68E">
            <w:pPr>
              <w:spacing w:line="260" w:lineRule="exact"/>
              <w:jc w:val="center"/>
              <w:rPr>
                <w:rFonts w:ascii="宋体" w:hAnsi="宋体" w:eastAsia="宋体"/>
                <w:color w:val="auto"/>
                <w:szCs w:val="21"/>
                <w:highlight w:val="none"/>
              </w:rPr>
            </w:pPr>
          </w:p>
        </w:tc>
        <w:tc>
          <w:tcPr>
            <w:tcW w:w="945" w:type="dxa"/>
            <w:vAlign w:val="center"/>
          </w:tcPr>
          <w:p w14:paraId="155B5E99">
            <w:pPr>
              <w:spacing w:line="260" w:lineRule="exact"/>
              <w:jc w:val="center"/>
              <w:rPr>
                <w:rFonts w:ascii="宋体" w:hAnsi="宋体" w:eastAsia="宋体"/>
                <w:color w:val="auto"/>
                <w:szCs w:val="21"/>
                <w:highlight w:val="none"/>
              </w:rPr>
            </w:pPr>
          </w:p>
        </w:tc>
        <w:tc>
          <w:tcPr>
            <w:tcW w:w="1195" w:type="dxa"/>
            <w:vAlign w:val="center"/>
          </w:tcPr>
          <w:p w14:paraId="46803581">
            <w:pPr>
              <w:spacing w:line="260" w:lineRule="exact"/>
              <w:jc w:val="center"/>
              <w:rPr>
                <w:rFonts w:ascii="宋体" w:hAnsi="宋体" w:eastAsia="宋体"/>
                <w:color w:val="auto"/>
                <w:szCs w:val="21"/>
                <w:highlight w:val="none"/>
              </w:rPr>
            </w:pPr>
          </w:p>
        </w:tc>
        <w:tc>
          <w:tcPr>
            <w:tcW w:w="1392" w:type="dxa"/>
            <w:vAlign w:val="center"/>
          </w:tcPr>
          <w:p w14:paraId="1D33D736">
            <w:pPr>
              <w:spacing w:line="260" w:lineRule="exact"/>
              <w:jc w:val="center"/>
              <w:rPr>
                <w:rFonts w:ascii="宋体" w:hAnsi="宋体" w:eastAsia="宋体"/>
                <w:color w:val="auto"/>
                <w:szCs w:val="21"/>
                <w:highlight w:val="none"/>
              </w:rPr>
            </w:pPr>
          </w:p>
        </w:tc>
        <w:tc>
          <w:tcPr>
            <w:tcW w:w="803" w:type="dxa"/>
            <w:vAlign w:val="center"/>
          </w:tcPr>
          <w:p w14:paraId="51DCCF22">
            <w:pPr>
              <w:spacing w:line="260" w:lineRule="exact"/>
              <w:jc w:val="center"/>
              <w:rPr>
                <w:rFonts w:ascii="宋体" w:hAnsi="宋体" w:eastAsia="宋体"/>
                <w:color w:val="auto"/>
                <w:szCs w:val="21"/>
                <w:highlight w:val="none"/>
              </w:rPr>
            </w:pPr>
          </w:p>
        </w:tc>
        <w:tc>
          <w:tcPr>
            <w:tcW w:w="1435" w:type="dxa"/>
            <w:vAlign w:val="center"/>
          </w:tcPr>
          <w:p w14:paraId="5324284E">
            <w:pPr>
              <w:spacing w:line="260" w:lineRule="exact"/>
              <w:jc w:val="center"/>
              <w:rPr>
                <w:rFonts w:ascii="宋体" w:hAnsi="宋体" w:eastAsia="宋体"/>
                <w:color w:val="auto"/>
                <w:szCs w:val="21"/>
                <w:highlight w:val="none"/>
              </w:rPr>
            </w:pPr>
          </w:p>
        </w:tc>
        <w:tc>
          <w:tcPr>
            <w:tcW w:w="1095" w:type="dxa"/>
            <w:vAlign w:val="center"/>
          </w:tcPr>
          <w:p w14:paraId="2662A413">
            <w:pPr>
              <w:spacing w:line="260" w:lineRule="exact"/>
              <w:jc w:val="center"/>
              <w:rPr>
                <w:rFonts w:ascii="宋体" w:hAnsi="宋体" w:eastAsia="宋体"/>
                <w:color w:val="auto"/>
                <w:szCs w:val="21"/>
                <w:highlight w:val="none"/>
              </w:rPr>
            </w:pPr>
          </w:p>
        </w:tc>
        <w:tc>
          <w:tcPr>
            <w:tcW w:w="1899" w:type="dxa"/>
            <w:vAlign w:val="center"/>
          </w:tcPr>
          <w:p w14:paraId="708E3388">
            <w:pPr>
              <w:spacing w:line="260" w:lineRule="exact"/>
              <w:jc w:val="center"/>
              <w:rPr>
                <w:rFonts w:ascii="宋体" w:hAnsi="宋体" w:eastAsia="宋体"/>
                <w:color w:val="auto"/>
                <w:szCs w:val="21"/>
                <w:highlight w:val="none"/>
              </w:rPr>
            </w:pPr>
          </w:p>
        </w:tc>
        <w:tc>
          <w:tcPr>
            <w:tcW w:w="493" w:type="dxa"/>
            <w:vAlign w:val="center"/>
          </w:tcPr>
          <w:p w14:paraId="57722564">
            <w:pPr>
              <w:spacing w:line="260" w:lineRule="exact"/>
              <w:jc w:val="center"/>
              <w:rPr>
                <w:rFonts w:ascii="宋体" w:hAnsi="宋体" w:eastAsia="宋体"/>
                <w:color w:val="auto"/>
                <w:szCs w:val="21"/>
                <w:highlight w:val="none"/>
              </w:rPr>
            </w:pPr>
          </w:p>
        </w:tc>
      </w:tr>
      <w:tr w14:paraId="3F056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697" w:type="dxa"/>
            <w:vAlign w:val="center"/>
          </w:tcPr>
          <w:p w14:paraId="26C06D3A">
            <w:pPr>
              <w:spacing w:line="260" w:lineRule="exact"/>
              <w:jc w:val="center"/>
              <w:rPr>
                <w:rFonts w:ascii="宋体" w:hAnsi="宋体" w:eastAsia="宋体"/>
                <w:color w:val="auto"/>
                <w:szCs w:val="21"/>
                <w:highlight w:val="none"/>
              </w:rPr>
            </w:pPr>
          </w:p>
        </w:tc>
        <w:tc>
          <w:tcPr>
            <w:tcW w:w="945" w:type="dxa"/>
            <w:vAlign w:val="center"/>
          </w:tcPr>
          <w:p w14:paraId="1DB4FE9A">
            <w:pPr>
              <w:spacing w:line="260" w:lineRule="exact"/>
              <w:jc w:val="center"/>
              <w:rPr>
                <w:rFonts w:ascii="宋体" w:hAnsi="宋体" w:eastAsia="宋体"/>
                <w:color w:val="auto"/>
                <w:szCs w:val="21"/>
                <w:highlight w:val="none"/>
              </w:rPr>
            </w:pPr>
          </w:p>
        </w:tc>
        <w:tc>
          <w:tcPr>
            <w:tcW w:w="1195" w:type="dxa"/>
            <w:vAlign w:val="center"/>
          </w:tcPr>
          <w:p w14:paraId="47661BD2">
            <w:pPr>
              <w:spacing w:line="260" w:lineRule="exact"/>
              <w:jc w:val="center"/>
              <w:rPr>
                <w:rFonts w:ascii="宋体" w:hAnsi="宋体" w:eastAsia="宋体"/>
                <w:color w:val="auto"/>
                <w:szCs w:val="21"/>
                <w:highlight w:val="none"/>
              </w:rPr>
            </w:pPr>
          </w:p>
        </w:tc>
        <w:tc>
          <w:tcPr>
            <w:tcW w:w="1392" w:type="dxa"/>
            <w:vAlign w:val="center"/>
          </w:tcPr>
          <w:p w14:paraId="12F30C49">
            <w:pPr>
              <w:spacing w:line="260" w:lineRule="exact"/>
              <w:jc w:val="center"/>
              <w:rPr>
                <w:rFonts w:ascii="宋体" w:hAnsi="宋体" w:eastAsia="宋体"/>
                <w:color w:val="auto"/>
                <w:szCs w:val="21"/>
                <w:highlight w:val="none"/>
              </w:rPr>
            </w:pPr>
          </w:p>
        </w:tc>
        <w:tc>
          <w:tcPr>
            <w:tcW w:w="803" w:type="dxa"/>
            <w:vAlign w:val="center"/>
          </w:tcPr>
          <w:p w14:paraId="1795E26F">
            <w:pPr>
              <w:spacing w:line="260" w:lineRule="exact"/>
              <w:jc w:val="center"/>
              <w:rPr>
                <w:rFonts w:ascii="宋体" w:hAnsi="宋体" w:eastAsia="宋体"/>
                <w:color w:val="auto"/>
                <w:szCs w:val="21"/>
                <w:highlight w:val="none"/>
              </w:rPr>
            </w:pPr>
          </w:p>
        </w:tc>
        <w:tc>
          <w:tcPr>
            <w:tcW w:w="1435" w:type="dxa"/>
            <w:vAlign w:val="center"/>
          </w:tcPr>
          <w:p w14:paraId="5945E988">
            <w:pPr>
              <w:spacing w:line="260" w:lineRule="exact"/>
              <w:jc w:val="center"/>
              <w:rPr>
                <w:rFonts w:ascii="宋体" w:hAnsi="宋体" w:eastAsia="宋体"/>
                <w:color w:val="auto"/>
                <w:szCs w:val="21"/>
                <w:highlight w:val="none"/>
              </w:rPr>
            </w:pPr>
          </w:p>
        </w:tc>
        <w:tc>
          <w:tcPr>
            <w:tcW w:w="1095" w:type="dxa"/>
            <w:vAlign w:val="center"/>
          </w:tcPr>
          <w:p w14:paraId="3711466C">
            <w:pPr>
              <w:spacing w:line="260" w:lineRule="exact"/>
              <w:jc w:val="center"/>
              <w:rPr>
                <w:rFonts w:ascii="宋体" w:hAnsi="宋体" w:eastAsia="宋体"/>
                <w:color w:val="auto"/>
                <w:szCs w:val="21"/>
                <w:highlight w:val="none"/>
              </w:rPr>
            </w:pPr>
          </w:p>
        </w:tc>
        <w:tc>
          <w:tcPr>
            <w:tcW w:w="1899" w:type="dxa"/>
            <w:vAlign w:val="center"/>
          </w:tcPr>
          <w:p w14:paraId="49D02777">
            <w:pPr>
              <w:spacing w:line="260" w:lineRule="exact"/>
              <w:jc w:val="center"/>
              <w:rPr>
                <w:rFonts w:ascii="宋体" w:hAnsi="宋体" w:eastAsia="宋体"/>
                <w:color w:val="auto"/>
                <w:szCs w:val="21"/>
                <w:highlight w:val="none"/>
              </w:rPr>
            </w:pPr>
          </w:p>
        </w:tc>
        <w:tc>
          <w:tcPr>
            <w:tcW w:w="493" w:type="dxa"/>
            <w:vAlign w:val="center"/>
          </w:tcPr>
          <w:p w14:paraId="4E105D9D">
            <w:pPr>
              <w:spacing w:line="260" w:lineRule="exact"/>
              <w:jc w:val="center"/>
              <w:rPr>
                <w:rFonts w:ascii="宋体" w:hAnsi="宋体" w:eastAsia="宋体"/>
                <w:color w:val="auto"/>
                <w:szCs w:val="21"/>
                <w:highlight w:val="none"/>
              </w:rPr>
            </w:pPr>
          </w:p>
        </w:tc>
      </w:tr>
      <w:tr w14:paraId="37A59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97" w:type="dxa"/>
            <w:vAlign w:val="center"/>
          </w:tcPr>
          <w:p w14:paraId="0837F879">
            <w:pPr>
              <w:spacing w:line="260" w:lineRule="exact"/>
              <w:jc w:val="center"/>
              <w:rPr>
                <w:rFonts w:ascii="宋体" w:hAnsi="宋体" w:eastAsia="宋体"/>
                <w:color w:val="auto"/>
                <w:szCs w:val="21"/>
                <w:highlight w:val="none"/>
              </w:rPr>
            </w:pPr>
          </w:p>
        </w:tc>
        <w:tc>
          <w:tcPr>
            <w:tcW w:w="945" w:type="dxa"/>
            <w:vAlign w:val="center"/>
          </w:tcPr>
          <w:p w14:paraId="13C82900">
            <w:pPr>
              <w:spacing w:line="260" w:lineRule="exact"/>
              <w:jc w:val="center"/>
              <w:rPr>
                <w:rFonts w:ascii="宋体" w:hAnsi="宋体" w:eastAsia="宋体"/>
                <w:color w:val="auto"/>
                <w:szCs w:val="21"/>
                <w:highlight w:val="none"/>
              </w:rPr>
            </w:pPr>
          </w:p>
        </w:tc>
        <w:tc>
          <w:tcPr>
            <w:tcW w:w="1195" w:type="dxa"/>
            <w:vAlign w:val="center"/>
          </w:tcPr>
          <w:p w14:paraId="42316377">
            <w:pPr>
              <w:spacing w:line="260" w:lineRule="exact"/>
              <w:jc w:val="center"/>
              <w:rPr>
                <w:rFonts w:ascii="宋体" w:hAnsi="宋体" w:eastAsia="宋体"/>
                <w:color w:val="auto"/>
                <w:szCs w:val="21"/>
                <w:highlight w:val="none"/>
              </w:rPr>
            </w:pPr>
          </w:p>
        </w:tc>
        <w:tc>
          <w:tcPr>
            <w:tcW w:w="1392" w:type="dxa"/>
            <w:vAlign w:val="center"/>
          </w:tcPr>
          <w:p w14:paraId="2EE10C7C">
            <w:pPr>
              <w:spacing w:line="260" w:lineRule="exact"/>
              <w:jc w:val="center"/>
              <w:rPr>
                <w:rFonts w:ascii="宋体" w:hAnsi="宋体" w:eastAsia="宋体"/>
                <w:color w:val="auto"/>
                <w:szCs w:val="21"/>
                <w:highlight w:val="none"/>
              </w:rPr>
            </w:pPr>
          </w:p>
        </w:tc>
        <w:tc>
          <w:tcPr>
            <w:tcW w:w="803" w:type="dxa"/>
            <w:vAlign w:val="center"/>
          </w:tcPr>
          <w:p w14:paraId="52415C88">
            <w:pPr>
              <w:spacing w:line="260" w:lineRule="exact"/>
              <w:jc w:val="center"/>
              <w:rPr>
                <w:rFonts w:ascii="宋体" w:hAnsi="宋体" w:eastAsia="宋体"/>
                <w:color w:val="auto"/>
                <w:szCs w:val="21"/>
                <w:highlight w:val="none"/>
              </w:rPr>
            </w:pPr>
          </w:p>
        </w:tc>
        <w:tc>
          <w:tcPr>
            <w:tcW w:w="1435" w:type="dxa"/>
            <w:vAlign w:val="center"/>
          </w:tcPr>
          <w:p w14:paraId="70A16369">
            <w:pPr>
              <w:spacing w:line="260" w:lineRule="exact"/>
              <w:jc w:val="center"/>
              <w:rPr>
                <w:rFonts w:ascii="宋体" w:hAnsi="宋体" w:eastAsia="宋体"/>
                <w:color w:val="auto"/>
                <w:szCs w:val="21"/>
                <w:highlight w:val="none"/>
              </w:rPr>
            </w:pPr>
          </w:p>
        </w:tc>
        <w:tc>
          <w:tcPr>
            <w:tcW w:w="1095" w:type="dxa"/>
            <w:vAlign w:val="center"/>
          </w:tcPr>
          <w:p w14:paraId="2F3BC2B0">
            <w:pPr>
              <w:spacing w:line="260" w:lineRule="exact"/>
              <w:jc w:val="center"/>
              <w:rPr>
                <w:rFonts w:ascii="宋体" w:hAnsi="宋体" w:eastAsia="宋体"/>
                <w:color w:val="auto"/>
                <w:szCs w:val="21"/>
                <w:highlight w:val="none"/>
              </w:rPr>
            </w:pPr>
          </w:p>
        </w:tc>
        <w:tc>
          <w:tcPr>
            <w:tcW w:w="1899" w:type="dxa"/>
            <w:vAlign w:val="center"/>
          </w:tcPr>
          <w:p w14:paraId="5D7FCBA6">
            <w:pPr>
              <w:spacing w:line="260" w:lineRule="exact"/>
              <w:jc w:val="center"/>
              <w:rPr>
                <w:rFonts w:ascii="宋体" w:hAnsi="宋体" w:eastAsia="宋体"/>
                <w:color w:val="auto"/>
                <w:szCs w:val="21"/>
                <w:highlight w:val="none"/>
              </w:rPr>
            </w:pPr>
          </w:p>
        </w:tc>
        <w:tc>
          <w:tcPr>
            <w:tcW w:w="493" w:type="dxa"/>
            <w:vAlign w:val="center"/>
          </w:tcPr>
          <w:p w14:paraId="6EC44237">
            <w:pPr>
              <w:spacing w:line="260" w:lineRule="exact"/>
              <w:jc w:val="center"/>
              <w:rPr>
                <w:rFonts w:ascii="宋体" w:hAnsi="宋体" w:eastAsia="宋体"/>
                <w:color w:val="auto"/>
                <w:szCs w:val="21"/>
                <w:highlight w:val="none"/>
              </w:rPr>
            </w:pPr>
          </w:p>
        </w:tc>
      </w:tr>
      <w:tr w14:paraId="736A6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97" w:type="dxa"/>
            <w:vAlign w:val="center"/>
          </w:tcPr>
          <w:p w14:paraId="17C82985">
            <w:pPr>
              <w:spacing w:line="260" w:lineRule="exact"/>
              <w:jc w:val="center"/>
              <w:rPr>
                <w:rFonts w:ascii="宋体" w:hAnsi="宋体" w:eastAsia="宋体"/>
                <w:color w:val="auto"/>
                <w:szCs w:val="21"/>
                <w:highlight w:val="none"/>
              </w:rPr>
            </w:pPr>
          </w:p>
        </w:tc>
        <w:tc>
          <w:tcPr>
            <w:tcW w:w="945" w:type="dxa"/>
            <w:vAlign w:val="center"/>
          </w:tcPr>
          <w:p w14:paraId="452F42FC">
            <w:pPr>
              <w:spacing w:line="260" w:lineRule="exact"/>
              <w:jc w:val="center"/>
              <w:rPr>
                <w:rFonts w:ascii="宋体" w:hAnsi="宋体" w:eastAsia="宋体"/>
                <w:color w:val="auto"/>
                <w:szCs w:val="21"/>
                <w:highlight w:val="none"/>
              </w:rPr>
            </w:pPr>
          </w:p>
        </w:tc>
        <w:tc>
          <w:tcPr>
            <w:tcW w:w="1195" w:type="dxa"/>
            <w:vAlign w:val="center"/>
          </w:tcPr>
          <w:p w14:paraId="72ECF14C">
            <w:pPr>
              <w:spacing w:line="260" w:lineRule="exact"/>
              <w:jc w:val="center"/>
              <w:rPr>
                <w:rFonts w:ascii="宋体" w:hAnsi="宋体" w:eastAsia="宋体"/>
                <w:color w:val="auto"/>
                <w:szCs w:val="21"/>
                <w:highlight w:val="none"/>
              </w:rPr>
            </w:pPr>
          </w:p>
        </w:tc>
        <w:tc>
          <w:tcPr>
            <w:tcW w:w="1392" w:type="dxa"/>
            <w:vAlign w:val="center"/>
          </w:tcPr>
          <w:p w14:paraId="55C481C5">
            <w:pPr>
              <w:spacing w:line="260" w:lineRule="exact"/>
              <w:jc w:val="center"/>
              <w:rPr>
                <w:rFonts w:ascii="宋体" w:hAnsi="宋体" w:eastAsia="宋体"/>
                <w:color w:val="auto"/>
                <w:szCs w:val="21"/>
                <w:highlight w:val="none"/>
              </w:rPr>
            </w:pPr>
          </w:p>
        </w:tc>
        <w:tc>
          <w:tcPr>
            <w:tcW w:w="803" w:type="dxa"/>
            <w:vAlign w:val="center"/>
          </w:tcPr>
          <w:p w14:paraId="412F8DFA">
            <w:pPr>
              <w:spacing w:line="260" w:lineRule="exact"/>
              <w:jc w:val="center"/>
              <w:rPr>
                <w:rFonts w:ascii="宋体" w:hAnsi="宋体" w:eastAsia="宋体"/>
                <w:color w:val="auto"/>
                <w:szCs w:val="21"/>
                <w:highlight w:val="none"/>
              </w:rPr>
            </w:pPr>
          </w:p>
        </w:tc>
        <w:tc>
          <w:tcPr>
            <w:tcW w:w="1435" w:type="dxa"/>
            <w:vAlign w:val="center"/>
          </w:tcPr>
          <w:p w14:paraId="68A89B1A">
            <w:pPr>
              <w:spacing w:line="260" w:lineRule="exact"/>
              <w:jc w:val="center"/>
              <w:rPr>
                <w:rFonts w:ascii="宋体" w:hAnsi="宋体" w:eastAsia="宋体"/>
                <w:color w:val="auto"/>
                <w:szCs w:val="21"/>
                <w:highlight w:val="none"/>
              </w:rPr>
            </w:pPr>
          </w:p>
        </w:tc>
        <w:tc>
          <w:tcPr>
            <w:tcW w:w="1095" w:type="dxa"/>
            <w:vAlign w:val="center"/>
          </w:tcPr>
          <w:p w14:paraId="4FA07560">
            <w:pPr>
              <w:spacing w:line="260" w:lineRule="exact"/>
              <w:jc w:val="center"/>
              <w:rPr>
                <w:rFonts w:ascii="宋体" w:hAnsi="宋体" w:eastAsia="宋体"/>
                <w:color w:val="auto"/>
                <w:szCs w:val="21"/>
                <w:highlight w:val="none"/>
              </w:rPr>
            </w:pPr>
          </w:p>
        </w:tc>
        <w:tc>
          <w:tcPr>
            <w:tcW w:w="1899" w:type="dxa"/>
            <w:vAlign w:val="center"/>
          </w:tcPr>
          <w:p w14:paraId="53BC8395">
            <w:pPr>
              <w:spacing w:line="260" w:lineRule="exact"/>
              <w:jc w:val="center"/>
              <w:rPr>
                <w:rFonts w:ascii="宋体" w:hAnsi="宋体" w:eastAsia="宋体"/>
                <w:color w:val="auto"/>
                <w:szCs w:val="21"/>
                <w:highlight w:val="none"/>
              </w:rPr>
            </w:pPr>
          </w:p>
        </w:tc>
        <w:tc>
          <w:tcPr>
            <w:tcW w:w="493" w:type="dxa"/>
            <w:vAlign w:val="center"/>
          </w:tcPr>
          <w:p w14:paraId="73C2FA40">
            <w:pPr>
              <w:spacing w:line="260" w:lineRule="exact"/>
              <w:jc w:val="center"/>
              <w:rPr>
                <w:rFonts w:ascii="宋体" w:hAnsi="宋体" w:eastAsia="宋体"/>
                <w:color w:val="auto"/>
                <w:szCs w:val="21"/>
                <w:highlight w:val="none"/>
              </w:rPr>
            </w:pPr>
          </w:p>
        </w:tc>
      </w:tr>
      <w:tr w14:paraId="3178C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697" w:type="dxa"/>
            <w:vAlign w:val="center"/>
          </w:tcPr>
          <w:p w14:paraId="60A9A563">
            <w:pPr>
              <w:spacing w:line="260" w:lineRule="exact"/>
              <w:jc w:val="center"/>
              <w:rPr>
                <w:rFonts w:ascii="宋体" w:hAnsi="宋体" w:eastAsia="宋体"/>
                <w:color w:val="auto"/>
                <w:szCs w:val="21"/>
                <w:highlight w:val="none"/>
              </w:rPr>
            </w:pPr>
          </w:p>
        </w:tc>
        <w:tc>
          <w:tcPr>
            <w:tcW w:w="945" w:type="dxa"/>
            <w:vAlign w:val="center"/>
          </w:tcPr>
          <w:p w14:paraId="4F8E0708">
            <w:pPr>
              <w:spacing w:line="260" w:lineRule="exact"/>
              <w:jc w:val="center"/>
              <w:rPr>
                <w:rFonts w:ascii="宋体" w:hAnsi="宋体" w:eastAsia="宋体"/>
                <w:color w:val="auto"/>
                <w:szCs w:val="21"/>
                <w:highlight w:val="none"/>
              </w:rPr>
            </w:pPr>
          </w:p>
        </w:tc>
        <w:tc>
          <w:tcPr>
            <w:tcW w:w="1195" w:type="dxa"/>
            <w:vAlign w:val="center"/>
          </w:tcPr>
          <w:p w14:paraId="241AA610">
            <w:pPr>
              <w:spacing w:line="260" w:lineRule="exact"/>
              <w:jc w:val="center"/>
              <w:rPr>
                <w:rFonts w:ascii="宋体" w:hAnsi="宋体" w:eastAsia="宋体"/>
                <w:color w:val="auto"/>
                <w:szCs w:val="21"/>
                <w:highlight w:val="none"/>
              </w:rPr>
            </w:pPr>
          </w:p>
        </w:tc>
        <w:tc>
          <w:tcPr>
            <w:tcW w:w="1392" w:type="dxa"/>
            <w:vAlign w:val="center"/>
          </w:tcPr>
          <w:p w14:paraId="5F9EADDF">
            <w:pPr>
              <w:spacing w:line="260" w:lineRule="exact"/>
              <w:jc w:val="center"/>
              <w:rPr>
                <w:rFonts w:ascii="宋体" w:hAnsi="宋体" w:eastAsia="宋体"/>
                <w:color w:val="auto"/>
                <w:szCs w:val="21"/>
                <w:highlight w:val="none"/>
              </w:rPr>
            </w:pPr>
          </w:p>
        </w:tc>
        <w:tc>
          <w:tcPr>
            <w:tcW w:w="803" w:type="dxa"/>
            <w:vAlign w:val="center"/>
          </w:tcPr>
          <w:p w14:paraId="66BCDFA5">
            <w:pPr>
              <w:spacing w:line="260" w:lineRule="exact"/>
              <w:jc w:val="center"/>
              <w:rPr>
                <w:rFonts w:ascii="宋体" w:hAnsi="宋体" w:eastAsia="宋体"/>
                <w:color w:val="auto"/>
                <w:szCs w:val="21"/>
                <w:highlight w:val="none"/>
              </w:rPr>
            </w:pPr>
          </w:p>
        </w:tc>
        <w:tc>
          <w:tcPr>
            <w:tcW w:w="1435" w:type="dxa"/>
            <w:vAlign w:val="center"/>
          </w:tcPr>
          <w:p w14:paraId="00B917BB">
            <w:pPr>
              <w:spacing w:line="260" w:lineRule="exact"/>
              <w:jc w:val="center"/>
              <w:rPr>
                <w:rFonts w:ascii="宋体" w:hAnsi="宋体" w:eastAsia="宋体"/>
                <w:color w:val="auto"/>
                <w:szCs w:val="21"/>
                <w:highlight w:val="none"/>
              </w:rPr>
            </w:pPr>
          </w:p>
        </w:tc>
        <w:tc>
          <w:tcPr>
            <w:tcW w:w="1095" w:type="dxa"/>
            <w:vAlign w:val="center"/>
          </w:tcPr>
          <w:p w14:paraId="23ED3B22">
            <w:pPr>
              <w:spacing w:line="260" w:lineRule="exact"/>
              <w:jc w:val="center"/>
              <w:rPr>
                <w:rFonts w:ascii="宋体" w:hAnsi="宋体" w:eastAsia="宋体"/>
                <w:color w:val="auto"/>
                <w:szCs w:val="21"/>
                <w:highlight w:val="none"/>
              </w:rPr>
            </w:pPr>
          </w:p>
        </w:tc>
        <w:tc>
          <w:tcPr>
            <w:tcW w:w="1899" w:type="dxa"/>
            <w:vAlign w:val="center"/>
          </w:tcPr>
          <w:p w14:paraId="7498AB57">
            <w:pPr>
              <w:spacing w:line="260" w:lineRule="exact"/>
              <w:jc w:val="center"/>
              <w:rPr>
                <w:rFonts w:ascii="宋体" w:hAnsi="宋体" w:eastAsia="宋体"/>
                <w:color w:val="auto"/>
                <w:szCs w:val="21"/>
                <w:highlight w:val="none"/>
              </w:rPr>
            </w:pPr>
          </w:p>
        </w:tc>
        <w:tc>
          <w:tcPr>
            <w:tcW w:w="493" w:type="dxa"/>
            <w:vAlign w:val="center"/>
          </w:tcPr>
          <w:p w14:paraId="64752EC8">
            <w:pPr>
              <w:spacing w:line="260" w:lineRule="exact"/>
              <w:jc w:val="center"/>
              <w:rPr>
                <w:rFonts w:ascii="宋体" w:hAnsi="宋体" w:eastAsia="宋体"/>
                <w:color w:val="auto"/>
                <w:szCs w:val="21"/>
                <w:highlight w:val="none"/>
              </w:rPr>
            </w:pPr>
          </w:p>
        </w:tc>
      </w:tr>
      <w:tr w14:paraId="3E410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697" w:type="dxa"/>
            <w:vAlign w:val="center"/>
          </w:tcPr>
          <w:p w14:paraId="5ABE0F65">
            <w:pPr>
              <w:spacing w:line="260" w:lineRule="exact"/>
              <w:jc w:val="center"/>
              <w:rPr>
                <w:rFonts w:ascii="宋体" w:hAnsi="宋体" w:eastAsia="宋体"/>
                <w:color w:val="auto"/>
                <w:szCs w:val="21"/>
                <w:highlight w:val="none"/>
              </w:rPr>
            </w:pPr>
          </w:p>
        </w:tc>
        <w:tc>
          <w:tcPr>
            <w:tcW w:w="945" w:type="dxa"/>
            <w:vAlign w:val="center"/>
          </w:tcPr>
          <w:p w14:paraId="7E042E13">
            <w:pPr>
              <w:spacing w:line="260" w:lineRule="exact"/>
              <w:jc w:val="center"/>
              <w:rPr>
                <w:rFonts w:ascii="宋体" w:hAnsi="宋体" w:eastAsia="宋体"/>
                <w:color w:val="auto"/>
                <w:szCs w:val="21"/>
                <w:highlight w:val="none"/>
              </w:rPr>
            </w:pPr>
          </w:p>
        </w:tc>
        <w:tc>
          <w:tcPr>
            <w:tcW w:w="1195" w:type="dxa"/>
            <w:vAlign w:val="center"/>
          </w:tcPr>
          <w:p w14:paraId="4A49E3D7">
            <w:pPr>
              <w:spacing w:line="260" w:lineRule="exact"/>
              <w:jc w:val="center"/>
              <w:rPr>
                <w:rFonts w:ascii="宋体" w:hAnsi="宋体" w:eastAsia="宋体"/>
                <w:color w:val="auto"/>
                <w:szCs w:val="21"/>
                <w:highlight w:val="none"/>
              </w:rPr>
            </w:pPr>
          </w:p>
        </w:tc>
        <w:tc>
          <w:tcPr>
            <w:tcW w:w="1392" w:type="dxa"/>
            <w:vAlign w:val="center"/>
          </w:tcPr>
          <w:p w14:paraId="6937AEEC">
            <w:pPr>
              <w:spacing w:line="260" w:lineRule="exact"/>
              <w:jc w:val="center"/>
              <w:rPr>
                <w:rFonts w:ascii="宋体" w:hAnsi="宋体" w:eastAsia="宋体"/>
                <w:color w:val="auto"/>
                <w:szCs w:val="21"/>
                <w:highlight w:val="none"/>
              </w:rPr>
            </w:pPr>
          </w:p>
        </w:tc>
        <w:tc>
          <w:tcPr>
            <w:tcW w:w="803" w:type="dxa"/>
            <w:vAlign w:val="center"/>
          </w:tcPr>
          <w:p w14:paraId="6459CAEF">
            <w:pPr>
              <w:spacing w:line="260" w:lineRule="exact"/>
              <w:jc w:val="center"/>
              <w:rPr>
                <w:rFonts w:ascii="宋体" w:hAnsi="宋体" w:eastAsia="宋体"/>
                <w:color w:val="auto"/>
                <w:szCs w:val="21"/>
                <w:highlight w:val="none"/>
              </w:rPr>
            </w:pPr>
          </w:p>
        </w:tc>
        <w:tc>
          <w:tcPr>
            <w:tcW w:w="1435" w:type="dxa"/>
            <w:vAlign w:val="center"/>
          </w:tcPr>
          <w:p w14:paraId="39343266">
            <w:pPr>
              <w:spacing w:line="260" w:lineRule="exact"/>
              <w:jc w:val="center"/>
              <w:rPr>
                <w:rFonts w:ascii="宋体" w:hAnsi="宋体" w:eastAsia="宋体" w:cs="宋体"/>
                <w:color w:val="auto"/>
                <w:kern w:val="0"/>
                <w:szCs w:val="21"/>
                <w:highlight w:val="none"/>
              </w:rPr>
            </w:pPr>
          </w:p>
        </w:tc>
        <w:tc>
          <w:tcPr>
            <w:tcW w:w="1095" w:type="dxa"/>
            <w:vAlign w:val="center"/>
          </w:tcPr>
          <w:p w14:paraId="676EECDE">
            <w:pPr>
              <w:spacing w:line="260" w:lineRule="exact"/>
              <w:jc w:val="center"/>
              <w:rPr>
                <w:rFonts w:ascii="宋体" w:hAnsi="宋体" w:eastAsia="宋体"/>
                <w:color w:val="auto"/>
                <w:szCs w:val="21"/>
                <w:highlight w:val="none"/>
              </w:rPr>
            </w:pPr>
          </w:p>
        </w:tc>
        <w:tc>
          <w:tcPr>
            <w:tcW w:w="1899" w:type="dxa"/>
            <w:vAlign w:val="center"/>
          </w:tcPr>
          <w:p w14:paraId="5C50569A">
            <w:pPr>
              <w:spacing w:line="260" w:lineRule="exact"/>
              <w:jc w:val="center"/>
              <w:rPr>
                <w:rFonts w:ascii="宋体" w:hAnsi="宋体" w:eastAsia="宋体"/>
                <w:color w:val="auto"/>
                <w:szCs w:val="21"/>
                <w:highlight w:val="none"/>
              </w:rPr>
            </w:pPr>
          </w:p>
        </w:tc>
        <w:tc>
          <w:tcPr>
            <w:tcW w:w="493" w:type="dxa"/>
            <w:vAlign w:val="center"/>
          </w:tcPr>
          <w:p w14:paraId="16A1F538">
            <w:pPr>
              <w:spacing w:line="260" w:lineRule="exact"/>
              <w:jc w:val="center"/>
              <w:rPr>
                <w:rFonts w:ascii="宋体" w:hAnsi="宋体" w:eastAsia="宋体"/>
                <w:color w:val="auto"/>
                <w:szCs w:val="21"/>
                <w:highlight w:val="none"/>
              </w:rPr>
            </w:pPr>
          </w:p>
        </w:tc>
      </w:tr>
    </w:tbl>
    <w:p w14:paraId="0F579230">
      <w:pPr>
        <w:spacing w:line="360" w:lineRule="auto"/>
        <w:rPr>
          <w:rFonts w:ascii="宋体" w:hAnsi="宋体" w:eastAsia="宋体"/>
          <w:color w:val="auto"/>
          <w:sz w:val="24"/>
          <w:highlight w:val="none"/>
        </w:rPr>
      </w:pPr>
    </w:p>
    <w:p w14:paraId="4B586FB8">
      <w:pPr>
        <w:rPr>
          <w:rFonts w:ascii="宋体" w:hAnsi="宋体" w:eastAsia="宋体"/>
          <w:b/>
          <w:color w:val="auto"/>
          <w:sz w:val="28"/>
          <w:szCs w:val="28"/>
          <w:highlight w:val="none"/>
        </w:rPr>
        <w:sectPr>
          <w:pgSz w:w="12240" w:h="15840"/>
          <w:pgMar w:top="1304" w:right="1417" w:bottom="1304" w:left="1417" w:header="0" w:footer="567" w:gutter="0"/>
          <w:pgBorders>
            <w:top w:val="none" w:sz="0" w:space="0"/>
            <w:left w:val="none" w:sz="0" w:space="0"/>
            <w:bottom w:val="none" w:sz="0" w:space="0"/>
            <w:right w:val="none" w:sz="0" w:space="0"/>
          </w:pgBorders>
          <w:cols w:space="0" w:num="1"/>
          <w:rtlGutter w:val="1"/>
          <w:docGrid w:linePitch="312" w:charSpace="0"/>
        </w:sectPr>
      </w:pPr>
    </w:p>
    <w:p w14:paraId="0E85B420">
      <w:pPr>
        <w:pStyle w:val="5"/>
        <w:spacing w:before="0" w:after="0" w:line="360" w:lineRule="auto"/>
        <w:rPr>
          <w:rFonts w:hint="eastAsia" w:ascii="宋体" w:hAnsi="宋体"/>
          <w:color w:val="auto"/>
          <w:sz w:val="28"/>
          <w:szCs w:val="28"/>
          <w:highlight w:val="none"/>
        </w:rPr>
      </w:pPr>
      <w:bookmarkStart w:id="538" w:name="_Toc49205979"/>
      <w:bookmarkStart w:id="539" w:name="_Toc40299658"/>
      <w:bookmarkStart w:id="540" w:name="_Toc40300031"/>
      <w:bookmarkStart w:id="541" w:name="_Toc11117"/>
      <w:r>
        <w:rPr>
          <w:rFonts w:hint="eastAsia" w:ascii="宋体" w:hAnsi="宋体"/>
          <w:color w:val="auto"/>
          <w:sz w:val="28"/>
          <w:szCs w:val="28"/>
          <w:highlight w:val="none"/>
        </w:rPr>
        <w:t>附件</w:t>
      </w:r>
      <w:r>
        <w:rPr>
          <w:rFonts w:hint="eastAsia" w:ascii="宋体" w:hAnsi="宋体"/>
          <w:color w:val="auto"/>
          <w:sz w:val="28"/>
          <w:szCs w:val="28"/>
          <w:highlight w:val="none"/>
          <w:lang w:val="en-US" w:eastAsia="zh-CN"/>
        </w:rPr>
        <w:t>五</w:t>
      </w:r>
      <w:r>
        <w:rPr>
          <w:rFonts w:hint="eastAsia" w:ascii="宋体" w:hAnsi="宋体"/>
          <w:color w:val="auto"/>
          <w:sz w:val="28"/>
          <w:szCs w:val="28"/>
          <w:highlight w:val="none"/>
        </w:rPr>
        <w:t xml:space="preserve"> </w:t>
      </w:r>
      <w:bookmarkStart w:id="542" w:name="OLE_LINK2"/>
      <w:r>
        <w:rPr>
          <w:rFonts w:hint="eastAsia" w:ascii="宋体" w:hAnsi="宋体"/>
          <w:color w:val="auto"/>
          <w:sz w:val="28"/>
          <w:szCs w:val="28"/>
          <w:highlight w:val="none"/>
        </w:rPr>
        <w:t>投入本项目的监理人员计划表</w:t>
      </w:r>
      <w:bookmarkEnd w:id="538"/>
      <w:bookmarkEnd w:id="539"/>
      <w:bookmarkEnd w:id="540"/>
      <w:r>
        <w:rPr>
          <w:rFonts w:hint="eastAsia" w:ascii="宋体" w:hAnsi="宋体"/>
          <w:color w:val="auto"/>
          <w:sz w:val="28"/>
          <w:szCs w:val="28"/>
          <w:highlight w:val="none"/>
        </w:rPr>
        <w:t>（须满足投标文件的承诺）</w:t>
      </w:r>
      <w:bookmarkEnd w:id="541"/>
    </w:p>
    <w:bookmarkEnd w:id="542"/>
    <w:tbl>
      <w:tblPr>
        <w:tblStyle w:val="40"/>
        <w:tblW w:w="99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00"/>
        <w:gridCol w:w="1112"/>
        <w:gridCol w:w="992"/>
        <w:gridCol w:w="992"/>
        <w:gridCol w:w="1134"/>
        <w:gridCol w:w="1050"/>
        <w:gridCol w:w="1044"/>
        <w:gridCol w:w="1044"/>
        <w:gridCol w:w="1080"/>
      </w:tblGrid>
      <w:tr w14:paraId="49CD2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648" w:type="dxa"/>
            <w:vMerge w:val="restart"/>
            <w:vAlign w:val="center"/>
          </w:tcPr>
          <w:p w14:paraId="09FFB3DB">
            <w:pPr>
              <w:adjustRightInd w:val="0"/>
              <w:snapToGrid w:val="0"/>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序号</w:t>
            </w:r>
          </w:p>
        </w:tc>
        <w:tc>
          <w:tcPr>
            <w:tcW w:w="900" w:type="dxa"/>
            <w:vMerge w:val="restart"/>
            <w:vAlign w:val="center"/>
          </w:tcPr>
          <w:p w14:paraId="76676DFB">
            <w:pPr>
              <w:adjustRightInd w:val="0"/>
              <w:snapToGrid w:val="0"/>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姓</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名</w:t>
            </w:r>
          </w:p>
        </w:tc>
        <w:tc>
          <w:tcPr>
            <w:tcW w:w="1112" w:type="dxa"/>
            <w:vMerge w:val="restart"/>
            <w:vAlign w:val="center"/>
          </w:tcPr>
          <w:p w14:paraId="1919D3D4">
            <w:pPr>
              <w:adjustRightInd w:val="0"/>
              <w:snapToGrid w:val="0"/>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在本项目中任职</w:t>
            </w:r>
          </w:p>
        </w:tc>
        <w:tc>
          <w:tcPr>
            <w:tcW w:w="6256" w:type="dxa"/>
            <w:gridSpan w:val="6"/>
            <w:vAlign w:val="center"/>
          </w:tcPr>
          <w:p w14:paraId="4BC9B3E8">
            <w:pPr>
              <w:adjustRightInd w:val="0"/>
              <w:snapToGrid w:val="0"/>
              <w:ind w:left="-108" w:right="-108"/>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投入计划</w:t>
            </w:r>
          </w:p>
        </w:tc>
        <w:tc>
          <w:tcPr>
            <w:tcW w:w="1080" w:type="dxa"/>
            <w:vMerge w:val="restart"/>
            <w:vAlign w:val="center"/>
          </w:tcPr>
          <w:p w14:paraId="30F02D7D">
            <w:pPr>
              <w:adjustRightInd w:val="0"/>
              <w:snapToGrid w:val="0"/>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备</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注</w:t>
            </w:r>
          </w:p>
        </w:tc>
      </w:tr>
      <w:tr w14:paraId="44619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648" w:type="dxa"/>
            <w:vMerge w:val="continue"/>
            <w:vAlign w:val="center"/>
          </w:tcPr>
          <w:p w14:paraId="7A9176E7">
            <w:pPr>
              <w:adjustRightInd w:val="0"/>
              <w:snapToGrid w:val="0"/>
              <w:jc w:val="center"/>
              <w:rPr>
                <w:rFonts w:ascii="宋体" w:hAnsi="宋体" w:eastAsia="宋体"/>
                <w:color w:val="auto"/>
                <w:szCs w:val="21"/>
                <w:highlight w:val="none"/>
              </w:rPr>
            </w:pPr>
          </w:p>
        </w:tc>
        <w:tc>
          <w:tcPr>
            <w:tcW w:w="900" w:type="dxa"/>
            <w:vMerge w:val="continue"/>
            <w:vAlign w:val="center"/>
          </w:tcPr>
          <w:p w14:paraId="1C9E2BDA">
            <w:pPr>
              <w:adjustRightInd w:val="0"/>
              <w:snapToGrid w:val="0"/>
              <w:jc w:val="center"/>
              <w:rPr>
                <w:rFonts w:ascii="宋体" w:hAnsi="宋体" w:eastAsia="宋体"/>
                <w:color w:val="auto"/>
                <w:szCs w:val="21"/>
                <w:highlight w:val="none"/>
              </w:rPr>
            </w:pPr>
          </w:p>
        </w:tc>
        <w:tc>
          <w:tcPr>
            <w:tcW w:w="1112" w:type="dxa"/>
            <w:vMerge w:val="continue"/>
            <w:vAlign w:val="center"/>
          </w:tcPr>
          <w:p w14:paraId="63B77F77">
            <w:pPr>
              <w:adjustRightInd w:val="0"/>
              <w:snapToGrid w:val="0"/>
              <w:jc w:val="center"/>
              <w:rPr>
                <w:rFonts w:ascii="宋体" w:hAnsi="宋体" w:eastAsia="宋体"/>
                <w:color w:val="auto"/>
                <w:szCs w:val="21"/>
                <w:highlight w:val="none"/>
              </w:rPr>
            </w:pPr>
          </w:p>
        </w:tc>
        <w:tc>
          <w:tcPr>
            <w:tcW w:w="992" w:type="dxa"/>
            <w:vAlign w:val="center"/>
          </w:tcPr>
          <w:p w14:paraId="5A8604C0">
            <w:pPr>
              <w:rPr>
                <w:rFonts w:ascii="宋体" w:hAnsi="宋体" w:eastAsia="宋体"/>
                <w:color w:val="auto"/>
                <w:sz w:val="24"/>
                <w:szCs w:val="24"/>
                <w:highlight w:val="none"/>
              </w:rPr>
            </w:pPr>
            <w:r>
              <w:rPr>
                <w:rFonts w:hint="eastAsia" w:ascii="宋体" w:hAnsi="宋体" w:eastAsia="宋体"/>
                <w:color w:val="auto"/>
                <w:sz w:val="24"/>
                <w:szCs w:val="24"/>
                <w:highlight w:val="none"/>
              </w:rPr>
              <w:t>施工</w:t>
            </w:r>
            <w:r>
              <w:rPr>
                <w:rFonts w:hint="eastAsia" w:ascii="宋体" w:hAnsi="宋体" w:eastAsia="宋体"/>
                <w:color w:val="auto"/>
                <w:sz w:val="24"/>
                <w:szCs w:val="24"/>
                <w:highlight w:val="none"/>
                <w:lang w:val="en-US" w:eastAsia="zh-CN"/>
              </w:rPr>
              <w:t>准备</w:t>
            </w:r>
            <w:r>
              <w:rPr>
                <w:rFonts w:hint="eastAsia" w:ascii="宋体" w:hAnsi="宋体" w:eastAsia="宋体"/>
                <w:color w:val="auto"/>
                <w:sz w:val="24"/>
                <w:szCs w:val="24"/>
                <w:highlight w:val="none"/>
              </w:rPr>
              <w:t>阶段</w:t>
            </w:r>
          </w:p>
        </w:tc>
        <w:tc>
          <w:tcPr>
            <w:tcW w:w="992" w:type="dxa"/>
            <w:vAlign w:val="center"/>
          </w:tcPr>
          <w:p w14:paraId="4A97205F">
            <w:pPr>
              <w:jc w:val="center"/>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施工</w:t>
            </w:r>
          </w:p>
          <w:p w14:paraId="51069F08">
            <w:pPr>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阶段</w:t>
            </w:r>
          </w:p>
        </w:tc>
        <w:tc>
          <w:tcPr>
            <w:tcW w:w="1134" w:type="dxa"/>
            <w:vAlign w:val="center"/>
          </w:tcPr>
          <w:p w14:paraId="022D62E1">
            <w:pPr>
              <w:adjustRightInd w:val="0"/>
              <w:snapToGrid w:val="0"/>
              <w:ind w:right="-108"/>
              <w:jc w:val="center"/>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rPr>
              <w:t>施工</w:t>
            </w:r>
            <w:r>
              <w:rPr>
                <w:rFonts w:hint="eastAsia" w:ascii="宋体" w:hAnsi="宋体" w:eastAsia="宋体"/>
                <w:color w:val="auto"/>
                <w:sz w:val="24"/>
                <w:szCs w:val="24"/>
                <w:highlight w:val="none"/>
                <w:lang w:val="en-US" w:eastAsia="zh-CN"/>
              </w:rPr>
              <w:t>变</w:t>
            </w:r>
          </w:p>
          <w:p w14:paraId="4890E0C4">
            <w:pPr>
              <w:adjustRightInd w:val="0"/>
              <w:snapToGrid w:val="0"/>
              <w:ind w:right="-108" w:rightChars="0"/>
              <w:jc w:val="center"/>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更</w:t>
            </w:r>
            <w:r>
              <w:rPr>
                <w:rFonts w:hint="eastAsia" w:ascii="宋体" w:hAnsi="宋体" w:eastAsia="宋体"/>
                <w:color w:val="auto"/>
                <w:sz w:val="24"/>
                <w:szCs w:val="24"/>
                <w:highlight w:val="none"/>
              </w:rPr>
              <w:t>阶段</w:t>
            </w:r>
          </w:p>
        </w:tc>
        <w:tc>
          <w:tcPr>
            <w:tcW w:w="1050" w:type="dxa"/>
            <w:vAlign w:val="center"/>
          </w:tcPr>
          <w:p w14:paraId="35BE71F3">
            <w:pPr>
              <w:adjustRightInd w:val="0"/>
              <w:snapToGrid w:val="0"/>
              <w:ind w:left="-108" w:leftChars="0" w:right="-108" w:rightChars="0"/>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工程竣工验收阶段</w:t>
            </w:r>
          </w:p>
        </w:tc>
        <w:tc>
          <w:tcPr>
            <w:tcW w:w="1044" w:type="dxa"/>
            <w:vAlign w:val="center"/>
          </w:tcPr>
          <w:p w14:paraId="14ED25D2">
            <w:pPr>
              <w:adjustRightInd w:val="0"/>
              <w:snapToGrid w:val="0"/>
              <w:ind w:left="-108" w:right="-108"/>
              <w:jc w:val="center"/>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rPr>
              <w:t>工程</w:t>
            </w:r>
            <w:r>
              <w:rPr>
                <w:rFonts w:hint="eastAsia" w:ascii="宋体" w:hAnsi="宋体" w:eastAsia="宋体"/>
                <w:color w:val="auto"/>
                <w:sz w:val="24"/>
                <w:szCs w:val="24"/>
                <w:highlight w:val="none"/>
                <w:lang w:val="en-US" w:eastAsia="zh-CN"/>
              </w:rPr>
              <w:t>结</w:t>
            </w:r>
          </w:p>
          <w:p w14:paraId="3EFF8602">
            <w:pPr>
              <w:adjustRightInd w:val="0"/>
              <w:snapToGrid w:val="0"/>
              <w:ind w:left="-108" w:leftChars="0" w:right="-108" w:rightChars="0"/>
              <w:jc w:val="center"/>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算</w:t>
            </w:r>
            <w:r>
              <w:rPr>
                <w:rFonts w:hint="eastAsia" w:ascii="宋体" w:hAnsi="宋体" w:eastAsia="宋体"/>
                <w:color w:val="auto"/>
                <w:sz w:val="24"/>
                <w:szCs w:val="24"/>
                <w:highlight w:val="none"/>
              </w:rPr>
              <w:t>阶段</w:t>
            </w:r>
          </w:p>
        </w:tc>
        <w:tc>
          <w:tcPr>
            <w:tcW w:w="1044" w:type="dxa"/>
            <w:vAlign w:val="center"/>
          </w:tcPr>
          <w:p w14:paraId="75696FA4">
            <w:pPr>
              <w:adjustRightInd w:val="0"/>
              <w:snapToGrid w:val="0"/>
              <w:ind w:left="-108" w:right="-108"/>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工程保修阶段</w:t>
            </w:r>
          </w:p>
        </w:tc>
        <w:tc>
          <w:tcPr>
            <w:tcW w:w="1080" w:type="dxa"/>
            <w:vMerge w:val="continue"/>
            <w:vAlign w:val="center"/>
          </w:tcPr>
          <w:p w14:paraId="313895CF">
            <w:pPr>
              <w:adjustRightInd w:val="0"/>
              <w:snapToGrid w:val="0"/>
              <w:jc w:val="center"/>
              <w:rPr>
                <w:rFonts w:ascii="宋体" w:hAnsi="宋体" w:eastAsia="宋体"/>
                <w:color w:val="auto"/>
                <w:szCs w:val="21"/>
                <w:highlight w:val="none"/>
              </w:rPr>
            </w:pPr>
          </w:p>
        </w:tc>
      </w:tr>
      <w:tr w14:paraId="3B1D4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648" w:type="dxa"/>
          </w:tcPr>
          <w:p w14:paraId="5E7A2070">
            <w:pPr>
              <w:spacing w:line="360" w:lineRule="auto"/>
              <w:rPr>
                <w:rFonts w:ascii="宋体" w:hAnsi="宋体" w:eastAsia="宋体"/>
                <w:color w:val="auto"/>
                <w:szCs w:val="21"/>
                <w:highlight w:val="none"/>
              </w:rPr>
            </w:pPr>
          </w:p>
        </w:tc>
        <w:tc>
          <w:tcPr>
            <w:tcW w:w="900" w:type="dxa"/>
          </w:tcPr>
          <w:p w14:paraId="29B719FC">
            <w:pPr>
              <w:spacing w:line="360" w:lineRule="auto"/>
              <w:rPr>
                <w:rFonts w:ascii="宋体" w:hAnsi="宋体" w:eastAsia="宋体"/>
                <w:color w:val="auto"/>
                <w:szCs w:val="21"/>
                <w:highlight w:val="none"/>
              </w:rPr>
            </w:pPr>
          </w:p>
        </w:tc>
        <w:tc>
          <w:tcPr>
            <w:tcW w:w="1112" w:type="dxa"/>
          </w:tcPr>
          <w:p w14:paraId="5664C4F8">
            <w:pPr>
              <w:spacing w:line="360" w:lineRule="auto"/>
              <w:rPr>
                <w:rFonts w:ascii="宋体" w:hAnsi="宋体" w:eastAsia="宋体"/>
                <w:color w:val="auto"/>
                <w:szCs w:val="21"/>
                <w:highlight w:val="none"/>
              </w:rPr>
            </w:pPr>
          </w:p>
        </w:tc>
        <w:tc>
          <w:tcPr>
            <w:tcW w:w="992" w:type="dxa"/>
          </w:tcPr>
          <w:p w14:paraId="2332BE95">
            <w:pPr>
              <w:spacing w:line="360" w:lineRule="auto"/>
              <w:rPr>
                <w:rFonts w:ascii="宋体" w:hAnsi="宋体" w:eastAsia="宋体"/>
                <w:color w:val="auto"/>
                <w:szCs w:val="21"/>
                <w:highlight w:val="none"/>
              </w:rPr>
            </w:pPr>
          </w:p>
        </w:tc>
        <w:tc>
          <w:tcPr>
            <w:tcW w:w="992" w:type="dxa"/>
          </w:tcPr>
          <w:p w14:paraId="6EA55B89">
            <w:pPr>
              <w:spacing w:line="360" w:lineRule="auto"/>
              <w:rPr>
                <w:rFonts w:ascii="宋体" w:hAnsi="宋体" w:eastAsia="宋体"/>
                <w:color w:val="auto"/>
                <w:szCs w:val="21"/>
                <w:highlight w:val="none"/>
              </w:rPr>
            </w:pPr>
          </w:p>
        </w:tc>
        <w:tc>
          <w:tcPr>
            <w:tcW w:w="1134" w:type="dxa"/>
          </w:tcPr>
          <w:p w14:paraId="712848B5">
            <w:pPr>
              <w:spacing w:line="360" w:lineRule="auto"/>
              <w:rPr>
                <w:rFonts w:ascii="宋体" w:hAnsi="宋体" w:eastAsia="宋体"/>
                <w:color w:val="auto"/>
                <w:szCs w:val="21"/>
                <w:highlight w:val="none"/>
              </w:rPr>
            </w:pPr>
          </w:p>
        </w:tc>
        <w:tc>
          <w:tcPr>
            <w:tcW w:w="1050" w:type="dxa"/>
          </w:tcPr>
          <w:p w14:paraId="41F3D8FE">
            <w:pPr>
              <w:spacing w:line="360" w:lineRule="auto"/>
              <w:rPr>
                <w:rFonts w:ascii="宋体" w:hAnsi="宋体" w:eastAsia="宋体"/>
                <w:color w:val="auto"/>
                <w:szCs w:val="21"/>
                <w:highlight w:val="none"/>
              </w:rPr>
            </w:pPr>
          </w:p>
        </w:tc>
        <w:tc>
          <w:tcPr>
            <w:tcW w:w="1044" w:type="dxa"/>
          </w:tcPr>
          <w:p w14:paraId="37DF2BB0">
            <w:pPr>
              <w:spacing w:line="360" w:lineRule="auto"/>
              <w:rPr>
                <w:rFonts w:ascii="宋体" w:hAnsi="宋体" w:eastAsia="宋体"/>
                <w:color w:val="auto"/>
                <w:szCs w:val="21"/>
                <w:highlight w:val="none"/>
              </w:rPr>
            </w:pPr>
          </w:p>
        </w:tc>
        <w:tc>
          <w:tcPr>
            <w:tcW w:w="1044" w:type="dxa"/>
          </w:tcPr>
          <w:p w14:paraId="65EF7699">
            <w:pPr>
              <w:spacing w:line="360" w:lineRule="auto"/>
              <w:rPr>
                <w:rFonts w:ascii="宋体" w:hAnsi="宋体" w:eastAsia="宋体"/>
                <w:color w:val="auto"/>
                <w:szCs w:val="21"/>
                <w:highlight w:val="none"/>
              </w:rPr>
            </w:pPr>
          </w:p>
        </w:tc>
        <w:tc>
          <w:tcPr>
            <w:tcW w:w="1080" w:type="dxa"/>
          </w:tcPr>
          <w:p w14:paraId="531132A8">
            <w:pPr>
              <w:spacing w:line="360" w:lineRule="auto"/>
              <w:rPr>
                <w:rFonts w:ascii="宋体" w:hAnsi="宋体" w:eastAsia="宋体"/>
                <w:color w:val="auto"/>
                <w:szCs w:val="21"/>
                <w:highlight w:val="none"/>
              </w:rPr>
            </w:pPr>
          </w:p>
        </w:tc>
      </w:tr>
      <w:tr w14:paraId="2942C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648" w:type="dxa"/>
          </w:tcPr>
          <w:p w14:paraId="24A5F925">
            <w:pPr>
              <w:spacing w:line="360" w:lineRule="auto"/>
              <w:rPr>
                <w:rFonts w:ascii="宋体" w:hAnsi="宋体" w:eastAsia="宋体"/>
                <w:color w:val="auto"/>
                <w:szCs w:val="21"/>
                <w:highlight w:val="none"/>
              </w:rPr>
            </w:pPr>
          </w:p>
        </w:tc>
        <w:tc>
          <w:tcPr>
            <w:tcW w:w="900" w:type="dxa"/>
          </w:tcPr>
          <w:p w14:paraId="122DB975">
            <w:pPr>
              <w:spacing w:line="360" w:lineRule="auto"/>
              <w:rPr>
                <w:rFonts w:ascii="宋体" w:hAnsi="宋体" w:eastAsia="宋体"/>
                <w:color w:val="auto"/>
                <w:szCs w:val="21"/>
                <w:highlight w:val="none"/>
              </w:rPr>
            </w:pPr>
          </w:p>
        </w:tc>
        <w:tc>
          <w:tcPr>
            <w:tcW w:w="1112" w:type="dxa"/>
          </w:tcPr>
          <w:p w14:paraId="56F68884">
            <w:pPr>
              <w:spacing w:line="360" w:lineRule="auto"/>
              <w:rPr>
                <w:rFonts w:ascii="宋体" w:hAnsi="宋体" w:eastAsia="宋体"/>
                <w:color w:val="auto"/>
                <w:szCs w:val="21"/>
                <w:highlight w:val="none"/>
              </w:rPr>
            </w:pPr>
          </w:p>
        </w:tc>
        <w:tc>
          <w:tcPr>
            <w:tcW w:w="992" w:type="dxa"/>
          </w:tcPr>
          <w:p w14:paraId="52A48D2C">
            <w:pPr>
              <w:spacing w:line="360" w:lineRule="auto"/>
              <w:rPr>
                <w:rFonts w:ascii="宋体" w:hAnsi="宋体" w:eastAsia="宋体"/>
                <w:color w:val="auto"/>
                <w:szCs w:val="21"/>
                <w:highlight w:val="none"/>
              </w:rPr>
            </w:pPr>
          </w:p>
        </w:tc>
        <w:tc>
          <w:tcPr>
            <w:tcW w:w="992" w:type="dxa"/>
          </w:tcPr>
          <w:p w14:paraId="02E8E815">
            <w:pPr>
              <w:spacing w:line="360" w:lineRule="auto"/>
              <w:rPr>
                <w:rFonts w:ascii="宋体" w:hAnsi="宋体" w:eastAsia="宋体"/>
                <w:color w:val="auto"/>
                <w:szCs w:val="21"/>
                <w:highlight w:val="none"/>
              </w:rPr>
            </w:pPr>
          </w:p>
        </w:tc>
        <w:tc>
          <w:tcPr>
            <w:tcW w:w="1134" w:type="dxa"/>
          </w:tcPr>
          <w:p w14:paraId="56CAE42F">
            <w:pPr>
              <w:spacing w:line="360" w:lineRule="auto"/>
              <w:rPr>
                <w:rFonts w:ascii="宋体" w:hAnsi="宋体" w:eastAsia="宋体"/>
                <w:color w:val="auto"/>
                <w:szCs w:val="21"/>
                <w:highlight w:val="none"/>
              </w:rPr>
            </w:pPr>
          </w:p>
        </w:tc>
        <w:tc>
          <w:tcPr>
            <w:tcW w:w="1050" w:type="dxa"/>
          </w:tcPr>
          <w:p w14:paraId="26F9F9CC">
            <w:pPr>
              <w:spacing w:line="360" w:lineRule="auto"/>
              <w:rPr>
                <w:rFonts w:ascii="宋体" w:hAnsi="宋体" w:eastAsia="宋体"/>
                <w:color w:val="auto"/>
                <w:szCs w:val="21"/>
                <w:highlight w:val="none"/>
              </w:rPr>
            </w:pPr>
          </w:p>
        </w:tc>
        <w:tc>
          <w:tcPr>
            <w:tcW w:w="1044" w:type="dxa"/>
          </w:tcPr>
          <w:p w14:paraId="1F6986A4">
            <w:pPr>
              <w:spacing w:line="360" w:lineRule="auto"/>
              <w:rPr>
                <w:rFonts w:ascii="宋体" w:hAnsi="宋体" w:eastAsia="宋体"/>
                <w:color w:val="auto"/>
                <w:szCs w:val="21"/>
                <w:highlight w:val="none"/>
              </w:rPr>
            </w:pPr>
          </w:p>
        </w:tc>
        <w:tc>
          <w:tcPr>
            <w:tcW w:w="1044" w:type="dxa"/>
          </w:tcPr>
          <w:p w14:paraId="27E277A9">
            <w:pPr>
              <w:spacing w:line="360" w:lineRule="auto"/>
              <w:rPr>
                <w:rFonts w:ascii="宋体" w:hAnsi="宋体" w:eastAsia="宋体"/>
                <w:color w:val="auto"/>
                <w:szCs w:val="21"/>
                <w:highlight w:val="none"/>
              </w:rPr>
            </w:pPr>
          </w:p>
        </w:tc>
        <w:tc>
          <w:tcPr>
            <w:tcW w:w="1080" w:type="dxa"/>
          </w:tcPr>
          <w:p w14:paraId="6754D635">
            <w:pPr>
              <w:spacing w:line="360" w:lineRule="auto"/>
              <w:rPr>
                <w:rFonts w:ascii="宋体" w:hAnsi="宋体" w:eastAsia="宋体"/>
                <w:color w:val="auto"/>
                <w:szCs w:val="21"/>
                <w:highlight w:val="none"/>
              </w:rPr>
            </w:pPr>
          </w:p>
        </w:tc>
      </w:tr>
      <w:tr w14:paraId="23604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648" w:type="dxa"/>
          </w:tcPr>
          <w:p w14:paraId="1C9C4C3F">
            <w:pPr>
              <w:spacing w:line="360" w:lineRule="auto"/>
              <w:rPr>
                <w:rFonts w:ascii="宋体" w:hAnsi="宋体" w:eastAsia="宋体"/>
                <w:color w:val="auto"/>
                <w:szCs w:val="21"/>
                <w:highlight w:val="none"/>
              </w:rPr>
            </w:pPr>
          </w:p>
        </w:tc>
        <w:tc>
          <w:tcPr>
            <w:tcW w:w="900" w:type="dxa"/>
          </w:tcPr>
          <w:p w14:paraId="1A83B3B0">
            <w:pPr>
              <w:spacing w:line="360" w:lineRule="auto"/>
              <w:rPr>
                <w:rFonts w:ascii="宋体" w:hAnsi="宋体" w:eastAsia="宋体"/>
                <w:color w:val="auto"/>
                <w:szCs w:val="21"/>
                <w:highlight w:val="none"/>
              </w:rPr>
            </w:pPr>
          </w:p>
        </w:tc>
        <w:tc>
          <w:tcPr>
            <w:tcW w:w="1112" w:type="dxa"/>
          </w:tcPr>
          <w:p w14:paraId="10C13B4D">
            <w:pPr>
              <w:spacing w:line="360" w:lineRule="auto"/>
              <w:rPr>
                <w:rFonts w:ascii="宋体" w:hAnsi="宋体" w:eastAsia="宋体"/>
                <w:color w:val="auto"/>
                <w:szCs w:val="21"/>
                <w:highlight w:val="none"/>
              </w:rPr>
            </w:pPr>
          </w:p>
        </w:tc>
        <w:tc>
          <w:tcPr>
            <w:tcW w:w="992" w:type="dxa"/>
          </w:tcPr>
          <w:p w14:paraId="3A51D4CC">
            <w:pPr>
              <w:spacing w:line="360" w:lineRule="auto"/>
              <w:rPr>
                <w:rFonts w:ascii="宋体" w:hAnsi="宋体" w:eastAsia="宋体"/>
                <w:color w:val="auto"/>
                <w:szCs w:val="21"/>
                <w:highlight w:val="none"/>
              </w:rPr>
            </w:pPr>
          </w:p>
        </w:tc>
        <w:tc>
          <w:tcPr>
            <w:tcW w:w="992" w:type="dxa"/>
          </w:tcPr>
          <w:p w14:paraId="03C90EB8">
            <w:pPr>
              <w:spacing w:line="360" w:lineRule="auto"/>
              <w:rPr>
                <w:rFonts w:ascii="宋体" w:hAnsi="宋体" w:eastAsia="宋体"/>
                <w:color w:val="auto"/>
                <w:szCs w:val="21"/>
                <w:highlight w:val="none"/>
              </w:rPr>
            </w:pPr>
          </w:p>
        </w:tc>
        <w:tc>
          <w:tcPr>
            <w:tcW w:w="1134" w:type="dxa"/>
          </w:tcPr>
          <w:p w14:paraId="5CBAE1EC">
            <w:pPr>
              <w:spacing w:line="360" w:lineRule="auto"/>
              <w:rPr>
                <w:rFonts w:ascii="宋体" w:hAnsi="宋体" w:eastAsia="宋体"/>
                <w:color w:val="auto"/>
                <w:szCs w:val="21"/>
                <w:highlight w:val="none"/>
              </w:rPr>
            </w:pPr>
          </w:p>
        </w:tc>
        <w:tc>
          <w:tcPr>
            <w:tcW w:w="1050" w:type="dxa"/>
          </w:tcPr>
          <w:p w14:paraId="1FC6F4A3">
            <w:pPr>
              <w:spacing w:line="360" w:lineRule="auto"/>
              <w:rPr>
                <w:rFonts w:ascii="宋体" w:hAnsi="宋体" w:eastAsia="宋体"/>
                <w:color w:val="auto"/>
                <w:szCs w:val="21"/>
                <w:highlight w:val="none"/>
              </w:rPr>
            </w:pPr>
          </w:p>
        </w:tc>
        <w:tc>
          <w:tcPr>
            <w:tcW w:w="1044" w:type="dxa"/>
          </w:tcPr>
          <w:p w14:paraId="6C0D23C7">
            <w:pPr>
              <w:spacing w:line="360" w:lineRule="auto"/>
              <w:rPr>
                <w:rFonts w:ascii="宋体" w:hAnsi="宋体" w:eastAsia="宋体"/>
                <w:color w:val="auto"/>
                <w:szCs w:val="21"/>
                <w:highlight w:val="none"/>
              </w:rPr>
            </w:pPr>
          </w:p>
        </w:tc>
        <w:tc>
          <w:tcPr>
            <w:tcW w:w="1044" w:type="dxa"/>
          </w:tcPr>
          <w:p w14:paraId="7A668431">
            <w:pPr>
              <w:spacing w:line="360" w:lineRule="auto"/>
              <w:rPr>
                <w:rFonts w:ascii="宋体" w:hAnsi="宋体" w:eastAsia="宋体"/>
                <w:color w:val="auto"/>
                <w:szCs w:val="21"/>
                <w:highlight w:val="none"/>
              </w:rPr>
            </w:pPr>
          </w:p>
        </w:tc>
        <w:tc>
          <w:tcPr>
            <w:tcW w:w="1080" w:type="dxa"/>
          </w:tcPr>
          <w:p w14:paraId="01227F3A">
            <w:pPr>
              <w:spacing w:line="360" w:lineRule="auto"/>
              <w:rPr>
                <w:rFonts w:ascii="宋体" w:hAnsi="宋体" w:eastAsia="宋体"/>
                <w:color w:val="auto"/>
                <w:szCs w:val="21"/>
                <w:highlight w:val="none"/>
              </w:rPr>
            </w:pPr>
          </w:p>
        </w:tc>
      </w:tr>
      <w:tr w14:paraId="4F9AA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648" w:type="dxa"/>
          </w:tcPr>
          <w:p w14:paraId="1D838A5E">
            <w:pPr>
              <w:spacing w:line="360" w:lineRule="auto"/>
              <w:rPr>
                <w:rFonts w:ascii="宋体" w:hAnsi="宋体" w:eastAsia="宋体"/>
                <w:color w:val="auto"/>
                <w:szCs w:val="21"/>
                <w:highlight w:val="none"/>
              </w:rPr>
            </w:pPr>
          </w:p>
        </w:tc>
        <w:tc>
          <w:tcPr>
            <w:tcW w:w="900" w:type="dxa"/>
          </w:tcPr>
          <w:p w14:paraId="3EB065D0">
            <w:pPr>
              <w:spacing w:line="360" w:lineRule="auto"/>
              <w:rPr>
                <w:rFonts w:ascii="宋体" w:hAnsi="宋体" w:eastAsia="宋体"/>
                <w:color w:val="auto"/>
                <w:szCs w:val="21"/>
                <w:highlight w:val="none"/>
              </w:rPr>
            </w:pPr>
          </w:p>
        </w:tc>
        <w:tc>
          <w:tcPr>
            <w:tcW w:w="1112" w:type="dxa"/>
          </w:tcPr>
          <w:p w14:paraId="7C89CAEB">
            <w:pPr>
              <w:spacing w:line="360" w:lineRule="auto"/>
              <w:rPr>
                <w:rFonts w:ascii="宋体" w:hAnsi="宋体" w:eastAsia="宋体"/>
                <w:color w:val="auto"/>
                <w:szCs w:val="21"/>
                <w:highlight w:val="none"/>
              </w:rPr>
            </w:pPr>
          </w:p>
        </w:tc>
        <w:tc>
          <w:tcPr>
            <w:tcW w:w="992" w:type="dxa"/>
          </w:tcPr>
          <w:p w14:paraId="221BDC7B">
            <w:pPr>
              <w:spacing w:line="360" w:lineRule="auto"/>
              <w:rPr>
                <w:rFonts w:ascii="宋体" w:hAnsi="宋体" w:eastAsia="宋体"/>
                <w:color w:val="auto"/>
                <w:szCs w:val="21"/>
                <w:highlight w:val="none"/>
              </w:rPr>
            </w:pPr>
          </w:p>
        </w:tc>
        <w:tc>
          <w:tcPr>
            <w:tcW w:w="992" w:type="dxa"/>
          </w:tcPr>
          <w:p w14:paraId="0DDCC5D9">
            <w:pPr>
              <w:spacing w:line="360" w:lineRule="auto"/>
              <w:rPr>
                <w:rFonts w:ascii="宋体" w:hAnsi="宋体" w:eastAsia="宋体"/>
                <w:color w:val="auto"/>
                <w:szCs w:val="21"/>
                <w:highlight w:val="none"/>
              </w:rPr>
            </w:pPr>
          </w:p>
        </w:tc>
        <w:tc>
          <w:tcPr>
            <w:tcW w:w="1134" w:type="dxa"/>
          </w:tcPr>
          <w:p w14:paraId="012D1197">
            <w:pPr>
              <w:spacing w:line="360" w:lineRule="auto"/>
              <w:rPr>
                <w:rFonts w:ascii="宋体" w:hAnsi="宋体" w:eastAsia="宋体"/>
                <w:color w:val="auto"/>
                <w:szCs w:val="21"/>
                <w:highlight w:val="none"/>
              </w:rPr>
            </w:pPr>
          </w:p>
        </w:tc>
        <w:tc>
          <w:tcPr>
            <w:tcW w:w="1050" w:type="dxa"/>
          </w:tcPr>
          <w:p w14:paraId="09AB51D1">
            <w:pPr>
              <w:spacing w:line="360" w:lineRule="auto"/>
              <w:rPr>
                <w:rFonts w:ascii="宋体" w:hAnsi="宋体" w:eastAsia="宋体"/>
                <w:color w:val="auto"/>
                <w:szCs w:val="21"/>
                <w:highlight w:val="none"/>
              </w:rPr>
            </w:pPr>
          </w:p>
        </w:tc>
        <w:tc>
          <w:tcPr>
            <w:tcW w:w="1044" w:type="dxa"/>
          </w:tcPr>
          <w:p w14:paraId="39F584BC">
            <w:pPr>
              <w:spacing w:line="360" w:lineRule="auto"/>
              <w:rPr>
                <w:rFonts w:ascii="宋体" w:hAnsi="宋体" w:eastAsia="宋体"/>
                <w:color w:val="auto"/>
                <w:szCs w:val="21"/>
                <w:highlight w:val="none"/>
              </w:rPr>
            </w:pPr>
          </w:p>
        </w:tc>
        <w:tc>
          <w:tcPr>
            <w:tcW w:w="1044" w:type="dxa"/>
          </w:tcPr>
          <w:p w14:paraId="30FE2481">
            <w:pPr>
              <w:spacing w:line="360" w:lineRule="auto"/>
              <w:rPr>
                <w:rFonts w:ascii="宋体" w:hAnsi="宋体" w:eastAsia="宋体"/>
                <w:color w:val="auto"/>
                <w:szCs w:val="21"/>
                <w:highlight w:val="none"/>
              </w:rPr>
            </w:pPr>
          </w:p>
        </w:tc>
        <w:tc>
          <w:tcPr>
            <w:tcW w:w="1080" w:type="dxa"/>
          </w:tcPr>
          <w:p w14:paraId="646E927B">
            <w:pPr>
              <w:spacing w:line="360" w:lineRule="auto"/>
              <w:rPr>
                <w:rFonts w:ascii="宋体" w:hAnsi="宋体" w:eastAsia="宋体"/>
                <w:color w:val="auto"/>
                <w:szCs w:val="21"/>
                <w:highlight w:val="none"/>
              </w:rPr>
            </w:pPr>
          </w:p>
        </w:tc>
      </w:tr>
      <w:tr w14:paraId="607A7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648" w:type="dxa"/>
          </w:tcPr>
          <w:p w14:paraId="38E3A559">
            <w:pPr>
              <w:spacing w:line="360" w:lineRule="auto"/>
              <w:rPr>
                <w:rFonts w:ascii="宋体" w:hAnsi="宋体" w:eastAsia="宋体"/>
                <w:color w:val="auto"/>
                <w:szCs w:val="21"/>
                <w:highlight w:val="none"/>
              </w:rPr>
            </w:pPr>
          </w:p>
        </w:tc>
        <w:tc>
          <w:tcPr>
            <w:tcW w:w="900" w:type="dxa"/>
          </w:tcPr>
          <w:p w14:paraId="20A36F9E">
            <w:pPr>
              <w:spacing w:line="360" w:lineRule="auto"/>
              <w:rPr>
                <w:rFonts w:ascii="宋体" w:hAnsi="宋体" w:eastAsia="宋体"/>
                <w:color w:val="auto"/>
                <w:szCs w:val="21"/>
                <w:highlight w:val="none"/>
              </w:rPr>
            </w:pPr>
          </w:p>
        </w:tc>
        <w:tc>
          <w:tcPr>
            <w:tcW w:w="1112" w:type="dxa"/>
          </w:tcPr>
          <w:p w14:paraId="30AF56F9">
            <w:pPr>
              <w:spacing w:line="360" w:lineRule="auto"/>
              <w:rPr>
                <w:rFonts w:ascii="宋体" w:hAnsi="宋体" w:eastAsia="宋体"/>
                <w:color w:val="auto"/>
                <w:szCs w:val="21"/>
                <w:highlight w:val="none"/>
              </w:rPr>
            </w:pPr>
          </w:p>
        </w:tc>
        <w:tc>
          <w:tcPr>
            <w:tcW w:w="992" w:type="dxa"/>
          </w:tcPr>
          <w:p w14:paraId="1E57C05D">
            <w:pPr>
              <w:spacing w:line="360" w:lineRule="auto"/>
              <w:rPr>
                <w:rFonts w:ascii="宋体" w:hAnsi="宋体" w:eastAsia="宋体"/>
                <w:color w:val="auto"/>
                <w:szCs w:val="21"/>
                <w:highlight w:val="none"/>
              </w:rPr>
            </w:pPr>
          </w:p>
        </w:tc>
        <w:tc>
          <w:tcPr>
            <w:tcW w:w="992" w:type="dxa"/>
          </w:tcPr>
          <w:p w14:paraId="2BFA8E4A">
            <w:pPr>
              <w:spacing w:line="360" w:lineRule="auto"/>
              <w:rPr>
                <w:rFonts w:ascii="宋体" w:hAnsi="宋体" w:eastAsia="宋体"/>
                <w:color w:val="auto"/>
                <w:szCs w:val="21"/>
                <w:highlight w:val="none"/>
              </w:rPr>
            </w:pPr>
          </w:p>
        </w:tc>
        <w:tc>
          <w:tcPr>
            <w:tcW w:w="1134" w:type="dxa"/>
          </w:tcPr>
          <w:p w14:paraId="68ABD7A4">
            <w:pPr>
              <w:spacing w:line="360" w:lineRule="auto"/>
              <w:rPr>
                <w:rFonts w:ascii="宋体" w:hAnsi="宋体" w:eastAsia="宋体"/>
                <w:color w:val="auto"/>
                <w:szCs w:val="21"/>
                <w:highlight w:val="none"/>
              </w:rPr>
            </w:pPr>
          </w:p>
        </w:tc>
        <w:tc>
          <w:tcPr>
            <w:tcW w:w="1050" w:type="dxa"/>
          </w:tcPr>
          <w:p w14:paraId="3AFC6368">
            <w:pPr>
              <w:spacing w:line="360" w:lineRule="auto"/>
              <w:rPr>
                <w:rFonts w:ascii="宋体" w:hAnsi="宋体" w:eastAsia="宋体"/>
                <w:color w:val="auto"/>
                <w:szCs w:val="21"/>
                <w:highlight w:val="none"/>
              </w:rPr>
            </w:pPr>
          </w:p>
        </w:tc>
        <w:tc>
          <w:tcPr>
            <w:tcW w:w="1044" w:type="dxa"/>
          </w:tcPr>
          <w:p w14:paraId="2920DDBE">
            <w:pPr>
              <w:spacing w:line="360" w:lineRule="auto"/>
              <w:rPr>
                <w:rFonts w:ascii="宋体" w:hAnsi="宋体" w:eastAsia="宋体"/>
                <w:color w:val="auto"/>
                <w:szCs w:val="21"/>
                <w:highlight w:val="none"/>
              </w:rPr>
            </w:pPr>
          </w:p>
        </w:tc>
        <w:tc>
          <w:tcPr>
            <w:tcW w:w="1044" w:type="dxa"/>
          </w:tcPr>
          <w:p w14:paraId="088BCAC9">
            <w:pPr>
              <w:spacing w:line="360" w:lineRule="auto"/>
              <w:rPr>
                <w:rFonts w:ascii="宋体" w:hAnsi="宋体" w:eastAsia="宋体"/>
                <w:color w:val="auto"/>
                <w:szCs w:val="21"/>
                <w:highlight w:val="none"/>
              </w:rPr>
            </w:pPr>
          </w:p>
        </w:tc>
        <w:tc>
          <w:tcPr>
            <w:tcW w:w="1080" w:type="dxa"/>
          </w:tcPr>
          <w:p w14:paraId="546E3FC4">
            <w:pPr>
              <w:spacing w:line="360" w:lineRule="auto"/>
              <w:rPr>
                <w:rFonts w:ascii="宋体" w:hAnsi="宋体" w:eastAsia="宋体"/>
                <w:color w:val="auto"/>
                <w:szCs w:val="21"/>
                <w:highlight w:val="none"/>
              </w:rPr>
            </w:pPr>
          </w:p>
        </w:tc>
      </w:tr>
    </w:tbl>
    <w:p w14:paraId="77BE4855">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注：本表应列入拟投入本项目的所有监理人员，请在相应的投入阶段栏内打“√”</w:t>
      </w:r>
    </w:p>
    <w:p w14:paraId="5132705F">
      <w:pPr>
        <w:pStyle w:val="5"/>
        <w:spacing w:before="0" w:after="0" w:line="360" w:lineRule="auto"/>
        <w:rPr>
          <w:rFonts w:hint="eastAsia" w:ascii="宋体" w:hAnsi="宋体"/>
          <w:color w:val="auto"/>
          <w:sz w:val="28"/>
          <w:szCs w:val="28"/>
          <w:highlight w:val="none"/>
        </w:rPr>
      </w:pPr>
      <w:r>
        <w:rPr>
          <w:rFonts w:ascii="宋体" w:hAnsi="宋体"/>
          <w:b w:val="0"/>
          <w:color w:val="auto"/>
          <w:sz w:val="28"/>
          <w:szCs w:val="28"/>
          <w:highlight w:val="none"/>
        </w:rPr>
        <w:br w:type="page"/>
      </w:r>
      <w:bookmarkStart w:id="543" w:name="_Toc49205980"/>
      <w:bookmarkStart w:id="544" w:name="_Toc40299659"/>
      <w:bookmarkStart w:id="545" w:name="_Toc40300032"/>
      <w:bookmarkStart w:id="546" w:name="_Toc3157"/>
      <w:r>
        <w:rPr>
          <w:rFonts w:hint="eastAsia" w:ascii="宋体" w:hAnsi="宋体"/>
          <w:color w:val="auto"/>
          <w:sz w:val="28"/>
          <w:szCs w:val="28"/>
          <w:highlight w:val="none"/>
        </w:rPr>
        <w:t>附件</w:t>
      </w:r>
      <w:r>
        <w:rPr>
          <w:rFonts w:hint="eastAsia" w:ascii="宋体" w:hAnsi="宋体"/>
          <w:color w:val="auto"/>
          <w:sz w:val="28"/>
          <w:szCs w:val="28"/>
          <w:highlight w:val="none"/>
          <w:lang w:val="en-US" w:eastAsia="zh-CN"/>
        </w:rPr>
        <w:t>六</w:t>
      </w:r>
      <w:r>
        <w:rPr>
          <w:rFonts w:hint="eastAsia" w:ascii="宋体" w:hAnsi="宋体"/>
          <w:color w:val="auto"/>
          <w:sz w:val="28"/>
          <w:szCs w:val="28"/>
          <w:highlight w:val="none"/>
        </w:rPr>
        <w:t xml:space="preserve"> </w:t>
      </w:r>
      <w:bookmarkStart w:id="547" w:name="OLE_LINK3"/>
      <w:r>
        <w:rPr>
          <w:rFonts w:hint="eastAsia" w:ascii="宋体" w:hAnsi="宋体"/>
          <w:color w:val="auto"/>
          <w:sz w:val="28"/>
          <w:szCs w:val="28"/>
          <w:highlight w:val="none"/>
        </w:rPr>
        <w:t>投入本项目的检测设备及交通工具</w:t>
      </w:r>
      <w:bookmarkEnd w:id="543"/>
      <w:bookmarkEnd w:id="544"/>
      <w:bookmarkEnd w:id="545"/>
      <w:r>
        <w:rPr>
          <w:rFonts w:hint="eastAsia" w:ascii="宋体" w:hAnsi="宋体"/>
          <w:color w:val="auto"/>
          <w:sz w:val="28"/>
          <w:szCs w:val="28"/>
          <w:highlight w:val="none"/>
        </w:rPr>
        <w:t>（须满足投标文件的承诺）</w:t>
      </w:r>
      <w:bookmarkEnd w:id="546"/>
    </w:p>
    <w:bookmarkEnd w:id="547"/>
    <w:tbl>
      <w:tblPr>
        <w:tblStyle w:val="40"/>
        <w:tblW w:w="9792"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316"/>
        <w:gridCol w:w="1668"/>
        <w:gridCol w:w="1128"/>
        <w:gridCol w:w="1200"/>
        <w:gridCol w:w="1428"/>
        <w:gridCol w:w="1332"/>
      </w:tblGrid>
      <w:tr w14:paraId="7796D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7361000B">
            <w:pPr>
              <w:spacing w:line="360"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序号</w:t>
            </w:r>
          </w:p>
        </w:tc>
        <w:tc>
          <w:tcPr>
            <w:tcW w:w="2316" w:type="dxa"/>
            <w:vAlign w:val="center"/>
          </w:tcPr>
          <w:p w14:paraId="519154F3">
            <w:pPr>
              <w:spacing w:line="360"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检测设备及交通工具名称</w:t>
            </w:r>
          </w:p>
        </w:tc>
        <w:tc>
          <w:tcPr>
            <w:tcW w:w="1668" w:type="dxa"/>
            <w:vAlign w:val="center"/>
          </w:tcPr>
          <w:p w14:paraId="08DE7348">
            <w:pPr>
              <w:spacing w:line="360"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型号规格</w:t>
            </w:r>
          </w:p>
        </w:tc>
        <w:tc>
          <w:tcPr>
            <w:tcW w:w="1128" w:type="dxa"/>
            <w:vAlign w:val="center"/>
          </w:tcPr>
          <w:p w14:paraId="25F9B93B">
            <w:pPr>
              <w:spacing w:line="360"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单位</w:t>
            </w:r>
          </w:p>
        </w:tc>
        <w:tc>
          <w:tcPr>
            <w:tcW w:w="1200" w:type="dxa"/>
            <w:vAlign w:val="center"/>
          </w:tcPr>
          <w:p w14:paraId="3B73A116">
            <w:pPr>
              <w:spacing w:line="360"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数量</w:t>
            </w:r>
          </w:p>
        </w:tc>
        <w:tc>
          <w:tcPr>
            <w:tcW w:w="1428" w:type="dxa"/>
            <w:vAlign w:val="center"/>
          </w:tcPr>
          <w:p w14:paraId="2F82BC67">
            <w:pPr>
              <w:spacing w:line="360" w:lineRule="auto"/>
              <w:ind w:left="252" w:leftChars="120"/>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金额</w:t>
            </w:r>
          </w:p>
        </w:tc>
        <w:tc>
          <w:tcPr>
            <w:tcW w:w="1332" w:type="dxa"/>
            <w:vAlign w:val="center"/>
          </w:tcPr>
          <w:p w14:paraId="17D1295D">
            <w:pPr>
              <w:spacing w:line="360"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备注</w:t>
            </w:r>
          </w:p>
        </w:tc>
      </w:tr>
      <w:tr w14:paraId="23A6B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vAlign w:val="center"/>
          </w:tcPr>
          <w:p w14:paraId="6B4B4908">
            <w:pPr>
              <w:spacing w:line="360"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1</w:t>
            </w:r>
          </w:p>
        </w:tc>
        <w:tc>
          <w:tcPr>
            <w:tcW w:w="2316" w:type="dxa"/>
          </w:tcPr>
          <w:p w14:paraId="0367215B">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检测设备</w:t>
            </w:r>
          </w:p>
        </w:tc>
        <w:tc>
          <w:tcPr>
            <w:tcW w:w="1668" w:type="dxa"/>
          </w:tcPr>
          <w:p w14:paraId="0D317899">
            <w:pPr>
              <w:spacing w:line="360" w:lineRule="auto"/>
              <w:rPr>
                <w:rFonts w:ascii="宋体" w:hAnsi="宋体" w:eastAsia="宋体"/>
                <w:color w:val="auto"/>
                <w:sz w:val="24"/>
                <w:szCs w:val="24"/>
                <w:highlight w:val="none"/>
              </w:rPr>
            </w:pPr>
          </w:p>
        </w:tc>
        <w:tc>
          <w:tcPr>
            <w:tcW w:w="1128" w:type="dxa"/>
          </w:tcPr>
          <w:p w14:paraId="202CE0BD">
            <w:pPr>
              <w:spacing w:line="360" w:lineRule="auto"/>
              <w:rPr>
                <w:rFonts w:ascii="宋体" w:hAnsi="宋体" w:eastAsia="宋体"/>
                <w:color w:val="auto"/>
                <w:sz w:val="24"/>
                <w:szCs w:val="24"/>
                <w:highlight w:val="none"/>
              </w:rPr>
            </w:pPr>
          </w:p>
        </w:tc>
        <w:tc>
          <w:tcPr>
            <w:tcW w:w="1200" w:type="dxa"/>
          </w:tcPr>
          <w:p w14:paraId="5EBB2AEB">
            <w:pPr>
              <w:spacing w:line="360" w:lineRule="auto"/>
              <w:rPr>
                <w:rFonts w:ascii="宋体" w:hAnsi="宋体" w:eastAsia="宋体"/>
                <w:color w:val="auto"/>
                <w:sz w:val="24"/>
                <w:szCs w:val="24"/>
                <w:highlight w:val="none"/>
              </w:rPr>
            </w:pPr>
          </w:p>
        </w:tc>
        <w:tc>
          <w:tcPr>
            <w:tcW w:w="1428" w:type="dxa"/>
          </w:tcPr>
          <w:p w14:paraId="4D4613EC">
            <w:pPr>
              <w:spacing w:line="360" w:lineRule="auto"/>
              <w:rPr>
                <w:rFonts w:ascii="宋体" w:hAnsi="宋体" w:eastAsia="宋体"/>
                <w:color w:val="auto"/>
                <w:sz w:val="24"/>
                <w:szCs w:val="24"/>
                <w:highlight w:val="none"/>
              </w:rPr>
            </w:pPr>
          </w:p>
        </w:tc>
        <w:tc>
          <w:tcPr>
            <w:tcW w:w="1332" w:type="dxa"/>
          </w:tcPr>
          <w:p w14:paraId="50861D73">
            <w:pPr>
              <w:spacing w:line="360" w:lineRule="auto"/>
              <w:rPr>
                <w:rFonts w:ascii="宋体" w:hAnsi="宋体" w:eastAsia="宋体"/>
                <w:color w:val="auto"/>
                <w:sz w:val="24"/>
                <w:szCs w:val="24"/>
                <w:highlight w:val="none"/>
              </w:rPr>
            </w:pPr>
          </w:p>
        </w:tc>
      </w:tr>
      <w:tr w14:paraId="282F1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vAlign w:val="center"/>
          </w:tcPr>
          <w:p w14:paraId="3928A969">
            <w:pPr>
              <w:spacing w:line="360" w:lineRule="auto"/>
              <w:jc w:val="center"/>
              <w:rPr>
                <w:rFonts w:ascii="宋体" w:hAnsi="宋体" w:eastAsia="宋体"/>
                <w:color w:val="auto"/>
                <w:sz w:val="24"/>
                <w:szCs w:val="24"/>
                <w:highlight w:val="none"/>
              </w:rPr>
            </w:pPr>
          </w:p>
        </w:tc>
        <w:tc>
          <w:tcPr>
            <w:tcW w:w="2316" w:type="dxa"/>
          </w:tcPr>
          <w:p w14:paraId="6B1B3B1B">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w:t>
            </w:r>
          </w:p>
        </w:tc>
        <w:tc>
          <w:tcPr>
            <w:tcW w:w="1668" w:type="dxa"/>
          </w:tcPr>
          <w:p w14:paraId="7B7ECFBF">
            <w:pPr>
              <w:spacing w:line="360" w:lineRule="auto"/>
              <w:rPr>
                <w:rFonts w:ascii="宋体" w:hAnsi="宋体" w:eastAsia="宋体"/>
                <w:color w:val="auto"/>
                <w:sz w:val="24"/>
                <w:szCs w:val="24"/>
                <w:highlight w:val="none"/>
              </w:rPr>
            </w:pPr>
          </w:p>
        </w:tc>
        <w:tc>
          <w:tcPr>
            <w:tcW w:w="1128" w:type="dxa"/>
          </w:tcPr>
          <w:p w14:paraId="765F470A">
            <w:pPr>
              <w:spacing w:line="360" w:lineRule="auto"/>
              <w:rPr>
                <w:rFonts w:ascii="宋体" w:hAnsi="宋体" w:eastAsia="宋体"/>
                <w:color w:val="auto"/>
                <w:sz w:val="24"/>
                <w:szCs w:val="24"/>
                <w:highlight w:val="none"/>
              </w:rPr>
            </w:pPr>
          </w:p>
        </w:tc>
        <w:tc>
          <w:tcPr>
            <w:tcW w:w="1200" w:type="dxa"/>
          </w:tcPr>
          <w:p w14:paraId="4B16CEE2">
            <w:pPr>
              <w:spacing w:line="360" w:lineRule="auto"/>
              <w:rPr>
                <w:rFonts w:ascii="宋体" w:hAnsi="宋体" w:eastAsia="宋体"/>
                <w:color w:val="auto"/>
                <w:sz w:val="24"/>
                <w:szCs w:val="24"/>
                <w:highlight w:val="none"/>
              </w:rPr>
            </w:pPr>
          </w:p>
        </w:tc>
        <w:tc>
          <w:tcPr>
            <w:tcW w:w="1428" w:type="dxa"/>
          </w:tcPr>
          <w:p w14:paraId="79C989EE">
            <w:pPr>
              <w:spacing w:line="360" w:lineRule="auto"/>
              <w:rPr>
                <w:rFonts w:ascii="宋体" w:hAnsi="宋体" w:eastAsia="宋体"/>
                <w:color w:val="auto"/>
                <w:sz w:val="24"/>
                <w:szCs w:val="24"/>
                <w:highlight w:val="none"/>
              </w:rPr>
            </w:pPr>
          </w:p>
        </w:tc>
        <w:tc>
          <w:tcPr>
            <w:tcW w:w="1332" w:type="dxa"/>
          </w:tcPr>
          <w:p w14:paraId="1F7305A4">
            <w:pPr>
              <w:spacing w:line="360" w:lineRule="auto"/>
              <w:rPr>
                <w:rFonts w:ascii="宋体" w:hAnsi="宋体" w:eastAsia="宋体"/>
                <w:color w:val="auto"/>
                <w:sz w:val="24"/>
                <w:szCs w:val="24"/>
                <w:highlight w:val="none"/>
              </w:rPr>
            </w:pPr>
          </w:p>
        </w:tc>
      </w:tr>
      <w:tr w14:paraId="52A5E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vAlign w:val="center"/>
          </w:tcPr>
          <w:p w14:paraId="2F7A744B">
            <w:pPr>
              <w:spacing w:line="360"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2</w:t>
            </w:r>
          </w:p>
        </w:tc>
        <w:tc>
          <w:tcPr>
            <w:tcW w:w="2316" w:type="dxa"/>
          </w:tcPr>
          <w:p w14:paraId="6139049F">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交通工具</w:t>
            </w:r>
          </w:p>
        </w:tc>
        <w:tc>
          <w:tcPr>
            <w:tcW w:w="1668" w:type="dxa"/>
          </w:tcPr>
          <w:p w14:paraId="59D7DD41">
            <w:pPr>
              <w:spacing w:line="360" w:lineRule="auto"/>
              <w:rPr>
                <w:rFonts w:ascii="宋体" w:hAnsi="宋体" w:eastAsia="宋体"/>
                <w:color w:val="auto"/>
                <w:sz w:val="24"/>
                <w:szCs w:val="24"/>
                <w:highlight w:val="none"/>
              </w:rPr>
            </w:pPr>
          </w:p>
        </w:tc>
        <w:tc>
          <w:tcPr>
            <w:tcW w:w="1128" w:type="dxa"/>
          </w:tcPr>
          <w:p w14:paraId="67F775F8">
            <w:pPr>
              <w:spacing w:line="360" w:lineRule="auto"/>
              <w:rPr>
                <w:rFonts w:ascii="宋体" w:hAnsi="宋体" w:eastAsia="宋体"/>
                <w:color w:val="auto"/>
                <w:sz w:val="24"/>
                <w:szCs w:val="24"/>
                <w:highlight w:val="none"/>
              </w:rPr>
            </w:pPr>
          </w:p>
        </w:tc>
        <w:tc>
          <w:tcPr>
            <w:tcW w:w="1200" w:type="dxa"/>
          </w:tcPr>
          <w:p w14:paraId="70AA3CFB">
            <w:pPr>
              <w:spacing w:line="360" w:lineRule="auto"/>
              <w:rPr>
                <w:rFonts w:ascii="宋体" w:hAnsi="宋体" w:eastAsia="宋体"/>
                <w:color w:val="auto"/>
                <w:sz w:val="24"/>
                <w:szCs w:val="24"/>
                <w:highlight w:val="none"/>
              </w:rPr>
            </w:pPr>
          </w:p>
        </w:tc>
        <w:tc>
          <w:tcPr>
            <w:tcW w:w="1428" w:type="dxa"/>
          </w:tcPr>
          <w:p w14:paraId="14129D2A">
            <w:pPr>
              <w:spacing w:line="360" w:lineRule="auto"/>
              <w:rPr>
                <w:rFonts w:ascii="宋体" w:hAnsi="宋体" w:eastAsia="宋体"/>
                <w:color w:val="auto"/>
                <w:sz w:val="24"/>
                <w:szCs w:val="24"/>
                <w:highlight w:val="none"/>
              </w:rPr>
            </w:pPr>
          </w:p>
        </w:tc>
        <w:tc>
          <w:tcPr>
            <w:tcW w:w="1332" w:type="dxa"/>
          </w:tcPr>
          <w:p w14:paraId="7A8DD869">
            <w:pPr>
              <w:spacing w:line="360" w:lineRule="auto"/>
              <w:rPr>
                <w:rFonts w:ascii="宋体" w:hAnsi="宋体" w:eastAsia="宋体"/>
                <w:color w:val="auto"/>
                <w:sz w:val="24"/>
                <w:szCs w:val="24"/>
                <w:highlight w:val="none"/>
              </w:rPr>
            </w:pPr>
          </w:p>
        </w:tc>
      </w:tr>
      <w:tr w14:paraId="6334D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Pr>
          <w:p w14:paraId="16B80C5C">
            <w:pPr>
              <w:spacing w:line="360" w:lineRule="auto"/>
              <w:rPr>
                <w:rFonts w:ascii="宋体" w:hAnsi="宋体" w:eastAsia="宋体"/>
                <w:color w:val="auto"/>
                <w:sz w:val="24"/>
                <w:szCs w:val="24"/>
                <w:highlight w:val="none"/>
              </w:rPr>
            </w:pPr>
          </w:p>
        </w:tc>
        <w:tc>
          <w:tcPr>
            <w:tcW w:w="2316" w:type="dxa"/>
          </w:tcPr>
          <w:p w14:paraId="15396201">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w:t>
            </w:r>
          </w:p>
        </w:tc>
        <w:tc>
          <w:tcPr>
            <w:tcW w:w="1668" w:type="dxa"/>
          </w:tcPr>
          <w:p w14:paraId="0A9C4E22">
            <w:pPr>
              <w:spacing w:line="360" w:lineRule="auto"/>
              <w:rPr>
                <w:rFonts w:ascii="宋体" w:hAnsi="宋体" w:eastAsia="宋体"/>
                <w:color w:val="auto"/>
                <w:sz w:val="24"/>
                <w:szCs w:val="24"/>
                <w:highlight w:val="none"/>
              </w:rPr>
            </w:pPr>
          </w:p>
        </w:tc>
        <w:tc>
          <w:tcPr>
            <w:tcW w:w="1128" w:type="dxa"/>
          </w:tcPr>
          <w:p w14:paraId="319FC86C">
            <w:pPr>
              <w:spacing w:line="360" w:lineRule="auto"/>
              <w:rPr>
                <w:rFonts w:ascii="宋体" w:hAnsi="宋体" w:eastAsia="宋体"/>
                <w:color w:val="auto"/>
                <w:sz w:val="24"/>
                <w:szCs w:val="24"/>
                <w:highlight w:val="none"/>
              </w:rPr>
            </w:pPr>
          </w:p>
        </w:tc>
        <w:tc>
          <w:tcPr>
            <w:tcW w:w="1200" w:type="dxa"/>
          </w:tcPr>
          <w:p w14:paraId="290D8D48">
            <w:pPr>
              <w:spacing w:line="360" w:lineRule="auto"/>
              <w:rPr>
                <w:rFonts w:ascii="宋体" w:hAnsi="宋体" w:eastAsia="宋体"/>
                <w:color w:val="auto"/>
                <w:sz w:val="24"/>
                <w:szCs w:val="24"/>
                <w:highlight w:val="none"/>
              </w:rPr>
            </w:pPr>
          </w:p>
        </w:tc>
        <w:tc>
          <w:tcPr>
            <w:tcW w:w="1428" w:type="dxa"/>
          </w:tcPr>
          <w:p w14:paraId="1A0E4CA8">
            <w:pPr>
              <w:spacing w:line="360" w:lineRule="auto"/>
              <w:rPr>
                <w:rFonts w:ascii="宋体" w:hAnsi="宋体" w:eastAsia="宋体"/>
                <w:color w:val="auto"/>
                <w:sz w:val="24"/>
                <w:szCs w:val="24"/>
                <w:highlight w:val="none"/>
              </w:rPr>
            </w:pPr>
          </w:p>
        </w:tc>
        <w:tc>
          <w:tcPr>
            <w:tcW w:w="1332" w:type="dxa"/>
          </w:tcPr>
          <w:p w14:paraId="32264DA9">
            <w:pPr>
              <w:spacing w:line="360" w:lineRule="auto"/>
              <w:rPr>
                <w:rFonts w:ascii="宋体" w:hAnsi="宋体" w:eastAsia="宋体"/>
                <w:color w:val="auto"/>
                <w:sz w:val="24"/>
                <w:szCs w:val="24"/>
                <w:highlight w:val="none"/>
              </w:rPr>
            </w:pPr>
          </w:p>
        </w:tc>
      </w:tr>
    </w:tbl>
    <w:p w14:paraId="25BDF9B8">
      <w:pPr>
        <w:pStyle w:val="5"/>
        <w:spacing w:before="0" w:after="0" w:line="360" w:lineRule="auto"/>
        <w:rPr>
          <w:rFonts w:hint="eastAsia" w:ascii="宋体" w:hAnsi="宋体" w:eastAsia="宋体" w:cs="Times New Roman"/>
          <w:color w:val="auto"/>
          <w:sz w:val="28"/>
          <w:szCs w:val="28"/>
          <w:highlight w:val="none"/>
        </w:rPr>
      </w:pPr>
      <w:r>
        <w:rPr>
          <w:rFonts w:ascii="宋体" w:hAnsi="宋体"/>
          <w:color w:val="auto"/>
          <w:highlight w:val="none"/>
        </w:rPr>
        <w:br w:type="page"/>
      </w:r>
      <w:bookmarkStart w:id="548" w:name="_Toc11156"/>
      <w:bookmarkStart w:id="549" w:name="_Toc40300033"/>
      <w:bookmarkStart w:id="550" w:name="_Toc40299660"/>
      <w:bookmarkStart w:id="551" w:name="_Toc49205981"/>
      <w:r>
        <w:rPr>
          <w:rFonts w:hint="eastAsia" w:ascii="宋体" w:hAnsi="宋体"/>
          <w:color w:val="auto"/>
          <w:sz w:val="28"/>
          <w:szCs w:val="28"/>
          <w:highlight w:val="none"/>
        </w:rPr>
        <w:t>附件</w:t>
      </w:r>
      <w:r>
        <w:rPr>
          <w:rFonts w:hint="eastAsia" w:ascii="宋体" w:hAnsi="宋体"/>
          <w:color w:val="auto"/>
          <w:sz w:val="28"/>
          <w:szCs w:val="28"/>
          <w:highlight w:val="none"/>
          <w:lang w:val="en-US" w:eastAsia="zh-CN"/>
        </w:rPr>
        <w:t>七</w:t>
      </w:r>
      <w:r>
        <w:rPr>
          <w:rFonts w:hint="eastAsia" w:ascii="宋体" w:hAnsi="宋体"/>
          <w:color w:val="auto"/>
          <w:sz w:val="28"/>
          <w:szCs w:val="28"/>
          <w:highlight w:val="none"/>
        </w:rPr>
        <w:t xml:space="preserve"> </w:t>
      </w:r>
      <w:bookmarkStart w:id="552" w:name="OLE_LINK4"/>
      <w:r>
        <w:rPr>
          <w:rFonts w:hint="eastAsia" w:ascii="宋体" w:hAnsi="宋体"/>
          <w:color w:val="auto"/>
          <w:sz w:val="28"/>
          <w:szCs w:val="28"/>
          <w:highlight w:val="none"/>
        </w:rPr>
        <w:t>履约保函格式</w:t>
      </w:r>
      <w:bookmarkEnd w:id="548"/>
      <w:bookmarkEnd w:id="549"/>
      <w:bookmarkEnd w:id="550"/>
      <w:bookmarkEnd w:id="551"/>
      <w:bookmarkEnd w:id="552"/>
    </w:p>
    <w:p w14:paraId="31C8580C">
      <w:pPr>
        <w:adjustRightInd w:val="0"/>
        <w:snapToGrid w:val="0"/>
        <w:spacing w:after="120" w:afterLines="50"/>
        <w:jc w:val="center"/>
        <w:rPr>
          <w:rFonts w:ascii="宋体" w:hAnsi="宋体" w:eastAsia="宋体"/>
          <w:b/>
          <w:color w:val="auto"/>
          <w:sz w:val="32"/>
          <w:szCs w:val="32"/>
          <w:highlight w:val="none"/>
        </w:rPr>
      </w:pPr>
      <w:r>
        <w:rPr>
          <w:rFonts w:hint="eastAsia" w:ascii="宋体" w:hAnsi="宋体" w:eastAsia="宋体"/>
          <w:b/>
          <w:color w:val="auto"/>
          <w:sz w:val="32"/>
          <w:szCs w:val="32"/>
          <w:highlight w:val="none"/>
        </w:rPr>
        <w:t>履约保函</w:t>
      </w:r>
    </w:p>
    <w:p w14:paraId="69D27927">
      <w:pPr>
        <w:spacing w:line="500" w:lineRule="exact"/>
        <w:rPr>
          <w:rFonts w:ascii="宋体" w:hAnsi="宋体" w:eastAsia="宋体" w:cstheme="minorEastAsia"/>
          <w:color w:val="auto"/>
          <w:sz w:val="24"/>
          <w:highlight w:val="none"/>
        </w:rPr>
      </w:pPr>
      <w:r>
        <w:rPr>
          <w:rFonts w:hint="eastAsia" w:ascii="宋体" w:hAnsi="宋体" w:eastAsia="宋体" w:cstheme="minorEastAsia"/>
          <w:color w:val="auto"/>
          <w:sz w:val="24"/>
          <w:highlight w:val="none"/>
        </w:rPr>
        <w:t>(受益人名称)______________ ：</w:t>
      </w:r>
    </w:p>
    <w:p w14:paraId="581CF2B2">
      <w:pPr>
        <w:adjustRightInd w:val="0"/>
        <w:snapToGrid w:val="0"/>
        <w:spacing w:line="480" w:lineRule="exact"/>
        <w:ind w:firstLine="480" w:firstLineChars="200"/>
        <w:rPr>
          <w:rFonts w:ascii="宋体" w:hAnsi="宋体" w:eastAsia="宋体" w:cstheme="minorEastAsia"/>
          <w:color w:val="auto"/>
          <w:sz w:val="24"/>
          <w:szCs w:val="24"/>
          <w:highlight w:val="none"/>
        </w:rPr>
      </w:pPr>
      <w:r>
        <w:rPr>
          <w:rFonts w:hint="eastAsia" w:ascii="宋体" w:hAnsi="宋体" w:eastAsia="宋体" w:cstheme="minorEastAsia"/>
          <w:color w:val="auto"/>
          <w:sz w:val="24"/>
          <w:szCs w:val="24"/>
          <w:highlight w:val="none"/>
        </w:rPr>
        <w:t>本保函作为__________（以下简称“申请人”）的履约保函，系为贵公司和申请人就_________（以下简称“项目”）订立的第           号合同（以下简称“合同”）出具。</w:t>
      </w:r>
    </w:p>
    <w:p w14:paraId="22DE5249">
      <w:pPr>
        <w:adjustRightInd w:val="0"/>
        <w:snapToGrid w:val="0"/>
        <w:spacing w:line="480" w:lineRule="exact"/>
        <w:ind w:firstLine="480" w:firstLineChars="200"/>
        <w:rPr>
          <w:rFonts w:ascii="宋体" w:hAnsi="宋体" w:eastAsia="宋体" w:cstheme="minorEastAsia"/>
          <w:color w:val="auto"/>
          <w:sz w:val="24"/>
          <w:szCs w:val="24"/>
          <w:highlight w:val="none"/>
        </w:rPr>
      </w:pPr>
      <w:r>
        <w:rPr>
          <w:rFonts w:hint="eastAsia" w:ascii="宋体" w:hAnsi="宋体" w:eastAsia="宋体" w:cstheme="minorEastAsia"/>
          <w:color w:val="auto"/>
          <w:sz w:val="24"/>
          <w:szCs w:val="24"/>
          <w:highlight w:val="none"/>
        </w:rPr>
        <w:t xml:space="preserve"> 我行，      （履约保函出具银行）在此无条件且不可撤销地保证以    （币种）向贵公司支付相当于合同价格的百分之XX（XX%）的金额，即     的金额。我行保证不以任何理由追索。我行的权利义务的继承人和受让人亦受同样的约束。我行同意下述条件：</w:t>
      </w:r>
    </w:p>
    <w:p w14:paraId="6016DB3D">
      <w:pPr>
        <w:adjustRightInd w:val="0"/>
        <w:snapToGrid w:val="0"/>
        <w:spacing w:line="480" w:lineRule="exact"/>
        <w:ind w:firstLine="480" w:firstLineChars="200"/>
        <w:rPr>
          <w:rFonts w:ascii="宋体" w:hAnsi="宋体" w:eastAsia="宋体" w:cstheme="minorEastAsia"/>
          <w:color w:val="auto"/>
          <w:sz w:val="24"/>
          <w:szCs w:val="24"/>
          <w:highlight w:val="none"/>
        </w:rPr>
      </w:pPr>
      <w:r>
        <w:rPr>
          <w:rFonts w:hint="eastAsia" w:ascii="宋体" w:hAnsi="宋体" w:eastAsia="宋体" w:cstheme="minorEastAsia"/>
          <w:color w:val="auto"/>
          <w:sz w:val="24"/>
          <w:szCs w:val="24"/>
          <w:highlight w:val="none"/>
        </w:rPr>
        <w:t>1.我行向贵公司保证申请人根据合同履行义务并承担责任。</w:t>
      </w:r>
    </w:p>
    <w:p w14:paraId="52227B68">
      <w:pPr>
        <w:adjustRightInd w:val="0"/>
        <w:snapToGrid w:val="0"/>
        <w:spacing w:line="480" w:lineRule="exact"/>
        <w:ind w:firstLine="480" w:firstLineChars="200"/>
        <w:rPr>
          <w:rFonts w:ascii="宋体" w:hAnsi="宋体" w:eastAsia="宋体" w:cstheme="minorEastAsia"/>
          <w:color w:val="auto"/>
          <w:sz w:val="24"/>
          <w:szCs w:val="24"/>
          <w:highlight w:val="none"/>
        </w:rPr>
      </w:pPr>
      <w:r>
        <w:rPr>
          <w:rFonts w:hint="eastAsia" w:ascii="宋体" w:hAnsi="宋体" w:eastAsia="宋体" w:cstheme="minorEastAsia"/>
          <w:color w:val="auto"/>
          <w:sz w:val="24"/>
          <w:szCs w:val="24"/>
          <w:highlight w:val="none"/>
        </w:rPr>
        <w:t>2.如果申请人未能履行或者承担由合同引起的或与合同有关的合同项下的任何义务或任何责任，我行将在收到贵公司书面通知后七个工作日内以通知中规定的方式支付贵方要求的合计不超过       的款项。</w:t>
      </w:r>
    </w:p>
    <w:p w14:paraId="08F96003">
      <w:pPr>
        <w:adjustRightInd w:val="0"/>
        <w:snapToGrid w:val="0"/>
        <w:spacing w:line="480" w:lineRule="exact"/>
        <w:ind w:firstLine="480" w:firstLineChars="200"/>
        <w:rPr>
          <w:rFonts w:ascii="宋体" w:hAnsi="宋体" w:eastAsia="宋体" w:cstheme="minorEastAsia"/>
          <w:strike/>
          <w:color w:val="auto"/>
          <w:sz w:val="24"/>
          <w:szCs w:val="24"/>
          <w:highlight w:val="none"/>
        </w:rPr>
      </w:pPr>
      <w:r>
        <w:rPr>
          <w:rFonts w:hint="eastAsia" w:ascii="宋体" w:hAnsi="宋体" w:eastAsia="宋体" w:cstheme="minorEastAsia"/>
          <w:color w:val="auto"/>
          <w:sz w:val="24"/>
          <w:szCs w:val="24"/>
          <w:highlight w:val="none"/>
        </w:rPr>
        <w:t>3.本保函适用于本合同以及在本合同项下作出的、给予的或同意的所有修订、更改或附加部分，不论我行是否收到该修订、更改或附加部分。我行放弃取得有关上述修订、更改或附加部分的通知的权利。</w:t>
      </w:r>
    </w:p>
    <w:p w14:paraId="3564E08B">
      <w:pPr>
        <w:adjustRightInd w:val="0"/>
        <w:snapToGrid w:val="0"/>
        <w:spacing w:line="480" w:lineRule="exact"/>
        <w:ind w:firstLine="480" w:firstLineChars="200"/>
        <w:rPr>
          <w:rFonts w:ascii="宋体" w:hAnsi="宋体" w:eastAsia="宋体" w:cstheme="minorEastAsia"/>
          <w:color w:val="auto"/>
          <w:sz w:val="24"/>
          <w:szCs w:val="24"/>
          <w:highlight w:val="none"/>
        </w:rPr>
      </w:pPr>
      <w:r>
        <w:rPr>
          <w:rFonts w:hint="eastAsia" w:ascii="宋体" w:hAnsi="宋体" w:eastAsia="宋体" w:cstheme="minorEastAsia"/>
          <w:color w:val="auto"/>
          <w:sz w:val="24"/>
          <w:szCs w:val="24"/>
          <w:highlight w:val="none"/>
        </w:rPr>
        <w:t xml:space="preserve">4.对于现在或将来的产生的税收、税费、收费、扣减费用或预提款项，不论这些款项是何种性质和由谁征收，都不应从本保函项下的支付中扣除。 </w:t>
      </w:r>
    </w:p>
    <w:p w14:paraId="13B273D3">
      <w:pPr>
        <w:adjustRightInd w:val="0"/>
        <w:snapToGrid w:val="0"/>
        <w:spacing w:line="480" w:lineRule="exact"/>
        <w:ind w:firstLine="480" w:firstLineChars="200"/>
        <w:rPr>
          <w:rFonts w:ascii="宋体" w:hAnsi="宋体" w:eastAsia="宋体" w:cstheme="minorEastAsia"/>
          <w:color w:val="auto"/>
          <w:sz w:val="24"/>
          <w:szCs w:val="24"/>
          <w:highlight w:val="none"/>
        </w:rPr>
      </w:pPr>
      <w:r>
        <w:rPr>
          <w:rFonts w:hint="eastAsia" w:ascii="宋体" w:hAnsi="宋体" w:eastAsia="宋体" w:cstheme="minorEastAsia"/>
          <w:color w:val="auto"/>
          <w:sz w:val="24"/>
          <w:szCs w:val="24"/>
          <w:highlight w:val="none"/>
        </w:rPr>
        <w:t>5.本保函条款构成我行无条件的不可撤销的直接责任。有关即将履行的合同条款的任何变更及贵方同意的时间的宽限或其他延长或特许或贵方的其他作为或不作为都不能免除、解除或豁免我行在本保函项下的责任。</w:t>
      </w:r>
    </w:p>
    <w:p w14:paraId="65F96945">
      <w:pPr>
        <w:adjustRightInd w:val="0"/>
        <w:snapToGrid w:val="0"/>
        <w:spacing w:line="480" w:lineRule="exact"/>
        <w:ind w:firstLine="480" w:firstLineChars="200"/>
        <w:rPr>
          <w:rFonts w:ascii="宋体" w:hAnsi="宋体" w:eastAsia="宋体" w:cstheme="minorEastAsia"/>
          <w:color w:val="auto"/>
          <w:sz w:val="24"/>
          <w:szCs w:val="24"/>
          <w:highlight w:val="none"/>
        </w:rPr>
      </w:pPr>
      <w:r>
        <w:rPr>
          <w:rFonts w:hint="eastAsia" w:ascii="宋体" w:hAnsi="宋体" w:eastAsia="宋体" w:cstheme="minorEastAsia"/>
          <w:color w:val="auto"/>
          <w:sz w:val="24"/>
          <w:szCs w:val="24"/>
          <w:highlight w:val="none"/>
        </w:rPr>
        <w:t>6.本保函自开立之日起生效，有效期至     年   月    日止。</w:t>
      </w:r>
    </w:p>
    <w:p w14:paraId="661B8935">
      <w:pPr>
        <w:adjustRightInd w:val="0"/>
        <w:snapToGrid w:val="0"/>
        <w:spacing w:line="480" w:lineRule="exact"/>
        <w:ind w:firstLine="480" w:firstLineChars="200"/>
        <w:jc w:val="center"/>
        <w:rPr>
          <w:rFonts w:ascii="宋体" w:hAnsi="宋体" w:eastAsia="宋体" w:cstheme="minorEastAsia"/>
          <w:color w:val="auto"/>
          <w:sz w:val="24"/>
          <w:szCs w:val="24"/>
          <w:highlight w:val="none"/>
        </w:rPr>
      </w:pPr>
      <w:r>
        <w:rPr>
          <w:rFonts w:hint="eastAsia" w:ascii="宋体" w:hAnsi="宋体" w:eastAsia="宋体" w:cstheme="minorEastAsia"/>
          <w:color w:val="auto"/>
          <w:sz w:val="24"/>
          <w:szCs w:val="24"/>
          <w:highlight w:val="none"/>
        </w:rPr>
        <w:t>（开立保函银行名称）（盖章）</w:t>
      </w:r>
    </w:p>
    <w:p w14:paraId="7475E939">
      <w:pPr>
        <w:adjustRightInd w:val="0"/>
        <w:snapToGrid w:val="0"/>
        <w:spacing w:line="480" w:lineRule="exact"/>
        <w:ind w:firstLine="480" w:firstLineChars="200"/>
        <w:jc w:val="center"/>
        <w:rPr>
          <w:rFonts w:ascii="宋体" w:hAnsi="宋体" w:eastAsia="宋体" w:cstheme="minorEastAsia"/>
          <w:color w:val="auto"/>
          <w:sz w:val="24"/>
          <w:szCs w:val="24"/>
          <w:highlight w:val="none"/>
        </w:rPr>
      </w:pPr>
      <w:r>
        <w:rPr>
          <w:rFonts w:hint="eastAsia" w:ascii="宋体" w:hAnsi="宋体" w:eastAsia="宋体" w:cstheme="minorEastAsia"/>
          <w:color w:val="auto"/>
          <w:sz w:val="24"/>
          <w:szCs w:val="24"/>
          <w:highlight w:val="none"/>
        </w:rPr>
        <w:t>法定代表人或委托代理人签名：</w:t>
      </w:r>
    </w:p>
    <w:p w14:paraId="61B56016">
      <w:pPr>
        <w:adjustRightInd w:val="0"/>
        <w:snapToGrid w:val="0"/>
        <w:spacing w:line="480" w:lineRule="exact"/>
        <w:ind w:firstLine="4080" w:firstLineChars="1700"/>
        <w:rPr>
          <w:rFonts w:ascii="宋体" w:hAnsi="宋体" w:eastAsia="宋体" w:cstheme="minorEastAsia"/>
          <w:color w:val="auto"/>
          <w:sz w:val="24"/>
          <w:szCs w:val="24"/>
          <w:highlight w:val="none"/>
        </w:rPr>
      </w:pPr>
      <w:r>
        <w:rPr>
          <w:rFonts w:hint="eastAsia" w:ascii="宋体" w:hAnsi="宋体" w:eastAsia="宋体" w:cstheme="minorEastAsia"/>
          <w:color w:val="auto"/>
          <w:sz w:val="24"/>
          <w:szCs w:val="24"/>
          <w:highlight w:val="none"/>
        </w:rPr>
        <w:t>地址：</w:t>
      </w:r>
    </w:p>
    <w:p w14:paraId="0C2909AC">
      <w:pPr>
        <w:tabs>
          <w:tab w:val="left" w:pos="630"/>
          <w:tab w:val="left" w:pos="3990"/>
          <w:tab w:val="left" w:pos="5040"/>
          <w:tab w:val="left" w:pos="6840"/>
          <w:tab w:val="left" w:pos="7350"/>
          <w:tab w:val="left" w:pos="8160"/>
        </w:tabs>
        <w:snapToGrid w:val="0"/>
        <w:spacing w:before="0" w:after="0" w:line="480" w:lineRule="exact"/>
        <w:ind w:firstLine="4080" w:firstLineChars="1700"/>
        <w:rPr>
          <w:rFonts w:ascii="宋体" w:hAnsi="宋体"/>
          <w:b/>
          <w:bCs/>
          <w:color w:val="auto"/>
          <w:sz w:val="24"/>
          <w:highlight w:val="none"/>
        </w:rPr>
        <w:sectPr>
          <w:headerReference r:id="rId8" w:type="default"/>
          <w:pgSz w:w="12240" w:h="15840"/>
          <w:pgMar w:top="1304" w:right="1134" w:bottom="1304" w:left="1134" w:header="0" w:footer="567" w:gutter="0"/>
          <w:pgBorders>
            <w:top w:val="none" w:sz="0" w:space="0"/>
            <w:left w:val="none" w:sz="0" w:space="0"/>
            <w:bottom w:val="none" w:sz="0" w:space="0"/>
            <w:right w:val="none" w:sz="0" w:space="0"/>
          </w:pgBorders>
          <w:cols w:space="0" w:num="1"/>
          <w:rtlGutter w:val="1"/>
          <w:docGrid w:linePitch="0" w:charSpace="0"/>
        </w:sectPr>
      </w:pPr>
      <w:r>
        <w:rPr>
          <w:rFonts w:hint="eastAsia" w:ascii="宋体" w:hAnsi="宋体" w:eastAsia="宋体" w:cstheme="minorEastAsia"/>
          <w:color w:val="auto"/>
          <w:sz w:val="24"/>
          <w:szCs w:val="24"/>
          <w:highlight w:val="none"/>
        </w:rPr>
        <w:t>日期：</w:t>
      </w:r>
      <w:r>
        <w:rPr>
          <w:rFonts w:ascii="宋体" w:hAnsi="宋体"/>
          <w:b/>
          <w:bCs/>
          <w:color w:val="auto"/>
          <w:sz w:val="24"/>
          <w:highlight w:val="none"/>
        </w:rPr>
        <w:br w:type="page"/>
      </w:r>
    </w:p>
    <w:p w14:paraId="0B8C53D4">
      <w:pPr>
        <w:spacing w:line="360" w:lineRule="auto"/>
        <w:jc w:val="center"/>
        <w:outlineLvl w:val="0"/>
        <w:rPr>
          <w:rFonts w:ascii="宋体" w:hAnsi="宋体" w:eastAsia="宋体"/>
          <w:b/>
          <w:color w:val="auto"/>
          <w:sz w:val="44"/>
          <w:highlight w:val="none"/>
        </w:rPr>
      </w:pPr>
      <w:bookmarkStart w:id="553" w:name="_Toc31909"/>
      <w:bookmarkStart w:id="554" w:name="_Toc63769817"/>
      <w:bookmarkStart w:id="555" w:name="_Toc179632787"/>
      <w:bookmarkStart w:id="556" w:name="_Toc247085853"/>
      <w:bookmarkStart w:id="557" w:name="_Toc246997081"/>
      <w:bookmarkStart w:id="558" w:name="_Toc246996338"/>
      <w:bookmarkStart w:id="559" w:name="_Toc152042549"/>
      <w:bookmarkStart w:id="560" w:name="_Toc300835199"/>
      <w:bookmarkStart w:id="561" w:name="_Toc152042388"/>
      <w:bookmarkStart w:id="562" w:name="_Toc184635122"/>
      <w:bookmarkStart w:id="563" w:name="_Toc144974578"/>
      <w:bookmarkStart w:id="564" w:name="_Toc247514197"/>
      <w:bookmarkStart w:id="565" w:name="_Toc144974829"/>
      <w:bookmarkStart w:id="566" w:name="_Toc247527798"/>
      <w:bookmarkStart w:id="567" w:name="_Toc152045610"/>
      <w:r>
        <w:rPr>
          <w:rFonts w:hint="eastAsia" w:ascii="宋体" w:hAnsi="宋体" w:eastAsia="宋体"/>
          <w:b/>
          <w:color w:val="auto"/>
          <w:sz w:val="44"/>
          <w:highlight w:val="none"/>
        </w:rPr>
        <w:t>第二卷</w:t>
      </w:r>
      <w:bookmarkEnd w:id="553"/>
      <w:bookmarkEnd w:id="554"/>
    </w:p>
    <w:p w14:paraId="783BE9B3">
      <w:pPr>
        <w:pStyle w:val="5"/>
        <w:keepNext w:val="0"/>
        <w:keepLines w:val="0"/>
        <w:spacing w:before="0" w:after="0" w:line="360" w:lineRule="auto"/>
        <w:jc w:val="center"/>
        <w:rPr>
          <w:rFonts w:ascii="宋体" w:hAnsi="宋体"/>
          <w:color w:val="auto"/>
          <w:sz w:val="36"/>
          <w:szCs w:val="36"/>
          <w:highlight w:val="none"/>
        </w:rPr>
      </w:pPr>
      <w:bookmarkStart w:id="568" w:name="_Toc63769818"/>
      <w:bookmarkStart w:id="569" w:name="_Toc24307"/>
      <w:r>
        <w:rPr>
          <w:rFonts w:hint="eastAsia" w:ascii="宋体" w:hAnsi="宋体"/>
          <w:color w:val="auto"/>
          <w:sz w:val="36"/>
          <w:szCs w:val="36"/>
          <w:highlight w:val="none"/>
        </w:rPr>
        <w:t>第五章 委托人要求</w:t>
      </w:r>
      <w:bookmarkEnd w:id="555"/>
      <w:bookmarkEnd w:id="556"/>
      <w:bookmarkEnd w:id="557"/>
      <w:bookmarkEnd w:id="558"/>
      <w:bookmarkEnd w:id="568"/>
      <w:bookmarkEnd w:id="569"/>
      <w:bookmarkStart w:id="570" w:name="_Toc530470634"/>
      <w:bookmarkStart w:id="571" w:name="_Toc525827491"/>
      <w:bookmarkStart w:id="572" w:name="_Toc535938725"/>
      <w:bookmarkStart w:id="573" w:name="_Toc529196595"/>
      <w:bookmarkStart w:id="574" w:name="_Toc525828225"/>
    </w:p>
    <w:bookmarkEnd w:id="570"/>
    <w:bookmarkEnd w:id="571"/>
    <w:bookmarkEnd w:id="572"/>
    <w:bookmarkEnd w:id="573"/>
    <w:bookmarkEnd w:id="574"/>
    <w:p w14:paraId="00548BB3">
      <w:pPr>
        <w:pStyle w:val="7"/>
        <w:spacing w:before="0" w:after="0" w:line="360" w:lineRule="auto"/>
        <w:rPr>
          <w:rFonts w:ascii="宋体" w:hAnsi="宋体"/>
          <w:b w:val="0"/>
          <w:color w:val="auto"/>
          <w:sz w:val="28"/>
          <w:szCs w:val="28"/>
          <w:highlight w:val="none"/>
        </w:rPr>
      </w:pPr>
      <w:bookmarkStart w:id="575" w:name="_Toc49205985"/>
      <w:bookmarkStart w:id="576" w:name="_Toc17110290"/>
      <w:bookmarkStart w:id="577" w:name="_Toc40300038"/>
      <w:bookmarkStart w:id="578" w:name="_Toc40299665"/>
      <w:r>
        <w:rPr>
          <w:rFonts w:ascii="宋体" w:hAnsi="宋体"/>
          <w:color w:val="auto"/>
          <w:sz w:val="28"/>
          <w:szCs w:val="28"/>
          <w:highlight w:val="none"/>
        </w:rPr>
        <w:t>一、监理要求</w:t>
      </w:r>
      <w:bookmarkEnd w:id="575"/>
      <w:bookmarkEnd w:id="576"/>
      <w:bookmarkEnd w:id="577"/>
      <w:bookmarkEnd w:id="578"/>
    </w:p>
    <w:p w14:paraId="374E54EC">
      <w:pPr>
        <w:spacing w:line="360" w:lineRule="auto"/>
        <w:ind w:firstLine="480" w:firstLineChars="200"/>
        <w:jc w:val="left"/>
        <w:rPr>
          <w:rFonts w:ascii="宋体" w:hAnsi="宋体" w:eastAsia="宋体"/>
          <w:color w:val="auto"/>
          <w:sz w:val="24"/>
          <w:szCs w:val="24"/>
          <w:highlight w:val="none"/>
          <w:lang w:bidi="mn-Mong-CN"/>
        </w:rPr>
      </w:pPr>
      <w:r>
        <w:rPr>
          <w:rFonts w:ascii="宋体" w:hAnsi="宋体" w:eastAsia="宋体"/>
          <w:color w:val="auto"/>
          <w:sz w:val="24"/>
          <w:szCs w:val="24"/>
          <w:highlight w:val="none"/>
          <w:lang w:bidi="mn-Mong-CN"/>
        </w:rPr>
        <w:t>招标人应当根据项目情况在本章中明确相应的监理要求，一般应包括以下内容：</w:t>
      </w:r>
    </w:p>
    <w:p w14:paraId="11AF8981">
      <w:pPr>
        <w:spacing w:line="360" w:lineRule="auto"/>
        <w:ind w:firstLine="0" w:firstLine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项目概况</w:t>
      </w:r>
    </w:p>
    <w:p w14:paraId="5AAA7E3C">
      <w:pPr>
        <w:spacing w:line="360" w:lineRule="auto"/>
        <w:ind w:firstLine="480" w:firstLineChars="200"/>
        <w:jc w:val="left"/>
        <w:rPr>
          <w:rFonts w:ascii="宋体" w:hAnsi="宋体" w:eastAsia="宋体"/>
          <w:color w:val="auto"/>
          <w:sz w:val="24"/>
          <w:szCs w:val="24"/>
          <w:highlight w:val="none"/>
          <w:lang w:bidi="mn-Mong-CN"/>
        </w:rPr>
      </w:pPr>
      <w:r>
        <w:rPr>
          <w:rFonts w:hint="eastAsia" w:ascii="宋体" w:hAnsi="宋体" w:eastAsia="宋体"/>
          <w:color w:val="auto"/>
          <w:sz w:val="24"/>
          <w:szCs w:val="24"/>
          <w:highlight w:val="none"/>
          <w:lang w:bidi="mn-Mong-CN"/>
        </w:rPr>
        <w:t>项目名称:</w:t>
      </w:r>
      <w:r>
        <w:rPr>
          <w:rFonts w:hint="eastAsia" w:ascii="宋体" w:hAnsi="宋体" w:eastAsia="宋体"/>
          <w:color w:val="auto"/>
          <w:sz w:val="24"/>
          <w:szCs w:val="24"/>
          <w:highlight w:val="none"/>
          <w:u w:val="single"/>
          <w:lang w:val="en-US" w:eastAsia="zh-CN" w:bidi="mn-Mong-CN"/>
        </w:rPr>
        <w:t>广州LNG应急调峰气源站配套管线工程（黄阁门站-横沥调压和气化站段）线路工程与场站工程施工监理服务</w:t>
      </w:r>
    </w:p>
    <w:p w14:paraId="1E46B4AD">
      <w:pPr>
        <w:spacing w:line="360" w:lineRule="auto"/>
        <w:ind w:firstLine="480" w:firstLineChars="200"/>
        <w:jc w:val="left"/>
        <w:rPr>
          <w:rFonts w:ascii="宋体" w:hAnsi="宋体" w:eastAsia="宋体"/>
          <w:color w:val="auto"/>
          <w:sz w:val="24"/>
          <w:szCs w:val="24"/>
          <w:highlight w:val="none"/>
          <w:lang w:bidi="mn-Mong-CN"/>
        </w:rPr>
      </w:pPr>
      <w:r>
        <w:rPr>
          <w:rFonts w:hint="eastAsia" w:ascii="宋体" w:hAnsi="宋体" w:eastAsia="宋体"/>
          <w:color w:val="auto"/>
          <w:sz w:val="24"/>
          <w:szCs w:val="24"/>
          <w:highlight w:val="none"/>
          <w:lang w:bidi="mn-Mong-CN"/>
        </w:rPr>
        <w:t xml:space="preserve">建设单位: </w:t>
      </w:r>
      <w:r>
        <w:rPr>
          <w:rFonts w:hint="eastAsia" w:ascii="宋体" w:hAnsi="宋体" w:eastAsia="宋体"/>
          <w:color w:val="auto"/>
          <w:sz w:val="24"/>
          <w:szCs w:val="24"/>
          <w:highlight w:val="none"/>
          <w:u w:val="single"/>
          <w:lang w:bidi="mn-Mong-CN"/>
        </w:rPr>
        <w:t>广州燃气集团有限公司</w:t>
      </w:r>
    </w:p>
    <w:p w14:paraId="0F49985D">
      <w:pPr>
        <w:spacing w:line="360" w:lineRule="auto"/>
        <w:ind w:firstLine="480" w:firstLineChars="200"/>
        <w:rPr>
          <w:rFonts w:ascii="宋体" w:hAnsi="宋体" w:eastAsia="宋体"/>
          <w:color w:val="auto"/>
          <w:sz w:val="24"/>
          <w:szCs w:val="24"/>
          <w:highlight w:val="none"/>
          <w:lang w:bidi="mn-Mong-CN"/>
        </w:rPr>
      </w:pPr>
      <w:r>
        <w:rPr>
          <w:rFonts w:hint="eastAsia" w:ascii="宋体" w:hAnsi="宋体" w:eastAsia="宋体"/>
          <w:color w:val="auto"/>
          <w:sz w:val="24"/>
          <w:szCs w:val="24"/>
          <w:highlight w:val="none"/>
          <w:lang w:bidi="mn-Mong-CN"/>
        </w:rPr>
        <w:t xml:space="preserve">建设规模: </w:t>
      </w:r>
    </w:p>
    <w:p w14:paraId="4F9F502D">
      <w:pPr>
        <w:tabs>
          <w:tab w:val="left" w:pos="7513"/>
        </w:tabs>
        <w:spacing w:line="360" w:lineRule="auto"/>
        <w:ind w:firstLine="480" w:firstLineChars="200"/>
        <w:rPr>
          <w:rFonts w:hint="eastAsia" w:ascii="宋体" w:hAnsi="宋体" w:eastAsia="宋体"/>
          <w:color w:val="auto"/>
          <w:sz w:val="24"/>
          <w:highlight w:val="none"/>
          <w:u w:val="single"/>
          <w:lang w:eastAsia="zh-CN"/>
        </w:rPr>
      </w:pPr>
      <w:r>
        <w:rPr>
          <w:rFonts w:hint="eastAsia" w:ascii="宋体" w:hAnsi="宋体" w:eastAsia="宋体"/>
          <w:color w:val="auto"/>
          <w:sz w:val="24"/>
          <w:highlight w:val="none"/>
          <w:u w:val="single"/>
          <w:lang w:eastAsia="zh-CN"/>
        </w:rPr>
        <w:t>广州LNG应急调峰气源站配套管线工程(黄阁门站-横沥调压和气化站段）：新建超高压燃气管道30.1公里，管道全线位于广州市南沙区境内；新建大岗门站1座、横沥调压和气化站1座、细沥阀室1座、分输阀井1座。具体如下：</w:t>
      </w:r>
    </w:p>
    <w:p w14:paraId="1D63C2FD">
      <w:pPr>
        <w:tabs>
          <w:tab w:val="left" w:pos="7513"/>
        </w:tabs>
        <w:spacing w:line="360" w:lineRule="auto"/>
        <w:ind w:firstLine="480" w:firstLineChars="200"/>
        <w:rPr>
          <w:rFonts w:hint="eastAsia" w:ascii="宋体" w:hAnsi="宋体" w:eastAsia="宋体"/>
          <w:color w:val="auto"/>
          <w:sz w:val="24"/>
          <w:highlight w:val="none"/>
          <w:u w:val="single"/>
          <w:lang w:eastAsia="zh-CN"/>
        </w:rPr>
      </w:pPr>
      <w:r>
        <w:rPr>
          <w:rFonts w:hint="eastAsia" w:ascii="宋体" w:hAnsi="宋体" w:eastAsia="宋体"/>
          <w:color w:val="auto"/>
          <w:sz w:val="24"/>
          <w:highlight w:val="none"/>
          <w:u w:val="single"/>
          <w:lang w:eastAsia="zh-CN"/>
        </w:rPr>
        <w:t>1）黄阁门站-横沥调压和气化站段：新建超高压管线28.2公里，设计压力9.2MPa，管径为DN700；</w:t>
      </w:r>
    </w:p>
    <w:p w14:paraId="1C938032">
      <w:pPr>
        <w:tabs>
          <w:tab w:val="left" w:pos="7513"/>
        </w:tabs>
        <w:spacing w:line="360" w:lineRule="auto"/>
        <w:ind w:firstLine="480" w:firstLineChars="200"/>
        <w:rPr>
          <w:rFonts w:hint="eastAsia" w:ascii="宋体" w:hAnsi="宋体" w:eastAsia="宋体"/>
          <w:color w:val="auto"/>
          <w:sz w:val="24"/>
          <w:highlight w:val="none"/>
          <w:u w:val="single"/>
          <w:lang w:eastAsia="zh-CN"/>
        </w:rPr>
      </w:pPr>
      <w:r>
        <w:rPr>
          <w:rFonts w:hint="eastAsia" w:ascii="宋体" w:hAnsi="宋体" w:eastAsia="宋体"/>
          <w:color w:val="auto"/>
          <w:sz w:val="24"/>
          <w:highlight w:val="none"/>
          <w:u w:val="single"/>
          <w:lang w:eastAsia="zh-CN"/>
        </w:rPr>
        <w:t>2）中海广东管道联络段管线：新建超高压管线0.9公里，设计压力9.2MPa，管径为DN500；</w:t>
      </w:r>
    </w:p>
    <w:p w14:paraId="75E812D5">
      <w:pPr>
        <w:tabs>
          <w:tab w:val="left" w:pos="7513"/>
        </w:tabs>
        <w:spacing w:line="360" w:lineRule="auto"/>
        <w:ind w:firstLine="480" w:firstLineChars="200"/>
        <w:rPr>
          <w:rFonts w:hint="eastAsia" w:ascii="宋体" w:hAnsi="宋体" w:eastAsia="宋体" w:cs="宋体"/>
          <w:color w:val="auto"/>
          <w:sz w:val="24"/>
          <w:szCs w:val="24"/>
          <w:highlight w:val="none"/>
          <w:u w:val="single"/>
          <w:lang w:eastAsia="zh-CN"/>
        </w:rPr>
      </w:pPr>
      <w:r>
        <w:rPr>
          <w:rFonts w:hint="eastAsia" w:ascii="宋体" w:hAnsi="宋体" w:eastAsia="宋体"/>
          <w:color w:val="auto"/>
          <w:sz w:val="24"/>
          <w:highlight w:val="none"/>
          <w:u w:val="single"/>
          <w:lang w:eastAsia="zh-CN"/>
        </w:rPr>
        <w:t>3）广州南部燃气应急联络线：新建超高压管线1公里，设计压力9.2MPa，管径为DN700。</w:t>
      </w:r>
    </w:p>
    <w:p w14:paraId="1039E3B8">
      <w:pPr>
        <w:spacing w:line="360" w:lineRule="auto"/>
        <w:ind w:firstLine="480" w:firstLineChars="200"/>
        <w:jc w:val="left"/>
        <w:rPr>
          <w:rFonts w:ascii="宋体" w:hAnsi="宋体" w:eastAsia="宋体"/>
          <w:color w:val="auto"/>
          <w:sz w:val="24"/>
          <w:szCs w:val="24"/>
          <w:highlight w:val="none"/>
          <w:lang w:bidi="mn-Mong-CN"/>
        </w:rPr>
      </w:pPr>
      <w:r>
        <w:rPr>
          <w:rFonts w:hint="eastAsia" w:ascii="宋体" w:hAnsi="宋体" w:eastAsia="宋体"/>
          <w:color w:val="auto"/>
          <w:sz w:val="24"/>
          <w:szCs w:val="24"/>
          <w:highlight w:val="none"/>
          <w:lang w:bidi="mn-Mong-CN"/>
        </w:rPr>
        <w:t>工程建设地点：</w:t>
      </w:r>
      <w:r>
        <w:rPr>
          <w:rFonts w:hint="eastAsia" w:ascii="宋体" w:hAnsi="宋体" w:eastAsia="宋体"/>
          <w:color w:val="auto"/>
          <w:sz w:val="24"/>
          <w:szCs w:val="24"/>
          <w:highlight w:val="none"/>
          <w:u w:val="single"/>
          <w:lang w:bidi="mn-Mong-CN"/>
        </w:rPr>
        <w:t>广州市</w:t>
      </w:r>
      <w:r>
        <w:rPr>
          <w:rFonts w:hint="eastAsia" w:ascii="宋体" w:hAnsi="宋体" w:eastAsia="宋体"/>
          <w:color w:val="auto"/>
          <w:sz w:val="24"/>
          <w:szCs w:val="24"/>
          <w:highlight w:val="none"/>
          <w:u w:val="single"/>
          <w:lang w:val="en-US" w:eastAsia="zh-CN" w:bidi="mn-Mong-CN"/>
        </w:rPr>
        <w:t>南沙区</w:t>
      </w:r>
      <w:r>
        <w:rPr>
          <w:rFonts w:hint="eastAsia" w:ascii="宋体" w:hAnsi="宋体" w:eastAsia="宋体"/>
          <w:color w:val="auto"/>
          <w:sz w:val="24"/>
          <w:szCs w:val="24"/>
          <w:highlight w:val="none"/>
          <w:u w:val="single"/>
          <w:lang w:bidi="mn-Mong-CN"/>
        </w:rPr>
        <w:t>。</w:t>
      </w:r>
    </w:p>
    <w:p w14:paraId="32C91075">
      <w:pPr>
        <w:spacing w:line="360" w:lineRule="auto"/>
        <w:ind w:firstLine="480" w:firstLineChars="200"/>
        <w:jc w:val="left"/>
        <w:rPr>
          <w:rFonts w:ascii="宋体" w:hAnsi="宋体" w:eastAsia="宋体"/>
          <w:color w:val="auto"/>
          <w:sz w:val="24"/>
          <w:szCs w:val="24"/>
          <w:highlight w:val="none"/>
          <w:lang w:bidi="mn-Mong-CN"/>
        </w:rPr>
      </w:pPr>
      <w:r>
        <w:rPr>
          <w:rFonts w:hint="eastAsia" w:ascii="宋体" w:hAnsi="宋体" w:eastAsia="宋体"/>
          <w:color w:val="auto"/>
          <w:sz w:val="24"/>
          <w:szCs w:val="24"/>
          <w:highlight w:val="none"/>
          <w:lang w:bidi="mn-Mong-CN"/>
        </w:rPr>
        <w:t>周边环境:</w:t>
      </w:r>
      <w:r>
        <w:rPr>
          <w:rFonts w:hint="eastAsia" w:ascii="宋体" w:hAnsi="宋体" w:eastAsia="宋体"/>
          <w:color w:val="auto"/>
          <w:sz w:val="24"/>
          <w:szCs w:val="24"/>
          <w:highlight w:val="none"/>
          <w:u w:val="single"/>
          <w:lang w:bidi="mn-Mong-CN"/>
        </w:rPr>
        <w:t>（投标人自行踏勘）</w:t>
      </w:r>
    </w:p>
    <w:p w14:paraId="58FAA03D">
      <w:pPr>
        <w:spacing w:line="360" w:lineRule="auto"/>
        <w:ind w:firstLine="480" w:firstLineChars="200"/>
        <w:jc w:val="left"/>
        <w:rPr>
          <w:rFonts w:ascii="宋体" w:hAnsi="宋体" w:eastAsia="宋体"/>
          <w:color w:val="auto"/>
          <w:sz w:val="24"/>
          <w:szCs w:val="24"/>
          <w:highlight w:val="none"/>
          <w:lang w:bidi="mn-Mong-CN"/>
        </w:rPr>
      </w:pPr>
      <w:r>
        <w:rPr>
          <w:rFonts w:hint="eastAsia" w:ascii="宋体" w:hAnsi="宋体" w:eastAsia="宋体"/>
          <w:color w:val="auto"/>
          <w:sz w:val="24"/>
          <w:szCs w:val="24"/>
          <w:highlight w:val="none"/>
          <w:lang w:bidi="mn-Mong-CN"/>
        </w:rPr>
        <w:t>地址地貌、气候及气象条件:</w:t>
      </w:r>
      <w:r>
        <w:rPr>
          <w:rFonts w:hint="eastAsia" w:ascii="宋体" w:hAnsi="宋体" w:eastAsia="宋体"/>
          <w:color w:val="auto"/>
          <w:sz w:val="24"/>
          <w:szCs w:val="24"/>
          <w:highlight w:val="none"/>
          <w:u w:val="single"/>
          <w:lang w:bidi="mn-Mong-CN"/>
        </w:rPr>
        <w:t>（投标人自行踏勘）</w:t>
      </w:r>
    </w:p>
    <w:p w14:paraId="4CEAA860">
      <w:pPr>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2、监理范围及内容</w:t>
      </w:r>
    </w:p>
    <w:p w14:paraId="5000ACDF">
      <w:pPr>
        <w:snapToGrid w:val="0"/>
        <w:spacing w:line="360" w:lineRule="auto"/>
        <w:ind w:firstLine="482" w:firstLineChars="200"/>
        <w:jc w:val="left"/>
        <w:rPr>
          <w:rFonts w:ascii="宋体" w:hAnsi="宋体" w:eastAsia="宋体"/>
          <w:b/>
          <w:bCs/>
          <w:color w:val="auto"/>
          <w:sz w:val="24"/>
          <w:szCs w:val="24"/>
          <w:highlight w:val="none"/>
          <w:lang w:bidi="mn-Mong-CN"/>
        </w:rPr>
      </w:pPr>
      <w:r>
        <w:rPr>
          <w:rFonts w:hint="eastAsia" w:ascii="宋体" w:hAnsi="宋体" w:eastAsia="宋体"/>
          <w:b/>
          <w:bCs/>
          <w:color w:val="auto"/>
          <w:sz w:val="24"/>
          <w:szCs w:val="24"/>
          <w:highlight w:val="none"/>
          <w:lang w:bidi="mn-Mong-CN"/>
        </w:rPr>
        <w:t>监理范围：</w:t>
      </w:r>
    </w:p>
    <w:p w14:paraId="142D3371">
      <w:pPr>
        <w:snapToGrid w:val="0"/>
        <w:spacing w:line="360" w:lineRule="auto"/>
        <w:ind w:firstLine="480" w:firstLineChars="200"/>
        <w:jc w:val="left"/>
        <w:rPr>
          <w:rFonts w:ascii="宋体" w:hAnsi="宋体" w:eastAsia="宋体"/>
          <w:color w:val="auto"/>
          <w:sz w:val="24"/>
          <w:szCs w:val="24"/>
          <w:highlight w:val="none"/>
          <w:u w:val="single"/>
          <w:lang w:bidi="mn-Mong-CN"/>
        </w:rPr>
      </w:pPr>
      <w:r>
        <w:rPr>
          <w:rFonts w:hint="eastAsia" w:ascii="宋体" w:hAnsi="宋体" w:eastAsia="宋体"/>
          <w:color w:val="auto"/>
          <w:sz w:val="24"/>
          <w:szCs w:val="24"/>
          <w:highlight w:val="none"/>
          <w:u w:val="single"/>
          <w:lang w:bidi="mn-Mong-CN"/>
        </w:rPr>
        <w:t>上述工程的工程施工准备阶段、工程施工阶段、竣工结算阶段和工程保修阶段的质量控制、投资控制、进度控制、组织协调、合同及信息管理、安全文明、结算管理等监理服务工作。</w:t>
      </w:r>
    </w:p>
    <w:p w14:paraId="38709A8F">
      <w:pPr>
        <w:spacing w:line="360" w:lineRule="auto"/>
        <w:ind w:firstLine="482" w:firstLineChars="200"/>
        <w:jc w:val="left"/>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监理</w:t>
      </w:r>
      <w:r>
        <w:rPr>
          <w:rFonts w:hint="eastAsia" w:ascii="宋体" w:hAnsi="宋体" w:eastAsia="宋体"/>
          <w:b/>
          <w:bCs/>
          <w:color w:val="auto"/>
          <w:sz w:val="24"/>
          <w:szCs w:val="24"/>
          <w:highlight w:val="none"/>
          <w:lang w:bidi="mn-Mong-CN"/>
        </w:rPr>
        <w:t>工作</w:t>
      </w:r>
      <w:r>
        <w:rPr>
          <w:rFonts w:hint="eastAsia" w:ascii="宋体" w:hAnsi="宋体" w:eastAsia="宋体"/>
          <w:b/>
          <w:bCs/>
          <w:color w:val="auto"/>
          <w:sz w:val="24"/>
          <w:szCs w:val="24"/>
          <w:highlight w:val="none"/>
        </w:rPr>
        <w:t>内容：</w:t>
      </w:r>
    </w:p>
    <w:p w14:paraId="6738479B">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监理工作主要是依据国家的法律，法规和对建设监理的有关规定，在本工程项目建设过程中协助委托人施工过程中的质量、进度、费用控制</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变更评审报告</w:t>
      </w:r>
      <w:r>
        <w:rPr>
          <w:rFonts w:hint="eastAsia" w:ascii="宋体" w:hAnsi="宋体" w:eastAsia="宋体"/>
          <w:color w:val="auto"/>
          <w:sz w:val="24"/>
          <w:szCs w:val="24"/>
          <w:highlight w:val="none"/>
        </w:rPr>
        <w:t>，安全生产监督管理、合同、信息等方面的协调管理。保修过程中应检查和记录工程质量缺陷，对缺陷原因进行调查分析并确定责任归属，审核修复方案，监督修复过程并验收，审核修复费用等全过程监理工作，使本工程项目全面地实现投资目标，进度目标，质量目标和安全目标。除此之外，监理工作内容还应包括但不限于如下内容：</w:t>
      </w:r>
    </w:p>
    <w:p w14:paraId="1DD36DE1">
      <w:pPr>
        <w:tabs>
          <w:tab w:val="left" w:pos="1340"/>
        </w:tabs>
        <w:spacing w:line="360" w:lineRule="auto"/>
        <w:ind w:firstLine="240" w:firstLineChars="100"/>
        <w:rPr>
          <w:rFonts w:ascii="宋体" w:hAnsi="宋体" w:eastAsia="宋体"/>
          <w:color w:val="auto"/>
          <w:sz w:val="24"/>
          <w:szCs w:val="24"/>
          <w:highlight w:val="none"/>
        </w:rPr>
      </w:pPr>
      <w:r>
        <w:rPr>
          <w:rFonts w:hint="eastAsia" w:ascii="宋体" w:hAnsi="宋体" w:eastAsia="宋体"/>
          <w:color w:val="auto"/>
          <w:sz w:val="24"/>
          <w:szCs w:val="24"/>
          <w:highlight w:val="none"/>
        </w:rPr>
        <w:t>（1）基本要求</w:t>
      </w:r>
    </w:p>
    <w:p w14:paraId="599CD2C2">
      <w:pPr>
        <w:tabs>
          <w:tab w:val="left" w:pos="1340"/>
        </w:tabs>
        <w:spacing w:line="360" w:lineRule="auto"/>
        <w:ind w:firstLine="484" w:firstLineChars="202"/>
        <w:rPr>
          <w:rFonts w:ascii="宋体" w:hAnsi="宋体" w:eastAsia="宋体"/>
          <w:color w:val="auto"/>
          <w:sz w:val="24"/>
          <w:szCs w:val="24"/>
          <w:highlight w:val="none"/>
        </w:rPr>
      </w:pPr>
      <w:r>
        <w:rPr>
          <w:rFonts w:hint="eastAsia" w:ascii="宋体" w:hAnsi="宋体" w:eastAsia="宋体"/>
          <w:color w:val="auto"/>
          <w:sz w:val="24"/>
          <w:szCs w:val="24"/>
          <w:highlight w:val="none"/>
        </w:rPr>
        <w:t>1）监理方将以全面和及时的方式，尽职、稳定、勤勉、履行工作和合同，其根据合同提供或履行的所有工作和服务将符合合同的规定、委托人的要求和相关的法律、法规、规范、规定、标准和国内的先进做法；</w:t>
      </w:r>
    </w:p>
    <w:p w14:paraId="50FCE0CA">
      <w:pPr>
        <w:tabs>
          <w:tab w:val="left" w:pos="1340"/>
        </w:tabs>
        <w:spacing w:line="360" w:lineRule="auto"/>
        <w:ind w:firstLine="484" w:firstLineChars="202"/>
        <w:rPr>
          <w:rFonts w:ascii="宋体" w:hAnsi="宋体" w:eastAsia="宋体"/>
          <w:color w:val="auto"/>
          <w:sz w:val="24"/>
          <w:szCs w:val="24"/>
          <w:highlight w:val="none"/>
        </w:rPr>
      </w:pPr>
      <w:r>
        <w:rPr>
          <w:rFonts w:hint="eastAsia" w:ascii="宋体" w:hAnsi="宋体" w:eastAsia="宋体"/>
          <w:color w:val="auto"/>
          <w:sz w:val="24"/>
          <w:szCs w:val="24"/>
          <w:highlight w:val="none"/>
        </w:rPr>
        <w:t>2）通过监理方的工作，保证对工程的质量、进度、费用及HSE等方面进行最优的控制和管理。服从并且遵从委托人的指令和指导，加强对承包人的监督和管理，确保承包人的工作符合合同的规定和委托人的要求；</w:t>
      </w:r>
    </w:p>
    <w:p w14:paraId="2F10DAAE">
      <w:pPr>
        <w:tabs>
          <w:tab w:val="left" w:pos="1340"/>
        </w:tabs>
        <w:spacing w:line="360" w:lineRule="auto"/>
        <w:ind w:firstLine="484" w:firstLineChars="202"/>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3）应根据合同的规定和委托人的要求，接受委托人的HSE及其他方面的培训并遵守委托人的规章制度；</w:t>
      </w:r>
    </w:p>
    <w:p w14:paraId="635A9F28">
      <w:pPr>
        <w:tabs>
          <w:tab w:val="left" w:pos="1340"/>
        </w:tabs>
        <w:spacing w:line="360" w:lineRule="auto"/>
        <w:ind w:firstLine="484" w:firstLineChars="202"/>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4）监理方应严格履行《广州发展“三外”安全管理办法》（2025年4月修订）以及《</w:t>
      </w:r>
      <w:r>
        <w:rPr>
          <w:rFonts w:hint="eastAsia" w:ascii="宋体" w:hAnsi="宋体" w:eastAsia="宋体" w:cstheme="minorBidi"/>
          <w:b w:val="0"/>
          <w:color w:val="auto"/>
          <w:sz w:val="24"/>
          <w:szCs w:val="24"/>
          <w:highlight w:val="none"/>
          <w:lang w:eastAsia="zh-CN"/>
        </w:rPr>
        <w:t>广州发展智慧工程安全管控系统项目</w:t>
      </w:r>
      <w:r>
        <w:rPr>
          <w:rFonts w:hint="eastAsia" w:ascii="宋体" w:hAnsi="宋体" w:eastAsia="宋体" w:cstheme="minorBidi"/>
          <w:b w:val="0"/>
          <w:color w:val="auto"/>
          <w:sz w:val="24"/>
          <w:szCs w:val="24"/>
          <w:highlight w:val="none"/>
          <w:lang w:val="en-US" w:eastAsia="zh-CN"/>
        </w:rPr>
        <w:t>操作手册（监理单位用户）》中对监理的要求，对施工全过程安全风险以及安全生产费用等进行严格把控。</w:t>
      </w:r>
    </w:p>
    <w:p w14:paraId="3DDCC4D4">
      <w:pPr>
        <w:tabs>
          <w:tab w:val="left" w:pos="1340"/>
        </w:tabs>
        <w:spacing w:line="360" w:lineRule="auto"/>
        <w:ind w:firstLine="484" w:firstLineChars="202"/>
        <w:rPr>
          <w:rFonts w:ascii="宋体" w:hAnsi="宋体" w:eastAsia="宋体"/>
          <w:color w:val="auto"/>
          <w:sz w:val="24"/>
          <w:szCs w:val="24"/>
          <w:highlight w:val="none"/>
        </w:rPr>
      </w:pPr>
      <w:r>
        <w:rPr>
          <w:rFonts w:hint="eastAsia" w:ascii="宋体" w:hAnsi="宋体" w:eastAsia="宋体"/>
          <w:color w:val="auto"/>
          <w:sz w:val="24"/>
          <w:szCs w:val="24"/>
          <w:highlight w:val="none"/>
          <w:lang w:eastAsia="zh-CN"/>
        </w:rPr>
        <w:t>5</w:t>
      </w:r>
      <w:r>
        <w:rPr>
          <w:rFonts w:hint="eastAsia" w:ascii="宋体" w:hAnsi="宋体" w:eastAsia="宋体"/>
          <w:color w:val="auto"/>
          <w:sz w:val="24"/>
          <w:szCs w:val="24"/>
          <w:highlight w:val="none"/>
        </w:rPr>
        <w:t>）监理方聘用的总监理工程师、关键人员、主要技术及管理人员必须具备能确保监理方充分履行其在合同项下的义务和实施本项工作的经验、资格和能力。委托人有权要求监理方撤换监理机构的任何人员，监理方应根据委托人的要求立即撤换相关的监理机构人员，与此相关的费用及任何损害赔偿和责任均由监理方自行负责。新的人选应于24小时内提交委托人批准，并于委托人批准后的72小时内到达工作岗位；</w:t>
      </w:r>
    </w:p>
    <w:p w14:paraId="53886811">
      <w:pPr>
        <w:tabs>
          <w:tab w:val="left" w:pos="1340"/>
        </w:tabs>
        <w:spacing w:line="360" w:lineRule="auto"/>
        <w:ind w:firstLine="484" w:firstLineChars="202"/>
        <w:rPr>
          <w:rFonts w:ascii="宋体" w:hAnsi="宋体" w:eastAsia="宋体"/>
          <w:color w:val="auto"/>
          <w:sz w:val="24"/>
          <w:szCs w:val="24"/>
          <w:highlight w:val="none"/>
        </w:rPr>
      </w:pPr>
      <w:r>
        <w:rPr>
          <w:rFonts w:hint="eastAsia" w:ascii="宋体" w:hAnsi="宋体" w:eastAsia="宋体"/>
          <w:color w:val="auto"/>
          <w:sz w:val="24"/>
          <w:szCs w:val="24"/>
          <w:highlight w:val="none"/>
          <w:lang w:eastAsia="zh-CN"/>
        </w:rPr>
        <w:t>6</w:t>
      </w:r>
      <w:r>
        <w:rPr>
          <w:rFonts w:hint="eastAsia" w:ascii="宋体" w:hAnsi="宋体" w:eastAsia="宋体"/>
          <w:color w:val="auto"/>
          <w:sz w:val="24"/>
          <w:szCs w:val="24"/>
          <w:highlight w:val="none"/>
        </w:rPr>
        <w:t>）监理方根据项目监理工作需求，编制项目管理文件，报委托人审批后实施，项目管理文件包括但不限于：</w:t>
      </w:r>
    </w:p>
    <w:p w14:paraId="705F5034">
      <w:pPr>
        <w:tabs>
          <w:tab w:val="left" w:pos="1340"/>
        </w:tabs>
        <w:spacing w:line="360" w:lineRule="auto"/>
        <w:ind w:firstLine="484" w:firstLineChars="202"/>
        <w:rPr>
          <w:rFonts w:ascii="宋体" w:hAnsi="宋体" w:eastAsia="宋体"/>
          <w:color w:val="auto"/>
          <w:sz w:val="24"/>
          <w:szCs w:val="24"/>
          <w:highlight w:val="none"/>
        </w:rPr>
      </w:pPr>
      <w:r>
        <w:rPr>
          <w:rFonts w:hint="eastAsia" w:ascii="宋体" w:hAnsi="宋体" w:eastAsia="宋体"/>
          <w:color w:val="auto"/>
          <w:sz w:val="24"/>
          <w:szCs w:val="24"/>
          <w:highlight w:val="none"/>
        </w:rPr>
        <w:t>a.项目管理体制和制度</w:t>
      </w:r>
    </w:p>
    <w:p w14:paraId="47D066DF">
      <w:pPr>
        <w:tabs>
          <w:tab w:val="left" w:pos="1340"/>
        </w:tabs>
        <w:spacing w:line="360" w:lineRule="auto"/>
        <w:ind w:firstLine="484" w:firstLineChars="202"/>
        <w:rPr>
          <w:rFonts w:ascii="宋体" w:hAnsi="宋体" w:eastAsia="宋体"/>
          <w:color w:val="auto"/>
          <w:sz w:val="24"/>
          <w:szCs w:val="24"/>
          <w:highlight w:val="none"/>
        </w:rPr>
      </w:pPr>
      <w:r>
        <w:rPr>
          <w:rFonts w:hint="eastAsia" w:ascii="宋体" w:hAnsi="宋体" w:eastAsia="宋体"/>
          <w:color w:val="auto"/>
          <w:sz w:val="24"/>
          <w:szCs w:val="24"/>
          <w:highlight w:val="none"/>
        </w:rPr>
        <w:t>b.监理规划大纲和实施细则</w:t>
      </w:r>
    </w:p>
    <w:p w14:paraId="24F9761B">
      <w:pPr>
        <w:tabs>
          <w:tab w:val="left" w:pos="1340"/>
        </w:tabs>
        <w:spacing w:line="360" w:lineRule="auto"/>
        <w:ind w:firstLine="484" w:firstLineChars="202"/>
        <w:rPr>
          <w:rFonts w:ascii="宋体" w:hAnsi="宋体" w:eastAsia="宋体"/>
          <w:color w:val="auto"/>
          <w:sz w:val="24"/>
          <w:szCs w:val="24"/>
          <w:highlight w:val="none"/>
        </w:rPr>
      </w:pPr>
      <w:r>
        <w:rPr>
          <w:rFonts w:hint="eastAsia" w:ascii="宋体" w:hAnsi="宋体" w:eastAsia="宋体"/>
          <w:color w:val="auto"/>
          <w:sz w:val="24"/>
          <w:szCs w:val="24"/>
          <w:highlight w:val="none"/>
        </w:rPr>
        <w:t>c监理机构织机构</w:t>
      </w:r>
    </w:p>
    <w:p w14:paraId="75A10D02">
      <w:pPr>
        <w:tabs>
          <w:tab w:val="left" w:pos="1340"/>
        </w:tabs>
        <w:spacing w:line="360" w:lineRule="auto"/>
        <w:ind w:firstLine="484" w:firstLineChars="202"/>
        <w:rPr>
          <w:rFonts w:ascii="宋体" w:hAnsi="宋体" w:eastAsia="宋体"/>
          <w:color w:val="auto"/>
          <w:sz w:val="24"/>
          <w:szCs w:val="24"/>
          <w:highlight w:val="none"/>
        </w:rPr>
      </w:pPr>
      <w:r>
        <w:rPr>
          <w:rFonts w:hint="eastAsia" w:ascii="宋体" w:hAnsi="宋体" w:eastAsia="宋体"/>
          <w:color w:val="auto"/>
          <w:sz w:val="24"/>
          <w:szCs w:val="24"/>
          <w:highlight w:val="none"/>
        </w:rPr>
        <w:t>d.工程进度和费用的控制方案及程序</w:t>
      </w:r>
    </w:p>
    <w:p w14:paraId="158D8BF8">
      <w:pPr>
        <w:tabs>
          <w:tab w:val="left" w:pos="1340"/>
        </w:tabs>
        <w:spacing w:line="360" w:lineRule="auto"/>
        <w:ind w:firstLine="484" w:firstLineChars="202"/>
        <w:rPr>
          <w:rFonts w:ascii="宋体" w:hAnsi="宋体" w:eastAsia="宋体"/>
          <w:color w:val="auto"/>
          <w:sz w:val="24"/>
          <w:szCs w:val="24"/>
          <w:highlight w:val="none"/>
        </w:rPr>
      </w:pPr>
      <w:r>
        <w:rPr>
          <w:rFonts w:hint="eastAsia" w:ascii="宋体" w:hAnsi="宋体" w:eastAsia="宋体"/>
          <w:color w:val="auto"/>
          <w:sz w:val="24"/>
          <w:szCs w:val="24"/>
          <w:highlight w:val="none"/>
        </w:rPr>
        <w:t>e.质量管理和控制方案、体系及程序</w:t>
      </w:r>
    </w:p>
    <w:p w14:paraId="08B012E6">
      <w:pPr>
        <w:tabs>
          <w:tab w:val="left" w:pos="1340"/>
        </w:tabs>
        <w:spacing w:line="360" w:lineRule="auto"/>
        <w:ind w:firstLine="484" w:firstLineChars="202"/>
        <w:rPr>
          <w:rFonts w:ascii="宋体" w:hAnsi="宋体" w:eastAsia="宋体"/>
          <w:color w:val="auto"/>
          <w:sz w:val="24"/>
          <w:szCs w:val="24"/>
          <w:highlight w:val="none"/>
        </w:rPr>
      </w:pPr>
      <w:r>
        <w:rPr>
          <w:rFonts w:hint="eastAsia" w:ascii="宋体" w:hAnsi="宋体" w:eastAsia="宋体"/>
          <w:color w:val="auto"/>
          <w:sz w:val="24"/>
          <w:szCs w:val="24"/>
          <w:highlight w:val="none"/>
        </w:rPr>
        <w:t>f.现场管理方案和措施</w:t>
      </w:r>
    </w:p>
    <w:p w14:paraId="7DC1DDC3">
      <w:pPr>
        <w:tabs>
          <w:tab w:val="left" w:pos="1340"/>
        </w:tabs>
        <w:spacing w:line="360" w:lineRule="auto"/>
        <w:ind w:firstLine="484" w:firstLineChars="202"/>
        <w:rPr>
          <w:rFonts w:ascii="宋体" w:hAnsi="宋体" w:eastAsia="宋体"/>
          <w:color w:val="auto"/>
          <w:sz w:val="24"/>
          <w:szCs w:val="24"/>
          <w:highlight w:val="none"/>
        </w:rPr>
      </w:pPr>
      <w:r>
        <w:rPr>
          <w:rFonts w:hint="eastAsia" w:ascii="宋体" w:hAnsi="宋体" w:eastAsia="宋体"/>
          <w:color w:val="auto"/>
          <w:sz w:val="24"/>
          <w:szCs w:val="24"/>
          <w:highlight w:val="none"/>
        </w:rPr>
        <w:t>g.HSE管理方案、体系及程序</w:t>
      </w:r>
    </w:p>
    <w:p w14:paraId="6B745E65">
      <w:pPr>
        <w:tabs>
          <w:tab w:val="left" w:pos="1340"/>
        </w:tabs>
        <w:spacing w:line="360" w:lineRule="auto"/>
        <w:ind w:firstLine="484" w:firstLineChars="202"/>
        <w:rPr>
          <w:rFonts w:ascii="宋体" w:hAnsi="宋体" w:eastAsia="宋体"/>
          <w:color w:val="auto"/>
          <w:sz w:val="24"/>
          <w:szCs w:val="24"/>
          <w:highlight w:val="none"/>
        </w:rPr>
      </w:pPr>
      <w:r>
        <w:rPr>
          <w:rFonts w:hint="eastAsia" w:ascii="宋体" w:hAnsi="宋体" w:eastAsia="宋体"/>
          <w:color w:val="auto"/>
          <w:sz w:val="24"/>
          <w:szCs w:val="24"/>
          <w:highlight w:val="none"/>
        </w:rPr>
        <w:t>h.内部工作协调方案及程序</w:t>
      </w:r>
    </w:p>
    <w:p w14:paraId="14F150BF">
      <w:pPr>
        <w:tabs>
          <w:tab w:val="left" w:pos="1340"/>
        </w:tabs>
        <w:spacing w:line="360" w:lineRule="auto"/>
        <w:ind w:firstLine="484" w:firstLineChars="202"/>
        <w:rPr>
          <w:rFonts w:ascii="宋体" w:hAnsi="宋体" w:eastAsia="宋体"/>
          <w:color w:val="auto"/>
          <w:sz w:val="24"/>
          <w:szCs w:val="24"/>
          <w:highlight w:val="none"/>
        </w:rPr>
      </w:pPr>
      <w:r>
        <w:rPr>
          <w:rFonts w:hint="eastAsia" w:ascii="宋体" w:hAnsi="宋体" w:eastAsia="宋体"/>
          <w:color w:val="auto"/>
          <w:sz w:val="24"/>
          <w:szCs w:val="24"/>
          <w:highlight w:val="none"/>
        </w:rPr>
        <w:t>i.外部工作协调方案及程序</w:t>
      </w:r>
    </w:p>
    <w:p w14:paraId="5BD005B6">
      <w:pPr>
        <w:tabs>
          <w:tab w:val="left" w:pos="1340"/>
        </w:tabs>
        <w:spacing w:line="360" w:lineRule="auto"/>
        <w:ind w:firstLine="484" w:firstLineChars="202"/>
        <w:rPr>
          <w:rFonts w:ascii="宋体" w:hAnsi="宋体" w:eastAsia="宋体"/>
          <w:color w:val="auto"/>
          <w:sz w:val="24"/>
          <w:szCs w:val="24"/>
          <w:highlight w:val="none"/>
        </w:rPr>
      </w:pPr>
      <w:r>
        <w:rPr>
          <w:rFonts w:hint="eastAsia" w:ascii="宋体" w:hAnsi="宋体" w:eastAsia="宋体"/>
          <w:color w:val="auto"/>
          <w:sz w:val="24"/>
          <w:szCs w:val="24"/>
          <w:highlight w:val="none"/>
        </w:rPr>
        <w:t>j.与委托人的工作协调方案及程序</w:t>
      </w:r>
    </w:p>
    <w:p w14:paraId="23A49A0D">
      <w:pPr>
        <w:tabs>
          <w:tab w:val="left" w:pos="1340"/>
        </w:tabs>
        <w:spacing w:line="360" w:lineRule="auto"/>
        <w:ind w:firstLine="484" w:firstLineChars="202"/>
        <w:rPr>
          <w:rFonts w:ascii="宋体" w:hAnsi="宋体" w:eastAsia="宋体"/>
          <w:color w:val="auto"/>
          <w:sz w:val="24"/>
          <w:szCs w:val="24"/>
          <w:highlight w:val="none"/>
        </w:rPr>
      </w:pPr>
      <w:r>
        <w:rPr>
          <w:rFonts w:hint="eastAsia" w:ascii="宋体" w:hAnsi="宋体" w:eastAsia="宋体"/>
          <w:color w:val="auto"/>
          <w:sz w:val="24"/>
          <w:szCs w:val="24"/>
          <w:highlight w:val="none"/>
        </w:rPr>
        <w:t>k.文件管理及控制程序</w:t>
      </w:r>
    </w:p>
    <w:p w14:paraId="24210FBD">
      <w:pPr>
        <w:tabs>
          <w:tab w:val="left" w:pos="1340"/>
        </w:tabs>
        <w:spacing w:line="360" w:lineRule="auto"/>
        <w:ind w:firstLine="484" w:firstLineChars="202"/>
        <w:rPr>
          <w:rFonts w:ascii="宋体" w:hAnsi="宋体" w:eastAsia="宋体"/>
          <w:color w:val="auto"/>
          <w:sz w:val="24"/>
          <w:szCs w:val="24"/>
          <w:highlight w:val="none"/>
        </w:rPr>
      </w:pPr>
      <w:r>
        <w:rPr>
          <w:rFonts w:hint="eastAsia" w:ascii="宋体" w:hAnsi="宋体" w:eastAsia="宋体"/>
          <w:color w:val="auto"/>
          <w:sz w:val="24"/>
          <w:szCs w:val="24"/>
          <w:highlight w:val="none"/>
        </w:rPr>
        <w:t>i.其他方面</w:t>
      </w:r>
    </w:p>
    <w:p w14:paraId="249BEC98">
      <w:pPr>
        <w:tabs>
          <w:tab w:val="left" w:pos="1340"/>
        </w:tabs>
        <w:spacing w:line="360" w:lineRule="auto"/>
        <w:ind w:firstLine="484" w:firstLineChars="202"/>
        <w:rPr>
          <w:rFonts w:ascii="宋体" w:hAnsi="宋体" w:eastAsia="宋体"/>
          <w:color w:val="auto"/>
          <w:sz w:val="24"/>
          <w:szCs w:val="24"/>
          <w:highlight w:val="none"/>
        </w:rPr>
      </w:pPr>
      <w:r>
        <w:rPr>
          <w:rFonts w:hint="eastAsia" w:ascii="宋体" w:hAnsi="宋体" w:eastAsia="宋体"/>
          <w:color w:val="auto"/>
          <w:sz w:val="24"/>
          <w:szCs w:val="24"/>
          <w:highlight w:val="none"/>
          <w:lang w:eastAsia="zh-CN"/>
        </w:rPr>
        <w:t>7</w:t>
      </w:r>
      <w:r>
        <w:rPr>
          <w:rFonts w:hint="eastAsia" w:ascii="宋体" w:hAnsi="宋体" w:eastAsia="宋体"/>
          <w:color w:val="auto"/>
          <w:sz w:val="24"/>
          <w:szCs w:val="24"/>
          <w:highlight w:val="none"/>
        </w:rPr>
        <w:t>）监理方至少每两个月对监理项目部工作进行检查，并就监理工作征求委托人意见，并根据委托人要求及时更换不称职的监理人员（包括总监）；</w:t>
      </w:r>
    </w:p>
    <w:p w14:paraId="3D5EE790">
      <w:pPr>
        <w:tabs>
          <w:tab w:val="left" w:pos="1340"/>
        </w:tabs>
        <w:spacing w:line="360" w:lineRule="auto"/>
        <w:ind w:firstLine="484" w:firstLineChars="202"/>
        <w:rPr>
          <w:rFonts w:ascii="宋体" w:hAnsi="宋体" w:eastAsia="宋体"/>
          <w:color w:val="auto"/>
          <w:sz w:val="24"/>
          <w:szCs w:val="24"/>
          <w:highlight w:val="none"/>
        </w:rPr>
      </w:pPr>
      <w:r>
        <w:rPr>
          <w:rFonts w:hint="eastAsia" w:ascii="宋体" w:hAnsi="宋体" w:eastAsia="宋体"/>
          <w:color w:val="auto"/>
          <w:sz w:val="24"/>
          <w:szCs w:val="24"/>
          <w:highlight w:val="none"/>
          <w:lang w:eastAsia="zh-CN"/>
        </w:rPr>
        <w:t>8</w:t>
      </w:r>
      <w:r>
        <w:rPr>
          <w:rFonts w:hint="eastAsia" w:ascii="宋体" w:hAnsi="宋体" w:eastAsia="宋体"/>
          <w:color w:val="auto"/>
          <w:sz w:val="24"/>
          <w:szCs w:val="24"/>
          <w:highlight w:val="none"/>
        </w:rPr>
        <w:t>）总监理师每周定期向委托人汇报监理工作情况；</w:t>
      </w:r>
    </w:p>
    <w:p w14:paraId="06129372">
      <w:pPr>
        <w:tabs>
          <w:tab w:val="left" w:pos="1340"/>
        </w:tabs>
        <w:spacing w:line="360" w:lineRule="auto"/>
        <w:ind w:firstLine="484" w:firstLineChars="202"/>
        <w:rPr>
          <w:rFonts w:hint="eastAsia" w:ascii="宋体" w:hAnsi="宋体" w:eastAsia="宋体"/>
          <w:color w:val="auto"/>
          <w:sz w:val="24"/>
          <w:szCs w:val="24"/>
          <w:highlight w:val="none"/>
        </w:rPr>
      </w:pPr>
      <w:r>
        <w:rPr>
          <w:rFonts w:hint="eastAsia" w:ascii="宋体" w:hAnsi="宋体" w:eastAsia="宋体"/>
          <w:color w:val="auto"/>
          <w:sz w:val="24"/>
          <w:szCs w:val="24"/>
          <w:highlight w:val="none"/>
          <w:lang w:eastAsia="zh-CN"/>
        </w:rPr>
        <w:t>9</w:t>
      </w:r>
      <w:r>
        <w:rPr>
          <w:rFonts w:hint="eastAsia" w:ascii="宋体" w:hAnsi="宋体" w:eastAsia="宋体"/>
          <w:color w:val="auto"/>
          <w:sz w:val="24"/>
          <w:szCs w:val="24"/>
          <w:highlight w:val="none"/>
        </w:rPr>
        <w:t>）监理项目部应接受委托人的监督，严格请销假制度。总监理师每月在本合同项目现场工作时间不得少于 10工作日，且离开项目工作现场必须向委托人请假；其余监理人员离开项目工作现场必须向委托人项目部请假，在获得允许的情况下才能离开。监理方项目部所有人员不得在该项目以外兼职。否则视为合同违约。</w:t>
      </w:r>
    </w:p>
    <w:p w14:paraId="7C845AE8">
      <w:pPr>
        <w:tabs>
          <w:tab w:val="left" w:pos="1340"/>
        </w:tabs>
        <w:spacing w:line="360" w:lineRule="auto"/>
        <w:ind w:firstLine="484" w:firstLineChars="202"/>
        <w:rPr>
          <w:color w:val="auto"/>
          <w:highlight w:val="none"/>
        </w:rPr>
      </w:pPr>
      <w:r>
        <w:rPr>
          <w:rFonts w:hint="eastAsia" w:ascii="宋体" w:hAnsi="宋体" w:eastAsia="宋体"/>
          <w:color w:val="auto"/>
          <w:sz w:val="24"/>
          <w:szCs w:val="24"/>
          <w:highlight w:val="none"/>
          <w:lang w:val="en-US" w:eastAsia="zh-CN"/>
        </w:rPr>
        <w:t>10</w:t>
      </w:r>
      <w:r>
        <w:rPr>
          <w:rFonts w:hint="eastAsia" w:ascii="宋体" w:hAnsi="宋体" w:eastAsia="宋体"/>
          <w:color w:val="auto"/>
          <w:sz w:val="24"/>
          <w:szCs w:val="24"/>
          <w:highlight w:val="none"/>
        </w:rPr>
        <w:t>）监理方</w:t>
      </w:r>
      <w:r>
        <w:rPr>
          <w:rFonts w:hint="eastAsia" w:ascii="宋体" w:hAnsi="宋体" w:eastAsia="宋体"/>
          <w:color w:val="auto"/>
          <w:sz w:val="24"/>
          <w:szCs w:val="24"/>
          <w:highlight w:val="none"/>
          <w:lang w:val="en-US" w:eastAsia="zh-CN"/>
        </w:rPr>
        <w:t>应按投标人员情况，派遣专业监理工程师及监理员在</w:t>
      </w:r>
      <w:r>
        <w:rPr>
          <w:rFonts w:hint="eastAsia" w:ascii="宋体" w:hAnsi="宋体" w:eastAsia="宋体"/>
          <w:color w:val="auto"/>
          <w:sz w:val="24"/>
          <w:szCs w:val="24"/>
          <w:highlight w:val="none"/>
        </w:rPr>
        <w:t>工作</w:t>
      </w:r>
      <w:r>
        <w:rPr>
          <w:rFonts w:hint="eastAsia" w:ascii="宋体" w:hAnsi="宋体" w:eastAsia="宋体"/>
          <w:color w:val="auto"/>
          <w:sz w:val="24"/>
          <w:szCs w:val="24"/>
          <w:highlight w:val="none"/>
          <w:lang w:val="en-US" w:eastAsia="zh-CN"/>
        </w:rPr>
        <w:t>现场开展监理工作，其中，</w:t>
      </w:r>
      <w:r>
        <w:rPr>
          <w:rFonts w:hint="eastAsia" w:ascii="宋体" w:hAnsi="宋体" w:eastAsia="宋体"/>
          <w:color w:val="auto"/>
          <w:sz w:val="24"/>
          <w:szCs w:val="24"/>
          <w:highlight w:val="none"/>
        </w:rPr>
        <w:t>市政专业</w:t>
      </w:r>
      <w:r>
        <w:rPr>
          <w:rFonts w:hint="eastAsia" w:ascii="宋体" w:hAnsi="宋体" w:eastAsia="宋体"/>
          <w:color w:val="auto"/>
          <w:sz w:val="24"/>
          <w:szCs w:val="24"/>
          <w:highlight w:val="none"/>
          <w:lang w:val="en-US" w:eastAsia="zh-CN"/>
        </w:rPr>
        <w:t>或石油化工专业</w:t>
      </w:r>
      <w:r>
        <w:rPr>
          <w:rFonts w:hint="eastAsia" w:ascii="宋体" w:hAnsi="宋体" w:eastAsia="宋体"/>
          <w:color w:val="auto"/>
          <w:sz w:val="24"/>
          <w:szCs w:val="24"/>
          <w:highlight w:val="none"/>
        </w:rPr>
        <w:t>监理工程师</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3名）</w:t>
      </w:r>
      <w:r>
        <w:rPr>
          <w:rFonts w:hint="eastAsia" w:ascii="宋体" w:hAnsi="宋体" w:eastAsia="宋体"/>
          <w:color w:val="auto"/>
          <w:sz w:val="24"/>
          <w:szCs w:val="24"/>
          <w:highlight w:val="none"/>
          <w:lang w:eastAsia="zh-CN"/>
        </w:rPr>
        <w:t>、</w:t>
      </w:r>
      <w:r>
        <w:rPr>
          <w:rFonts w:ascii="宋体" w:hAnsi="宋体" w:eastAsia="宋体"/>
          <w:color w:val="auto"/>
          <w:sz w:val="24"/>
          <w:szCs w:val="24"/>
          <w:highlight w:val="none"/>
        </w:rPr>
        <w:t>建筑工程</w:t>
      </w:r>
      <w:r>
        <w:rPr>
          <w:rFonts w:hint="eastAsia" w:ascii="宋体" w:hAnsi="宋体" w:eastAsia="宋体"/>
          <w:color w:val="auto"/>
          <w:sz w:val="24"/>
          <w:szCs w:val="24"/>
          <w:highlight w:val="none"/>
        </w:rPr>
        <w:t>专业监理工程师</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1名）</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安全专业监理工程师</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1名）与监理员（不少于4名）现场服务期为：施工单位签订合同时起，至项目完成竣工验收时止</w:t>
      </w:r>
      <w:r>
        <w:rPr>
          <w:rFonts w:hint="eastAsia" w:ascii="宋体" w:hAnsi="宋体" w:eastAsia="宋体"/>
          <w:color w:val="auto"/>
          <w:sz w:val="24"/>
          <w:szCs w:val="24"/>
          <w:highlight w:val="none"/>
        </w:rPr>
        <w:t>；测量专业监理工程师</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1名）现场服务期为：施工单位开展施工放线工作时；造价工程师</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1名）现场服务期为：施工变更及施工结算时。承包人可根据项目现场情况向发包人提交人员调整的书面申请，经发包人审批后，方可调整项目驻场人员，如发包人需要增派人员，承包人需在接到发包人书面通知后</w:t>
      </w:r>
      <w:r>
        <w:rPr>
          <w:rFonts w:hint="eastAsia" w:ascii="宋体" w:hAnsi="宋体" w:eastAsia="宋体"/>
          <w:color w:val="auto"/>
          <w:sz w:val="24"/>
          <w:szCs w:val="24"/>
          <w:highlight w:val="none"/>
        </w:rPr>
        <w:t>72小时内到达工作岗位</w:t>
      </w:r>
      <w:r>
        <w:rPr>
          <w:rFonts w:hint="eastAsia" w:ascii="宋体" w:hAnsi="宋体" w:eastAsia="宋体"/>
          <w:color w:val="auto"/>
          <w:sz w:val="24"/>
          <w:szCs w:val="24"/>
          <w:highlight w:val="none"/>
          <w:lang w:eastAsia="zh-CN"/>
        </w:rPr>
        <w:t>。</w:t>
      </w:r>
    </w:p>
    <w:p w14:paraId="38E0454E">
      <w:pPr>
        <w:tabs>
          <w:tab w:val="left" w:pos="1340"/>
        </w:tabs>
        <w:spacing w:line="360" w:lineRule="auto"/>
        <w:ind w:firstLine="240" w:firstLineChars="100"/>
        <w:rPr>
          <w:rFonts w:ascii="宋体" w:hAnsi="宋体" w:eastAsia="宋体"/>
          <w:color w:val="auto"/>
          <w:sz w:val="24"/>
          <w:szCs w:val="24"/>
          <w:highlight w:val="none"/>
        </w:rPr>
      </w:pPr>
      <w:r>
        <w:rPr>
          <w:rFonts w:hint="eastAsia" w:ascii="宋体" w:hAnsi="宋体" w:eastAsia="宋体"/>
          <w:color w:val="auto"/>
          <w:sz w:val="24"/>
          <w:szCs w:val="24"/>
          <w:highlight w:val="none"/>
        </w:rPr>
        <w:t>（2）施工准备阶段监理</w:t>
      </w:r>
    </w:p>
    <w:p w14:paraId="1F2B7690">
      <w:pPr>
        <w:spacing w:line="360" w:lineRule="auto"/>
        <w:ind w:firstLine="484" w:firstLineChars="202"/>
        <w:rPr>
          <w:rFonts w:ascii="宋体" w:hAnsi="宋体" w:eastAsia="宋体"/>
          <w:color w:val="auto"/>
          <w:sz w:val="24"/>
          <w:szCs w:val="24"/>
          <w:highlight w:val="none"/>
        </w:rPr>
      </w:pPr>
      <w:r>
        <w:rPr>
          <w:rFonts w:hint="eastAsia" w:ascii="宋体" w:hAnsi="宋体" w:eastAsia="宋体"/>
          <w:color w:val="auto"/>
          <w:sz w:val="24"/>
          <w:szCs w:val="24"/>
          <w:highlight w:val="none"/>
        </w:rPr>
        <w:t>1）承担委托人在设计阶段的技术顾问；</w:t>
      </w:r>
    </w:p>
    <w:p w14:paraId="6EA7A448">
      <w:pPr>
        <w:spacing w:line="360" w:lineRule="auto"/>
        <w:ind w:firstLine="484" w:firstLineChars="202"/>
        <w:rPr>
          <w:rFonts w:ascii="宋体" w:hAnsi="宋体" w:eastAsia="宋体"/>
          <w:color w:val="auto"/>
          <w:sz w:val="24"/>
          <w:szCs w:val="24"/>
          <w:highlight w:val="none"/>
        </w:rPr>
      </w:pPr>
      <w:r>
        <w:rPr>
          <w:rFonts w:hint="eastAsia" w:ascii="宋体" w:hAnsi="宋体" w:eastAsia="宋体"/>
          <w:color w:val="auto"/>
          <w:sz w:val="24"/>
          <w:szCs w:val="24"/>
          <w:highlight w:val="none"/>
        </w:rPr>
        <w:t>2）组织与协调施工单位、设计单位之间的设计交底及安全技术交底；</w:t>
      </w:r>
    </w:p>
    <w:p w14:paraId="10A2595D">
      <w:pPr>
        <w:spacing w:line="360" w:lineRule="auto"/>
        <w:ind w:firstLine="484" w:firstLineChars="202"/>
        <w:rPr>
          <w:rFonts w:ascii="宋体" w:hAnsi="宋体" w:eastAsia="宋体"/>
          <w:color w:val="auto"/>
          <w:sz w:val="24"/>
          <w:szCs w:val="24"/>
          <w:highlight w:val="none"/>
        </w:rPr>
      </w:pPr>
      <w:r>
        <w:rPr>
          <w:rFonts w:hint="eastAsia" w:ascii="宋体" w:hAnsi="宋体" w:eastAsia="宋体"/>
          <w:color w:val="auto"/>
          <w:sz w:val="24"/>
          <w:szCs w:val="24"/>
          <w:highlight w:val="none"/>
        </w:rPr>
        <w:t>3）组织审查工程施工图设计、工程施工图预决算；</w:t>
      </w:r>
    </w:p>
    <w:p w14:paraId="573C577D">
      <w:pPr>
        <w:spacing w:line="360" w:lineRule="auto"/>
        <w:ind w:firstLine="484" w:firstLineChars="202"/>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4）监督施工单位做好施工准备。</w:t>
      </w:r>
    </w:p>
    <w:p w14:paraId="1300C8E4">
      <w:pPr>
        <w:spacing w:line="360" w:lineRule="auto"/>
        <w:ind w:firstLine="240" w:firstLineChars="100"/>
        <w:rPr>
          <w:rFonts w:ascii="宋体" w:hAnsi="宋体" w:eastAsia="宋体"/>
          <w:color w:val="auto"/>
          <w:sz w:val="24"/>
          <w:szCs w:val="24"/>
          <w:highlight w:val="none"/>
        </w:rPr>
      </w:pPr>
      <w:r>
        <w:rPr>
          <w:rFonts w:hint="eastAsia" w:ascii="宋体" w:hAnsi="宋体" w:eastAsia="宋体"/>
          <w:color w:val="auto"/>
          <w:sz w:val="24"/>
          <w:szCs w:val="24"/>
          <w:highlight w:val="none"/>
        </w:rPr>
        <w:t>（3）根据委托人要求，参与设备材料的进场验收，工程材料和设备的名称、种类、规格、质量、数量及相关方面进行检查和检验，对于不符合设计要求和国家质量标准的材料和设备应及时制止承包商使用并向委托人报告。</w:t>
      </w:r>
    </w:p>
    <w:p w14:paraId="3AD7B847">
      <w:pPr>
        <w:spacing w:line="360" w:lineRule="auto"/>
        <w:ind w:firstLine="240" w:firstLineChars="100"/>
        <w:rPr>
          <w:rFonts w:ascii="宋体" w:hAnsi="宋体" w:eastAsia="宋体"/>
          <w:color w:val="auto"/>
          <w:sz w:val="24"/>
          <w:szCs w:val="24"/>
          <w:highlight w:val="none"/>
        </w:rPr>
      </w:pPr>
      <w:r>
        <w:rPr>
          <w:rFonts w:hint="eastAsia" w:ascii="宋体" w:hAnsi="宋体" w:eastAsia="宋体"/>
          <w:color w:val="auto"/>
          <w:sz w:val="24"/>
          <w:szCs w:val="24"/>
          <w:highlight w:val="none"/>
        </w:rPr>
        <w:t>（4）施工阶段监理</w:t>
      </w:r>
    </w:p>
    <w:p w14:paraId="1CD376EB">
      <w:pPr>
        <w:spacing w:line="360" w:lineRule="auto"/>
        <w:ind w:firstLine="484" w:firstLineChars="202"/>
        <w:rPr>
          <w:rFonts w:ascii="宋体" w:hAnsi="宋体" w:eastAsia="宋体"/>
          <w:color w:val="auto"/>
          <w:sz w:val="24"/>
          <w:szCs w:val="24"/>
          <w:highlight w:val="none"/>
        </w:rPr>
      </w:pPr>
      <w:r>
        <w:rPr>
          <w:rFonts w:hint="eastAsia" w:ascii="宋体" w:hAnsi="宋体" w:eastAsia="宋体"/>
          <w:color w:val="auto"/>
          <w:sz w:val="24"/>
          <w:szCs w:val="24"/>
          <w:highlight w:val="none"/>
        </w:rPr>
        <w:t>1）负责检查承包人是否具备开工条件，批准承包人开工申请报告；</w:t>
      </w:r>
    </w:p>
    <w:p w14:paraId="07CEA853">
      <w:pPr>
        <w:spacing w:line="360" w:lineRule="auto"/>
        <w:ind w:firstLine="484" w:firstLineChars="202"/>
        <w:rPr>
          <w:rFonts w:ascii="宋体" w:hAnsi="宋体" w:eastAsia="宋体"/>
          <w:color w:val="auto"/>
          <w:sz w:val="24"/>
          <w:szCs w:val="24"/>
          <w:highlight w:val="none"/>
        </w:rPr>
      </w:pPr>
      <w:r>
        <w:rPr>
          <w:rFonts w:hint="eastAsia" w:ascii="宋体" w:hAnsi="宋体" w:eastAsia="宋体"/>
          <w:color w:val="auto"/>
          <w:sz w:val="24"/>
          <w:szCs w:val="24"/>
          <w:highlight w:val="none"/>
        </w:rPr>
        <w:t>2）定期组织召开现场工程协调例会、安全例会、质量例会、定期组织安全检查；</w:t>
      </w:r>
    </w:p>
    <w:p w14:paraId="076A7ACC">
      <w:pPr>
        <w:spacing w:line="360" w:lineRule="auto"/>
        <w:ind w:firstLine="484" w:firstLineChars="202"/>
        <w:rPr>
          <w:rFonts w:ascii="宋体" w:hAnsi="宋体" w:eastAsia="宋体"/>
          <w:color w:val="auto"/>
          <w:sz w:val="24"/>
          <w:szCs w:val="24"/>
          <w:highlight w:val="none"/>
        </w:rPr>
      </w:pPr>
      <w:r>
        <w:rPr>
          <w:rFonts w:hint="eastAsia" w:ascii="宋体" w:hAnsi="宋体" w:eastAsia="宋体"/>
          <w:color w:val="auto"/>
          <w:sz w:val="24"/>
          <w:szCs w:val="24"/>
          <w:highlight w:val="none"/>
        </w:rPr>
        <w:t>3）向承包人办理建设现场移交手续；</w:t>
      </w:r>
    </w:p>
    <w:p w14:paraId="09F6E607">
      <w:pPr>
        <w:spacing w:line="360" w:lineRule="auto"/>
        <w:ind w:firstLine="484" w:firstLineChars="202"/>
        <w:rPr>
          <w:rFonts w:ascii="宋体" w:hAnsi="宋体" w:eastAsia="宋体"/>
          <w:color w:val="auto"/>
          <w:sz w:val="24"/>
          <w:szCs w:val="24"/>
          <w:highlight w:val="none"/>
        </w:rPr>
      </w:pPr>
      <w:r>
        <w:rPr>
          <w:rFonts w:hint="eastAsia" w:ascii="宋体" w:hAnsi="宋体" w:eastAsia="宋体"/>
          <w:color w:val="auto"/>
          <w:sz w:val="24"/>
          <w:szCs w:val="24"/>
          <w:highlight w:val="none"/>
        </w:rPr>
        <w:t>4）制定施工总体规划，审查承包人提交的工程施工文件（包括但不限于：施工组织设计、技术方案、HSE保证措施、质量保证体系、工程进度计划及其他相关文件），向委托人提出审查意见和建议，并根据委托人的要求和国家的相关规定签署相关的文件，下达单位工程施工开工令；</w:t>
      </w:r>
    </w:p>
    <w:p w14:paraId="6A18DF84">
      <w:pPr>
        <w:spacing w:line="360" w:lineRule="auto"/>
        <w:ind w:firstLine="484" w:firstLineChars="202"/>
        <w:rPr>
          <w:rFonts w:ascii="宋体" w:hAnsi="宋体" w:eastAsia="宋体"/>
          <w:color w:val="auto"/>
          <w:sz w:val="24"/>
          <w:szCs w:val="24"/>
          <w:highlight w:val="none"/>
        </w:rPr>
      </w:pPr>
      <w:r>
        <w:rPr>
          <w:rFonts w:hint="eastAsia" w:ascii="宋体" w:hAnsi="宋体" w:eastAsia="宋体"/>
          <w:color w:val="auto"/>
          <w:sz w:val="24"/>
          <w:szCs w:val="24"/>
          <w:highlight w:val="none"/>
        </w:rPr>
        <w:t>5）审查承包人提出的工程材料、构件和设备的采购清单；</w:t>
      </w:r>
    </w:p>
    <w:p w14:paraId="03736A15">
      <w:pPr>
        <w:spacing w:line="360" w:lineRule="auto"/>
        <w:ind w:firstLine="484" w:firstLineChars="202"/>
        <w:rPr>
          <w:rFonts w:ascii="宋体" w:hAnsi="宋体" w:eastAsia="宋体"/>
          <w:color w:val="auto"/>
          <w:sz w:val="24"/>
          <w:szCs w:val="24"/>
          <w:highlight w:val="none"/>
        </w:rPr>
      </w:pPr>
      <w:r>
        <w:rPr>
          <w:rFonts w:hint="eastAsia" w:ascii="宋体" w:hAnsi="宋体" w:eastAsia="宋体"/>
          <w:color w:val="auto"/>
          <w:sz w:val="24"/>
          <w:szCs w:val="24"/>
          <w:highlight w:val="none"/>
        </w:rPr>
        <w:t>6）检查工程使用的材料、构件、设备的规格、质量以及保管领用；</w:t>
      </w:r>
    </w:p>
    <w:p w14:paraId="51A557F6">
      <w:pPr>
        <w:spacing w:line="360" w:lineRule="auto"/>
        <w:ind w:firstLine="484" w:firstLineChars="202"/>
        <w:rPr>
          <w:rFonts w:ascii="宋体" w:hAnsi="宋体" w:eastAsia="宋体"/>
          <w:color w:val="auto"/>
          <w:sz w:val="24"/>
          <w:szCs w:val="24"/>
          <w:highlight w:val="none"/>
        </w:rPr>
      </w:pPr>
      <w:r>
        <w:rPr>
          <w:rFonts w:hint="eastAsia" w:ascii="宋体" w:hAnsi="宋体" w:eastAsia="宋体"/>
          <w:color w:val="auto"/>
          <w:sz w:val="24"/>
          <w:szCs w:val="24"/>
          <w:highlight w:val="none"/>
        </w:rPr>
        <w:t>7）检查施工技术措施和安全防护设施，审核安全措施，对施工现场进行旁站，尤其是关键工序和特殊工序，做好平行检查记录；</w:t>
      </w:r>
    </w:p>
    <w:p w14:paraId="047D0D46">
      <w:pPr>
        <w:spacing w:line="360" w:lineRule="auto"/>
        <w:ind w:firstLine="484" w:firstLineChars="202"/>
        <w:rPr>
          <w:rFonts w:ascii="宋体" w:hAnsi="宋体" w:eastAsia="宋体"/>
          <w:color w:val="auto"/>
          <w:sz w:val="24"/>
          <w:szCs w:val="24"/>
          <w:highlight w:val="none"/>
        </w:rPr>
      </w:pPr>
      <w:r>
        <w:rPr>
          <w:rFonts w:hint="eastAsia" w:ascii="宋体" w:hAnsi="宋体" w:eastAsia="宋体"/>
          <w:color w:val="auto"/>
          <w:sz w:val="24"/>
          <w:szCs w:val="24"/>
          <w:highlight w:val="none"/>
        </w:rPr>
        <w:t>8）主持协商委托人、设计单位或施工单位、监理方本身提出的设计变更，对委托人提出的有关设计变更、承包商的工作变更及其他相关事项的设想和建议提供参考性意见、建议和咨询；</w:t>
      </w:r>
    </w:p>
    <w:p w14:paraId="7181CB08">
      <w:pPr>
        <w:spacing w:line="360" w:lineRule="auto"/>
        <w:ind w:firstLine="484" w:firstLineChars="202"/>
        <w:rPr>
          <w:rFonts w:ascii="宋体" w:hAnsi="宋体" w:eastAsia="宋体"/>
          <w:color w:val="auto"/>
          <w:sz w:val="24"/>
          <w:szCs w:val="24"/>
          <w:highlight w:val="none"/>
        </w:rPr>
      </w:pPr>
      <w:r>
        <w:rPr>
          <w:rFonts w:hint="eastAsia" w:ascii="宋体" w:hAnsi="宋体" w:eastAsia="宋体"/>
          <w:color w:val="auto"/>
          <w:sz w:val="24"/>
          <w:szCs w:val="24"/>
          <w:highlight w:val="none"/>
        </w:rPr>
        <w:t>9）对工程进度实施检查、监督和管理，促使承包商按工程进度计划施工，并及时将工程进度情况书面报告委托人，并根据委托人的要求和国家的相关规定签署相关的文件；</w:t>
      </w:r>
    </w:p>
    <w:p w14:paraId="2AB35C6D">
      <w:pPr>
        <w:spacing w:line="360" w:lineRule="auto"/>
        <w:ind w:firstLine="484" w:firstLineChars="202"/>
        <w:rPr>
          <w:rFonts w:ascii="宋体" w:hAnsi="宋体" w:eastAsia="宋体"/>
          <w:color w:val="auto"/>
          <w:sz w:val="24"/>
          <w:szCs w:val="24"/>
          <w:highlight w:val="none"/>
        </w:rPr>
      </w:pPr>
      <w:r>
        <w:rPr>
          <w:rFonts w:hint="eastAsia" w:ascii="宋体" w:hAnsi="宋体" w:eastAsia="宋体"/>
          <w:color w:val="auto"/>
          <w:sz w:val="24"/>
          <w:szCs w:val="24"/>
          <w:highlight w:val="none"/>
        </w:rPr>
        <w:t>10）对工程建设中的健康、安全和环保等情况进行监督和管理，及时发现施工中的安全隐患并督促承包商整改，及时将施工中的健康、安全和环保情况报告委托人，并根据委托人的要求和国家的相关规定签署相关的文件；</w:t>
      </w:r>
    </w:p>
    <w:p w14:paraId="1286D379">
      <w:pPr>
        <w:spacing w:line="360" w:lineRule="auto"/>
        <w:ind w:firstLine="484" w:firstLineChars="202"/>
        <w:rPr>
          <w:rFonts w:ascii="宋体" w:hAnsi="宋体" w:eastAsia="宋体"/>
          <w:color w:val="auto"/>
          <w:sz w:val="24"/>
          <w:szCs w:val="24"/>
          <w:highlight w:val="none"/>
        </w:rPr>
      </w:pPr>
      <w:r>
        <w:rPr>
          <w:rFonts w:hint="eastAsia" w:ascii="宋体" w:hAnsi="宋体" w:eastAsia="宋体"/>
          <w:color w:val="auto"/>
          <w:sz w:val="24"/>
          <w:szCs w:val="24"/>
          <w:highlight w:val="none"/>
        </w:rPr>
        <w:t>11）根据委托人的要求，审查承包商提出的索赔要求，向委托人提供参考性意见、建议和咨询并协助委托人处理索赔事宜；</w:t>
      </w:r>
    </w:p>
    <w:p w14:paraId="2FEFCCEF">
      <w:pPr>
        <w:spacing w:line="360" w:lineRule="auto"/>
        <w:ind w:firstLine="484" w:firstLineChars="202"/>
        <w:rPr>
          <w:rFonts w:ascii="宋体" w:hAnsi="宋体" w:eastAsia="宋体"/>
          <w:color w:val="auto"/>
          <w:sz w:val="24"/>
          <w:szCs w:val="24"/>
          <w:highlight w:val="none"/>
        </w:rPr>
      </w:pPr>
      <w:r>
        <w:rPr>
          <w:rFonts w:hint="eastAsia" w:ascii="宋体" w:hAnsi="宋体" w:eastAsia="宋体"/>
          <w:color w:val="auto"/>
          <w:sz w:val="24"/>
          <w:szCs w:val="24"/>
          <w:highlight w:val="none"/>
        </w:rPr>
        <w:t>12）根据委托人的要求，办理和/或协助委托人办理和/或协助承包商办理与工程相关的审批和许可事宜；</w:t>
      </w:r>
    </w:p>
    <w:p w14:paraId="689196A7">
      <w:pPr>
        <w:spacing w:line="360" w:lineRule="auto"/>
        <w:ind w:firstLine="484" w:firstLineChars="202"/>
        <w:rPr>
          <w:rFonts w:ascii="宋体" w:hAnsi="宋体" w:eastAsia="宋体"/>
          <w:color w:val="auto"/>
          <w:sz w:val="24"/>
          <w:szCs w:val="24"/>
          <w:highlight w:val="none"/>
        </w:rPr>
      </w:pPr>
      <w:r>
        <w:rPr>
          <w:rFonts w:hint="eastAsia" w:ascii="宋体" w:hAnsi="宋体" w:eastAsia="宋体"/>
          <w:color w:val="auto"/>
          <w:sz w:val="24"/>
          <w:szCs w:val="24"/>
          <w:highlight w:val="none"/>
        </w:rPr>
        <w:t>13）监督管理工程施工合同的履行，主持协商合同条款的变更，调解合同双方的争议，处理索赔事项。</w:t>
      </w:r>
    </w:p>
    <w:p w14:paraId="196188A2">
      <w:pPr>
        <w:spacing w:line="360" w:lineRule="auto"/>
        <w:ind w:firstLine="484" w:firstLineChars="202"/>
        <w:rPr>
          <w:rFonts w:ascii="宋体" w:hAnsi="宋体" w:eastAsia="宋体"/>
          <w:color w:val="auto"/>
          <w:sz w:val="24"/>
          <w:szCs w:val="24"/>
          <w:highlight w:val="none"/>
        </w:rPr>
      </w:pPr>
      <w:r>
        <w:rPr>
          <w:rFonts w:hint="eastAsia" w:ascii="宋体" w:hAnsi="宋体" w:eastAsia="宋体"/>
          <w:color w:val="auto"/>
          <w:sz w:val="24"/>
          <w:szCs w:val="24"/>
          <w:highlight w:val="none"/>
        </w:rPr>
        <w:t>14）对工程实体质量和现场工作进行检查及验收。</w:t>
      </w:r>
    </w:p>
    <w:p w14:paraId="01CE9308">
      <w:pPr>
        <w:spacing w:line="360" w:lineRule="auto"/>
        <w:ind w:firstLine="484" w:firstLineChars="202"/>
        <w:rPr>
          <w:rFonts w:ascii="宋体" w:hAnsi="宋体" w:eastAsia="宋体"/>
          <w:color w:val="auto"/>
          <w:sz w:val="24"/>
          <w:szCs w:val="24"/>
          <w:highlight w:val="none"/>
        </w:rPr>
      </w:pPr>
      <w:r>
        <w:rPr>
          <w:rFonts w:hint="eastAsia" w:ascii="宋体" w:hAnsi="宋体" w:eastAsia="宋体"/>
          <w:color w:val="auto"/>
          <w:sz w:val="24"/>
          <w:szCs w:val="24"/>
          <w:highlight w:val="none"/>
        </w:rPr>
        <w:t>15）督促施工单位整理施工文件的归档准备工作。</w:t>
      </w:r>
    </w:p>
    <w:p w14:paraId="75E9F1F7">
      <w:pPr>
        <w:spacing w:line="360" w:lineRule="auto"/>
        <w:ind w:firstLine="484" w:firstLineChars="202"/>
        <w:rPr>
          <w:rFonts w:ascii="宋体" w:hAnsi="宋体" w:eastAsia="宋体"/>
          <w:color w:val="auto"/>
          <w:sz w:val="24"/>
          <w:szCs w:val="24"/>
          <w:highlight w:val="none"/>
        </w:rPr>
      </w:pPr>
      <w:r>
        <w:rPr>
          <w:rFonts w:hint="eastAsia" w:ascii="宋体" w:hAnsi="宋体" w:eastAsia="宋体"/>
          <w:color w:val="auto"/>
          <w:sz w:val="24"/>
          <w:szCs w:val="24"/>
          <w:highlight w:val="none"/>
        </w:rPr>
        <w:t>16）按照项目分部分项工程划分，组织各阶段的验收，最终组织工程竣工预验收，并签署监理意见。</w:t>
      </w:r>
    </w:p>
    <w:p w14:paraId="33A6D012">
      <w:pPr>
        <w:spacing w:line="360" w:lineRule="auto"/>
        <w:ind w:firstLine="484" w:firstLineChars="202"/>
        <w:rPr>
          <w:rFonts w:ascii="宋体" w:hAnsi="宋体" w:eastAsia="宋体"/>
          <w:color w:val="auto"/>
          <w:sz w:val="24"/>
          <w:szCs w:val="24"/>
          <w:highlight w:val="none"/>
        </w:rPr>
      </w:pPr>
      <w:r>
        <w:rPr>
          <w:rFonts w:hint="eastAsia" w:ascii="宋体" w:hAnsi="宋体" w:eastAsia="宋体"/>
          <w:color w:val="auto"/>
          <w:sz w:val="24"/>
          <w:szCs w:val="24"/>
          <w:highlight w:val="none"/>
        </w:rPr>
        <w:t>17）审核工程付款申请，审核工程结算，并确认承包人的结算申请，向委托人提出书面的审核意见。</w:t>
      </w:r>
    </w:p>
    <w:p w14:paraId="26179D2D">
      <w:pPr>
        <w:spacing w:line="360" w:lineRule="auto"/>
        <w:ind w:firstLine="484" w:firstLineChars="202"/>
        <w:rPr>
          <w:rFonts w:ascii="宋体" w:hAnsi="宋体" w:eastAsia="宋体"/>
          <w:color w:val="auto"/>
          <w:sz w:val="24"/>
          <w:szCs w:val="24"/>
          <w:highlight w:val="none"/>
        </w:rPr>
      </w:pPr>
      <w:r>
        <w:rPr>
          <w:rFonts w:hint="eastAsia" w:ascii="宋体" w:hAnsi="宋体" w:eastAsia="宋体"/>
          <w:color w:val="auto"/>
          <w:sz w:val="24"/>
          <w:szCs w:val="24"/>
          <w:highlight w:val="none"/>
        </w:rPr>
        <w:t>18）向委托人提交监理档案资料。</w:t>
      </w:r>
    </w:p>
    <w:p w14:paraId="199EB0BC">
      <w:pPr>
        <w:spacing w:line="360" w:lineRule="auto"/>
        <w:ind w:firstLine="484" w:firstLineChars="202"/>
        <w:rPr>
          <w:rFonts w:ascii="宋体" w:hAnsi="宋体" w:eastAsia="宋体"/>
          <w:color w:val="auto"/>
          <w:sz w:val="24"/>
          <w:szCs w:val="24"/>
          <w:highlight w:val="none"/>
        </w:rPr>
      </w:pPr>
      <w:r>
        <w:rPr>
          <w:rFonts w:hint="eastAsia" w:ascii="宋体" w:hAnsi="宋体" w:eastAsia="宋体"/>
          <w:color w:val="auto"/>
          <w:sz w:val="24"/>
          <w:szCs w:val="24"/>
          <w:highlight w:val="none"/>
        </w:rPr>
        <w:t>19）编写竣工验收申请报告。</w:t>
      </w:r>
    </w:p>
    <w:p w14:paraId="5E182AF0">
      <w:pPr>
        <w:spacing w:line="360" w:lineRule="auto"/>
        <w:ind w:firstLine="484" w:firstLineChars="202"/>
        <w:rPr>
          <w:rFonts w:ascii="宋体" w:hAnsi="宋体" w:eastAsia="宋体"/>
          <w:color w:val="auto"/>
          <w:sz w:val="24"/>
          <w:szCs w:val="24"/>
          <w:highlight w:val="none"/>
        </w:rPr>
      </w:pPr>
      <w:r>
        <w:rPr>
          <w:rFonts w:hint="eastAsia" w:ascii="宋体" w:hAnsi="宋体" w:eastAsia="宋体"/>
          <w:color w:val="auto"/>
          <w:sz w:val="24"/>
          <w:szCs w:val="24"/>
          <w:highlight w:val="none"/>
        </w:rPr>
        <w:t>20）完成合同规定、国家相关法律法规及规定所要求</w:t>
      </w:r>
      <w:r>
        <w:rPr>
          <w:rFonts w:hint="default" w:ascii="宋体" w:hAnsi="宋体" w:eastAsia="宋体"/>
          <w:color w:val="auto"/>
          <w:sz w:val="24"/>
          <w:szCs w:val="24"/>
          <w:highlight w:val="none"/>
          <w:lang w:val="en-US"/>
        </w:rPr>
        <w:t>的和</w:t>
      </w:r>
      <w:r>
        <w:rPr>
          <w:rFonts w:hint="eastAsia" w:ascii="宋体" w:hAnsi="宋体" w:eastAsia="宋体"/>
          <w:color w:val="auto"/>
          <w:sz w:val="24"/>
          <w:szCs w:val="24"/>
          <w:highlight w:val="none"/>
        </w:rPr>
        <w:t>委托人要求的其他工作。</w:t>
      </w:r>
    </w:p>
    <w:p w14:paraId="703806A2">
      <w:pPr>
        <w:tabs>
          <w:tab w:val="left" w:pos="1340"/>
        </w:tabs>
        <w:spacing w:line="360" w:lineRule="auto"/>
        <w:ind w:firstLine="240" w:firstLineChars="100"/>
        <w:rPr>
          <w:rFonts w:ascii="宋体" w:hAnsi="宋体" w:eastAsia="宋体"/>
          <w:color w:val="auto"/>
          <w:sz w:val="24"/>
          <w:szCs w:val="24"/>
          <w:highlight w:val="none"/>
        </w:rPr>
      </w:pPr>
      <w:r>
        <w:rPr>
          <w:rFonts w:hint="eastAsia" w:ascii="宋体" w:hAnsi="宋体" w:eastAsia="宋体"/>
          <w:color w:val="auto"/>
          <w:sz w:val="24"/>
          <w:szCs w:val="24"/>
          <w:highlight w:val="none"/>
        </w:rPr>
        <w:t>（5）调试阶段监理</w:t>
      </w:r>
    </w:p>
    <w:p w14:paraId="1AC246B1">
      <w:pPr>
        <w:spacing w:line="360" w:lineRule="auto"/>
        <w:ind w:firstLine="484" w:firstLineChars="202"/>
        <w:rPr>
          <w:rFonts w:ascii="宋体" w:hAnsi="宋体" w:eastAsia="宋体"/>
          <w:color w:val="auto"/>
          <w:sz w:val="24"/>
          <w:szCs w:val="24"/>
          <w:highlight w:val="none"/>
        </w:rPr>
      </w:pPr>
      <w:r>
        <w:rPr>
          <w:rFonts w:hint="eastAsia" w:ascii="宋体" w:hAnsi="宋体" w:eastAsia="宋体"/>
          <w:color w:val="auto"/>
          <w:sz w:val="24"/>
          <w:szCs w:val="24"/>
          <w:highlight w:val="none"/>
        </w:rPr>
        <w:t>1）检查工程质量状况，并向委托人提供工程质量报告；</w:t>
      </w:r>
    </w:p>
    <w:p w14:paraId="479409B5">
      <w:pPr>
        <w:spacing w:line="360" w:lineRule="auto"/>
        <w:ind w:firstLine="484" w:firstLineChars="202"/>
        <w:rPr>
          <w:rFonts w:ascii="宋体" w:hAnsi="宋体" w:eastAsia="宋体"/>
          <w:color w:val="auto"/>
          <w:sz w:val="24"/>
          <w:szCs w:val="24"/>
          <w:highlight w:val="none"/>
        </w:rPr>
      </w:pPr>
      <w:r>
        <w:rPr>
          <w:rFonts w:hint="eastAsia" w:ascii="宋体" w:hAnsi="宋体" w:eastAsia="宋体"/>
          <w:color w:val="auto"/>
          <w:sz w:val="24"/>
          <w:szCs w:val="24"/>
          <w:highlight w:val="none"/>
        </w:rPr>
        <w:t>2）组织鉴定质量问题责任；</w:t>
      </w:r>
    </w:p>
    <w:p w14:paraId="4B52EC8B">
      <w:pPr>
        <w:spacing w:line="360" w:lineRule="auto"/>
        <w:ind w:firstLine="484" w:firstLineChars="202"/>
        <w:rPr>
          <w:rFonts w:ascii="宋体" w:hAnsi="宋体" w:eastAsia="宋体"/>
          <w:color w:val="auto"/>
          <w:sz w:val="24"/>
          <w:szCs w:val="24"/>
          <w:highlight w:val="none"/>
        </w:rPr>
      </w:pPr>
      <w:r>
        <w:rPr>
          <w:rFonts w:hint="eastAsia" w:ascii="宋体" w:hAnsi="宋体" w:eastAsia="宋体"/>
          <w:color w:val="auto"/>
          <w:sz w:val="24"/>
          <w:szCs w:val="24"/>
          <w:highlight w:val="none"/>
        </w:rPr>
        <w:t>3）督促责任单位维修。</w:t>
      </w:r>
    </w:p>
    <w:p w14:paraId="46F3581F">
      <w:pPr>
        <w:spacing w:line="360" w:lineRule="auto"/>
        <w:ind w:firstLine="240" w:firstLineChars="100"/>
        <w:rPr>
          <w:rFonts w:ascii="宋体" w:hAnsi="宋体" w:eastAsia="宋体"/>
          <w:color w:val="auto"/>
          <w:sz w:val="24"/>
          <w:szCs w:val="24"/>
          <w:highlight w:val="none"/>
        </w:rPr>
      </w:pPr>
      <w:r>
        <w:rPr>
          <w:rFonts w:hint="eastAsia" w:ascii="宋体" w:hAnsi="宋体" w:eastAsia="宋体"/>
          <w:color w:val="auto"/>
          <w:sz w:val="24"/>
          <w:szCs w:val="24"/>
          <w:highlight w:val="none"/>
        </w:rPr>
        <w:t>（6）在保证委托人合法权益的前提下，依法合理地处理委托人与承包人之间的关系。</w:t>
      </w:r>
    </w:p>
    <w:p w14:paraId="2E04FF39">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（7）进度控制要求，监理方应在该项目中承担如下工作，包括但不限于：</w:t>
      </w:r>
    </w:p>
    <w:p w14:paraId="205AD8B8">
      <w:pPr>
        <w:spacing w:line="360" w:lineRule="auto"/>
        <w:ind w:firstLine="484" w:firstLineChars="202"/>
        <w:rPr>
          <w:rFonts w:ascii="宋体" w:hAnsi="宋体" w:eastAsia="宋体"/>
          <w:color w:val="auto"/>
          <w:sz w:val="24"/>
          <w:szCs w:val="24"/>
          <w:highlight w:val="none"/>
        </w:rPr>
      </w:pPr>
      <w:r>
        <w:rPr>
          <w:rFonts w:hint="eastAsia" w:ascii="宋体" w:hAnsi="宋体" w:eastAsia="宋体"/>
          <w:color w:val="auto"/>
          <w:sz w:val="24"/>
          <w:szCs w:val="24"/>
          <w:highlight w:val="none"/>
        </w:rPr>
        <w:t>1）在审批承包人提供的工程施工组织设计和技术方案时，按照保质量、保工期、降低成本的原则，审查承包人的专项进度计划，向承包人提出要求或建议，并向委托人提出书面报告。</w:t>
      </w:r>
    </w:p>
    <w:p w14:paraId="3C3147D4">
      <w:pPr>
        <w:spacing w:line="360" w:lineRule="auto"/>
        <w:ind w:firstLine="484" w:firstLineChars="202"/>
        <w:rPr>
          <w:rFonts w:ascii="宋体" w:hAnsi="宋体" w:eastAsia="宋体"/>
          <w:color w:val="auto"/>
          <w:sz w:val="24"/>
          <w:szCs w:val="24"/>
          <w:highlight w:val="none"/>
        </w:rPr>
      </w:pPr>
      <w:r>
        <w:rPr>
          <w:rFonts w:hint="eastAsia" w:ascii="宋体" w:hAnsi="宋体" w:eastAsia="宋体"/>
          <w:color w:val="auto"/>
          <w:sz w:val="24"/>
          <w:szCs w:val="24"/>
          <w:highlight w:val="none"/>
        </w:rPr>
        <w:t>2）按照施工承包合同规定的进度里程碑节点，审查承包人提交的各级施工计划，审查计划的工期安排、作业间逻辑的合理性、与上级计划的符合性。同时应审查资源计划中各种资源的投入是否满足进度要求，包括作业时间投入、人力投入、施工机具投入等。</w:t>
      </w:r>
    </w:p>
    <w:p w14:paraId="20D2E07A">
      <w:pPr>
        <w:spacing w:line="360" w:lineRule="auto"/>
        <w:ind w:firstLine="484" w:firstLineChars="202"/>
        <w:rPr>
          <w:rFonts w:ascii="宋体" w:hAnsi="宋体" w:eastAsia="宋体"/>
          <w:color w:val="auto"/>
          <w:sz w:val="24"/>
          <w:szCs w:val="24"/>
          <w:highlight w:val="none"/>
        </w:rPr>
      </w:pPr>
      <w:r>
        <w:rPr>
          <w:rFonts w:hint="eastAsia" w:ascii="宋体" w:hAnsi="宋体" w:eastAsia="宋体"/>
          <w:color w:val="auto"/>
          <w:sz w:val="24"/>
          <w:szCs w:val="24"/>
          <w:highlight w:val="none"/>
        </w:rPr>
        <w:t>3）审查承包人提交的赶工计划及相应资源计划的合理性、有效性，提出明确的审查意见，并得到委托人同意。</w:t>
      </w:r>
    </w:p>
    <w:p w14:paraId="17D8DA21">
      <w:pPr>
        <w:spacing w:line="360" w:lineRule="auto"/>
        <w:ind w:firstLine="484" w:firstLineChars="202"/>
        <w:rPr>
          <w:rFonts w:ascii="宋体" w:hAnsi="宋体" w:eastAsia="宋体"/>
          <w:color w:val="auto"/>
          <w:sz w:val="24"/>
          <w:szCs w:val="24"/>
          <w:highlight w:val="none"/>
        </w:rPr>
      </w:pPr>
      <w:r>
        <w:rPr>
          <w:rFonts w:hint="eastAsia" w:ascii="宋体" w:hAnsi="宋体" w:eastAsia="宋体"/>
          <w:color w:val="auto"/>
          <w:sz w:val="24"/>
          <w:szCs w:val="24"/>
          <w:highlight w:val="none"/>
        </w:rPr>
        <w:t>4）审查承包人提出的与工期变更有关的索赔文件，判别其必要性和真实性，提供可证明的相关支持文件，做出是否同意其延长工期的判断意见，并报委托人批准。</w:t>
      </w:r>
    </w:p>
    <w:p w14:paraId="532BE8F5">
      <w:pPr>
        <w:spacing w:line="360" w:lineRule="auto"/>
        <w:ind w:firstLine="484" w:firstLineChars="202"/>
        <w:rPr>
          <w:rFonts w:ascii="宋体" w:hAnsi="宋体" w:eastAsia="宋体"/>
          <w:color w:val="auto"/>
          <w:sz w:val="24"/>
          <w:szCs w:val="24"/>
          <w:highlight w:val="none"/>
        </w:rPr>
      </w:pPr>
      <w:r>
        <w:rPr>
          <w:rFonts w:hint="eastAsia" w:ascii="宋体" w:hAnsi="宋体" w:eastAsia="宋体"/>
          <w:color w:val="auto"/>
          <w:sz w:val="24"/>
          <w:szCs w:val="24"/>
          <w:highlight w:val="none"/>
        </w:rPr>
        <w:t>5）配合委托人进度控制相关人员，审查承包人的工程进度衡量系统的所有文件，包括工程进度计划横道图、人力投入直方图、相关资源投入计划、工程量的计算、工程进度 S 曲线等。</w:t>
      </w:r>
    </w:p>
    <w:p w14:paraId="78EFC853">
      <w:pPr>
        <w:spacing w:line="360" w:lineRule="auto"/>
        <w:ind w:firstLine="484" w:firstLineChars="202"/>
        <w:rPr>
          <w:rFonts w:ascii="宋体" w:hAnsi="宋体" w:eastAsia="宋体"/>
          <w:color w:val="auto"/>
          <w:sz w:val="24"/>
          <w:szCs w:val="24"/>
          <w:highlight w:val="none"/>
        </w:rPr>
      </w:pPr>
      <w:r>
        <w:rPr>
          <w:rFonts w:hint="eastAsia" w:ascii="宋体" w:hAnsi="宋体" w:eastAsia="宋体"/>
          <w:color w:val="auto"/>
          <w:sz w:val="24"/>
          <w:szCs w:val="24"/>
          <w:highlight w:val="none"/>
        </w:rPr>
        <w:t>6）审查、核实承包人提供的日、周、月等进度报告。包括设计阶段、采办阶段、施工阶段、调试阶段的所有进度报告文件。审查其报告是否与实际进度保持一致并提出审查意见。</w:t>
      </w:r>
    </w:p>
    <w:p w14:paraId="5C6642D7">
      <w:pPr>
        <w:spacing w:line="360" w:lineRule="auto"/>
        <w:ind w:firstLine="484" w:firstLineChars="202"/>
        <w:rPr>
          <w:rFonts w:ascii="宋体" w:hAnsi="宋体" w:eastAsia="宋体"/>
          <w:color w:val="auto"/>
          <w:sz w:val="24"/>
          <w:szCs w:val="24"/>
          <w:highlight w:val="none"/>
        </w:rPr>
      </w:pPr>
      <w:r>
        <w:rPr>
          <w:rFonts w:hint="eastAsia" w:ascii="宋体" w:hAnsi="宋体" w:eastAsia="宋体"/>
          <w:color w:val="auto"/>
          <w:sz w:val="24"/>
          <w:szCs w:val="24"/>
          <w:highlight w:val="none"/>
        </w:rPr>
        <w:t>7）运用委托人指定进度控制管理软件，对施工承包人提供的工程进度计划进行跟踪管理，建立或制作有关工程进度的分类视图，对工程实际进度与目标计划进行对比，提出进度分析报告，定期或随时应委托人的要求以书面形式将分析结果报告委托人。对于工程落后的原因及应采取的措施，提出明确的、具 有可操作性的意见或建议。</w:t>
      </w:r>
    </w:p>
    <w:p w14:paraId="47115E42">
      <w:pPr>
        <w:spacing w:line="360" w:lineRule="auto"/>
        <w:ind w:firstLine="484" w:firstLineChars="202"/>
        <w:rPr>
          <w:rFonts w:ascii="宋体" w:hAnsi="宋体" w:eastAsia="宋体"/>
          <w:color w:val="auto"/>
          <w:sz w:val="24"/>
          <w:szCs w:val="24"/>
          <w:highlight w:val="none"/>
        </w:rPr>
      </w:pPr>
      <w:r>
        <w:rPr>
          <w:rFonts w:hint="eastAsia" w:ascii="宋体" w:hAnsi="宋体" w:eastAsia="宋体"/>
          <w:color w:val="auto"/>
          <w:sz w:val="24"/>
          <w:szCs w:val="24"/>
          <w:highlight w:val="none"/>
        </w:rPr>
        <w:t>8）在履行合同期间，监理方以日报、周报和月报形式向委托人报告工作的实际进展状况。</w:t>
      </w:r>
    </w:p>
    <w:p w14:paraId="4CA51695">
      <w:pPr>
        <w:spacing w:line="360" w:lineRule="auto"/>
        <w:ind w:firstLine="484" w:firstLineChars="202"/>
        <w:rPr>
          <w:rFonts w:ascii="宋体" w:hAnsi="宋体" w:eastAsia="宋体"/>
          <w:color w:val="auto"/>
          <w:sz w:val="24"/>
          <w:szCs w:val="24"/>
          <w:highlight w:val="none"/>
        </w:rPr>
      </w:pPr>
      <w:r>
        <w:rPr>
          <w:rFonts w:hint="eastAsia" w:ascii="宋体" w:hAnsi="宋体" w:eastAsia="宋体"/>
          <w:color w:val="auto"/>
          <w:sz w:val="24"/>
          <w:szCs w:val="24"/>
          <w:highlight w:val="none"/>
        </w:rPr>
        <w:t>向委托人提交监理工作日报、周报、月报及监理业务范围的专项报告，按委托人确定的报告时间和报告周期按时提交委托人，并保证这些报告的及时性、准确性。 报告的具体格式和内容与委托人协商后确定。</w:t>
      </w:r>
    </w:p>
    <w:p w14:paraId="6BD0F5EB">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日报：</w:t>
      </w:r>
    </w:p>
    <w:p w14:paraId="075ED642">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主要内容包括：</w:t>
      </w:r>
    </w:p>
    <w:p w14:paraId="18E2B178">
      <w:pPr>
        <w:pStyle w:val="19"/>
        <w:spacing w:after="0" w:line="360" w:lineRule="auto"/>
        <w:ind w:left="640" w:right="187"/>
        <w:jc w:val="left"/>
        <w:rPr>
          <w:rFonts w:ascii="宋体" w:hAnsi="宋体" w:eastAsia="宋体"/>
          <w:color w:val="auto"/>
          <w:sz w:val="24"/>
          <w:szCs w:val="24"/>
          <w:highlight w:val="none"/>
        </w:rPr>
      </w:pPr>
      <w:r>
        <w:rPr>
          <w:rFonts w:hint="eastAsia" w:ascii="宋体" w:hAnsi="宋体" w:eastAsia="宋体"/>
          <w:color w:val="auto"/>
          <w:sz w:val="24"/>
          <w:szCs w:val="24"/>
          <w:highlight w:val="none"/>
        </w:rPr>
        <w:t>a.描述当天进行的作业内容、完成的工作量；</w:t>
      </w:r>
    </w:p>
    <w:p w14:paraId="390FC997">
      <w:pPr>
        <w:pStyle w:val="19"/>
        <w:spacing w:after="0" w:line="360" w:lineRule="auto"/>
        <w:ind w:left="640" w:right="187"/>
        <w:jc w:val="left"/>
        <w:rPr>
          <w:rFonts w:ascii="宋体" w:hAnsi="宋体" w:eastAsia="宋体"/>
          <w:color w:val="auto"/>
          <w:sz w:val="24"/>
          <w:szCs w:val="24"/>
          <w:highlight w:val="none"/>
        </w:rPr>
      </w:pPr>
      <w:r>
        <w:rPr>
          <w:rFonts w:hint="eastAsia" w:ascii="宋体" w:hAnsi="宋体" w:eastAsia="宋体"/>
          <w:color w:val="auto"/>
          <w:sz w:val="24"/>
          <w:szCs w:val="24"/>
          <w:highlight w:val="none"/>
        </w:rPr>
        <w:t>b.下一个工作日的计划；</w:t>
      </w:r>
    </w:p>
    <w:p w14:paraId="3EDF2712">
      <w:pPr>
        <w:pStyle w:val="19"/>
        <w:spacing w:after="0" w:line="360" w:lineRule="auto"/>
        <w:ind w:left="640" w:right="187"/>
        <w:jc w:val="left"/>
        <w:rPr>
          <w:rFonts w:ascii="宋体" w:hAnsi="宋体" w:eastAsia="宋体"/>
          <w:color w:val="auto"/>
          <w:sz w:val="24"/>
          <w:szCs w:val="24"/>
          <w:highlight w:val="none"/>
        </w:rPr>
      </w:pPr>
      <w:r>
        <w:rPr>
          <w:rFonts w:hint="eastAsia" w:ascii="宋体" w:hAnsi="宋体" w:eastAsia="宋体"/>
          <w:color w:val="auto"/>
          <w:sz w:val="24"/>
          <w:szCs w:val="24"/>
          <w:highlight w:val="none"/>
        </w:rPr>
        <w:t>c.现场承包人人员、机具情况；</w:t>
      </w:r>
    </w:p>
    <w:p w14:paraId="35EFADC1">
      <w:pPr>
        <w:pStyle w:val="19"/>
        <w:spacing w:after="0" w:line="360" w:lineRule="auto"/>
        <w:ind w:left="640" w:right="187"/>
        <w:jc w:val="left"/>
        <w:rPr>
          <w:rFonts w:ascii="宋体" w:hAnsi="宋体" w:eastAsia="宋体"/>
          <w:color w:val="auto"/>
          <w:sz w:val="24"/>
          <w:szCs w:val="24"/>
          <w:highlight w:val="none"/>
        </w:rPr>
      </w:pPr>
      <w:r>
        <w:rPr>
          <w:rFonts w:hint="eastAsia" w:ascii="宋体" w:hAnsi="宋体" w:eastAsia="宋体"/>
          <w:color w:val="auto"/>
          <w:sz w:val="24"/>
          <w:szCs w:val="24"/>
          <w:highlight w:val="none"/>
        </w:rPr>
        <w:t>d.监理投入的人员数量；</w:t>
      </w:r>
    </w:p>
    <w:p w14:paraId="1732E09A">
      <w:pPr>
        <w:pStyle w:val="19"/>
        <w:spacing w:after="0" w:line="360" w:lineRule="auto"/>
        <w:ind w:right="187" w:firstLine="484" w:firstLineChars="202"/>
        <w:jc w:val="left"/>
        <w:rPr>
          <w:rFonts w:ascii="宋体" w:hAnsi="宋体" w:eastAsia="宋体"/>
          <w:color w:val="auto"/>
          <w:sz w:val="24"/>
          <w:szCs w:val="24"/>
          <w:highlight w:val="none"/>
        </w:rPr>
      </w:pPr>
      <w:r>
        <w:rPr>
          <w:rFonts w:hint="eastAsia" w:ascii="宋体" w:hAnsi="宋体" w:eastAsia="宋体"/>
          <w:color w:val="auto"/>
          <w:sz w:val="24"/>
          <w:szCs w:val="24"/>
          <w:highlight w:val="none"/>
        </w:rPr>
        <w:t>周报：</w:t>
      </w:r>
    </w:p>
    <w:p w14:paraId="6E1D9942">
      <w:pPr>
        <w:pStyle w:val="19"/>
        <w:spacing w:after="0" w:line="360" w:lineRule="auto"/>
        <w:ind w:left="640" w:right="187"/>
        <w:jc w:val="left"/>
        <w:rPr>
          <w:rFonts w:ascii="宋体" w:hAnsi="宋体" w:eastAsia="宋体"/>
          <w:color w:val="auto"/>
          <w:sz w:val="24"/>
          <w:szCs w:val="24"/>
          <w:highlight w:val="none"/>
        </w:rPr>
      </w:pPr>
      <w:r>
        <w:rPr>
          <w:rFonts w:hint="eastAsia" w:ascii="宋体" w:hAnsi="宋体" w:eastAsia="宋体"/>
          <w:color w:val="auto"/>
          <w:sz w:val="24"/>
          <w:szCs w:val="24"/>
          <w:highlight w:val="none"/>
        </w:rPr>
        <w:t>主要内容包括：</w:t>
      </w:r>
    </w:p>
    <w:p w14:paraId="151C8A1A">
      <w:pPr>
        <w:pStyle w:val="19"/>
        <w:spacing w:after="0" w:line="360" w:lineRule="auto"/>
        <w:ind w:left="640" w:right="187"/>
        <w:jc w:val="left"/>
        <w:rPr>
          <w:rFonts w:ascii="宋体" w:hAnsi="宋体" w:eastAsia="宋体"/>
          <w:color w:val="auto"/>
          <w:sz w:val="24"/>
          <w:szCs w:val="24"/>
          <w:highlight w:val="none"/>
        </w:rPr>
      </w:pPr>
      <w:r>
        <w:rPr>
          <w:rFonts w:hint="eastAsia" w:ascii="宋体" w:hAnsi="宋体" w:eastAsia="宋体"/>
          <w:color w:val="auto"/>
          <w:sz w:val="24"/>
          <w:szCs w:val="24"/>
          <w:highlight w:val="none"/>
        </w:rPr>
        <w:t>a.项目进展情况的概述，包括质量、进度、费用、安全等情况；</w:t>
      </w:r>
    </w:p>
    <w:p w14:paraId="72679E8D">
      <w:pPr>
        <w:pStyle w:val="19"/>
        <w:spacing w:after="0" w:line="360" w:lineRule="auto"/>
        <w:ind w:left="640" w:right="187"/>
        <w:jc w:val="left"/>
        <w:rPr>
          <w:rFonts w:ascii="宋体" w:hAnsi="宋体" w:eastAsia="宋体"/>
          <w:color w:val="auto"/>
          <w:sz w:val="24"/>
          <w:szCs w:val="24"/>
          <w:highlight w:val="none"/>
        </w:rPr>
      </w:pPr>
      <w:r>
        <w:rPr>
          <w:rFonts w:hint="eastAsia" w:ascii="宋体" w:hAnsi="宋体" w:eastAsia="宋体"/>
          <w:color w:val="auto"/>
          <w:sz w:val="24"/>
          <w:szCs w:val="24"/>
          <w:highlight w:val="none"/>
        </w:rPr>
        <w:t>b.本周完成主要工作；</w:t>
      </w:r>
    </w:p>
    <w:p w14:paraId="1D2A0391">
      <w:pPr>
        <w:pStyle w:val="19"/>
        <w:spacing w:after="0" w:line="360" w:lineRule="auto"/>
        <w:ind w:left="640" w:right="187"/>
        <w:jc w:val="left"/>
        <w:rPr>
          <w:rFonts w:ascii="宋体" w:hAnsi="宋体" w:eastAsia="宋体"/>
          <w:color w:val="auto"/>
          <w:sz w:val="24"/>
          <w:szCs w:val="24"/>
          <w:highlight w:val="none"/>
        </w:rPr>
      </w:pPr>
      <w:r>
        <w:rPr>
          <w:rFonts w:hint="eastAsia" w:ascii="宋体" w:hAnsi="宋体" w:eastAsia="宋体"/>
          <w:color w:val="auto"/>
          <w:sz w:val="24"/>
          <w:szCs w:val="24"/>
          <w:highlight w:val="none"/>
        </w:rPr>
        <w:t>c.人力投入状况；</w:t>
      </w:r>
    </w:p>
    <w:p w14:paraId="2BE646AB">
      <w:pPr>
        <w:pStyle w:val="19"/>
        <w:spacing w:after="0" w:line="360" w:lineRule="auto"/>
        <w:ind w:left="640" w:right="187"/>
        <w:jc w:val="left"/>
        <w:rPr>
          <w:rFonts w:ascii="宋体" w:hAnsi="宋体" w:eastAsia="宋体"/>
          <w:color w:val="auto"/>
          <w:sz w:val="24"/>
          <w:szCs w:val="24"/>
          <w:highlight w:val="none"/>
        </w:rPr>
      </w:pPr>
      <w:r>
        <w:rPr>
          <w:rFonts w:hint="eastAsia" w:ascii="宋体" w:hAnsi="宋体" w:eastAsia="宋体"/>
          <w:color w:val="auto"/>
          <w:sz w:val="24"/>
          <w:szCs w:val="24"/>
          <w:highlight w:val="none"/>
        </w:rPr>
        <w:t>d.项目大事记</w:t>
      </w:r>
    </w:p>
    <w:p w14:paraId="6D3B9C77">
      <w:pPr>
        <w:pStyle w:val="19"/>
        <w:spacing w:after="0" w:line="360" w:lineRule="auto"/>
        <w:ind w:left="640" w:right="187"/>
        <w:jc w:val="left"/>
        <w:rPr>
          <w:rFonts w:ascii="宋体" w:hAnsi="宋体" w:eastAsia="宋体"/>
          <w:color w:val="auto"/>
          <w:sz w:val="24"/>
          <w:szCs w:val="24"/>
          <w:highlight w:val="none"/>
        </w:rPr>
      </w:pPr>
      <w:r>
        <w:rPr>
          <w:rFonts w:hint="eastAsia" w:ascii="宋体" w:hAnsi="宋体" w:eastAsia="宋体"/>
          <w:color w:val="auto"/>
          <w:sz w:val="24"/>
          <w:szCs w:val="24"/>
          <w:highlight w:val="none"/>
        </w:rPr>
        <w:t>e.HSE状况；</w:t>
      </w:r>
    </w:p>
    <w:p w14:paraId="5D69E2C9">
      <w:pPr>
        <w:pStyle w:val="19"/>
        <w:spacing w:after="0" w:line="360" w:lineRule="auto"/>
        <w:ind w:left="640" w:right="187"/>
        <w:jc w:val="left"/>
        <w:rPr>
          <w:rFonts w:ascii="宋体" w:hAnsi="宋体" w:eastAsia="宋体"/>
          <w:color w:val="auto"/>
          <w:sz w:val="24"/>
          <w:szCs w:val="24"/>
          <w:highlight w:val="none"/>
        </w:rPr>
      </w:pPr>
      <w:r>
        <w:rPr>
          <w:rFonts w:hint="eastAsia" w:ascii="宋体" w:hAnsi="宋体" w:eastAsia="宋体"/>
          <w:color w:val="auto"/>
          <w:sz w:val="24"/>
          <w:szCs w:val="24"/>
          <w:highlight w:val="none"/>
        </w:rPr>
        <w:t>f.上一周遗留问题的落实状况；</w:t>
      </w:r>
    </w:p>
    <w:p w14:paraId="5CC6E21F">
      <w:pPr>
        <w:pStyle w:val="19"/>
        <w:spacing w:after="0" w:line="360" w:lineRule="auto"/>
        <w:ind w:left="640" w:right="187"/>
        <w:jc w:val="left"/>
        <w:rPr>
          <w:rFonts w:ascii="宋体" w:hAnsi="宋体" w:eastAsia="宋体"/>
          <w:color w:val="auto"/>
          <w:sz w:val="24"/>
          <w:szCs w:val="24"/>
          <w:highlight w:val="none"/>
        </w:rPr>
      </w:pPr>
      <w:r>
        <w:rPr>
          <w:rFonts w:hint="eastAsia" w:ascii="宋体" w:hAnsi="宋体" w:eastAsia="宋体"/>
          <w:color w:val="auto"/>
          <w:sz w:val="24"/>
          <w:szCs w:val="24"/>
          <w:highlight w:val="none"/>
        </w:rPr>
        <w:t>g.收到及发出或正在办理的文件资料情况；</w:t>
      </w:r>
    </w:p>
    <w:p w14:paraId="3AD2D141">
      <w:pPr>
        <w:pStyle w:val="19"/>
        <w:spacing w:after="0" w:line="360" w:lineRule="auto"/>
        <w:ind w:left="640" w:right="187"/>
        <w:jc w:val="left"/>
        <w:rPr>
          <w:rFonts w:ascii="宋体" w:hAnsi="宋体" w:eastAsia="宋体"/>
          <w:color w:val="auto"/>
          <w:sz w:val="24"/>
          <w:szCs w:val="24"/>
          <w:highlight w:val="none"/>
        </w:rPr>
      </w:pPr>
      <w:r>
        <w:rPr>
          <w:rFonts w:hint="eastAsia" w:ascii="宋体" w:hAnsi="宋体" w:eastAsia="宋体"/>
          <w:color w:val="auto"/>
          <w:sz w:val="24"/>
          <w:szCs w:val="24"/>
          <w:highlight w:val="none"/>
        </w:rPr>
        <w:t>h.监理费用办理情况；</w:t>
      </w:r>
    </w:p>
    <w:p w14:paraId="0AB6B9D2">
      <w:pPr>
        <w:pStyle w:val="19"/>
        <w:spacing w:after="0" w:line="360" w:lineRule="auto"/>
        <w:ind w:left="640" w:right="187"/>
        <w:jc w:val="left"/>
        <w:rPr>
          <w:rFonts w:ascii="宋体" w:hAnsi="宋体" w:eastAsia="宋体"/>
          <w:color w:val="auto"/>
          <w:sz w:val="24"/>
          <w:szCs w:val="24"/>
          <w:highlight w:val="none"/>
        </w:rPr>
      </w:pPr>
      <w:r>
        <w:rPr>
          <w:rFonts w:hint="eastAsia" w:ascii="宋体" w:hAnsi="宋体" w:eastAsia="宋体"/>
          <w:color w:val="auto"/>
          <w:sz w:val="24"/>
          <w:szCs w:val="24"/>
          <w:highlight w:val="none"/>
        </w:rPr>
        <w:t>i.本周存在的主要问题及解决措施；</w:t>
      </w:r>
    </w:p>
    <w:p w14:paraId="0F2ADF74">
      <w:pPr>
        <w:pStyle w:val="19"/>
        <w:spacing w:after="0" w:line="360" w:lineRule="auto"/>
        <w:ind w:left="640" w:right="187"/>
        <w:jc w:val="left"/>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j.下周工作安排等。 </w:t>
      </w:r>
    </w:p>
    <w:p w14:paraId="2917CA4A">
      <w:pPr>
        <w:pStyle w:val="19"/>
        <w:spacing w:after="0" w:line="360" w:lineRule="auto"/>
        <w:ind w:left="640" w:right="187"/>
        <w:jc w:val="left"/>
        <w:rPr>
          <w:rFonts w:ascii="宋体" w:hAnsi="宋体" w:eastAsia="宋体"/>
          <w:color w:val="auto"/>
          <w:sz w:val="24"/>
          <w:szCs w:val="24"/>
          <w:highlight w:val="none"/>
        </w:rPr>
      </w:pPr>
      <w:r>
        <w:rPr>
          <w:rFonts w:hint="eastAsia" w:ascii="宋体" w:hAnsi="宋体" w:eastAsia="宋体"/>
          <w:color w:val="auto"/>
          <w:sz w:val="24"/>
          <w:szCs w:val="24"/>
          <w:highlight w:val="none"/>
        </w:rPr>
        <w:t>月报：</w:t>
      </w:r>
    </w:p>
    <w:p w14:paraId="6A6CA310">
      <w:pPr>
        <w:pStyle w:val="19"/>
        <w:spacing w:after="0" w:line="360" w:lineRule="auto"/>
        <w:ind w:left="640" w:right="187"/>
        <w:jc w:val="left"/>
        <w:rPr>
          <w:rFonts w:ascii="宋体" w:hAnsi="宋体" w:eastAsia="宋体"/>
          <w:color w:val="auto"/>
          <w:sz w:val="24"/>
          <w:szCs w:val="24"/>
          <w:highlight w:val="none"/>
        </w:rPr>
      </w:pPr>
      <w:r>
        <w:rPr>
          <w:rFonts w:hint="eastAsia" w:ascii="宋体" w:hAnsi="宋体" w:eastAsia="宋体"/>
          <w:color w:val="auto"/>
          <w:sz w:val="24"/>
          <w:szCs w:val="24"/>
          <w:highlight w:val="none"/>
        </w:rPr>
        <w:t>主要内容包括：</w:t>
      </w:r>
    </w:p>
    <w:p w14:paraId="2FA6A359">
      <w:pPr>
        <w:pStyle w:val="19"/>
        <w:spacing w:after="0" w:line="360" w:lineRule="auto"/>
        <w:ind w:left="640" w:right="187"/>
        <w:jc w:val="left"/>
        <w:rPr>
          <w:rFonts w:ascii="宋体" w:hAnsi="宋体" w:eastAsia="宋体"/>
          <w:color w:val="auto"/>
          <w:sz w:val="24"/>
          <w:szCs w:val="24"/>
          <w:highlight w:val="none"/>
        </w:rPr>
      </w:pPr>
      <w:r>
        <w:rPr>
          <w:rFonts w:hint="eastAsia" w:ascii="宋体" w:hAnsi="宋体" w:eastAsia="宋体"/>
          <w:color w:val="auto"/>
          <w:sz w:val="24"/>
          <w:szCs w:val="24"/>
          <w:highlight w:val="none"/>
        </w:rPr>
        <w:t>a.项目进展情况的概述，包括质量、进度、费用、安全等情况；</w:t>
      </w:r>
    </w:p>
    <w:p w14:paraId="31C98491">
      <w:pPr>
        <w:pStyle w:val="19"/>
        <w:spacing w:after="0" w:line="360" w:lineRule="auto"/>
        <w:ind w:left="640" w:right="187"/>
        <w:jc w:val="left"/>
        <w:rPr>
          <w:rFonts w:ascii="宋体" w:hAnsi="宋体" w:eastAsia="宋体"/>
          <w:color w:val="auto"/>
          <w:sz w:val="24"/>
          <w:szCs w:val="24"/>
          <w:highlight w:val="none"/>
        </w:rPr>
      </w:pPr>
      <w:r>
        <w:rPr>
          <w:rFonts w:hint="eastAsia" w:ascii="宋体" w:hAnsi="宋体" w:eastAsia="宋体"/>
          <w:color w:val="auto"/>
          <w:sz w:val="24"/>
          <w:szCs w:val="24"/>
          <w:highlight w:val="none"/>
        </w:rPr>
        <w:t>b.本月已完成主要工作及累计完成的工作；</w:t>
      </w:r>
    </w:p>
    <w:p w14:paraId="405733C0">
      <w:pPr>
        <w:pStyle w:val="19"/>
        <w:spacing w:after="0" w:line="360" w:lineRule="auto"/>
        <w:ind w:left="640" w:right="187"/>
        <w:jc w:val="left"/>
        <w:rPr>
          <w:rFonts w:ascii="宋体" w:hAnsi="宋体" w:eastAsia="宋体"/>
          <w:color w:val="auto"/>
          <w:sz w:val="24"/>
          <w:szCs w:val="24"/>
          <w:highlight w:val="none"/>
        </w:rPr>
      </w:pPr>
      <w:r>
        <w:rPr>
          <w:rFonts w:hint="eastAsia" w:ascii="宋体" w:hAnsi="宋体" w:eastAsia="宋体"/>
          <w:color w:val="auto"/>
          <w:sz w:val="24"/>
          <w:szCs w:val="24"/>
          <w:highlight w:val="none"/>
        </w:rPr>
        <w:t>c.人力投入情况报告；</w:t>
      </w:r>
    </w:p>
    <w:p w14:paraId="24405DD7">
      <w:pPr>
        <w:pStyle w:val="19"/>
        <w:spacing w:after="0" w:line="360" w:lineRule="auto"/>
        <w:ind w:left="640" w:right="187"/>
        <w:jc w:val="left"/>
        <w:rPr>
          <w:rFonts w:ascii="宋体" w:hAnsi="宋体" w:eastAsia="宋体"/>
          <w:color w:val="auto"/>
          <w:sz w:val="24"/>
          <w:szCs w:val="24"/>
          <w:highlight w:val="none"/>
        </w:rPr>
      </w:pPr>
      <w:r>
        <w:rPr>
          <w:rFonts w:hint="eastAsia" w:ascii="宋体" w:hAnsi="宋体" w:eastAsia="宋体"/>
          <w:color w:val="auto"/>
          <w:sz w:val="24"/>
          <w:szCs w:val="24"/>
          <w:highlight w:val="none"/>
        </w:rPr>
        <w:t>d.项目大事记；</w:t>
      </w:r>
    </w:p>
    <w:p w14:paraId="3831023C">
      <w:pPr>
        <w:pStyle w:val="19"/>
        <w:spacing w:after="0" w:line="360" w:lineRule="auto"/>
        <w:ind w:left="640" w:right="187"/>
        <w:jc w:val="left"/>
        <w:rPr>
          <w:rFonts w:ascii="宋体" w:hAnsi="宋体" w:eastAsia="宋体"/>
          <w:color w:val="auto"/>
          <w:sz w:val="24"/>
          <w:szCs w:val="24"/>
          <w:highlight w:val="none"/>
        </w:rPr>
      </w:pPr>
      <w:r>
        <w:rPr>
          <w:rFonts w:hint="eastAsia" w:ascii="宋体" w:hAnsi="宋体" w:eastAsia="宋体"/>
          <w:color w:val="auto"/>
          <w:sz w:val="24"/>
          <w:szCs w:val="24"/>
          <w:highlight w:val="none"/>
        </w:rPr>
        <w:t>e.HSE状况；</w:t>
      </w:r>
    </w:p>
    <w:p w14:paraId="6D3E82CE">
      <w:pPr>
        <w:pStyle w:val="19"/>
        <w:spacing w:after="0" w:line="360" w:lineRule="auto"/>
        <w:ind w:left="640" w:right="187"/>
        <w:jc w:val="left"/>
        <w:rPr>
          <w:rFonts w:ascii="宋体" w:hAnsi="宋体" w:eastAsia="宋体"/>
          <w:color w:val="auto"/>
          <w:sz w:val="24"/>
          <w:szCs w:val="24"/>
          <w:highlight w:val="none"/>
        </w:rPr>
      </w:pPr>
      <w:r>
        <w:rPr>
          <w:rFonts w:hint="eastAsia" w:ascii="宋体" w:hAnsi="宋体" w:eastAsia="宋体"/>
          <w:color w:val="auto"/>
          <w:sz w:val="24"/>
          <w:szCs w:val="24"/>
          <w:highlight w:val="none"/>
        </w:rPr>
        <w:t>f.收到及发出或正在办理的文件资料情况；</w:t>
      </w:r>
    </w:p>
    <w:p w14:paraId="6ADFD407">
      <w:pPr>
        <w:pStyle w:val="19"/>
        <w:spacing w:after="0" w:line="360" w:lineRule="auto"/>
        <w:ind w:left="640" w:right="187"/>
        <w:jc w:val="left"/>
        <w:rPr>
          <w:rFonts w:ascii="宋体" w:hAnsi="宋体" w:eastAsia="宋体"/>
          <w:color w:val="auto"/>
          <w:sz w:val="24"/>
          <w:szCs w:val="24"/>
          <w:highlight w:val="none"/>
        </w:rPr>
      </w:pPr>
      <w:r>
        <w:rPr>
          <w:rFonts w:hint="eastAsia" w:ascii="宋体" w:hAnsi="宋体" w:eastAsia="宋体"/>
          <w:color w:val="auto"/>
          <w:sz w:val="24"/>
          <w:szCs w:val="24"/>
          <w:highlight w:val="none"/>
        </w:rPr>
        <w:t>g.监理费用办理情况；</w:t>
      </w:r>
    </w:p>
    <w:p w14:paraId="154CCED7">
      <w:pPr>
        <w:pStyle w:val="19"/>
        <w:spacing w:after="0" w:line="360" w:lineRule="auto"/>
        <w:ind w:left="640" w:right="187"/>
        <w:jc w:val="left"/>
        <w:rPr>
          <w:rFonts w:ascii="宋体" w:hAnsi="宋体" w:eastAsia="宋体"/>
          <w:color w:val="auto"/>
          <w:sz w:val="24"/>
          <w:szCs w:val="24"/>
          <w:highlight w:val="none"/>
        </w:rPr>
      </w:pPr>
      <w:r>
        <w:rPr>
          <w:rFonts w:hint="eastAsia" w:ascii="宋体" w:hAnsi="宋体" w:eastAsia="宋体"/>
          <w:color w:val="auto"/>
          <w:sz w:val="24"/>
          <w:szCs w:val="24"/>
          <w:highlight w:val="none"/>
        </w:rPr>
        <w:t>h.存在问题及解决措施；</w:t>
      </w:r>
    </w:p>
    <w:p w14:paraId="30F7F971">
      <w:pPr>
        <w:pStyle w:val="19"/>
        <w:spacing w:after="0" w:line="360" w:lineRule="auto"/>
        <w:ind w:left="640" w:right="187"/>
        <w:jc w:val="left"/>
        <w:rPr>
          <w:rFonts w:ascii="宋体" w:hAnsi="宋体" w:eastAsia="宋体"/>
          <w:color w:val="auto"/>
          <w:sz w:val="24"/>
          <w:szCs w:val="24"/>
          <w:highlight w:val="none"/>
        </w:rPr>
      </w:pPr>
      <w:r>
        <w:rPr>
          <w:rFonts w:hint="eastAsia" w:ascii="宋体" w:hAnsi="宋体" w:eastAsia="宋体"/>
          <w:color w:val="auto"/>
          <w:sz w:val="24"/>
          <w:szCs w:val="24"/>
          <w:highlight w:val="none"/>
        </w:rPr>
        <w:t>i.下月主要工作安排。</w:t>
      </w:r>
    </w:p>
    <w:p w14:paraId="5285C5BD">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（9）智能化、电子化项目建设要求</w:t>
      </w:r>
    </w:p>
    <w:p w14:paraId="18DCA9C6">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1）监理方使用二维码或 RFID 技术，开展人员电子化信息入场和设备电子化信息入场报验，形成人员档案库和施工设备档案库。各人员和设备能够满足委托人管理要求。</w:t>
      </w:r>
    </w:p>
    <w:p w14:paraId="4CDE10F9">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2）竣工资料管理要求</w:t>
      </w:r>
    </w:p>
    <w:p w14:paraId="3CA7E4D1">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a.编制项目信息、文档管理方案，按照 CDP 文件要求建立信息编码系统， 确定信息管理流程，明确项目文档编码规则，对文档处理、控制、保管和存档进 行有效管理，确保项目文档的完整性和规范性。</w:t>
      </w:r>
    </w:p>
    <w:p w14:paraId="546430F9">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b.督促并检查承包人在本项目中的管理文件清单，确保编制文件满足管理文件编制清单要求。</w:t>
      </w:r>
    </w:p>
    <w:p w14:paraId="34070BE8">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c.督促并检查承包人编制竣工资料管理办法，在施工实施过程中，负责竣工资料的采集、整理、归档和移交工作，做到竣工资料管理的真实性、实时性。</w:t>
      </w:r>
    </w:p>
    <w:p w14:paraId="77D196BF">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d.督促并检查承包人建立完善的信息传递网络和沟通机制，确保有完善的竣工资料管理方案，资源投入充足，保证竣工资料编制与工程同步。</w:t>
      </w:r>
    </w:p>
    <w:p w14:paraId="69ADCC74">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e.委托人将在本工程推广应用竣工资料电子化工作，督促承包人应按照要求开展竣工资料电子化的工作。</w:t>
      </w:r>
    </w:p>
    <w:p w14:paraId="76754CC4">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3）全生命周期数据采集、审核</w:t>
      </w:r>
    </w:p>
    <w:p w14:paraId="001720B5">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a.编制监理数据采集及审核管理办法，按照招标人提供的数据采集及审核要求，编写数据采集及审核方案。</w:t>
      </w:r>
    </w:p>
    <w:p w14:paraId="6F92C44B">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b.监理方有明确的管理部门，建立完善的信息传递网络和沟通机制，有完善的全生命周期数据采集及审核管理方案，资源投入充足，保证数据采集录入审核与工程同步。 </w:t>
      </w:r>
    </w:p>
    <w:p w14:paraId="64239A42">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c.监理方成立本单位实施小组，明确主管领导和设置专职岗位，组织和参加培训，建立相适应的网络和办公环境。按要求组织进行数据采集及审核，作为数据采集及审核工作的主要责任机构，对所采集数据的真实性、及时性、准确性、完整性负责。 </w:t>
      </w:r>
    </w:p>
    <w:p w14:paraId="6D7D8943">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d.监理方设置本单位专职数据（结构化文件）采集及审核人员，数据填报技术人员具备大专以上学历，具备熟练操作应用计算机操作能力，能够使用全生命周期数据库进行数据填报,现场数据采用项目管理助手开展数据的实时审核，保证数据同步施工，同步采集，同步移交数据，以保证数据的真实、及时、准确及完整。 </w:t>
      </w:r>
    </w:p>
    <w:p w14:paraId="1A388418">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e.监理方项目部需配备宽带网络条件，每名数据人员配置 PC电脑等办公设备。 </w:t>
      </w:r>
    </w:p>
    <w:p w14:paraId="58F172F6">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f.监理方数据范围根据 CDP 数据规定（非结构化文件）。 </w:t>
      </w:r>
    </w:p>
    <w:p w14:paraId="02DE5E8A">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g.全生命周期系统数据采集及审核进度与进度款支付挂接，凡是申请进度款的单位，必须附上全生命周期系统数据采集及审核进度确认单，采集及审核进度与实际不符的或不满足要求的，暂停支付进度款。 </w:t>
      </w:r>
    </w:p>
    <w:p w14:paraId="2CBFA20C">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4）监理方设置专人负责机具工况数据的采集审核监督工作，以保证工况数据采集的真实性、及时性、准确性、完整性。 </w:t>
      </w:r>
    </w:p>
    <w:p w14:paraId="3D3DE495">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5）监理方配置专人负责现场视频监控监督工作，以保证现场视频监控的真实性、及时性、完整性、准确性。</w:t>
      </w:r>
    </w:p>
    <w:p w14:paraId="2DA6064E">
      <w:pPr>
        <w:spacing w:line="360" w:lineRule="auto"/>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投标人应确保</w:t>
      </w:r>
      <w:r>
        <w:rPr>
          <w:rFonts w:hint="eastAsia" w:ascii="宋体" w:hAnsi="宋体" w:eastAsia="宋体"/>
          <w:color w:val="auto"/>
          <w:sz w:val="24"/>
          <w:szCs w:val="24"/>
          <w:highlight w:val="none"/>
          <w:u w:val="single"/>
          <w:lang w:val="en-US" w:eastAsia="zh-CN" w:bidi="mn-Mong-CN"/>
        </w:rPr>
        <w:t>广州LNG应急调峰气源站配套管线工程（黄阁门站-横沥调压和气化站段）线路工程与场站工程</w:t>
      </w:r>
      <w:r>
        <w:rPr>
          <w:rFonts w:hint="eastAsia" w:ascii="宋体" w:hAnsi="宋体" w:eastAsia="宋体"/>
          <w:color w:val="auto"/>
          <w:sz w:val="24"/>
          <w:szCs w:val="24"/>
          <w:highlight w:val="none"/>
        </w:rPr>
        <w:t>的建设满足招标人批准的项目规格书、规范、标准和国家建设法规、监理法规和国家强制性建设标准的要求。</w:t>
      </w:r>
    </w:p>
    <w:p w14:paraId="3AEAAFD7">
      <w:pPr>
        <w:spacing w:line="360" w:lineRule="auto"/>
        <w:ind w:firstLine="482" w:firstLineChars="200"/>
        <w:jc w:val="left"/>
        <w:rPr>
          <w:rFonts w:ascii="宋体" w:hAnsi="宋体" w:eastAsia="宋体"/>
          <w:color w:val="auto"/>
          <w:sz w:val="24"/>
          <w:szCs w:val="24"/>
          <w:highlight w:val="none"/>
          <w:lang w:bidi="mn-Mong-CN"/>
        </w:rPr>
      </w:pPr>
      <w:r>
        <w:rPr>
          <w:rFonts w:hint="eastAsia" w:ascii="宋体" w:hAnsi="宋体" w:eastAsia="宋体"/>
          <w:b/>
          <w:bCs/>
          <w:color w:val="auto"/>
          <w:sz w:val="24"/>
          <w:szCs w:val="24"/>
          <w:highlight w:val="none"/>
          <w:lang w:bidi="mn-Mong-CN"/>
        </w:rPr>
        <w:t>监理服务期限</w:t>
      </w:r>
      <w:r>
        <w:rPr>
          <w:rFonts w:hint="eastAsia" w:ascii="宋体" w:hAnsi="宋体" w:eastAsia="宋体"/>
          <w:color w:val="auto"/>
          <w:sz w:val="24"/>
          <w:szCs w:val="24"/>
          <w:highlight w:val="none"/>
          <w:lang w:bidi="mn-Mong-CN"/>
        </w:rPr>
        <w:t>：</w:t>
      </w:r>
      <w:r>
        <w:rPr>
          <w:rFonts w:hint="eastAsia" w:ascii="宋体" w:hAnsi="宋体" w:eastAsia="宋体"/>
          <w:color w:val="auto"/>
          <w:sz w:val="24"/>
          <w:szCs w:val="24"/>
          <w:highlight w:val="none"/>
          <w:u w:val="single"/>
          <w:lang w:bidi="mn-Mong-CN"/>
        </w:rPr>
        <w:t>自监理合同签订之日起至工程项目全部完成竣工验收和工程质量保修期满止。</w:t>
      </w:r>
    </w:p>
    <w:p w14:paraId="5F4ABAEF">
      <w:pPr>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3、监理依据</w:t>
      </w:r>
    </w:p>
    <w:p w14:paraId="65E2C673">
      <w:pPr>
        <w:spacing w:line="360" w:lineRule="auto"/>
        <w:ind w:firstLine="480" w:firstLineChars="200"/>
        <w:jc w:val="left"/>
        <w:rPr>
          <w:rFonts w:ascii="宋体" w:hAnsi="宋体" w:eastAsia="宋体"/>
          <w:color w:val="auto"/>
          <w:sz w:val="24"/>
          <w:szCs w:val="24"/>
          <w:highlight w:val="none"/>
          <w:lang w:bidi="mn-Mong-CN"/>
        </w:rPr>
      </w:pPr>
      <w:r>
        <w:rPr>
          <w:rFonts w:hint="eastAsia" w:ascii="宋体" w:hAnsi="宋体" w:eastAsia="宋体"/>
          <w:color w:val="auto"/>
          <w:sz w:val="24"/>
          <w:szCs w:val="24"/>
          <w:highlight w:val="none"/>
          <w:lang w:bidi="mn-Mong-CN"/>
        </w:rPr>
        <w:t>本工程的监理过程必须符合国家有关工程建设标准强制性条文、现行的标准、规范、规程、定额、办法、示例，以及招标项目所在地关于工程监理方面的文件、规定、规范、标准、规程，包括但不限于以下条款：</w:t>
      </w:r>
    </w:p>
    <w:p w14:paraId="5B6E785E">
      <w:pPr>
        <w:pStyle w:val="19"/>
        <w:spacing w:after="0" w:line="360" w:lineRule="auto"/>
        <w:ind w:left="0" w:right="99" w:firstLine="240" w:firstLineChars="100"/>
        <w:jc w:val="left"/>
        <w:rPr>
          <w:rFonts w:ascii="宋体" w:hAnsi="宋体" w:eastAsia="宋体"/>
          <w:color w:val="auto"/>
          <w:sz w:val="24"/>
          <w:szCs w:val="24"/>
          <w:highlight w:val="none"/>
          <w:lang w:bidi="mn-Mong-CN"/>
        </w:rPr>
      </w:pPr>
      <w:r>
        <w:rPr>
          <w:rFonts w:hint="eastAsia" w:ascii="宋体" w:hAnsi="宋体" w:eastAsia="宋体"/>
          <w:color w:val="auto"/>
          <w:sz w:val="24"/>
          <w:szCs w:val="24"/>
          <w:highlight w:val="none"/>
          <w:lang w:bidi="mn-Mong-CN"/>
        </w:rPr>
        <w:t>（1）国家现行的建设安装工程和石油化工工程设计、施工和验收规范；</w:t>
      </w:r>
    </w:p>
    <w:p w14:paraId="218A0E6F">
      <w:pPr>
        <w:pStyle w:val="19"/>
        <w:spacing w:after="0" w:line="360" w:lineRule="auto"/>
        <w:ind w:left="0" w:right="99" w:firstLine="240" w:firstLineChars="100"/>
        <w:jc w:val="left"/>
        <w:rPr>
          <w:rFonts w:ascii="宋体" w:hAnsi="宋体" w:eastAsia="宋体"/>
          <w:color w:val="auto"/>
          <w:sz w:val="24"/>
          <w:szCs w:val="24"/>
          <w:highlight w:val="none"/>
          <w:lang w:bidi="mn-Mong-CN"/>
        </w:rPr>
      </w:pPr>
      <w:r>
        <w:rPr>
          <w:rFonts w:hint="eastAsia" w:ascii="宋体" w:hAnsi="宋体" w:eastAsia="宋体"/>
          <w:color w:val="auto"/>
          <w:sz w:val="24"/>
          <w:szCs w:val="24"/>
          <w:highlight w:val="none"/>
          <w:lang w:bidi="mn-Mong-CN"/>
        </w:rPr>
        <w:t>（2）委托人与工程承包人的建设安装工程承包合同；</w:t>
      </w:r>
    </w:p>
    <w:p w14:paraId="33CF11A5">
      <w:pPr>
        <w:pStyle w:val="19"/>
        <w:spacing w:after="0" w:line="360" w:lineRule="auto"/>
        <w:ind w:left="0" w:right="99" w:firstLine="240" w:firstLineChars="100"/>
        <w:jc w:val="left"/>
        <w:rPr>
          <w:rFonts w:ascii="宋体" w:hAnsi="宋体" w:eastAsia="宋体"/>
          <w:color w:val="auto"/>
          <w:sz w:val="24"/>
          <w:szCs w:val="24"/>
          <w:highlight w:val="none"/>
          <w:lang w:bidi="mn-Mong-CN"/>
        </w:rPr>
      </w:pPr>
      <w:r>
        <w:rPr>
          <w:rFonts w:hint="eastAsia" w:ascii="宋体" w:hAnsi="宋体" w:eastAsia="宋体"/>
          <w:color w:val="auto"/>
          <w:sz w:val="24"/>
          <w:szCs w:val="24"/>
          <w:highlight w:val="none"/>
          <w:lang w:bidi="mn-Mong-CN"/>
        </w:rPr>
        <w:t>（3）经批准的本工程设计图纸、文件；</w:t>
      </w:r>
    </w:p>
    <w:p w14:paraId="7B62018A">
      <w:pPr>
        <w:pStyle w:val="19"/>
        <w:spacing w:after="0" w:line="360" w:lineRule="auto"/>
        <w:ind w:left="0" w:right="99" w:firstLine="240" w:firstLineChars="100"/>
        <w:jc w:val="left"/>
        <w:rPr>
          <w:rFonts w:ascii="宋体" w:hAnsi="宋体" w:eastAsia="宋体"/>
          <w:color w:val="auto"/>
          <w:sz w:val="24"/>
          <w:szCs w:val="24"/>
          <w:highlight w:val="none"/>
          <w:lang w:bidi="mn-Mong-CN"/>
        </w:rPr>
      </w:pPr>
      <w:r>
        <w:rPr>
          <w:rFonts w:hint="eastAsia" w:ascii="宋体" w:hAnsi="宋体" w:eastAsia="宋体"/>
          <w:color w:val="auto"/>
          <w:sz w:val="24"/>
          <w:szCs w:val="24"/>
          <w:highlight w:val="none"/>
          <w:lang w:bidi="mn-Mong-CN"/>
        </w:rPr>
        <w:t>（4）招标文件中的有关条款；</w:t>
      </w:r>
    </w:p>
    <w:p w14:paraId="05106F9C">
      <w:pPr>
        <w:pStyle w:val="19"/>
        <w:spacing w:after="0" w:line="360" w:lineRule="auto"/>
        <w:ind w:left="0" w:right="99" w:firstLine="240" w:firstLineChars="100"/>
        <w:rPr>
          <w:rFonts w:ascii="宋体" w:hAnsi="宋体" w:eastAsia="宋体"/>
          <w:color w:val="auto"/>
          <w:sz w:val="24"/>
          <w:szCs w:val="24"/>
          <w:highlight w:val="none"/>
          <w:lang w:bidi="mn-Mong-CN"/>
        </w:rPr>
      </w:pPr>
      <w:r>
        <w:rPr>
          <w:rFonts w:hint="eastAsia" w:ascii="宋体" w:hAnsi="宋体" w:eastAsia="宋体"/>
          <w:color w:val="auto"/>
          <w:sz w:val="24"/>
          <w:szCs w:val="24"/>
          <w:highlight w:val="none"/>
          <w:lang w:bidi="mn-Mong-CN"/>
        </w:rPr>
        <w:t>（5）委托人与监理方签订的监理合同。</w:t>
      </w:r>
    </w:p>
    <w:p w14:paraId="2A9DCA03">
      <w:pPr>
        <w:spacing w:line="360" w:lineRule="auto"/>
        <w:ind w:firstLine="480" w:firstLineChars="200"/>
        <w:jc w:val="left"/>
        <w:rPr>
          <w:rFonts w:ascii="宋体" w:hAnsi="宋体" w:eastAsia="宋体"/>
          <w:color w:val="auto"/>
          <w:sz w:val="24"/>
          <w:szCs w:val="24"/>
          <w:highlight w:val="none"/>
          <w:lang w:bidi="mn-Mong-CN"/>
        </w:rPr>
      </w:pPr>
      <w:r>
        <w:rPr>
          <w:rFonts w:hint="eastAsia" w:ascii="宋体" w:hAnsi="宋体" w:eastAsia="宋体"/>
          <w:color w:val="auto"/>
          <w:sz w:val="24"/>
          <w:szCs w:val="24"/>
          <w:highlight w:val="none"/>
          <w:lang w:bidi="mn-Mong-CN"/>
        </w:rPr>
        <w:t>在监理过程中，如果国家或有关部门颁布了新的技术标准或规范，则监理方应按照新的标准和规范进行监理。</w:t>
      </w:r>
    </w:p>
    <w:p w14:paraId="5FC95B1E">
      <w:pPr>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4、监理机构人员</w:t>
      </w:r>
      <w:r>
        <w:rPr>
          <w:rFonts w:hint="eastAsia" w:ascii="宋体" w:hAnsi="宋体" w:eastAsia="宋体" w:cs="宋体"/>
          <w:color w:val="auto"/>
          <w:sz w:val="24"/>
          <w:szCs w:val="24"/>
          <w:highlight w:val="none"/>
          <w:lang w:val="en-US" w:eastAsia="zh-CN"/>
        </w:rPr>
        <w:t>基本</w:t>
      </w:r>
      <w:r>
        <w:rPr>
          <w:rFonts w:hint="eastAsia" w:ascii="宋体" w:hAnsi="宋体" w:eastAsia="宋体" w:cs="宋体"/>
          <w:color w:val="auto"/>
          <w:sz w:val="24"/>
          <w:szCs w:val="24"/>
          <w:highlight w:val="none"/>
        </w:rPr>
        <w:t>要求</w:t>
      </w:r>
    </w:p>
    <w:p w14:paraId="4B8877EA">
      <w:pPr>
        <w:spacing w:line="360" w:lineRule="auto"/>
        <w:ind w:firstLine="340" w:firstLineChars="142"/>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（1）</w:t>
      </w:r>
      <w:r>
        <w:rPr>
          <w:rFonts w:hint="eastAsia" w:ascii="宋体" w:hAnsi="宋体" w:eastAsia="宋体"/>
          <w:color w:val="auto"/>
          <w:sz w:val="24"/>
          <w:szCs w:val="24"/>
          <w:highlight w:val="none"/>
        </w:rPr>
        <w:t>拟派项目总监理工程师须具有建设部2006年4月1日后颁发的中华人民共和国注册监理工程师注册执业证书，且其注册专业为市政公用工程或</w:t>
      </w:r>
      <w:r>
        <w:rPr>
          <w:rFonts w:hint="eastAsia" w:ascii="宋体" w:hAnsi="宋体" w:eastAsia="宋体"/>
          <w:color w:val="auto"/>
          <w:sz w:val="24"/>
          <w:szCs w:val="24"/>
          <w:highlight w:val="none"/>
          <w:lang w:bidi="mn-Mong-CN"/>
        </w:rPr>
        <w:t>石油</w:t>
      </w:r>
      <w:r>
        <w:rPr>
          <w:rFonts w:hint="eastAsia" w:ascii="宋体" w:hAnsi="宋体" w:eastAsia="宋体"/>
          <w:color w:val="auto"/>
          <w:sz w:val="24"/>
          <w:szCs w:val="24"/>
          <w:highlight w:val="none"/>
        </w:rPr>
        <w:t>化工工程，注册执业单位为本公司，并具备本科或以上学历。</w:t>
      </w:r>
    </w:p>
    <w:p w14:paraId="6A25DC94">
      <w:pPr>
        <w:spacing w:line="360" w:lineRule="auto"/>
        <w:ind w:firstLine="340" w:firstLineChars="142"/>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val="en-US" w:eastAsia="zh-CN"/>
        </w:rPr>
        <w:t>（2）</w:t>
      </w:r>
      <w:r>
        <w:rPr>
          <w:rFonts w:hint="eastAsia" w:ascii="宋体" w:hAnsi="宋体" w:eastAsia="宋体"/>
          <w:color w:val="auto"/>
          <w:sz w:val="24"/>
          <w:szCs w:val="24"/>
          <w:highlight w:val="none"/>
        </w:rPr>
        <w:t>现场监理员具有建设监理行业协会培训颁发的</w:t>
      </w:r>
      <w:r>
        <w:rPr>
          <w:rFonts w:hint="eastAsia" w:ascii="宋体" w:hAnsi="宋体" w:eastAsia="宋体"/>
          <w:color w:val="auto"/>
          <w:sz w:val="24"/>
          <w:szCs w:val="24"/>
          <w:highlight w:val="none"/>
          <w:lang w:val="en-US" w:eastAsia="zh-CN"/>
        </w:rPr>
        <w:t>满足招标文件要求的</w:t>
      </w:r>
      <w:r>
        <w:rPr>
          <w:rFonts w:hint="eastAsia" w:ascii="宋体" w:hAnsi="宋体" w:eastAsia="宋体"/>
          <w:color w:val="auto"/>
          <w:sz w:val="24"/>
          <w:szCs w:val="24"/>
          <w:highlight w:val="none"/>
        </w:rPr>
        <w:t>专业监理员上岗证</w:t>
      </w:r>
      <w:r>
        <w:rPr>
          <w:rFonts w:hint="eastAsia" w:ascii="宋体" w:hAnsi="宋体" w:eastAsia="宋体"/>
          <w:color w:val="auto"/>
          <w:sz w:val="24"/>
          <w:szCs w:val="24"/>
          <w:highlight w:val="none"/>
          <w:lang w:eastAsia="zh-CN"/>
        </w:rPr>
        <w:t>。</w:t>
      </w:r>
    </w:p>
    <w:p w14:paraId="670D945B">
      <w:pPr>
        <w:spacing w:line="360" w:lineRule="auto"/>
        <w:ind w:firstLine="340" w:firstLineChars="142"/>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rPr>
        <w:t>注：</w:t>
      </w:r>
    </w:p>
    <w:p w14:paraId="436091CD">
      <w:pPr>
        <w:spacing w:line="360" w:lineRule="auto"/>
        <w:ind w:firstLine="340" w:firstLineChars="142"/>
        <w:rPr>
          <w:rFonts w:ascii="宋体" w:hAnsi="宋体" w:eastAsia="宋体"/>
          <w:color w:val="auto"/>
          <w:sz w:val="24"/>
          <w:szCs w:val="24"/>
          <w:highlight w:val="none"/>
        </w:rPr>
      </w:pPr>
      <w:r>
        <w:rPr>
          <w:rFonts w:hint="eastAsia" w:ascii="宋体" w:hAnsi="宋体" w:eastAsia="宋体"/>
          <w:color w:val="auto"/>
          <w:sz w:val="24"/>
          <w:szCs w:val="24"/>
          <w:highlight w:val="none"/>
          <w:lang w:eastAsia="zh-CN"/>
        </w:rPr>
        <w:t>1）</w:t>
      </w:r>
      <w:r>
        <w:rPr>
          <w:rFonts w:hint="eastAsia" w:ascii="宋体" w:hAnsi="宋体" w:eastAsia="宋体"/>
          <w:color w:val="auto"/>
          <w:sz w:val="24"/>
          <w:szCs w:val="24"/>
          <w:highlight w:val="none"/>
        </w:rPr>
        <w:t>根据工程施工进度及阶段，调整各个专业监理人员进场时间，具体以招标人批复为准。</w:t>
      </w:r>
    </w:p>
    <w:p w14:paraId="4F9C4F5C">
      <w:pPr>
        <w:spacing w:line="360" w:lineRule="auto"/>
        <w:ind w:firstLine="340" w:firstLineChars="142"/>
        <w:rPr>
          <w:rFonts w:ascii="宋体" w:hAnsi="宋体" w:eastAsia="宋体"/>
          <w:color w:val="auto"/>
          <w:sz w:val="24"/>
          <w:szCs w:val="24"/>
          <w:highlight w:val="none"/>
        </w:rPr>
      </w:pPr>
      <w:r>
        <w:rPr>
          <w:rFonts w:hint="eastAsia" w:ascii="宋体" w:hAnsi="宋体" w:eastAsia="宋体"/>
          <w:color w:val="auto"/>
          <w:sz w:val="24"/>
          <w:szCs w:val="24"/>
          <w:highlight w:val="none"/>
          <w:lang w:eastAsia="zh-CN"/>
        </w:rPr>
        <w:t>2）</w:t>
      </w:r>
      <w:r>
        <w:rPr>
          <w:rFonts w:hint="eastAsia" w:ascii="宋体" w:hAnsi="宋体" w:eastAsia="宋体"/>
          <w:color w:val="auto"/>
          <w:sz w:val="24"/>
          <w:szCs w:val="24"/>
          <w:highlight w:val="none"/>
        </w:rPr>
        <w:t>若拟派本项目监理人员属香港人士，须满足《广东省住房和城乡建设厅关于香港工程建设咨询企业和专业人士在粤港澳大湾区内地城市开业执业试点管理暂行办法》的相关规定并提供相关证明文件。</w:t>
      </w:r>
    </w:p>
    <w:p w14:paraId="05DA039E">
      <w:pPr>
        <w:spacing w:line="360" w:lineRule="auto"/>
        <w:ind w:firstLine="340" w:firstLineChars="142"/>
        <w:rPr>
          <w:rFonts w:ascii="宋体" w:hAnsi="宋体" w:eastAsia="宋体"/>
          <w:color w:val="auto"/>
          <w:sz w:val="24"/>
          <w:szCs w:val="24"/>
          <w:highlight w:val="none"/>
        </w:rPr>
      </w:pPr>
      <w:r>
        <w:rPr>
          <w:rFonts w:hint="eastAsia" w:ascii="宋体" w:hAnsi="宋体" w:eastAsia="宋体"/>
          <w:color w:val="auto"/>
          <w:sz w:val="24"/>
          <w:szCs w:val="24"/>
          <w:highlight w:val="none"/>
          <w:lang w:eastAsia="zh-CN"/>
        </w:rPr>
        <w:t>3）</w:t>
      </w:r>
      <w:r>
        <w:rPr>
          <w:rFonts w:hint="eastAsia" w:ascii="宋体" w:hAnsi="宋体" w:eastAsia="宋体"/>
          <w:color w:val="auto"/>
          <w:sz w:val="24"/>
          <w:szCs w:val="24"/>
          <w:highlight w:val="none"/>
        </w:rPr>
        <w:t>除总监理工程师外，其它人员的工作经验年限以简历表描述为准。</w:t>
      </w:r>
    </w:p>
    <w:p w14:paraId="32419AD0">
      <w:pPr>
        <w:spacing w:line="360" w:lineRule="auto"/>
        <w:ind w:firstLine="340" w:firstLineChars="142"/>
        <w:rPr>
          <w:rFonts w:ascii="宋体" w:hAnsi="宋体" w:eastAsia="宋体"/>
          <w:color w:val="auto"/>
          <w:sz w:val="24"/>
          <w:szCs w:val="24"/>
          <w:highlight w:val="none"/>
        </w:rPr>
      </w:pPr>
      <w:r>
        <w:rPr>
          <w:rFonts w:hint="eastAsia" w:ascii="宋体" w:hAnsi="宋体" w:eastAsia="宋体"/>
          <w:color w:val="auto"/>
          <w:sz w:val="24"/>
          <w:szCs w:val="24"/>
          <w:highlight w:val="none"/>
          <w:lang w:eastAsia="zh-CN"/>
        </w:rPr>
        <w:t>4）</w:t>
      </w:r>
      <w:r>
        <w:rPr>
          <w:rFonts w:hint="eastAsia" w:ascii="宋体" w:hAnsi="宋体" w:eastAsia="宋体"/>
          <w:color w:val="auto"/>
          <w:sz w:val="24"/>
          <w:szCs w:val="24"/>
          <w:highlight w:val="none"/>
        </w:rPr>
        <w:t>造价专业工程师其中一人须按招标人要求到指定地点驻场服务，接受招标人考核管理。</w:t>
      </w:r>
    </w:p>
    <w:p w14:paraId="78D08053">
      <w:pPr>
        <w:pStyle w:val="100"/>
        <w:ind w:firstLine="0" w:firstLineChars="0"/>
        <w:rPr>
          <w:rFonts w:ascii="宋体" w:hAnsi="宋体"/>
          <w:color w:val="auto"/>
          <w:highlight w:val="none"/>
        </w:rPr>
      </w:pPr>
      <w:r>
        <w:rPr>
          <w:rFonts w:hint="eastAsia" w:ascii="宋体" w:hAnsi="宋体"/>
          <w:color w:val="auto"/>
          <w:highlight w:val="none"/>
        </w:rPr>
        <w:t>5、监理工作目标要求</w:t>
      </w:r>
    </w:p>
    <w:p w14:paraId="3772EFD4">
      <w:pPr>
        <w:spacing w:line="360" w:lineRule="auto"/>
        <w:ind w:firstLine="240" w:firstLineChars="100"/>
        <w:jc w:val="left"/>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eastAsia="zh-CN"/>
        </w:rPr>
        <w:t>（</w:t>
      </w:r>
      <w:r>
        <w:rPr>
          <w:rFonts w:ascii="宋体" w:hAnsi="宋体" w:eastAsia="宋体" w:cs="宋体"/>
          <w:snapToGrid w:val="0"/>
          <w:color w:val="auto"/>
          <w:sz w:val="24"/>
          <w:szCs w:val="24"/>
          <w:highlight w:val="none"/>
        </w:rPr>
        <w:t>1）工程建设总体控制目标</w:t>
      </w:r>
    </w:p>
    <w:p w14:paraId="518E7F3D">
      <w:pPr>
        <w:spacing w:line="360" w:lineRule="auto"/>
        <w:ind w:firstLine="484" w:firstLineChars="202"/>
        <w:jc w:val="left"/>
        <w:rPr>
          <w:rFonts w:ascii="宋体" w:hAnsi="宋体" w:eastAsia="宋体" w:cs="宋体"/>
          <w:snapToGrid w:val="0"/>
          <w:color w:val="auto"/>
          <w:sz w:val="24"/>
          <w:szCs w:val="24"/>
          <w:highlight w:val="none"/>
        </w:rPr>
      </w:pPr>
      <w:r>
        <w:rPr>
          <w:rFonts w:ascii="宋体" w:hAnsi="宋体" w:eastAsia="宋体" w:cs="宋体"/>
          <w:snapToGrid w:val="0"/>
          <w:color w:val="auto"/>
          <w:sz w:val="24"/>
          <w:szCs w:val="24"/>
          <w:highlight w:val="none"/>
        </w:rPr>
        <w:t>确保工程项目安全、质量、进度目标的实现。</w:t>
      </w:r>
    </w:p>
    <w:p w14:paraId="384B54D3">
      <w:pPr>
        <w:spacing w:line="360" w:lineRule="auto"/>
        <w:ind w:firstLine="240" w:firstLineChars="100"/>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eastAsia="zh-CN"/>
        </w:rPr>
        <w:t>（</w:t>
      </w:r>
      <w:r>
        <w:rPr>
          <w:rFonts w:ascii="宋体" w:hAnsi="宋体" w:eastAsia="宋体" w:cs="宋体"/>
          <w:snapToGrid w:val="0"/>
          <w:color w:val="auto"/>
          <w:sz w:val="24"/>
          <w:szCs w:val="24"/>
          <w:highlight w:val="none"/>
        </w:rPr>
        <w:t>2）工期目标：</w:t>
      </w:r>
      <w:r>
        <w:rPr>
          <w:rFonts w:hint="eastAsia" w:ascii="宋体" w:hAnsi="宋体" w:eastAsia="宋体" w:cs="宋体"/>
          <w:snapToGrid w:val="0"/>
          <w:color w:val="auto"/>
          <w:sz w:val="24"/>
          <w:szCs w:val="24"/>
          <w:highlight w:val="none"/>
        </w:rPr>
        <w:t>确保工程按确定的里程碑计划完成。</w:t>
      </w:r>
    </w:p>
    <w:p w14:paraId="25CF31AE">
      <w:pPr>
        <w:spacing w:line="360" w:lineRule="auto"/>
        <w:ind w:firstLine="240" w:firstLineChars="100"/>
        <w:jc w:val="left"/>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eastAsia="zh-CN"/>
        </w:rPr>
        <w:t>（</w:t>
      </w:r>
      <w:r>
        <w:rPr>
          <w:rFonts w:ascii="宋体" w:hAnsi="宋体" w:eastAsia="宋体" w:cs="宋体"/>
          <w:snapToGrid w:val="0"/>
          <w:color w:val="auto"/>
          <w:sz w:val="24"/>
          <w:szCs w:val="24"/>
          <w:highlight w:val="none"/>
        </w:rPr>
        <w:t>3）进度控制目标：工程进度按期完成</w:t>
      </w:r>
      <w:r>
        <w:rPr>
          <w:rFonts w:hint="eastAsia" w:ascii="宋体" w:hAnsi="宋体" w:eastAsia="宋体" w:cs="宋体"/>
          <w:snapToGrid w:val="0"/>
          <w:color w:val="auto"/>
          <w:sz w:val="24"/>
          <w:szCs w:val="24"/>
          <w:highlight w:val="none"/>
        </w:rPr>
        <w:t>。</w:t>
      </w:r>
    </w:p>
    <w:p w14:paraId="13F283E6">
      <w:pPr>
        <w:spacing w:line="360" w:lineRule="auto"/>
        <w:ind w:firstLine="240" w:firstLineChars="100"/>
        <w:jc w:val="left"/>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eastAsia="zh-CN"/>
        </w:rPr>
        <w:t>（</w:t>
      </w:r>
      <w:r>
        <w:rPr>
          <w:rFonts w:ascii="宋体" w:hAnsi="宋体" w:eastAsia="宋体" w:cs="宋体"/>
          <w:snapToGrid w:val="0"/>
          <w:color w:val="auto"/>
          <w:sz w:val="24"/>
          <w:szCs w:val="24"/>
          <w:highlight w:val="none"/>
        </w:rPr>
        <w:t>4）质量控制目标</w:t>
      </w:r>
    </w:p>
    <w:p w14:paraId="2BA570FD">
      <w:pPr>
        <w:spacing w:line="360" w:lineRule="auto"/>
        <w:ind w:firstLine="484" w:firstLineChars="202"/>
        <w:jc w:val="left"/>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a</w:t>
      </w:r>
      <w:r>
        <w:rPr>
          <w:rFonts w:ascii="宋体" w:hAnsi="宋体" w:eastAsia="宋体" w:cs="宋体"/>
          <w:snapToGrid w:val="0"/>
          <w:color w:val="auto"/>
          <w:sz w:val="24"/>
          <w:szCs w:val="24"/>
          <w:highlight w:val="none"/>
        </w:rPr>
        <w:t>、单位工程合格率为100％；</w:t>
      </w:r>
    </w:p>
    <w:p w14:paraId="26AACCFC">
      <w:pPr>
        <w:spacing w:line="360" w:lineRule="auto"/>
        <w:ind w:firstLine="484" w:firstLineChars="202"/>
        <w:jc w:val="left"/>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b</w:t>
      </w:r>
      <w:r>
        <w:rPr>
          <w:rFonts w:ascii="宋体" w:hAnsi="宋体" w:eastAsia="宋体" w:cs="宋体"/>
          <w:snapToGrid w:val="0"/>
          <w:color w:val="auto"/>
          <w:sz w:val="24"/>
          <w:szCs w:val="24"/>
          <w:highlight w:val="none"/>
        </w:rPr>
        <w:t>、工程设备、机具的完好率为100％；</w:t>
      </w:r>
    </w:p>
    <w:p w14:paraId="5F3B6186">
      <w:pPr>
        <w:spacing w:line="360" w:lineRule="auto"/>
        <w:ind w:firstLine="484" w:firstLineChars="202"/>
        <w:jc w:val="left"/>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c</w:t>
      </w:r>
      <w:r>
        <w:rPr>
          <w:rFonts w:ascii="宋体" w:hAnsi="宋体" w:eastAsia="宋体" w:cs="宋体"/>
          <w:snapToGrid w:val="0"/>
          <w:color w:val="auto"/>
          <w:sz w:val="24"/>
          <w:szCs w:val="24"/>
          <w:highlight w:val="none"/>
        </w:rPr>
        <w:t>、工程材料质量的合格率为100％；</w:t>
      </w:r>
    </w:p>
    <w:p w14:paraId="6A79CBD8">
      <w:pPr>
        <w:spacing w:line="360" w:lineRule="auto"/>
        <w:ind w:firstLine="484" w:firstLineChars="202"/>
        <w:jc w:val="left"/>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d</w:t>
      </w:r>
      <w:r>
        <w:rPr>
          <w:rFonts w:ascii="宋体" w:hAnsi="宋体" w:eastAsia="宋体" w:cs="宋体"/>
          <w:snapToGrid w:val="0"/>
          <w:color w:val="auto"/>
          <w:sz w:val="24"/>
          <w:szCs w:val="24"/>
          <w:highlight w:val="none"/>
        </w:rPr>
        <w:t>、管道焊接一次合格率达到9</w:t>
      </w:r>
      <w:r>
        <w:rPr>
          <w:rFonts w:hint="eastAsia" w:ascii="宋体" w:hAnsi="宋体" w:eastAsia="宋体" w:cs="宋体"/>
          <w:snapToGrid w:val="0"/>
          <w:color w:val="auto"/>
          <w:sz w:val="24"/>
          <w:szCs w:val="24"/>
          <w:highlight w:val="none"/>
          <w:lang w:val="en-US" w:eastAsia="zh-CN"/>
        </w:rPr>
        <w:t>5</w:t>
      </w:r>
      <w:r>
        <w:rPr>
          <w:rFonts w:ascii="宋体" w:hAnsi="宋体" w:eastAsia="宋体" w:cs="宋体"/>
          <w:snapToGrid w:val="0"/>
          <w:color w:val="auto"/>
          <w:sz w:val="24"/>
          <w:szCs w:val="24"/>
          <w:highlight w:val="none"/>
        </w:rPr>
        <w:t>％；</w:t>
      </w:r>
    </w:p>
    <w:p w14:paraId="6B15E685">
      <w:pPr>
        <w:spacing w:line="360" w:lineRule="auto"/>
        <w:ind w:firstLine="484" w:firstLineChars="202"/>
        <w:jc w:val="left"/>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e</w:t>
      </w:r>
      <w:r>
        <w:rPr>
          <w:rFonts w:ascii="宋体" w:hAnsi="宋体" w:eastAsia="宋体" w:cs="宋体"/>
          <w:snapToGrid w:val="0"/>
          <w:color w:val="auto"/>
          <w:sz w:val="24"/>
          <w:szCs w:val="24"/>
          <w:highlight w:val="none"/>
        </w:rPr>
        <w:t>、管道防腐及补口补伤一次合格率99％；</w:t>
      </w:r>
    </w:p>
    <w:p w14:paraId="10B656C1">
      <w:pPr>
        <w:spacing w:line="360" w:lineRule="auto"/>
        <w:ind w:firstLine="484" w:firstLineChars="202"/>
        <w:jc w:val="left"/>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f</w:t>
      </w:r>
      <w:r>
        <w:rPr>
          <w:rFonts w:ascii="宋体" w:hAnsi="宋体" w:eastAsia="宋体" w:cs="宋体"/>
          <w:snapToGrid w:val="0"/>
          <w:color w:val="auto"/>
          <w:sz w:val="24"/>
          <w:szCs w:val="24"/>
          <w:highlight w:val="none"/>
        </w:rPr>
        <w:t>、设备、阀门及仪表安装对号率100%；</w:t>
      </w:r>
    </w:p>
    <w:p w14:paraId="2510E9AD">
      <w:pPr>
        <w:spacing w:line="360" w:lineRule="auto"/>
        <w:ind w:firstLine="484" w:firstLineChars="202"/>
        <w:jc w:val="left"/>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g</w:t>
      </w:r>
      <w:r>
        <w:rPr>
          <w:rFonts w:ascii="宋体" w:hAnsi="宋体" w:eastAsia="宋体" w:cs="宋体"/>
          <w:snapToGrid w:val="0"/>
          <w:color w:val="auto"/>
          <w:sz w:val="24"/>
          <w:szCs w:val="24"/>
          <w:highlight w:val="none"/>
        </w:rPr>
        <w:t>、管道埋深合格率100％；</w:t>
      </w:r>
    </w:p>
    <w:p w14:paraId="5C5A3146">
      <w:pPr>
        <w:spacing w:line="360" w:lineRule="auto"/>
        <w:ind w:firstLine="484" w:firstLineChars="202"/>
        <w:jc w:val="left"/>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h</w:t>
      </w:r>
      <w:r>
        <w:rPr>
          <w:rFonts w:ascii="宋体" w:hAnsi="宋体" w:eastAsia="宋体" w:cs="宋体"/>
          <w:snapToGrid w:val="0"/>
          <w:color w:val="auto"/>
          <w:sz w:val="24"/>
          <w:szCs w:val="24"/>
          <w:highlight w:val="none"/>
        </w:rPr>
        <w:t>、阴保一次合格率100%；</w:t>
      </w:r>
    </w:p>
    <w:p w14:paraId="3EFBFC30">
      <w:pPr>
        <w:spacing w:line="360" w:lineRule="auto"/>
        <w:ind w:firstLine="484" w:firstLineChars="202"/>
        <w:jc w:val="left"/>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i</w:t>
      </w:r>
      <w:r>
        <w:rPr>
          <w:rFonts w:ascii="宋体" w:hAnsi="宋体" w:eastAsia="宋体" w:cs="宋体"/>
          <w:snapToGrid w:val="0"/>
          <w:color w:val="auto"/>
          <w:sz w:val="24"/>
          <w:szCs w:val="24"/>
          <w:highlight w:val="none"/>
        </w:rPr>
        <w:t>、竣工资料移交在</w:t>
      </w:r>
      <w:r>
        <w:rPr>
          <w:rFonts w:hint="eastAsia" w:ascii="宋体" w:hAnsi="宋体" w:eastAsia="宋体" w:cs="宋体"/>
          <w:snapToGrid w:val="0"/>
          <w:color w:val="auto"/>
          <w:sz w:val="24"/>
          <w:szCs w:val="24"/>
          <w:highlight w:val="none"/>
          <w:lang w:val="en-US" w:eastAsia="zh-CN"/>
        </w:rPr>
        <w:t>竣工</w:t>
      </w:r>
      <w:r>
        <w:rPr>
          <w:rFonts w:ascii="宋体" w:hAnsi="宋体" w:eastAsia="宋体" w:cs="宋体"/>
          <w:snapToGrid w:val="0"/>
          <w:color w:val="auto"/>
          <w:sz w:val="24"/>
          <w:szCs w:val="24"/>
          <w:highlight w:val="none"/>
        </w:rPr>
        <w:t>验收合格后三个月内完成</w:t>
      </w:r>
      <w:r>
        <w:rPr>
          <w:rFonts w:hint="eastAsia" w:ascii="宋体" w:hAnsi="宋体" w:eastAsia="宋体" w:cs="宋体"/>
          <w:snapToGrid w:val="0"/>
          <w:color w:val="auto"/>
          <w:sz w:val="24"/>
          <w:szCs w:val="24"/>
          <w:highlight w:val="none"/>
        </w:rPr>
        <w:t>；</w:t>
      </w:r>
    </w:p>
    <w:p w14:paraId="67DD55A5">
      <w:pPr>
        <w:spacing w:line="360" w:lineRule="auto"/>
        <w:ind w:firstLine="484" w:firstLineChars="202"/>
        <w:jc w:val="left"/>
        <w:rPr>
          <w:rFonts w:ascii="宋体" w:hAnsi="宋体" w:eastAsia="宋体" w:cs="宋体"/>
          <w:snapToGrid w:val="0"/>
          <w:color w:val="auto"/>
          <w:sz w:val="24"/>
          <w:szCs w:val="24"/>
          <w:highlight w:val="none"/>
        </w:rPr>
      </w:pPr>
      <w:r>
        <w:rPr>
          <w:rFonts w:ascii="宋体" w:hAnsi="宋体" w:eastAsia="宋体" w:cs="宋体"/>
          <w:snapToGrid w:val="0"/>
          <w:color w:val="auto"/>
          <w:sz w:val="24"/>
          <w:szCs w:val="24"/>
          <w:highlight w:val="none"/>
        </w:rPr>
        <w:t>5）HSE管理目标</w:t>
      </w:r>
    </w:p>
    <w:p w14:paraId="679E99F1">
      <w:pPr>
        <w:spacing w:line="360" w:lineRule="auto"/>
        <w:ind w:firstLine="484" w:firstLineChars="202"/>
        <w:jc w:val="left"/>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零事故、零伤害、零污染。</w:t>
      </w:r>
    </w:p>
    <w:p w14:paraId="175EFA9D">
      <w:pPr>
        <w:numPr>
          <w:ilvl w:val="0"/>
          <w:numId w:val="0"/>
        </w:numPr>
        <w:spacing w:line="360" w:lineRule="auto"/>
        <w:ind w:firstLine="240" w:firstLineChars="100"/>
        <w:jc w:val="left"/>
        <w:rPr>
          <w:rFonts w:ascii="宋体" w:hAnsi="宋体" w:eastAsia="宋体" w:cs="宋体"/>
          <w:snapToGrid w:val="0"/>
          <w:color w:val="auto"/>
          <w:sz w:val="24"/>
          <w:szCs w:val="24"/>
          <w:highlight w:val="none"/>
        </w:rPr>
      </w:pPr>
      <w:r>
        <w:rPr>
          <w:rFonts w:hint="eastAsia" w:ascii="宋体" w:hAnsi="宋体" w:eastAsia="宋体" w:cs="宋体"/>
          <w:snapToGrid w:val="0"/>
          <w:color w:val="auto"/>
          <w:kern w:val="2"/>
          <w:sz w:val="24"/>
          <w:szCs w:val="24"/>
          <w:highlight w:val="none"/>
          <w:lang w:val="en-US" w:eastAsia="zh-CN" w:bidi="ar-SA"/>
        </w:rPr>
        <w:t>（</w:t>
      </w:r>
      <w:r>
        <w:rPr>
          <w:rFonts w:ascii="宋体" w:hAnsi="宋体" w:eastAsia="宋体" w:cs="宋体"/>
          <w:snapToGrid w:val="0"/>
          <w:color w:val="auto"/>
          <w:kern w:val="2"/>
          <w:sz w:val="24"/>
          <w:szCs w:val="24"/>
          <w:highlight w:val="none"/>
          <w:lang w:val="en-US" w:eastAsia="zh-CN" w:bidi="ar-SA"/>
        </w:rPr>
        <w:t>6)</w:t>
      </w:r>
      <w:r>
        <w:rPr>
          <w:rFonts w:hint="eastAsia" w:ascii="宋体" w:hAnsi="宋体" w:eastAsia="宋体" w:cs="宋体"/>
          <w:snapToGrid w:val="0"/>
          <w:color w:val="auto"/>
          <w:sz w:val="24"/>
          <w:szCs w:val="24"/>
          <w:highlight w:val="none"/>
        </w:rPr>
        <w:t>环境管理目标：严格执行《广州市建设工程绿色施工围蔽指导图集（V2.0版）、《广州市建设工程现场文明施工管理办法》（穗建质〔</w:t>
      </w:r>
      <w:r>
        <w:rPr>
          <w:rFonts w:ascii="宋体" w:hAnsi="宋体" w:eastAsia="宋体" w:cs="宋体"/>
          <w:snapToGrid w:val="0"/>
          <w:color w:val="auto"/>
          <w:sz w:val="24"/>
          <w:szCs w:val="24"/>
          <w:highlight w:val="none"/>
        </w:rPr>
        <w:t>2008</w:t>
      </w:r>
      <w:r>
        <w:rPr>
          <w:rFonts w:hint="eastAsia" w:ascii="宋体" w:hAnsi="宋体" w:eastAsia="宋体" w:cs="宋体"/>
          <w:snapToGrid w:val="0"/>
          <w:color w:val="auto"/>
          <w:sz w:val="24"/>
          <w:szCs w:val="24"/>
          <w:highlight w:val="none"/>
        </w:rPr>
        <w:t>〕</w:t>
      </w:r>
      <w:r>
        <w:rPr>
          <w:rFonts w:ascii="宋体" w:hAnsi="宋体" w:eastAsia="宋体" w:cs="宋体"/>
          <w:snapToGrid w:val="0"/>
          <w:color w:val="auto"/>
          <w:sz w:val="24"/>
          <w:szCs w:val="24"/>
          <w:highlight w:val="none"/>
        </w:rPr>
        <w:t>937</w:t>
      </w:r>
      <w:r>
        <w:rPr>
          <w:rFonts w:hint="eastAsia" w:ascii="宋体" w:hAnsi="宋体" w:eastAsia="宋体" w:cs="宋体"/>
          <w:snapToGrid w:val="0"/>
          <w:color w:val="auto"/>
          <w:sz w:val="24"/>
          <w:szCs w:val="24"/>
          <w:highlight w:val="none"/>
        </w:rPr>
        <w:t>号）、《广州市建设工程文明施工管理规定》（广州市人民政府第</w:t>
      </w:r>
      <w:r>
        <w:rPr>
          <w:rFonts w:ascii="宋体" w:hAnsi="宋体" w:eastAsia="宋体" w:cs="宋体"/>
          <w:snapToGrid w:val="0"/>
          <w:color w:val="auto"/>
          <w:sz w:val="24"/>
          <w:szCs w:val="24"/>
          <w:highlight w:val="none"/>
        </w:rPr>
        <w:t>62</w:t>
      </w:r>
      <w:r>
        <w:rPr>
          <w:rFonts w:hint="eastAsia" w:ascii="宋体" w:hAnsi="宋体" w:eastAsia="宋体" w:cs="宋体"/>
          <w:snapToGrid w:val="0"/>
          <w:color w:val="auto"/>
          <w:sz w:val="24"/>
          <w:szCs w:val="24"/>
          <w:highlight w:val="none"/>
        </w:rPr>
        <w:t>号令）、《关于进一步规范建设工程施工现场围蔽的通知》（穗建质〔</w:t>
      </w:r>
      <w:r>
        <w:rPr>
          <w:rFonts w:ascii="宋体" w:hAnsi="宋体" w:eastAsia="宋体" w:cs="宋体"/>
          <w:snapToGrid w:val="0"/>
          <w:color w:val="auto"/>
          <w:sz w:val="24"/>
          <w:szCs w:val="24"/>
          <w:highlight w:val="none"/>
        </w:rPr>
        <w:t>2008</w:t>
      </w:r>
      <w:r>
        <w:rPr>
          <w:rFonts w:hint="eastAsia" w:ascii="宋体" w:hAnsi="宋体" w:eastAsia="宋体" w:cs="宋体"/>
          <w:snapToGrid w:val="0"/>
          <w:color w:val="auto"/>
          <w:sz w:val="24"/>
          <w:szCs w:val="24"/>
          <w:highlight w:val="none"/>
        </w:rPr>
        <w:t>〕</w:t>
      </w:r>
      <w:r>
        <w:rPr>
          <w:rFonts w:ascii="宋体" w:hAnsi="宋体" w:eastAsia="宋体" w:cs="宋体"/>
          <w:snapToGrid w:val="0"/>
          <w:color w:val="auto"/>
          <w:sz w:val="24"/>
          <w:szCs w:val="24"/>
          <w:highlight w:val="none"/>
        </w:rPr>
        <w:t>1008</w:t>
      </w:r>
      <w:r>
        <w:rPr>
          <w:rFonts w:hint="eastAsia" w:ascii="宋体" w:hAnsi="宋体" w:eastAsia="宋体" w:cs="宋体"/>
          <w:snapToGrid w:val="0"/>
          <w:color w:val="auto"/>
          <w:sz w:val="24"/>
          <w:szCs w:val="24"/>
          <w:highlight w:val="none"/>
        </w:rPr>
        <w:t>号）。</w:t>
      </w:r>
    </w:p>
    <w:p w14:paraId="5920A6D7">
      <w:pPr>
        <w:numPr>
          <w:ilvl w:val="0"/>
          <w:numId w:val="0"/>
        </w:numPr>
        <w:spacing w:line="360" w:lineRule="auto"/>
        <w:ind w:firstLine="240" w:firstLineChars="100"/>
        <w:jc w:val="left"/>
        <w:rPr>
          <w:rFonts w:ascii="宋体" w:hAnsi="宋体" w:eastAsia="宋体" w:cs="宋体"/>
          <w:snapToGrid w:val="0"/>
          <w:color w:val="auto"/>
          <w:sz w:val="24"/>
          <w:szCs w:val="24"/>
          <w:highlight w:val="none"/>
        </w:rPr>
      </w:pPr>
      <w:r>
        <w:rPr>
          <w:rFonts w:hint="eastAsia" w:ascii="宋体" w:hAnsi="宋体" w:eastAsia="宋体" w:cs="宋体"/>
          <w:snapToGrid w:val="0"/>
          <w:color w:val="auto"/>
          <w:kern w:val="2"/>
          <w:sz w:val="24"/>
          <w:szCs w:val="24"/>
          <w:highlight w:val="none"/>
          <w:lang w:val="en-US" w:eastAsia="zh-CN" w:bidi="ar-SA"/>
        </w:rPr>
        <w:t>（</w:t>
      </w:r>
      <w:r>
        <w:rPr>
          <w:rFonts w:ascii="宋体" w:hAnsi="宋体" w:eastAsia="宋体" w:cs="宋体"/>
          <w:snapToGrid w:val="0"/>
          <w:color w:val="auto"/>
          <w:kern w:val="2"/>
          <w:sz w:val="24"/>
          <w:szCs w:val="24"/>
          <w:highlight w:val="none"/>
          <w:lang w:val="en-US" w:eastAsia="zh-CN" w:bidi="ar-SA"/>
        </w:rPr>
        <w:t>7)</w:t>
      </w:r>
      <w:r>
        <w:rPr>
          <w:rFonts w:hint="eastAsia" w:ascii="宋体" w:hAnsi="宋体" w:eastAsia="宋体" w:cs="宋体"/>
          <w:snapToGrid w:val="0"/>
          <w:color w:val="auto"/>
          <w:sz w:val="24"/>
          <w:szCs w:val="24"/>
          <w:highlight w:val="none"/>
        </w:rPr>
        <w:t>职业健康安全管理目标：杜绝发生一般事故等级及以上的伤亡事故且工伤责任事故死亡人数为零。</w:t>
      </w:r>
    </w:p>
    <w:p w14:paraId="65663982">
      <w:pPr>
        <w:numPr>
          <w:ilvl w:val="0"/>
          <w:numId w:val="0"/>
        </w:numPr>
        <w:spacing w:line="360" w:lineRule="auto"/>
        <w:ind w:firstLine="240" w:firstLineChars="100"/>
        <w:jc w:val="left"/>
        <w:rPr>
          <w:rFonts w:ascii="宋体" w:hAnsi="宋体" w:eastAsia="宋体" w:cs="宋体"/>
          <w:snapToGrid w:val="0"/>
          <w:color w:val="auto"/>
          <w:sz w:val="24"/>
          <w:szCs w:val="24"/>
          <w:highlight w:val="none"/>
        </w:rPr>
      </w:pPr>
      <w:r>
        <w:rPr>
          <w:rFonts w:hint="eastAsia" w:ascii="宋体" w:hAnsi="宋体" w:eastAsia="宋体" w:cs="宋体"/>
          <w:snapToGrid w:val="0"/>
          <w:color w:val="auto"/>
          <w:kern w:val="2"/>
          <w:sz w:val="24"/>
          <w:szCs w:val="24"/>
          <w:highlight w:val="none"/>
          <w:lang w:val="en-US" w:eastAsia="zh-CN" w:bidi="ar-SA"/>
        </w:rPr>
        <w:t>（</w:t>
      </w:r>
      <w:r>
        <w:rPr>
          <w:rFonts w:ascii="宋体" w:hAnsi="宋体" w:eastAsia="宋体" w:cs="宋体"/>
          <w:snapToGrid w:val="0"/>
          <w:color w:val="auto"/>
          <w:kern w:val="2"/>
          <w:sz w:val="24"/>
          <w:szCs w:val="24"/>
          <w:highlight w:val="none"/>
          <w:lang w:val="en-US" w:eastAsia="zh-CN" w:bidi="ar-SA"/>
        </w:rPr>
        <w:t>8)</w:t>
      </w:r>
      <w:r>
        <w:rPr>
          <w:rFonts w:hint="eastAsia" w:ascii="宋体" w:hAnsi="宋体" w:eastAsia="宋体" w:cs="宋体"/>
          <w:snapToGrid w:val="0"/>
          <w:color w:val="auto"/>
          <w:sz w:val="24"/>
          <w:szCs w:val="24"/>
          <w:highlight w:val="none"/>
        </w:rPr>
        <w:t>投资控制目标：所监理项目结算的建安工程费不超过本项目概算批复中对应的建安工程费。</w:t>
      </w:r>
    </w:p>
    <w:p w14:paraId="55EE71ED">
      <w:pPr>
        <w:pStyle w:val="7"/>
        <w:spacing w:before="0" w:after="0" w:line="360" w:lineRule="auto"/>
        <w:rPr>
          <w:rFonts w:ascii="宋体" w:hAnsi="宋体"/>
          <w:b w:val="0"/>
          <w:color w:val="auto"/>
          <w:sz w:val="28"/>
          <w:szCs w:val="28"/>
          <w:highlight w:val="none"/>
        </w:rPr>
      </w:pPr>
      <w:bookmarkStart w:id="579" w:name="_Toc49205986"/>
      <w:bookmarkStart w:id="580" w:name="_Toc17110291"/>
      <w:bookmarkStart w:id="581" w:name="_Toc40299666"/>
      <w:bookmarkStart w:id="582" w:name="_Toc40300039"/>
      <w:r>
        <w:rPr>
          <w:rFonts w:hint="eastAsia" w:ascii="宋体" w:hAnsi="宋体"/>
          <w:color w:val="auto"/>
          <w:sz w:val="28"/>
          <w:szCs w:val="28"/>
          <w:highlight w:val="none"/>
        </w:rPr>
        <w:t>二、</w:t>
      </w:r>
      <w:r>
        <w:rPr>
          <w:rFonts w:ascii="宋体" w:hAnsi="宋体"/>
          <w:color w:val="auto"/>
          <w:sz w:val="28"/>
          <w:szCs w:val="28"/>
          <w:highlight w:val="none"/>
        </w:rPr>
        <w:t>适用规范标准</w:t>
      </w:r>
      <w:bookmarkEnd w:id="579"/>
      <w:bookmarkEnd w:id="580"/>
      <w:bookmarkEnd w:id="581"/>
      <w:bookmarkEnd w:id="582"/>
    </w:p>
    <w:p w14:paraId="011260D7">
      <w:pPr>
        <w:numPr>
          <w:ilvl w:val="0"/>
          <w:numId w:val="0"/>
        </w:numPr>
        <w:spacing w:line="360" w:lineRule="auto"/>
        <w:ind w:firstLine="480" w:firstLineChars="200"/>
        <w:jc w:val="left"/>
        <w:rPr>
          <w:rFonts w:hint="eastAsia" w:ascii="宋体" w:hAnsi="宋体" w:eastAsia="宋体" w:cs="宋体"/>
          <w:snapToGrid w:val="0"/>
          <w:color w:val="auto"/>
          <w:sz w:val="24"/>
          <w:szCs w:val="24"/>
          <w:highlight w:val="none"/>
          <w:lang w:bidi="mn-Mong-CN"/>
        </w:rPr>
      </w:pPr>
      <w:r>
        <w:rPr>
          <w:rFonts w:hint="eastAsia" w:ascii="宋体" w:hAnsi="宋体" w:eastAsia="宋体" w:cs="宋体"/>
          <w:snapToGrid w:val="0"/>
          <w:color w:val="auto"/>
          <w:sz w:val="24"/>
          <w:szCs w:val="24"/>
          <w:highlight w:val="none"/>
          <w:lang w:bidi="mn-Mong-CN"/>
        </w:rPr>
        <w:t xml:space="preserve">本工程的监理过程必须符合国家有关工程建设标准强制性条文、现行的标准、规范、规程、定额、办法、示例，以及招标项目所在地关于工程监理方面的文件、规定、规范、标准、规程，除专用合同条款另有约定外，本工程的监理依据具体如下： </w:t>
      </w:r>
    </w:p>
    <w:p w14:paraId="7E51A203">
      <w:pPr>
        <w:numPr>
          <w:ilvl w:val="0"/>
          <w:numId w:val="0"/>
        </w:numPr>
        <w:spacing w:line="360" w:lineRule="auto"/>
        <w:ind w:firstLine="480" w:firstLineChars="200"/>
        <w:jc w:val="left"/>
        <w:rPr>
          <w:rFonts w:hint="eastAsia" w:ascii="宋体" w:hAnsi="宋体" w:eastAsia="宋体" w:cs="宋体"/>
          <w:snapToGrid w:val="0"/>
          <w:color w:val="auto"/>
          <w:sz w:val="24"/>
          <w:szCs w:val="24"/>
          <w:highlight w:val="none"/>
          <w:lang w:bidi="mn-Mong-CN"/>
        </w:rPr>
      </w:pPr>
      <w:r>
        <w:rPr>
          <w:rFonts w:hint="eastAsia" w:ascii="宋体" w:hAnsi="宋体" w:eastAsia="宋体" w:cs="宋体"/>
          <w:snapToGrid w:val="0"/>
          <w:color w:val="auto"/>
          <w:sz w:val="24"/>
          <w:szCs w:val="24"/>
          <w:highlight w:val="none"/>
          <w:lang w:eastAsia="zh-CN" w:bidi="mn-Mong-CN"/>
        </w:rPr>
        <w:t>1、</w:t>
      </w:r>
      <w:r>
        <w:rPr>
          <w:rFonts w:hint="eastAsia" w:ascii="宋体" w:hAnsi="宋体" w:eastAsia="宋体" w:cs="宋体"/>
          <w:snapToGrid w:val="0"/>
          <w:color w:val="auto"/>
          <w:sz w:val="24"/>
          <w:szCs w:val="24"/>
          <w:highlight w:val="none"/>
          <w:lang w:bidi="mn-Mong-CN"/>
        </w:rPr>
        <w:t xml:space="preserve">适用的法律、行政法规及部门规章； </w:t>
      </w:r>
    </w:p>
    <w:p w14:paraId="396B5702">
      <w:pPr>
        <w:numPr>
          <w:ilvl w:val="0"/>
          <w:numId w:val="0"/>
        </w:numPr>
        <w:spacing w:line="360" w:lineRule="auto"/>
        <w:ind w:firstLine="480" w:firstLineChars="200"/>
        <w:jc w:val="left"/>
        <w:rPr>
          <w:rFonts w:hint="eastAsia" w:ascii="宋体" w:hAnsi="宋体" w:eastAsia="宋体" w:cs="宋体"/>
          <w:snapToGrid w:val="0"/>
          <w:color w:val="auto"/>
          <w:sz w:val="24"/>
          <w:szCs w:val="24"/>
          <w:highlight w:val="none"/>
          <w:lang w:bidi="mn-Mong-CN"/>
        </w:rPr>
      </w:pPr>
      <w:r>
        <w:rPr>
          <w:rFonts w:hint="eastAsia" w:ascii="宋体" w:hAnsi="宋体" w:eastAsia="宋体" w:cs="宋体"/>
          <w:snapToGrid w:val="0"/>
          <w:color w:val="auto"/>
          <w:sz w:val="24"/>
          <w:szCs w:val="24"/>
          <w:highlight w:val="none"/>
          <w:lang w:eastAsia="zh-CN" w:bidi="mn-Mong-CN"/>
        </w:rPr>
        <w:t>2、</w:t>
      </w:r>
      <w:r>
        <w:rPr>
          <w:rFonts w:hint="eastAsia" w:ascii="宋体" w:hAnsi="宋体" w:eastAsia="宋体" w:cs="宋体"/>
          <w:snapToGrid w:val="0"/>
          <w:color w:val="auto"/>
          <w:sz w:val="24"/>
          <w:szCs w:val="24"/>
          <w:highlight w:val="none"/>
          <w:lang w:bidi="mn-Mong-CN"/>
        </w:rPr>
        <w:t xml:space="preserve">与工程有关的规范、标准、规程； </w:t>
      </w:r>
    </w:p>
    <w:p w14:paraId="4A6FF6A1">
      <w:pPr>
        <w:numPr>
          <w:ilvl w:val="0"/>
          <w:numId w:val="0"/>
        </w:numPr>
        <w:spacing w:line="360" w:lineRule="auto"/>
        <w:ind w:firstLine="480" w:firstLineChars="200"/>
        <w:jc w:val="left"/>
        <w:rPr>
          <w:rFonts w:hint="eastAsia" w:ascii="宋体" w:hAnsi="宋体" w:eastAsia="宋体" w:cs="宋体"/>
          <w:snapToGrid w:val="0"/>
          <w:color w:val="auto"/>
          <w:sz w:val="24"/>
          <w:szCs w:val="24"/>
          <w:highlight w:val="none"/>
          <w:lang w:bidi="mn-Mong-CN"/>
        </w:rPr>
      </w:pPr>
      <w:r>
        <w:rPr>
          <w:rFonts w:hint="eastAsia" w:ascii="宋体" w:hAnsi="宋体" w:eastAsia="宋体" w:cs="宋体"/>
          <w:snapToGrid w:val="0"/>
          <w:color w:val="auto"/>
          <w:sz w:val="24"/>
          <w:szCs w:val="24"/>
          <w:highlight w:val="none"/>
          <w:lang w:eastAsia="zh-CN" w:bidi="mn-Mong-CN"/>
        </w:rPr>
        <w:t>3、</w:t>
      </w:r>
      <w:r>
        <w:rPr>
          <w:rFonts w:hint="eastAsia" w:ascii="宋体" w:hAnsi="宋体" w:eastAsia="宋体" w:cs="宋体"/>
          <w:snapToGrid w:val="0"/>
          <w:color w:val="auto"/>
          <w:sz w:val="24"/>
          <w:szCs w:val="24"/>
          <w:highlight w:val="none"/>
          <w:lang w:bidi="mn-Mong-CN"/>
        </w:rPr>
        <w:t xml:space="preserve">工程勘察文件、设计文件及其他文件； </w:t>
      </w:r>
    </w:p>
    <w:p w14:paraId="3BDC24B8">
      <w:pPr>
        <w:numPr>
          <w:ilvl w:val="0"/>
          <w:numId w:val="0"/>
        </w:numPr>
        <w:spacing w:line="360" w:lineRule="auto"/>
        <w:ind w:firstLine="480" w:firstLineChars="200"/>
        <w:jc w:val="left"/>
        <w:rPr>
          <w:rFonts w:hint="eastAsia" w:ascii="宋体" w:hAnsi="宋体" w:eastAsia="宋体" w:cs="宋体"/>
          <w:snapToGrid w:val="0"/>
          <w:color w:val="auto"/>
          <w:sz w:val="24"/>
          <w:szCs w:val="24"/>
          <w:highlight w:val="none"/>
          <w:lang w:bidi="mn-Mong-CN"/>
        </w:rPr>
      </w:pPr>
      <w:r>
        <w:rPr>
          <w:rFonts w:hint="eastAsia" w:ascii="宋体" w:hAnsi="宋体" w:eastAsia="宋体" w:cs="宋体"/>
          <w:snapToGrid w:val="0"/>
          <w:color w:val="auto"/>
          <w:sz w:val="24"/>
          <w:szCs w:val="24"/>
          <w:highlight w:val="none"/>
          <w:lang w:eastAsia="zh-CN" w:bidi="mn-Mong-CN"/>
        </w:rPr>
        <w:t>4、</w:t>
      </w:r>
      <w:r>
        <w:rPr>
          <w:rFonts w:hint="eastAsia" w:ascii="宋体" w:hAnsi="宋体" w:eastAsia="宋体" w:cs="宋体"/>
          <w:snapToGrid w:val="0"/>
          <w:color w:val="auto"/>
          <w:sz w:val="24"/>
          <w:szCs w:val="24"/>
          <w:highlight w:val="none"/>
          <w:lang w:bidi="mn-Mong-CN"/>
        </w:rPr>
        <w:t xml:space="preserve">本工程监理的委托合同及补充合同； </w:t>
      </w:r>
    </w:p>
    <w:p w14:paraId="6C5B0233">
      <w:pPr>
        <w:numPr>
          <w:ilvl w:val="0"/>
          <w:numId w:val="0"/>
        </w:numPr>
        <w:spacing w:line="360" w:lineRule="auto"/>
        <w:ind w:firstLine="480" w:firstLineChars="200"/>
        <w:jc w:val="left"/>
        <w:rPr>
          <w:rFonts w:hint="eastAsia" w:ascii="宋体" w:hAnsi="宋体" w:eastAsia="宋体" w:cs="宋体"/>
          <w:snapToGrid w:val="0"/>
          <w:color w:val="auto"/>
          <w:sz w:val="24"/>
          <w:szCs w:val="24"/>
          <w:highlight w:val="none"/>
          <w:lang w:bidi="mn-Mong-CN"/>
        </w:rPr>
      </w:pPr>
      <w:r>
        <w:rPr>
          <w:rFonts w:hint="eastAsia" w:ascii="宋体" w:hAnsi="宋体" w:eastAsia="宋体" w:cs="宋体"/>
          <w:snapToGrid w:val="0"/>
          <w:color w:val="auto"/>
          <w:sz w:val="24"/>
          <w:szCs w:val="24"/>
          <w:highlight w:val="none"/>
          <w:lang w:eastAsia="zh-CN" w:bidi="mn-Mong-CN"/>
        </w:rPr>
        <w:t>5、</w:t>
      </w:r>
      <w:r>
        <w:rPr>
          <w:rFonts w:hint="eastAsia" w:ascii="宋体" w:hAnsi="宋体" w:eastAsia="宋体" w:cs="宋体"/>
          <w:snapToGrid w:val="0"/>
          <w:color w:val="auto"/>
          <w:sz w:val="24"/>
          <w:szCs w:val="24"/>
          <w:highlight w:val="none"/>
          <w:lang w:bidi="mn-Mong-CN"/>
        </w:rPr>
        <w:t xml:space="preserve">委托人签订的勘察、设计和施工承包合同； </w:t>
      </w:r>
    </w:p>
    <w:p w14:paraId="180E76DA">
      <w:pPr>
        <w:numPr>
          <w:ilvl w:val="0"/>
          <w:numId w:val="0"/>
        </w:numPr>
        <w:spacing w:line="360" w:lineRule="auto"/>
        <w:ind w:firstLine="480" w:firstLineChars="200"/>
        <w:jc w:val="left"/>
        <w:rPr>
          <w:rFonts w:hint="eastAsia" w:ascii="宋体" w:hAnsi="宋体" w:eastAsia="宋体" w:cs="宋体"/>
          <w:snapToGrid w:val="0"/>
          <w:color w:val="auto"/>
          <w:sz w:val="24"/>
          <w:szCs w:val="24"/>
          <w:highlight w:val="none"/>
          <w:lang w:bidi="mn-Mong-CN"/>
        </w:rPr>
      </w:pPr>
      <w:r>
        <w:rPr>
          <w:rFonts w:hint="eastAsia" w:ascii="宋体" w:hAnsi="宋体" w:eastAsia="宋体" w:cs="宋体"/>
          <w:snapToGrid w:val="0"/>
          <w:color w:val="auto"/>
          <w:sz w:val="24"/>
          <w:szCs w:val="24"/>
          <w:highlight w:val="none"/>
          <w:lang w:eastAsia="zh-CN" w:bidi="mn-Mong-CN"/>
        </w:rPr>
        <w:t>6、</w:t>
      </w:r>
      <w:r>
        <w:rPr>
          <w:rFonts w:hint="eastAsia" w:ascii="宋体" w:hAnsi="宋体" w:eastAsia="宋体" w:cs="宋体"/>
          <w:snapToGrid w:val="0"/>
          <w:color w:val="auto"/>
          <w:sz w:val="24"/>
          <w:szCs w:val="24"/>
          <w:highlight w:val="none"/>
          <w:lang w:bidi="mn-Mong-CN"/>
        </w:rPr>
        <w:t xml:space="preserve">合同履行中与监理服务有关的来往函件； </w:t>
      </w:r>
    </w:p>
    <w:p w14:paraId="1C9ACC69">
      <w:pPr>
        <w:numPr>
          <w:ilvl w:val="0"/>
          <w:numId w:val="0"/>
        </w:numPr>
        <w:spacing w:line="360" w:lineRule="auto"/>
        <w:ind w:firstLine="480" w:firstLineChars="200"/>
        <w:jc w:val="left"/>
        <w:rPr>
          <w:rFonts w:hint="eastAsia" w:ascii="宋体" w:hAnsi="宋体" w:eastAsia="宋体" w:cs="宋体"/>
          <w:snapToGrid w:val="0"/>
          <w:color w:val="auto"/>
          <w:sz w:val="24"/>
          <w:szCs w:val="24"/>
          <w:highlight w:val="none"/>
          <w:lang w:bidi="mn-Mong-CN"/>
        </w:rPr>
      </w:pPr>
      <w:r>
        <w:rPr>
          <w:rFonts w:hint="eastAsia" w:ascii="宋体" w:hAnsi="宋体" w:eastAsia="宋体" w:cs="宋体"/>
          <w:snapToGrid w:val="0"/>
          <w:color w:val="auto"/>
          <w:sz w:val="24"/>
          <w:szCs w:val="24"/>
          <w:highlight w:val="none"/>
          <w:lang w:eastAsia="zh-CN" w:bidi="mn-Mong-CN"/>
        </w:rPr>
        <w:t>7、</w:t>
      </w:r>
      <w:r>
        <w:rPr>
          <w:rFonts w:hint="eastAsia" w:ascii="宋体" w:hAnsi="宋体" w:eastAsia="宋体" w:cs="宋体"/>
          <w:snapToGrid w:val="0"/>
          <w:color w:val="auto"/>
          <w:sz w:val="24"/>
          <w:szCs w:val="24"/>
          <w:highlight w:val="none"/>
          <w:lang w:bidi="mn-Mong-CN"/>
        </w:rPr>
        <w:t>其他监理依据。</w:t>
      </w:r>
    </w:p>
    <w:p w14:paraId="153407A7">
      <w:pPr>
        <w:numPr>
          <w:ilvl w:val="0"/>
          <w:numId w:val="0"/>
        </w:numPr>
        <w:spacing w:line="360" w:lineRule="auto"/>
        <w:ind w:firstLine="240" w:firstLineChars="100"/>
        <w:jc w:val="left"/>
        <w:rPr>
          <w:rFonts w:hint="eastAsia" w:ascii="宋体" w:hAnsi="宋体" w:eastAsia="宋体" w:cs="宋体"/>
          <w:snapToGrid w:val="0"/>
          <w:color w:val="auto"/>
          <w:sz w:val="24"/>
          <w:szCs w:val="24"/>
          <w:highlight w:val="none"/>
          <w:lang w:bidi="mn-Mong-CN"/>
        </w:rPr>
      </w:pPr>
      <w:r>
        <w:rPr>
          <w:rFonts w:hint="eastAsia" w:ascii="宋体" w:hAnsi="宋体" w:eastAsia="宋体" w:cs="宋体"/>
          <w:snapToGrid w:val="0"/>
          <w:color w:val="auto"/>
          <w:sz w:val="24"/>
          <w:szCs w:val="24"/>
          <w:highlight w:val="none"/>
          <w:lang w:bidi="mn-Mong-CN"/>
        </w:rPr>
        <w:t>在监理过程中，如果国家或有关部门颁布了新的技术标准或规范，则监理方应按照新的标准和规范进行监理。</w:t>
      </w:r>
    </w:p>
    <w:p w14:paraId="769B44DD">
      <w:pPr>
        <w:pStyle w:val="7"/>
        <w:spacing w:before="0" w:after="0" w:line="360" w:lineRule="auto"/>
        <w:rPr>
          <w:rFonts w:ascii="宋体" w:hAnsi="宋体"/>
          <w:b w:val="0"/>
          <w:color w:val="auto"/>
          <w:sz w:val="28"/>
          <w:szCs w:val="28"/>
          <w:highlight w:val="none"/>
        </w:rPr>
      </w:pPr>
      <w:bookmarkStart w:id="583" w:name="_Toc40299667"/>
      <w:bookmarkStart w:id="584" w:name="_Toc17110292"/>
      <w:bookmarkStart w:id="585" w:name="_Toc40300040"/>
      <w:bookmarkStart w:id="586" w:name="_Toc49205987"/>
      <w:r>
        <w:rPr>
          <w:rFonts w:hint="eastAsia" w:ascii="宋体" w:hAnsi="宋体"/>
          <w:color w:val="auto"/>
          <w:sz w:val="28"/>
          <w:szCs w:val="28"/>
          <w:highlight w:val="none"/>
        </w:rPr>
        <w:t>三、</w:t>
      </w:r>
      <w:r>
        <w:rPr>
          <w:rFonts w:ascii="宋体" w:hAnsi="宋体"/>
          <w:color w:val="auto"/>
          <w:sz w:val="28"/>
          <w:szCs w:val="28"/>
          <w:highlight w:val="none"/>
        </w:rPr>
        <w:t>成果文件要求</w:t>
      </w:r>
      <w:bookmarkEnd w:id="583"/>
      <w:bookmarkEnd w:id="584"/>
      <w:bookmarkEnd w:id="585"/>
      <w:bookmarkEnd w:id="586"/>
    </w:p>
    <w:p w14:paraId="4156F8C3">
      <w:pPr>
        <w:numPr>
          <w:ilvl w:val="0"/>
          <w:numId w:val="0"/>
        </w:numPr>
        <w:snapToGrid/>
        <w:spacing w:line="360" w:lineRule="auto"/>
        <w:ind w:firstLine="480" w:firstLineChars="200"/>
        <w:jc w:val="left"/>
        <w:rPr>
          <w:rFonts w:hint="eastAsia" w:ascii="宋体" w:hAnsi="宋体" w:eastAsia="宋体" w:cs="宋体"/>
          <w:snapToGrid w:val="0"/>
          <w:color w:val="auto"/>
          <w:sz w:val="24"/>
          <w:szCs w:val="24"/>
          <w:highlight w:val="none"/>
          <w:lang w:bidi="mn-Mong-CN"/>
        </w:rPr>
      </w:pPr>
      <w:r>
        <w:rPr>
          <w:rFonts w:hint="eastAsia" w:ascii="宋体" w:hAnsi="宋体" w:eastAsia="宋体" w:cs="宋体"/>
          <w:snapToGrid w:val="0"/>
          <w:color w:val="auto"/>
          <w:sz w:val="24"/>
          <w:szCs w:val="24"/>
          <w:highlight w:val="none"/>
          <w:lang w:bidi="mn-Mong-CN"/>
        </w:rPr>
        <w:t>按《建设工程监理规范》（GB/T50319-2013）和招标人要求</w:t>
      </w:r>
    </w:p>
    <w:p w14:paraId="66D57722">
      <w:pPr>
        <w:numPr>
          <w:ilvl w:val="0"/>
          <w:numId w:val="0"/>
        </w:numPr>
        <w:spacing w:line="360" w:lineRule="auto"/>
        <w:ind w:firstLine="480" w:firstLineChars="200"/>
        <w:jc w:val="left"/>
        <w:rPr>
          <w:rFonts w:hint="eastAsia" w:ascii="宋体" w:hAnsi="宋体" w:eastAsia="宋体" w:cs="宋体"/>
          <w:snapToGrid w:val="0"/>
          <w:color w:val="auto"/>
          <w:sz w:val="24"/>
          <w:szCs w:val="24"/>
          <w:highlight w:val="none"/>
          <w:lang w:bidi="mn-Mong-CN"/>
        </w:rPr>
      </w:pPr>
      <w:r>
        <w:rPr>
          <w:rFonts w:hint="eastAsia" w:ascii="宋体" w:hAnsi="宋体" w:eastAsia="宋体" w:cs="宋体"/>
          <w:snapToGrid w:val="0"/>
          <w:color w:val="auto"/>
          <w:sz w:val="24"/>
          <w:szCs w:val="24"/>
          <w:highlight w:val="none"/>
          <w:lang w:bidi="mn-Mong-CN"/>
        </w:rPr>
        <w:t>1</w:t>
      </w:r>
      <w:r>
        <w:rPr>
          <w:rFonts w:hint="eastAsia" w:ascii="宋体" w:hAnsi="宋体" w:eastAsia="宋体" w:cs="宋体"/>
          <w:snapToGrid w:val="0"/>
          <w:color w:val="auto"/>
          <w:sz w:val="24"/>
          <w:szCs w:val="24"/>
          <w:highlight w:val="none"/>
          <w:lang w:eastAsia="zh-CN" w:bidi="mn-Mong-CN"/>
        </w:rPr>
        <w:t>、</w:t>
      </w:r>
      <w:r>
        <w:rPr>
          <w:rFonts w:hint="eastAsia" w:ascii="宋体" w:hAnsi="宋体" w:eastAsia="宋体" w:cs="宋体"/>
          <w:snapToGrid w:val="0"/>
          <w:color w:val="auto"/>
          <w:sz w:val="24"/>
          <w:szCs w:val="24"/>
          <w:highlight w:val="none"/>
          <w:lang w:bidi="mn-Mong-CN"/>
        </w:rPr>
        <w:t>成果文件的组成</w:t>
      </w:r>
    </w:p>
    <w:p w14:paraId="05EFD697">
      <w:pPr>
        <w:tabs>
          <w:tab w:val="left" w:pos="680"/>
        </w:tabs>
        <w:snapToGrid w:val="0"/>
        <w:spacing w:line="360" w:lineRule="auto"/>
        <w:ind w:left="0"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1）建设工程监理合同及其他合同文件；</w:t>
      </w:r>
    </w:p>
    <w:p w14:paraId="4D9AEC33">
      <w:pPr>
        <w:tabs>
          <w:tab w:val="left" w:pos="680"/>
        </w:tabs>
        <w:snapToGrid w:val="0"/>
        <w:spacing w:line="360" w:lineRule="auto"/>
        <w:ind w:left="0"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2）监理规划、监理实施细则；</w:t>
      </w:r>
    </w:p>
    <w:p w14:paraId="5CC738E2">
      <w:pPr>
        <w:tabs>
          <w:tab w:val="left" w:pos="680"/>
        </w:tabs>
        <w:snapToGrid w:val="0"/>
        <w:spacing w:line="360" w:lineRule="auto"/>
        <w:ind w:left="0"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3）设计交底和图纸会审会议纪要；</w:t>
      </w:r>
    </w:p>
    <w:p w14:paraId="42CCDDED">
      <w:pPr>
        <w:tabs>
          <w:tab w:val="left" w:pos="680"/>
        </w:tabs>
        <w:snapToGrid w:val="0"/>
        <w:spacing w:line="360" w:lineRule="auto"/>
        <w:ind w:left="0"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4）施工组织设计、（专项）施工方案、施工进度计划报审文件资料；</w:t>
      </w:r>
    </w:p>
    <w:p w14:paraId="5A236748">
      <w:pPr>
        <w:tabs>
          <w:tab w:val="left" w:pos="680"/>
        </w:tabs>
        <w:snapToGrid w:val="0"/>
        <w:spacing w:line="360" w:lineRule="auto"/>
        <w:ind w:left="0"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5）分包单位资格报审文件资料；</w:t>
      </w:r>
    </w:p>
    <w:p w14:paraId="55250624">
      <w:pPr>
        <w:tabs>
          <w:tab w:val="left" w:pos="680"/>
        </w:tabs>
        <w:snapToGrid w:val="0"/>
        <w:spacing w:line="360" w:lineRule="auto"/>
        <w:ind w:left="0"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6）施工控制测量成果报验文件资料；</w:t>
      </w:r>
    </w:p>
    <w:p w14:paraId="3F3315AA">
      <w:pPr>
        <w:tabs>
          <w:tab w:val="left" w:pos="680"/>
        </w:tabs>
        <w:snapToGrid w:val="0"/>
        <w:spacing w:line="360" w:lineRule="auto"/>
        <w:ind w:left="0"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7）总监理工程师任命书、工程开工令、暂停令、复工令、开工或复工报审文件资料；</w:t>
      </w:r>
    </w:p>
    <w:p w14:paraId="1735E96B">
      <w:pPr>
        <w:tabs>
          <w:tab w:val="left" w:pos="680"/>
        </w:tabs>
        <w:snapToGrid w:val="0"/>
        <w:spacing w:line="360" w:lineRule="auto"/>
        <w:ind w:left="0"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8）工程材料、设备、构配件报验文件资料；</w:t>
      </w:r>
    </w:p>
    <w:p w14:paraId="1A6CB352">
      <w:pPr>
        <w:tabs>
          <w:tab w:val="left" w:pos="680"/>
        </w:tabs>
        <w:snapToGrid w:val="0"/>
        <w:spacing w:line="360" w:lineRule="auto"/>
        <w:ind w:left="0"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9）见证取样和平行检验文件资料；</w:t>
      </w:r>
    </w:p>
    <w:p w14:paraId="40CE8801">
      <w:pPr>
        <w:tabs>
          <w:tab w:val="left" w:pos="680"/>
        </w:tabs>
        <w:snapToGrid w:val="0"/>
        <w:spacing w:line="360" w:lineRule="auto"/>
        <w:ind w:left="0"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10）工程质量检查报验资料及工程有关验收资料；</w:t>
      </w:r>
    </w:p>
    <w:p w14:paraId="08EBC547">
      <w:pPr>
        <w:tabs>
          <w:tab w:val="left" w:pos="680"/>
        </w:tabs>
        <w:snapToGrid w:val="0"/>
        <w:spacing w:line="360" w:lineRule="auto"/>
        <w:ind w:left="0"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11）工程变更、费用索赔及工程延期文件资料；</w:t>
      </w:r>
    </w:p>
    <w:p w14:paraId="4F354744">
      <w:pPr>
        <w:tabs>
          <w:tab w:val="left" w:pos="680"/>
        </w:tabs>
        <w:snapToGrid w:val="0"/>
        <w:spacing w:line="360" w:lineRule="auto"/>
        <w:ind w:left="0"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12）工程计量、工程款支付文件资料；</w:t>
      </w:r>
    </w:p>
    <w:p w14:paraId="469F9AAE">
      <w:pPr>
        <w:tabs>
          <w:tab w:val="left" w:pos="680"/>
        </w:tabs>
        <w:snapToGrid w:val="0"/>
        <w:spacing w:line="360" w:lineRule="auto"/>
        <w:ind w:left="0"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13）监理通知单、工作联系单与监理报告；</w:t>
      </w:r>
    </w:p>
    <w:p w14:paraId="765C0CB9">
      <w:pPr>
        <w:tabs>
          <w:tab w:val="left" w:pos="680"/>
        </w:tabs>
        <w:snapToGrid w:val="0"/>
        <w:spacing w:line="360" w:lineRule="auto"/>
        <w:ind w:left="0"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14）第一次工地会议、监理例会、专题会议等会议纪要；</w:t>
      </w:r>
    </w:p>
    <w:p w14:paraId="185555F1">
      <w:pPr>
        <w:tabs>
          <w:tab w:val="left" w:pos="680"/>
        </w:tabs>
        <w:snapToGrid w:val="0"/>
        <w:spacing w:line="360" w:lineRule="auto"/>
        <w:ind w:left="0"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15）监理月报、监理日志、旁站记录；</w:t>
      </w:r>
    </w:p>
    <w:p w14:paraId="7D588600">
      <w:pPr>
        <w:tabs>
          <w:tab w:val="left" w:pos="680"/>
        </w:tabs>
        <w:snapToGrid w:val="0"/>
        <w:spacing w:line="360" w:lineRule="auto"/>
        <w:ind w:left="0"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16）工程质量或生产安全事故处理文件资料；</w:t>
      </w:r>
    </w:p>
    <w:p w14:paraId="04D925CF">
      <w:pPr>
        <w:tabs>
          <w:tab w:val="left" w:pos="680"/>
        </w:tabs>
        <w:snapToGrid w:val="0"/>
        <w:spacing w:line="360" w:lineRule="auto"/>
        <w:ind w:left="0"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17）工程质量评估报告及竣工验收监理文件资料；</w:t>
      </w:r>
    </w:p>
    <w:p w14:paraId="302BB2DB">
      <w:pPr>
        <w:tabs>
          <w:tab w:val="left" w:pos="680"/>
        </w:tabs>
        <w:snapToGrid w:val="0"/>
        <w:spacing w:line="360" w:lineRule="auto"/>
        <w:ind w:left="0"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18）监理工作总结；</w:t>
      </w:r>
    </w:p>
    <w:p w14:paraId="122AC3A6">
      <w:pPr>
        <w:tabs>
          <w:tab w:val="left" w:pos="680"/>
        </w:tabs>
        <w:snapToGrid w:val="0"/>
        <w:spacing w:line="360" w:lineRule="auto"/>
        <w:ind w:left="0"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19）委托人要求提交的其他文件。</w:t>
      </w:r>
    </w:p>
    <w:p w14:paraId="7C9DB20B">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2</w:t>
      </w:r>
      <w:r>
        <w:rPr>
          <w:rFonts w:hint="eastAsia" w:ascii="宋体" w:hAnsi="宋体" w:eastAsia="宋体"/>
          <w:color w:val="auto"/>
          <w:sz w:val="24"/>
          <w:szCs w:val="24"/>
          <w:highlight w:val="none"/>
          <w:lang w:eastAsia="zh-CN"/>
        </w:rPr>
        <w:t>、</w:t>
      </w:r>
      <w:r>
        <w:rPr>
          <w:rFonts w:ascii="宋体" w:hAnsi="宋体" w:eastAsia="宋体"/>
          <w:color w:val="auto"/>
          <w:sz w:val="24"/>
          <w:szCs w:val="24"/>
          <w:highlight w:val="none"/>
        </w:rPr>
        <w:t>成果文件的深度</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u w:val="single"/>
        </w:rPr>
        <w:t xml:space="preserve"> 满足本项目监理服务要求。</w:t>
      </w:r>
    </w:p>
    <w:p w14:paraId="490E6DB0">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3</w:t>
      </w:r>
      <w:r>
        <w:rPr>
          <w:rFonts w:hint="eastAsia" w:ascii="宋体" w:hAnsi="宋体" w:eastAsia="宋体"/>
          <w:color w:val="auto"/>
          <w:sz w:val="24"/>
          <w:szCs w:val="24"/>
          <w:highlight w:val="none"/>
          <w:lang w:eastAsia="zh-CN"/>
        </w:rPr>
        <w:t>、</w:t>
      </w:r>
      <w:r>
        <w:rPr>
          <w:rFonts w:ascii="宋体" w:hAnsi="宋体" w:eastAsia="宋体"/>
          <w:color w:val="auto"/>
          <w:sz w:val="24"/>
          <w:szCs w:val="24"/>
          <w:highlight w:val="none"/>
        </w:rPr>
        <w:t>成果文件的格式要求</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u w:val="single"/>
        </w:rPr>
        <w:t xml:space="preserve"> 满足本项目监理服务要求。</w:t>
      </w:r>
    </w:p>
    <w:p w14:paraId="7C25EC92">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4</w:t>
      </w:r>
      <w:r>
        <w:rPr>
          <w:rFonts w:hint="eastAsia" w:ascii="宋体" w:hAnsi="宋体" w:eastAsia="宋体"/>
          <w:color w:val="auto"/>
          <w:sz w:val="24"/>
          <w:szCs w:val="24"/>
          <w:highlight w:val="none"/>
          <w:lang w:eastAsia="zh-CN"/>
        </w:rPr>
        <w:t>、</w:t>
      </w:r>
      <w:r>
        <w:rPr>
          <w:rFonts w:ascii="宋体" w:hAnsi="宋体" w:eastAsia="宋体"/>
          <w:color w:val="auto"/>
          <w:sz w:val="24"/>
          <w:szCs w:val="24"/>
          <w:highlight w:val="none"/>
        </w:rPr>
        <w:t>成果文件的份数要求</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u w:val="single"/>
        </w:rPr>
        <w:t xml:space="preserve"> 一式4份，</w:t>
      </w:r>
    </w:p>
    <w:p w14:paraId="68703E1C">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5</w:t>
      </w:r>
      <w:r>
        <w:rPr>
          <w:rFonts w:hint="eastAsia" w:ascii="宋体" w:hAnsi="宋体" w:eastAsia="宋体"/>
          <w:color w:val="auto"/>
          <w:sz w:val="24"/>
          <w:szCs w:val="24"/>
          <w:highlight w:val="none"/>
          <w:lang w:eastAsia="zh-CN"/>
        </w:rPr>
        <w:t>、</w:t>
      </w:r>
      <w:r>
        <w:rPr>
          <w:rFonts w:ascii="宋体" w:hAnsi="宋体" w:eastAsia="宋体"/>
          <w:color w:val="auto"/>
          <w:sz w:val="24"/>
          <w:szCs w:val="24"/>
          <w:highlight w:val="none"/>
        </w:rPr>
        <w:t>成果文件的载体要求</w:t>
      </w:r>
    </w:p>
    <w:p w14:paraId="628DEF03">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1）纸质版的要求</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u w:val="single"/>
        </w:rPr>
        <w:t xml:space="preserve"> 一式4份，</w:t>
      </w:r>
    </w:p>
    <w:p w14:paraId="5A2F84C7">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2）电子版的要求</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u w:val="single"/>
        </w:rPr>
        <w:t xml:space="preserve"> 与纸质版一致的电子版文件</w:t>
      </w:r>
    </w:p>
    <w:p w14:paraId="2FD283EE">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3）其他要求。</w:t>
      </w:r>
    </w:p>
    <w:p w14:paraId="0B03AD16">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6</w:t>
      </w:r>
      <w:r>
        <w:rPr>
          <w:rFonts w:hint="eastAsia" w:ascii="宋体" w:hAnsi="宋体" w:eastAsia="宋体"/>
          <w:color w:val="auto"/>
          <w:sz w:val="24"/>
          <w:szCs w:val="24"/>
          <w:highlight w:val="none"/>
          <w:lang w:eastAsia="zh-CN"/>
        </w:rPr>
        <w:t>、</w:t>
      </w:r>
      <w:r>
        <w:rPr>
          <w:rFonts w:ascii="宋体" w:hAnsi="宋体" w:eastAsia="宋体"/>
          <w:color w:val="auto"/>
          <w:sz w:val="24"/>
          <w:szCs w:val="24"/>
          <w:highlight w:val="none"/>
        </w:rPr>
        <w:t>成果文件的其他要求</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u w:val="single"/>
        </w:rPr>
        <w:t xml:space="preserve"> 满足本项目监理服务要求。</w:t>
      </w:r>
    </w:p>
    <w:p w14:paraId="2DED50AE">
      <w:pPr>
        <w:pStyle w:val="7"/>
        <w:spacing w:before="0" w:after="0" w:line="360" w:lineRule="auto"/>
        <w:rPr>
          <w:rFonts w:ascii="宋体" w:hAnsi="宋体"/>
          <w:b w:val="0"/>
          <w:color w:val="auto"/>
          <w:sz w:val="28"/>
          <w:szCs w:val="28"/>
          <w:highlight w:val="none"/>
        </w:rPr>
      </w:pPr>
      <w:bookmarkStart w:id="587" w:name="_Toc40300041"/>
      <w:bookmarkStart w:id="588" w:name="_Toc17110293"/>
      <w:bookmarkStart w:id="589" w:name="_Toc40299668"/>
      <w:bookmarkStart w:id="590" w:name="_Toc49205988"/>
      <w:r>
        <w:rPr>
          <w:rFonts w:ascii="宋体" w:hAnsi="宋体"/>
          <w:color w:val="auto"/>
          <w:sz w:val="28"/>
          <w:szCs w:val="28"/>
          <w:highlight w:val="none"/>
        </w:rPr>
        <w:t>四、</w:t>
      </w:r>
      <w:r>
        <w:rPr>
          <w:rFonts w:hint="eastAsia" w:ascii="宋体" w:hAnsi="宋体"/>
          <w:color w:val="auto"/>
          <w:sz w:val="28"/>
          <w:szCs w:val="28"/>
          <w:highlight w:val="none"/>
        </w:rPr>
        <w:t>委托人</w:t>
      </w:r>
      <w:r>
        <w:rPr>
          <w:rFonts w:ascii="宋体" w:hAnsi="宋体"/>
          <w:color w:val="auto"/>
          <w:sz w:val="28"/>
          <w:szCs w:val="28"/>
          <w:highlight w:val="none"/>
        </w:rPr>
        <w:t>财产清单</w:t>
      </w:r>
      <w:bookmarkEnd w:id="587"/>
      <w:bookmarkEnd w:id="588"/>
      <w:bookmarkEnd w:id="589"/>
      <w:bookmarkEnd w:id="590"/>
    </w:p>
    <w:p w14:paraId="54AC133A">
      <w:pPr>
        <w:pStyle w:val="7"/>
        <w:keepNext w:val="0"/>
        <w:keepLines w:val="0"/>
        <w:spacing w:before="0" w:after="0" w:line="360" w:lineRule="auto"/>
        <w:ind w:firstLine="137"/>
        <w:rPr>
          <w:rFonts w:ascii="宋体" w:hAnsi="宋体"/>
          <w:color w:val="auto"/>
          <w:sz w:val="24"/>
          <w:szCs w:val="24"/>
          <w:highlight w:val="none"/>
        </w:rPr>
      </w:pPr>
      <w:bookmarkStart w:id="591" w:name="_Toc17110294"/>
      <w:bookmarkStart w:id="592" w:name="_Toc40300042"/>
      <w:bookmarkStart w:id="593" w:name="_Toc40299669"/>
      <w:bookmarkStart w:id="594" w:name="_Toc49205989"/>
      <w:r>
        <w:rPr>
          <w:rFonts w:ascii="宋体" w:hAnsi="宋体"/>
          <w:color w:val="auto"/>
          <w:sz w:val="24"/>
          <w:szCs w:val="24"/>
          <w:highlight w:val="none"/>
        </w:rPr>
        <w:t>（一）</w:t>
      </w:r>
      <w:r>
        <w:rPr>
          <w:rFonts w:hint="eastAsia" w:ascii="宋体" w:hAnsi="宋体"/>
          <w:color w:val="auto"/>
          <w:sz w:val="24"/>
          <w:szCs w:val="24"/>
          <w:highlight w:val="none"/>
        </w:rPr>
        <w:t>委托人</w:t>
      </w:r>
      <w:r>
        <w:rPr>
          <w:rFonts w:ascii="宋体" w:hAnsi="宋体"/>
          <w:color w:val="auto"/>
          <w:sz w:val="24"/>
          <w:szCs w:val="24"/>
          <w:highlight w:val="none"/>
        </w:rPr>
        <w:t>提供的设备、设施</w:t>
      </w:r>
      <w:bookmarkEnd w:id="591"/>
      <w:bookmarkEnd w:id="592"/>
      <w:bookmarkEnd w:id="593"/>
      <w:bookmarkEnd w:id="594"/>
    </w:p>
    <w:p w14:paraId="6BB07720">
      <w:pPr>
        <w:spacing w:line="360" w:lineRule="auto"/>
        <w:ind w:firstLine="480" w:firstLineChars="200"/>
        <w:rPr>
          <w:rFonts w:ascii="宋体" w:hAnsi="宋体" w:eastAsia="宋体"/>
          <w:color w:val="auto"/>
          <w:sz w:val="24"/>
          <w:szCs w:val="24"/>
          <w:highlight w:val="none"/>
          <w:u w:val="single"/>
        </w:rPr>
      </w:pPr>
      <w:r>
        <w:rPr>
          <w:rFonts w:ascii="宋体" w:hAnsi="宋体" w:eastAsia="宋体"/>
          <w:color w:val="auto"/>
          <w:sz w:val="24"/>
          <w:szCs w:val="24"/>
          <w:highlight w:val="none"/>
        </w:rPr>
        <w:t xml:space="preserve">1. </w:t>
      </w:r>
      <w:r>
        <w:rPr>
          <w:rFonts w:hint="eastAsia" w:ascii="宋体" w:hAnsi="宋体" w:eastAsia="宋体"/>
          <w:color w:val="auto"/>
          <w:sz w:val="24"/>
          <w:szCs w:val="24"/>
          <w:highlight w:val="none"/>
        </w:rPr>
        <w:t>委托人</w:t>
      </w:r>
      <w:r>
        <w:rPr>
          <w:rFonts w:ascii="宋体" w:hAnsi="宋体" w:eastAsia="宋体"/>
          <w:color w:val="auto"/>
          <w:sz w:val="24"/>
          <w:szCs w:val="24"/>
          <w:highlight w:val="none"/>
        </w:rPr>
        <w:t>提供的办公房屋及冷暖设施：</w:t>
      </w:r>
      <w:r>
        <w:rPr>
          <w:rFonts w:hint="eastAsia" w:ascii="宋体" w:hAnsi="宋体" w:eastAsia="宋体"/>
          <w:color w:val="auto"/>
          <w:sz w:val="24"/>
          <w:szCs w:val="24"/>
          <w:highlight w:val="none"/>
          <w:u w:val="single"/>
        </w:rPr>
        <w:t>无。现场办公、食宿、交通、通讯等费用由监理方自行承担。其他人员办公、住宿、交通、通讯等由监理方自行提供，费用自理。由监理方自行解决，含在投标报价中；</w:t>
      </w:r>
    </w:p>
    <w:p w14:paraId="2FBA5494">
      <w:pPr>
        <w:spacing w:line="360" w:lineRule="auto"/>
        <w:ind w:firstLine="480" w:firstLineChars="200"/>
        <w:rPr>
          <w:rFonts w:ascii="宋体" w:hAnsi="宋体" w:eastAsia="宋体"/>
          <w:color w:val="auto"/>
          <w:sz w:val="24"/>
          <w:szCs w:val="24"/>
          <w:highlight w:val="none"/>
          <w:u w:val="single"/>
        </w:rPr>
      </w:pPr>
      <w:r>
        <w:rPr>
          <w:rFonts w:ascii="宋体" w:hAnsi="宋体" w:eastAsia="宋体"/>
          <w:color w:val="auto"/>
          <w:sz w:val="24"/>
          <w:szCs w:val="24"/>
          <w:highlight w:val="none"/>
        </w:rPr>
        <w:t xml:space="preserve">2. </w:t>
      </w:r>
      <w:r>
        <w:rPr>
          <w:rFonts w:hint="eastAsia" w:ascii="宋体" w:hAnsi="宋体" w:eastAsia="宋体"/>
          <w:color w:val="auto"/>
          <w:sz w:val="24"/>
          <w:szCs w:val="24"/>
          <w:highlight w:val="none"/>
        </w:rPr>
        <w:t>委托人</w:t>
      </w:r>
      <w:r>
        <w:rPr>
          <w:rFonts w:ascii="宋体" w:hAnsi="宋体" w:eastAsia="宋体"/>
          <w:color w:val="auto"/>
          <w:sz w:val="24"/>
          <w:szCs w:val="24"/>
          <w:highlight w:val="none"/>
        </w:rPr>
        <w:t>提供的设备清单：</w:t>
      </w:r>
      <w:r>
        <w:rPr>
          <w:rFonts w:hint="eastAsia" w:ascii="宋体" w:hAnsi="宋体" w:eastAsia="宋体"/>
          <w:color w:val="auto"/>
          <w:sz w:val="24"/>
          <w:szCs w:val="24"/>
          <w:highlight w:val="none"/>
          <w:u w:val="single"/>
        </w:rPr>
        <w:t xml:space="preserve"> 无 ；</w:t>
      </w:r>
    </w:p>
    <w:p w14:paraId="4E71EA37">
      <w:pPr>
        <w:spacing w:line="360" w:lineRule="auto"/>
        <w:ind w:firstLine="480" w:firstLineChars="200"/>
        <w:rPr>
          <w:rFonts w:ascii="宋体" w:hAnsi="宋体" w:eastAsia="宋体"/>
          <w:color w:val="auto"/>
          <w:sz w:val="24"/>
          <w:szCs w:val="24"/>
          <w:highlight w:val="none"/>
          <w:u w:val="single"/>
        </w:rPr>
      </w:pPr>
      <w:r>
        <w:rPr>
          <w:rFonts w:ascii="宋体" w:hAnsi="宋体" w:eastAsia="宋体"/>
          <w:color w:val="auto"/>
          <w:sz w:val="24"/>
          <w:szCs w:val="24"/>
          <w:highlight w:val="none"/>
        </w:rPr>
        <w:t xml:space="preserve">3. </w:t>
      </w:r>
      <w:r>
        <w:rPr>
          <w:rFonts w:hint="eastAsia" w:ascii="宋体" w:hAnsi="宋体" w:eastAsia="宋体"/>
          <w:color w:val="auto"/>
          <w:sz w:val="24"/>
          <w:szCs w:val="24"/>
          <w:highlight w:val="none"/>
        </w:rPr>
        <w:t>委托人</w:t>
      </w:r>
      <w:r>
        <w:rPr>
          <w:rFonts w:ascii="宋体" w:hAnsi="宋体" w:eastAsia="宋体"/>
          <w:color w:val="auto"/>
          <w:sz w:val="24"/>
          <w:szCs w:val="24"/>
          <w:highlight w:val="none"/>
        </w:rPr>
        <w:t>提供的设施清单：</w:t>
      </w:r>
      <w:r>
        <w:rPr>
          <w:rFonts w:hint="eastAsia" w:ascii="宋体" w:hAnsi="宋体" w:eastAsia="宋体"/>
          <w:color w:val="auto"/>
          <w:sz w:val="24"/>
          <w:szCs w:val="24"/>
          <w:highlight w:val="none"/>
          <w:u w:val="single"/>
        </w:rPr>
        <w:t xml:space="preserve"> 无；</w:t>
      </w:r>
    </w:p>
    <w:p w14:paraId="20786968">
      <w:pPr>
        <w:pStyle w:val="7"/>
        <w:keepNext w:val="0"/>
        <w:keepLines w:val="0"/>
        <w:spacing w:before="0" w:after="0" w:line="360" w:lineRule="auto"/>
        <w:ind w:firstLine="137"/>
        <w:rPr>
          <w:rFonts w:ascii="宋体" w:hAnsi="宋体"/>
          <w:color w:val="auto"/>
          <w:sz w:val="24"/>
          <w:szCs w:val="24"/>
          <w:highlight w:val="none"/>
        </w:rPr>
      </w:pPr>
      <w:bookmarkStart w:id="595" w:name="_Toc49205990"/>
      <w:bookmarkStart w:id="596" w:name="_Toc40299670"/>
      <w:bookmarkStart w:id="597" w:name="_Toc40300043"/>
      <w:bookmarkStart w:id="598" w:name="_Toc17110295"/>
      <w:r>
        <w:rPr>
          <w:rFonts w:ascii="宋体" w:hAnsi="宋体"/>
          <w:color w:val="auto"/>
          <w:sz w:val="24"/>
          <w:szCs w:val="24"/>
          <w:highlight w:val="none"/>
        </w:rPr>
        <w:t>（二）</w:t>
      </w:r>
      <w:r>
        <w:rPr>
          <w:rFonts w:hint="eastAsia" w:ascii="宋体" w:hAnsi="宋体"/>
          <w:color w:val="auto"/>
          <w:sz w:val="24"/>
          <w:szCs w:val="24"/>
          <w:highlight w:val="none"/>
        </w:rPr>
        <w:t>委托人</w:t>
      </w:r>
      <w:r>
        <w:rPr>
          <w:rFonts w:ascii="宋体" w:hAnsi="宋体"/>
          <w:color w:val="auto"/>
          <w:sz w:val="24"/>
          <w:szCs w:val="24"/>
          <w:highlight w:val="none"/>
        </w:rPr>
        <w:t>提供的资料</w:t>
      </w:r>
      <w:bookmarkEnd w:id="595"/>
      <w:bookmarkEnd w:id="596"/>
      <w:bookmarkEnd w:id="597"/>
      <w:bookmarkEnd w:id="598"/>
    </w:p>
    <w:p w14:paraId="1BF87EF2">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1</w:t>
      </w:r>
      <w:r>
        <w:rPr>
          <w:rFonts w:hint="eastAsia" w:ascii="宋体" w:hAnsi="宋体" w:eastAsia="宋体"/>
          <w:color w:val="auto"/>
          <w:sz w:val="24"/>
          <w:szCs w:val="24"/>
          <w:highlight w:val="none"/>
          <w:lang w:eastAsia="zh-CN"/>
        </w:rPr>
        <w:t>、</w:t>
      </w:r>
      <w:r>
        <w:rPr>
          <w:rFonts w:ascii="宋体" w:hAnsi="宋体" w:eastAsia="宋体"/>
          <w:color w:val="auto"/>
          <w:sz w:val="24"/>
          <w:szCs w:val="24"/>
          <w:highlight w:val="none"/>
        </w:rPr>
        <w:t>施工场地的供水、排水、供电、供气、供热、通信、广播电视等</w:t>
      </w:r>
      <w:r>
        <w:rPr>
          <w:rFonts w:hint="eastAsia" w:ascii="宋体" w:hAnsi="宋体" w:eastAsia="宋体"/>
          <w:color w:val="auto"/>
          <w:sz w:val="24"/>
          <w:szCs w:val="24"/>
          <w:highlight w:val="none"/>
        </w:rPr>
        <w:t>接口</w:t>
      </w:r>
      <w:r>
        <w:rPr>
          <w:rFonts w:ascii="宋体" w:hAnsi="宋体" w:eastAsia="宋体"/>
          <w:color w:val="auto"/>
          <w:sz w:val="24"/>
          <w:szCs w:val="24"/>
          <w:highlight w:val="none"/>
        </w:rPr>
        <w:t>资料、气象和水文观测资料，以及其他与建设工程有关的原始资料</w:t>
      </w:r>
      <w:r>
        <w:rPr>
          <w:rFonts w:hint="eastAsia" w:ascii="宋体" w:hAnsi="宋体" w:eastAsia="宋体"/>
          <w:color w:val="auto"/>
          <w:sz w:val="24"/>
          <w:szCs w:val="24"/>
          <w:highlight w:val="none"/>
        </w:rPr>
        <w:t>；</w:t>
      </w:r>
    </w:p>
    <w:p w14:paraId="439103D6">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2</w:t>
      </w:r>
      <w:r>
        <w:rPr>
          <w:rFonts w:hint="eastAsia" w:ascii="宋体" w:hAnsi="宋体" w:eastAsia="宋体"/>
          <w:color w:val="auto"/>
          <w:sz w:val="24"/>
          <w:szCs w:val="24"/>
          <w:highlight w:val="none"/>
          <w:lang w:eastAsia="zh-CN"/>
        </w:rPr>
        <w:t>、</w:t>
      </w:r>
      <w:r>
        <w:rPr>
          <w:rFonts w:ascii="宋体" w:hAnsi="宋体" w:eastAsia="宋体"/>
          <w:color w:val="auto"/>
          <w:sz w:val="24"/>
          <w:szCs w:val="24"/>
          <w:highlight w:val="none"/>
        </w:rPr>
        <w:t>定位放线的基准点、基准线和基准标高</w:t>
      </w:r>
      <w:r>
        <w:rPr>
          <w:rFonts w:hint="eastAsia" w:ascii="宋体" w:hAnsi="宋体" w:eastAsia="宋体"/>
          <w:color w:val="auto"/>
          <w:sz w:val="24"/>
          <w:szCs w:val="24"/>
          <w:highlight w:val="none"/>
        </w:rPr>
        <w:t>；</w:t>
      </w:r>
    </w:p>
    <w:p w14:paraId="36A3E58C">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3</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委托人</w:t>
      </w:r>
      <w:r>
        <w:rPr>
          <w:rFonts w:ascii="宋体" w:hAnsi="宋体" w:eastAsia="宋体"/>
          <w:color w:val="auto"/>
          <w:sz w:val="24"/>
          <w:szCs w:val="24"/>
          <w:highlight w:val="none"/>
        </w:rPr>
        <w:t>取得的有关审批、核准和备案材料</w:t>
      </w:r>
      <w:r>
        <w:rPr>
          <w:rFonts w:hint="eastAsia" w:ascii="宋体" w:hAnsi="宋体" w:eastAsia="宋体"/>
          <w:color w:val="auto"/>
          <w:sz w:val="24"/>
          <w:szCs w:val="24"/>
          <w:highlight w:val="none"/>
        </w:rPr>
        <w:t>；</w:t>
      </w:r>
    </w:p>
    <w:p w14:paraId="6CB95A86">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4</w:t>
      </w:r>
      <w:r>
        <w:rPr>
          <w:rFonts w:hint="eastAsia" w:ascii="宋体" w:hAnsi="宋体" w:eastAsia="宋体"/>
          <w:color w:val="auto"/>
          <w:sz w:val="24"/>
          <w:szCs w:val="24"/>
          <w:highlight w:val="none"/>
          <w:lang w:eastAsia="zh-CN"/>
        </w:rPr>
        <w:t>、</w:t>
      </w:r>
      <w:r>
        <w:rPr>
          <w:rFonts w:ascii="宋体" w:hAnsi="宋体" w:eastAsia="宋体"/>
          <w:color w:val="auto"/>
          <w:sz w:val="24"/>
          <w:szCs w:val="24"/>
          <w:highlight w:val="none"/>
        </w:rPr>
        <w:t>勘察文件、设计文件等资料</w:t>
      </w:r>
      <w:r>
        <w:rPr>
          <w:rFonts w:hint="eastAsia" w:ascii="宋体" w:hAnsi="宋体" w:eastAsia="宋体"/>
          <w:color w:val="auto"/>
          <w:sz w:val="24"/>
          <w:szCs w:val="24"/>
          <w:highlight w:val="none"/>
        </w:rPr>
        <w:t>；</w:t>
      </w:r>
    </w:p>
    <w:p w14:paraId="20C5F8DE">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5</w:t>
      </w:r>
      <w:r>
        <w:rPr>
          <w:rFonts w:hint="eastAsia" w:ascii="宋体" w:hAnsi="宋体" w:eastAsia="宋体"/>
          <w:color w:val="auto"/>
          <w:sz w:val="24"/>
          <w:szCs w:val="24"/>
          <w:highlight w:val="none"/>
          <w:lang w:eastAsia="zh-CN"/>
        </w:rPr>
        <w:t>、</w:t>
      </w:r>
      <w:r>
        <w:rPr>
          <w:rFonts w:ascii="宋体" w:hAnsi="宋体" w:eastAsia="宋体"/>
          <w:color w:val="auto"/>
          <w:sz w:val="24"/>
          <w:szCs w:val="24"/>
          <w:highlight w:val="none"/>
        </w:rPr>
        <w:t>技术标准、规范</w:t>
      </w:r>
      <w:r>
        <w:rPr>
          <w:rFonts w:hint="eastAsia" w:ascii="宋体" w:hAnsi="宋体" w:eastAsia="宋体"/>
          <w:color w:val="auto"/>
          <w:sz w:val="24"/>
          <w:szCs w:val="24"/>
          <w:highlight w:val="none"/>
        </w:rPr>
        <w:t>清单；</w:t>
      </w:r>
    </w:p>
    <w:p w14:paraId="0FDF7F1E">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6</w:t>
      </w:r>
      <w:r>
        <w:rPr>
          <w:rFonts w:hint="eastAsia" w:ascii="宋体" w:hAnsi="宋体" w:eastAsia="宋体"/>
          <w:color w:val="auto"/>
          <w:sz w:val="24"/>
          <w:szCs w:val="24"/>
          <w:highlight w:val="none"/>
          <w:lang w:eastAsia="zh-CN"/>
        </w:rPr>
        <w:t>、</w:t>
      </w:r>
      <w:r>
        <w:rPr>
          <w:rFonts w:ascii="宋体" w:hAnsi="宋体" w:eastAsia="宋体"/>
          <w:color w:val="auto"/>
          <w:sz w:val="24"/>
          <w:szCs w:val="24"/>
          <w:highlight w:val="none"/>
        </w:rPr>
        <w:t>工程承包合同及其他相关合同</w:t>
      </w:r>
      <w:r>
        <w:rPr>
          <w:rFonts w:hint="eastAsia" w:ascii="宋体" w:hAnsi="宋体" w:eastAsia="宋体"/>
          <w:color w:val="auto"/>
          <w:sz w:val="24"/>
          <w:szCs w:val="24"/>
          <w:highlight w:val="none"/>
        </w:rPr>
        <w:t>交底单；</w:t>
      </w:r>
    </w:p>
    <w:p w14:paraId="596E9FB1">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7</w:t>
      </w:r>
      <w:r>
        <w:rPr>
          <w:rFonts w:hint="eastAsia" w:ascii="宋体" w:hAnsi="宋体" w:eastAsia="宋体"/>
          <w:color w:val="auto"/>
          <w:sz w:val="24"/>
          <w:szCs w:val="24"/>
          <w:highlight w:val="none"/>
          <w:lang w:eastAsia="zh-CN"/>
        </w:rPr>
        <w:t>、</w:t>
      </w:r>
      <w:r>
        <w:rPr>
          <w:rFonts w:ascii="宋体" w:hAnsi="宋体" w:eastAsia="宋体"/>
          <w:color w:val="auto"/>
          <w:sz w:val="24"/>
          <w:szCs w:val="24"/>
          <w:highlight w:val="none"/>
        </w:rPr>
        <w:t>其他</w:t>
      </w:r>
      <w:r>
        <w:rPr>
          <w:rFonts w:hint="eastAsia" w:ascii="宋体" w:hAnsi="宋体" w:eastAsia="宋体"/>
          <w:color w:val="auto"/>
          <w:sz w:val="24"/>
          <w:szCs w:val="24"/>
          <w:highlight w:val="none"/>
        </w:rPr>
        <w:t>与工程项目相关的</w:t>
      </w:r>
      <w:r>
        <w:rPr>
          <w:rFonts w:ascii="宋体" w:hAnsi="宋体" w:eastAsia="宋体"/>
          <w:color w:val="auto"/>
          <w:sz w:val="24"/>
          <w:szCs w:val="24"/>
          <w:highlight w:val="none"/>
        </w:rPr>
        <w:t>资料</w:t>
      </w:r>
      <w:r>
        <w:rPr>
          <w:rFonts w:hint="eastAsia" w:ascii="宋体" w:hAnsi="宋体" w:eastAsia="宋体"/>
          <w:color w:val="auto"/>
          <w:sz w:val="24"/>
          <w:szCs w:val="24"/>
          <w:highlight w:val="none"/>
        </w:rPr>
        <w:t>。</w:t>
      </w:r>
    </w:p>
    <w:p w14:paraId="1C31D8EE">
      <w:pPr>
        <w:pStyle w:val="7"/>
        <w:keepNext w:val="0"/>
        <w:keepLines w:val="0"/>
        <w:spacing w:before="0" w:after="0" w:line="360" w:lineRule="auto"/>
        <w:ind w:firstLine="137"/>
        <w:rPr>
          <w:rFonts w:ascii="宋体" w:hAnsi="宋体"/>
          <w:color w:val="auto"/>
          <w:sz w:val="24"/>
          <w:szCs w:val="24"/>
          <w:highlight w:val="none"/>
        </w:rPr>
      </w:pPr>
      <w:bookmarkStart w:id="599" w:name="_Toc40299671"/>
      <w:bookmarkStart w:id="600" w:name="_Toc17110296"/>
      <w:bookmarkStart w:id="601" w:name="_Toc40300044"/>
      <w:bookmarkStart w:id="602" w:name="_Toc49205991"/>
      <w:r>
        <w:rPr>
          <w:rFonts w:ascii="宋体" w:hAnsi="宋体"/>
          <w:color w:val="auto"/>
          <w:sz w:val="24"/>
          <w:szCs w:val="24"/>
          <w:highlight w:val="none"/>
        </w:rPr>
        <w:t>（三）</w:t>
      </w:r>
      <w:r>
        <w:rPr>
          <w:rFonts w:hint="eastAsia" w:ascii="宋体" w:hAnsi="宋体"/>
          <w:color w:val="auto"/>
          <w:sz w:val="24"/>
          <w:szCs w:val="24"/>
          <w:highlight w:val="none"/>
        </w:rPr>
        <w:t>委托人</w:t>
      </w:r>
      <w:r>
        <w:rPr>
          <w:rFonts w:ascii="宋体" w:hAnsi="宋体"/>
          <w:color w:val="auto"/>
          <w:sz w:val="24"/>
          <w:szCs w:val="24"/>
          <w:highlight w:val="none"/>
        </w:rPr>
        <w:t>财产使用要求及退还要求</w:t>
      </w:r>
      <w:bookmarkEnd w:id="599"/>
      <w:bookmarkEnd w:id="600"/>
      <w:bookmarkEnd w:id="601"/>
      <w:bookmarkEnd w:id="602"/>
    </w:p>
    <w:p w14:paraId="55085DEE">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1</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委托人</w:t>
      </w:r>
      <w:r>
        <w:rPr>
          <w:rFonts w:ascii="宋体" w:hAnsi="宋体" w:eastAsia="宋体"/>
          <w:color w:val="auto"/>
          <w:sz w:val="24"/>
          <w:szCs w:val="24"/>
          <w:highlight w:val="none"/>
        </w:rPr>
        <w:t>财产使用要求</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u w:val="single"/>
        </w:rPr>
        <w:t>监理方对委托人财产保存完好，避免有损坏或丢失等情况发生；</w:t>
      </w:r>
    </w:p>
    <w:p w14:paraId="2F7D1299">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2</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委托人</w:t>
      </w:r>
      <w:r>
        <w:rPr>
          <w:rFonts w:ascii="宋体" w:hAnsi="宋体" w:eastAsia="宋体"/>
          <w:color w:val="auto"/>
          <w:sz w:val="24"/>
          <w:szCs w:val="24"/>
          <w:highlight w:val="none"/>
        </w:rPr>
        <w:t>财产退还要求</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u w:val="single"/>
        </w:rPr>
        <w:t>工程完工后监理方将委托人财产全数完好地退还给委托人。</w:t>
      </w:r>
    </w:p>
    <w:p w14:paraId="07E894C5">
      <w:pPr>
        <w:pStyle w:val="7"/>
        <w:spacing w:before="0" w:after="0" w:line="360" w:lineRule="auto"/>
        <w:rPr>
          <w:rFonts w:ascii="宋体" w:hAnsi="宋体"/>
          <w:b w:val="0"/>
          <w:color w:val="auto"/>
          <w:sz w:val="28"/>
          <w:szCs w:val="28"/>
          <w:highlight w:val="none"/>
        </w:rPr>
      </w:pPr>
      <w:bookmarkStart w:id="603" w:name="_Toc17110297"/>
      <w:bookmarkStart w:id="604" w:name="_Toc49205992"/>
      <w:bookmarkStart w:id="605" w:name="_Toc40300045"/>
      <w:bookmarkStart w:id="606" w:name="_Toc40299672"/>
      <w:r>
        <w:rPr>
          <w:rFonts w:ascii="宋体" w:hAnsi="宋体"/>
          <w:color w:val="auto"/>
          <w:sz w:val="28"/>
          <w:szCs w:val="28"/>
          <w:highlight w:val="none"/>
        </w:rPr>
        <w:t>五、</w:t>
      </w:r>
      <w:r>
        <w:rPr>
          <w:rFonts w:hint="eastAsia" w:ascii="宋体" w:hAnsi="宋体"/>
          <w:color w:val="auto"/>
          <w:sz w:val="28"/>
          <w:szCs w:val="28"/>
          <w:highlight w:val="none"/>
        </w:rPr>
        <w:t>委托人</w:t>
      </w:r>
      <w:r>
        <w:rPr>
          <w:rFonts w:ascii="宋体" w:hAnsi="宋体"/>
          <w:color w:val="auto"/>
          <w:sz w:val="28"/>
          <w:szCs w:val="28"/>
          <w:highlight w:val="none"/>
        </w:rPr>
        <w:t>提供的便利条件</w:t>
      </w:r>
      <w:bookmarkEnd w:id="603"/>
      <w:bookmarkEnd w:id="604"/>
      <w:bookmarkEnd w:id="605"/>
      <w:bookmarkEnd w:id="606"/>
    </w:p>
    <w:p w14:paraId="490DA0F5">
      <w:pPr>
        <w:spacing w:line="360" w:lineRule="auto"/>
        <w:ind w:firstLine="480" w:firstLineChars="200"/>
        <w:rPr>
          <w:rFonts w:ascii="宋体" w:hAnsi="宋体" w:eastAsia="宋体"/>
          <w:color w:val="auto"/>
          <w:sz w:val="24"/>
          <w:szCs w:val="24"/>
          <w:highlight w:val="none"/>
          <w:u w:val="single"/>
        </w:rPr>
      </w:pPr>
      <w:r>
        <w:rPr>
          <w:rFonts w:ascii="宋体" w:hAnsi="宋体" w:eastAsia="宋体"/>
          <w:color w:val="auto"/>
          <w:sz w:val="24"/>
          <w:szCs w:val="24"/>
          <w:highlight w:val="none"/>
        </w:rPr>
        <w:t>1</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委托人</w:t>
      </w:r>
      <w:r>
        <w:rPr>
          <w:rFonts w:ascii="宋体" w:hAnsi="宋体" w:eastAsia="宋体"/>
          <w:color w:val="auto"/>
          <w:sz w:val="24"/>
          <w:szCs w:val="24"/>
          <w:highlight w:val="none"/>
        </w:rPr>
        <w:t>提供的生活条件</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u w:val="single"/>
        </w:rPr>
        <w:t>由监理方自行解决，含在投标报价中。</w:t>
      </w:r>
    </w:p>
    <w:p w14:paraId="4A2737A9">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2</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委托人</w:t>
      </w:r>
      <w:r>
        <w:rPr>
          <w:rFonts w:ascii="宋体" w:hAnsi="宋体" w:eastAsia="宋体"/>
          <w:color w:val="auto"/>
          <w:sz w:val="24"/>
          <w:szCs w:val="24"/>
          <w:highlight w:val="none"/>
        </w:rPr>
        <w:t>提供的交通条件</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u w:val="single"/>
        </w:rPr>
        <w:t xml:space="preserve">  无 。  </w:t>
      </w:r>
    </w:p>
    <w:p w14:paraId="7E1F109D">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3</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委托人</w:t>
      </w:r>
      <w:r>
        <w:rPr>
          <w:rFonts w:ascii="宋体" w:hAnsi="宋体" w:eastAsia="宋体"/>
          <w:color w:val="auto"/>
          <w:sz w:val="24"/>
          <w:szCs w:val="24"/>
          <w:highlight w:val="none"/>
        </w:rPr>
        <w:t>提供的网络、通讯条件</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u w:val="single"/>
        </w:rPr>
        <w:t xml:space="preserve">  无。  </w:t>
      </w:r>
    </w:p>
    <w:p w14:paraId="1AE9322A">
      <w:pPr>
        <w:pStyle w:val="7"/>
        <w:spacing w:before="0" w:after="0" w:line="360" w:lineRule="auto"/>
        <w:rPr>
          <w:rFonts w:ascii="宋体" w:hAnsi="宋体"/>
          <w:b w:val="0"/>
          <w:color w:val="auto"/>
          <w:sz w:val="28"/>
          <w:szCs w:val="28"/>
          <w:highlight w:val="none"/>
        </w:rPr>
      </w:pPr>
      <w:bookmarkStart w:id="607" w:name="_Toc49205993"/>
      <w:bookmarkStart w:id="608" w:name="_Toc40299673"/>
      <w:bookmarkStart w:id="609" w:name="_Toc40300046"/>
      <w:bookmarkStart w:id="610" w:name="_Toc17110298"/>
      <w:r>
        <w:rPr>
          <w:rFonts w:ascii="宋体" w:hAnsi="宋体"/>
          <w:color w:val="auto"/>
          <w:sz w:val="28"/>
          <w:szCs w:val="28"/>
          <w:highlight w:val="none"/>
        </w:rPr>
        <w:t>六、监理方需要自备的工作条件</w:t>
      </w:r>
      <w:bookmarkEnd w:id="607"/>
      <w:bookmarkEnd w:id="608"/>
      <w:bookmarkEnd w:id="609"/>
      <w:bookmarkEnd w:id="610"/>
    </w:p>
    <w:p w14:paraId="2BBF9386">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1</w:t>
      </w:r>
      <w:r>
        <w:rPr>
          <w:rFonts w:hint="eastAsia" w:ascii="宋体" w:hAnsi="宋体" w:eastAsia="宋体"/>
          <w:color w:val="auto"/>
          <w:sz w:val="24"/>
          <w:szCs w:val="24"/>
          <w:highlight w:val="none"/>
          <w:lang w:eastAsia="zh-CN"/>
        </w:rPr>
        <w:t>、</w:t>
      </w:r>
      <w:r>
        <w:rPr>
          <w:rFonts w:ascii="宋体" w:hAnsi="宋体" w:eastAsia="宋体"/>
          <w:color w:val="auto"/>
          <w:sz w:val="24"/>
          <w:szCs w:val="24"/>
          <w:highlight w:val="none"/>
        </w:rPr>
        <w:t>监理方自备的工作手册：</w:t>
      </w:r>
      <w:r>
        <w:rPr>
          <w:rFonts w:hint="eastAsia" w:ascii="宋体" w:hAnsi="宋体" w:eastAsia="宋体"/>
          <w:color w:val="auto"/>
          <w:sz w:val="24"/>
          <w:szCs w:val="24"/>
          <w:highlight w:val="none"/>
          <w:u w:val="single"/>
        </w:rPr>
        <w:t>本项目必备的规范标准、图集等。</w:t>
      </w:r>
    </w:p>
    <w:p w14:paraId="3DFA1990">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2</w:t>
      </w:r>
      <w:r>
        <w:rPr>
          <w:rFonts w:hint="eastAsia" w:ascii="宋体" w:hAnsi="宋体" w:eastAsia="宋体"/>
          <w:color w:val="auto"/>
          <w:sz w:val="24"/>
          <w:szCs w:val="24"/>
          <w:highlight w:val="none"/>
          <w:lang w:eastAsia="zh-CN"/>
        </w:rPr>
        <w:t>、</w:t>
      </w:r>
      <w:r>
        <w:rPr>
          <w:rFonts w:ascii="宋体" w:hAnsi="宋体" w:eastAsia="宋体"/>
          <w:color w:val="auto"/>
          <w:sz w:val="24"/>
          <w:szCs w:val="24"/>
          <w:highlight w:val="none"/>
        </w:rPr>
        <w:t>监理方自备的办公设备：</w:t>
      </w:r>
      <w:r>
        <w:rPr>
          <w:rFonts w:hint="eastAsia" w:ascii="宋体" w:hAnsi="宋体" w:eastAsia="宋体"/>
          <w:color w:val="auto"/>
          <w:sz w:val="24"/>
          <w:szCs w:val="24"/>
          <w:highlight w:val="none"/>
          <w:u w:val="single"/>
        </w:rPr>
        <w:t>电脑、软件、投影、打印机、复印机、照相机等。</w:t>
      </w:r>
    </w:p>
    <w:p w14:paraId="70CE94CB">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3</w:t>
      </w:r>
      <w:r>
        <w:rPr>
          <w:rFonts w:hint="eastAsia" w:ascii="宋体" w:hAnsi="宋体" w:eastAsia="宋体"/>
          <w:color w:val="auto"/>
          <w:sz w:val="24"/>
          <w:szCs w:val="24"/>
          <w:highlight w:val="none"/>
          <w:lang w:eastAsia="zh-CN"/>
        </w:rPr>
        <w:t>、</w:t>
      </w:r>
      <w:r>
        <w:rPr>
          <w:rFonts w:ascii="宋体" w:hAnsi="宋体" w:eastAsia="宋体"/>
          <w:color w:val="auto"/>
          <w:sz w:val="24"/>
          <w:szCs w:val="24"/>
          <w:highlight w:val="none"/>
        </w:rPr>
        <w:t>监理方自备的交通工具：</w:t>
      </w:r>
      <w:r>
        <w:rPr>
          <w:rFonts w:hint="eastAsia" w:ascii="宋体" w:hAnsi="宋体" w:eastAsia="宋体"/>
          <w:color w:val="auto"/>
          <w:sz w:val="24"/>
          <w:szCs w:val="24"/>
          <w:highlight w:val="none"/>
          <w:u w:val="single"/>
        </w:rPr>
        <w:t>出行车辆等。</w:t>
      </w:r>
    </w:p>
    <w:p w14:paraId="17AA35A7">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4</w:t>
      </w:r>
      <w:r>
        <w:rPr>
          <w:rFonts w:hint="eastAsia" w:ascii="宋体" w:hAnsi="宋体" w:eastAsia="宋体"/>
          <w:color w:val="auto"/>
          <w:sz w:val="24"/>
          <w:szCs w:val="24"/>
          <w:highlight w:val="none"/>
          <w:lang w:eastAsia="zh-CN"/>
        </w:rPr>
        <w:t>、</w:t>
      </w:r>
      <w:r>
        <w:rPr>
          <w:rFonts w:ascii="宋体" w:hAnsi="宋体" w:eastAsia="宋体"/>
          <w:color w:val="auto"/>
          <w:sz w:val="24"/>
          <w:szCs w:val="24"/>
          <w:highlight w:val="none"/>
        </w:rPr>
        <w:t>监理方自备的现场办公设施：</w:t>
      </w:r>
      <w:r>
        <w:rPr>
          <w:rFonts w:hint="eastAsia" w:ascii="宋体" w:hAnsi="宋体" w:eastAsia="宋体"/>
          <w:color w:val="auto"/>
          <w:sz w:val="24"/>
          <w:szCs w:val="24"/>
          <w:highlight w:val="none"/>
          <w:u w:val="single"/>
        </w:rPr>
        <w:t>办公桌椅、文件柜等。</w:t>
      </w:r>
    </w:p>
    <w:p w14:paraId="5C866B03">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5</w:t>
      </w:r>
      <w:r>
        <w:rPr>
          <w:rFonts w:hint="eastAsia" w:ascii="宋体" w:hAnsi="宋体" w:eastAsia="宋体"/>
          <w:color w:val="auto"/>
          <w:sz w:val="24"/>
          <w:szCs w:val="24"/>
          <w:highlight w:val="none"/>
          <w:lang w:eastAsia="zh-CN"/>
        </w:rPr>
        <w:t>、</w:t>
      </w:r>
      <w:r>
        <w:rPr>
          <w:rFonts w:ascii="宋体" w:hAnsi="宋体" w:eastAsia="宋体"/>
          <w:color w:val="auto"/>
          <w:sz w:val="24"/>
          <w:szCs w:val="24"/>
          <w:highlight w:val="none"/>
        </w:rPr>
        <w:t>监理方自备的安全设施：</w:t>
      </w:r>
      <w:r>
        <w:rPr>
          <w:rFonts w:hint="eastAsia" w:ascii="宋体" w:hAnsi="宋体" w:eastAsia="宋体"/>
          <w:color w:val="auto"/>
          <w:sz w:val="24"/>
          <w:szCs w:val="24"/>
          <w:highlight w:val="none"/>
          <w:u w:val="single"/>
        </w:rPr>
        <w:t>安全帽、安全鞋、手电筒等。</w:t>
      </w:r>
    </w:p>
    <w:p w14:paraId="00FE2AE4">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6</w:t>
      </w:r>
      <w:r>
        <w:rPr>
          <w:rFonts w:hint="eastAsia" w:ascii="宋体" w:hAnsi="宋体" w:eastAsia="宋体"/>
          <w:color w:val="auto"/>
          <w:sz w:val="24"/>
          <w:szCs w:val="24"/>
          <w:highlight w:val="none"/>
          <w:lang w:eastAsia="zh-CN"/>
        </w:rPr>
        <w:t>、</w:t>
      </w:r>
      <w:r>
        <w:rPr>
          <w:rFonts w:ascii="宋体" w:hAnsi="宋体" w:eastAsia="宋体"/>
          <w:color w:val="auto"/>
          <w:sz w:val="24"/>
          <w:szCs w:val="24"/>
          <w:highlight w:val="none"/>
        </w:rPr>
        <w:t>监理方自备的试验检测仪器、设备、工具</w:t>
      </w:r>
      <w:r>
        <w:rPr>
          <w:rFonts w:hint="eastAsia" w:ascii="宋体" w:hAnsi="宋体" w:eastAsia="宋体"/>
          <w:color w:val="auto"/>
          <w:sz w:val="24"/>
          <w:szCs w:val="24"/>
          <w:highlight w:val="none"/>
        </w:rPr>
        <w:t>：</w:t>
      </w:r>
      <w:r>
        <w:rPr>
          <w:rFonts w:ascii="宋体" w:hAnsi="宋体" w:eastAsia="宋体"/>
          <w:color w:val="auto"/>
          <w:sz w:val="24"/>
          <w:szCs w:val="24"/>
          <w:highlight w:val="none"/>
          <w:u w:val="single"/>
        </w:rPr>
        <w:t>监理方</w:t>
      </w:r>
      <w:r>
        <w:rPr>
          <w:rFonts w:hint="eastAsia" w:ascii="宋体" w:hAnsi="宋体" w:eastAsia="宋体"/>
          <w:color w:val="auto"/>
          <w:sz w:val="24"/>
          <w:szCs w:val="24"/>
          <w:highlight w:val="none"/>
          <w:u w:val="single"/>
        </w:rPr>
        <w:t>需自备必需的检验测量仪器以满足本项目监理服务要求，监理方应在投标时提供此清单，进场后必须保证能按时到位并投用。</w:t>
      </w:r>
    </w:p>
    <w:p w14:paraId="6AED3566">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7</w:t>
      </w:r>
      <w:r>
        <w:rPr>
          <w:rFonts w:hint="eastAsia" w:ascii="宋体" w:hAnsi="宋体" w:eastAsia="宋体"/>
          <w:color w:val="auto"/>
          <w:sz w:val="24"/>
          <w:szCs w:val="24"/>
          <w:highlight w:val="none"/>
          <w:lang w:eastAsia="zh-CN"/>
        </w:rPr>
        <w:t>、</w:t>
      </w:r>
      <w:r>
        <w:rPr>
          <w:rFonts w:ascii="宋体" w:hAnsi="宋体" w:eastAsia="宋体"/>
          <w:color w:val="auto"/>
          <w:sz w:val="24"/>
          <w:szCs w:val="24"/>
          <w:highlight w:val="none"/>
        </w:rPr>
        <w:t>监理方自备的试验用房、样品用房</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u w:val="single"/>
        </w:rPr>
        <w:t>/</w:t>
      </w:r>
    </w:p>
    <w:p w14:paraId="42D6FC2B">
      <w:pPr>
        <w:pStyle w:val="7"/>
        <w:spacing w:before="0" w:after="0" w:line="360" w:lineRule="auto"/>
        <w:rPr>
          <w:rFonts w:ascii="宋体" w:hAnsi="宋体"/>
          <w:b w:val="0"/>
          <w:color w:val="auto"/>
          <w:sz w:val="28"/>
          <w:szCs w:val="28"/>
          <w:highlight w:val="none"/>
        </w:rPr>
      </w:pPr>
      <w:bookmarkStart w:id="611" w:name="_Toc17110299"/>
      <w:bookmarkStart w:id="612" w:name="_Toc40299674"/>
      <w:bookmarkStart w:id="613" w:name="_Toc40300047"/>
      <w:bookmarkStart w:id="614" w:name="_Toc49205994"/>
      <w:r>
        <w:rPr>
          <w:rFonts w:ascii="宋体" w:hAnsi="宋体"/>
          <w:color w:val="auto"/>
          <w:sz w:val="28"/>
          <w:szCs w:val="28"/>
          <w:highlight w:val="none"/>
        </w:rPr>
        <w:t>七、</w:t>
      </w:r>
      <w:r>
        <w:rPr>
          <w:rFonts w:hint="eastAsia" w:ascii="宋体" w:hAnsi="宋体"/>
          <w:color w:val="auto"/>
          <w:sz w:val="28"/>
          <w:szCs w:val="28"/>
          <w:highlight w:val="none"/>
        </w:rPr>
        <w:t>委托人</w:t>
      </w:r>
      <w:r>
        <w:rPr>
          <w:rFonts w:ascii="宋体" w:hAnsi="宋体"/>
          <w:color w:val="auto"/>
          <w:sz w:val="28"/>
          <w:szCs w:val="28"/>
          <w:highlight w:val="none"/>
        </w:rPr>
        <w:t>的其他要求</w:t>
      </w:r>
      <w:bookmarkEnd w:id="611"/>
      <w:bookmarkEnd w:id="612"/>
      <w:bookmarkEnd w:id="613"/>
      <w:bookmarkEnd w:id="614"/>
    </w:p>
    <w:p w14:paraId="4DEA2DBE">
      <w:pPr>
        <w:tabs>
          <w:tab w:val="left" w:pos="2980"/>
        </w:tabs>
        <w:topLinePunct/>
        <w:spacing w:line="360" w:lineRule="auto"/>
        <w:ind w:firstLine="422" w:firstLineChars="176"/>
        <w:jc w:val="left"/>
        <w:rPr>
          <w:rFonts w:ascii="宋体" w:hAnsi="宋体" w:eastAsia="宋体"/>
          <w:color w:val="auto"/>
          <w:sz w:val="24"/>
          <w:szCs w:val="24"/>
          <w:highlight w:val="none"/>
        </w:rPr>
      </w:pPr>
      <w:r>
        <w:rPr>
          <w:rFonts w:hint="eastAsia" w:ascii="宋体" w:hAnsi="宋体" w:eastAsia="宋体"/>
          <w:color w:val="auto"/>
          <w:sz w:val="24"/>
          <w:szCs w:val="24"/>
          <w:highlight w:val="none"/>
        </w:rPr>
        <w:t>委托人</w:t>
      </w:r>
      <w:r>
        <w:rPr>
          <w:rFonts w:ascii="宋体" w:hAnsi="宋体" w:eastAsia="宋体"/>
          <w:color w:val="auto"/>
          <w:sz w:val="24"/>
          <w:szCs w:val="24"/>
          <w:highlight w:val="none"/>
        </w:rPr>
        <w:t>的其他要求</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u w:val="single"/>
        </w:rPr>
        <w:t>其他要求详见按监理合同。</w:t>
      </w:r>
    </w:p>
    <w:p w14:paraId="7A3478F4">
      <w:pPr>
        <w:spacing w:line="360" w:lineRule="auto"/>
        <w:jc w:val="center"/>
        <w:outlineLvl w:val="9"/>
        <w:rPr>
          <w:rFonts w:hint="eastAsia" w:ascii="宋体" w:hAnsi="宋体" w:eastAsia="宋体"/>
          <w:b/>
          <w:color w:val="auto"/>
          <w:sz w:val="44"/>
          <w:highlight w:val="none"/>
        </w:rPr>
      </w:pPr>
      <w:bookmarkStart w:id="615" w:name="_Toc63769819"/>
    </w:p>
    <w:p w14:paraId="6B7CEF46">
      <w:pPr>
        <w:spacing w:line="360" w:lineRule="auto"/>
        <w:jc w:val="center"/>
        <w:outlineLvl w:val="9"/>
        <w:rPr>
          <w:rFonts w:hint="eastAsia" w:ascii="宋体" w:hAnsi="宋体" w:eastAsia="宋体"/>
          <w:b/>
          <w:color w:val="auto"/>
          <w:sz w:val="44"/>
          <w:highlight w:val="none"/>
        </w:rPr>
      </w:pPr>
    </w:p>
    <w:p w14:paraId="5AC1C25A">
      <w:pPr>
        <w:spacing w:line="360" w:lineRule="auto"/>
        <w:jc w:val="center"/>
        <w:outlineLvl w:val="9"/>
        <w:rPr>
          <w:rFonts w:hint="eastAsia" w:ascii="宋体" w:hAnsi="宋体" w:eastAsia="宋体"/>
          <w:b/>
          <w:color w:val="auto"/>
          <w:sz w:val="44"/>
          <w:highlight w:val="none"/>
        </w:rPr>
      </w:pPr>
    </w:p>
    <w:p w14:paraId="17176A2D">
      <w:pPr>
        <w:spacing w:line="360" w:lineRule="auto"/>
        <w:jc w:val="center"/>
        <w:outlineLvl w:val="9"/>
        <w:rPr>
          <w:rFonts w:hint="eastAsia" w:ascii="宋体" w:hAnsi="宋体" w:eastAsia="宋体"/>
          <w:b/>
          <w:color w:val="auto"/>
          <w:sz w:val="44"/>
          <w:highlight w:val="none"/>
        </w:rPr>
      </w:pPr>
    </w:p>
    <w:p w14:paraId="1F9B903F">
      <w:pPr>
        <w:spacing w:line="360" w:lineRule="auto"/>
        <w:jc w:val="center"/>
        <w:outlineLvl w:val="9"/>
        <w:rPr>
          <w:rFonts w:hint="eastAsia" w:ascii="宋体" w:hAnsi="宋体" w:eastAsia="宋体"/>
          <w:b/>
          <w:color w:val="auto"/>
          <w:sz w:val="44"/>
          <w:highlight w:val="none"/>
        </w:rPr>
      </w:pPr>
    </w:p>
    <w:p w14:paraId="7E614A67">
      <w:pPr>
        <w:spacing w:line="360" w:lineRule="auto"/>
        <w:jc w:val="center"/>
        <w:outlineLvl w:val="9"/>
        <w:rPr>
          <w:rFonts w:hint="eastAsia" w:ascii="宋体" w:hAnsi="宋体" w:eastAsia="宋体"/>
          <w:b/>
          <w:color w:val="auto"/>
          <w:sz w:val="44"/>
          <w:highlight w:val="none"/>
        </w:rPr>
      </w:pPr>
    </w:p>
    <w:p w14:paraId="6412887D">
      <w:pPr>
        <w:spacing w:line="360" w:lineRule="auto"/>
        <w:jc w:val="center"/>
        <w:outlineLvl w:val="9"/>
        <w:rPr>
          <w:rFonts w:hint="eastAsia" w:ascii="宋体" w:hAnsi="宋体" w:eastAsia="宋体"/>
          <w:b/>
          <w:color w:val="auto"/>
          <w:sz w:val="44"/>
          <w:highlight w:val="none"/>
        </w:rPr>
      </w:pPr>
    </w:p>
    <w:p w14:paraId="1D5B0B0D">
      <w:pPr>
        <w:spacing w:line="360" w:lineRule="auto"/>
        <w:jc w:val="center"/>
        <w:outlineLvl w:val="9"/>
        <w:rPr>
          <w:rFonts w:hint="eastAsia" w:ascii="宋体" w:hAnsi="宋体" w:eastAsia="宋体"/>
          <w:b/>
          <w:color w:val="auto"/>
          <w:sz w:val="44"/>
          <w:highlight w:val="none"/>
        </w:rPr>
      </w:pPr>
    </w:p>
    <w:p w14:paraId="0BEF1460">
      <w:pPr>
        <w:spacing w:line="360" w:lineRule="auto"/>
        <w:jc w:val="center"/>
        <w:outlineLvl w:val="9"/>
        <w:rPr>
          <w:rFonts w:hint="eastAsia" w:ascii="宋体" w:hAnsi="宋体" w:eastAsia="宋体"/>
          <w:b/>
          <w:color w:val="auto"/>
          <w:sz w:val="44"/>
          <w:highlight w:val="none"/>
        </w:rPr>
      </w:pPr>
    </w:p>
    <w:p w14:paraId="4FE15CFF">
      <w:pPr>
        <w:pStyle w:val="2"/>
        <w:rPr>
          <w:rFonts w:hint="eastAsia" w:ascii="宋体" w:hAnsi="宋体" w:eastAsia="宋体"/>
          <w:b/>
          <w:color w:val="auto"/>
          <w:sz w:val="44"/>
          <w:highlight w:val="none"/>
        </w:rPr>
      </w:pPr>
    </w:p>
    <w:p w14:paraId="09B9AB7F">
      <w:pPr>
        <w:rPr>
          <w:rFonts w:hint="eastAsia"/>
          <w:color w:val="auto"/>
          <w:highlight w:val="none"/>
        </w:rPr>
      </w:pPr>
    </w:p>
    <w:p w14:paraId="3D3C5CE4">
      <w:pPr>
        <w:spacing w:line="360" w:lineRule="auto"/>
        <w:jc w:val="center"/>
        <w:outlineLvl w:val="9"/>
        <w:rPr>
          <w:rFonts w:hint="eastAsia" w:ascii="宋体" w:hAnsi="宋体" w:eastAsia="宋体"/>
          <w:b/>
          <w:color w:val="auto"/>
          <w:sz w:val="44"/>
          <w:highlight w:val="none"/>
        </w:rPr>
      </w:pPr>
    </w:p>
    <w:p w14:paraId="50223C78">
      <w:pPr>
        <w:spacing w:line="360" w:lineRule="auto"/>
        <w:jc w:val="center"/>
        <w:outlineLvl w:val="9"/>
        <w:rPr>
          <w:rFonts w:ascii="宋体" w:hAnsi="宋体" w:eastAsia="宋体"/>
          <w:b/>
          <w:color w:val="auto"/>
          <w:highlight w:val="none"/>
        </w:rPr>
      </w:pPr>
      <w:r>
        <w:rPr>
          <w:rFonts w:hint="eastAsia" w:ascii="宋体" w:hAnsi="宋体" w:eastAsia="宋体"/>
          <w:b/>
          <w:color w:val="auto"/>
          <w:sz w:val="44"/>
          <w:highlight w:val="none"/>
        </w:rPr>
        <w:t>第三卷</w:t>
      </w:r>
      <w:bookmarkEnd w:id="615"/>
    </w:p>
    <w:p w14:paraId="4C9C3315">
      <w:pPr>
        <w:pStyle w:val="5"/>
        <w:keepNext w:val="0"/>
        <w:keepLines w:val="0"/>
        <w:spacing w:before="0" w:after="0" w:line="360" w:lineRule="auto"/>
        <w:jc w:val="center"/>
        <w:rPr>
          <w:rFonts w:ascii="宋体" w:hAnsi="宋体"/>
          <w:color w:val="auto"/>
          <w:sz w:val="36"/>
          <w:szCs w:val="36"/>
          <w:highlight w:val="none"/>
        </w:rPr>
      </w:pPr>
      <w:bookmarkStart w:id="616" w:name="_Toc63769820"/>
      <w:bookmarkStart w:id="617" w:name="_Toc20919"/>
      <w:r>
        <w:rPr>
          <w:rFonts w:hint="eastAsia" w:ascii="宋体" w:hAnsi="宋体"/>
          <w:color w:val="auto"/>
          <w:sz w:val="36"/>
          <w:szCs w:val="36"/>
          <w:highlight w:val="none"/>
        </w:rPr>
        <w:t>第六章 投标文件格式</w:t>
      </w:r>
      <w:bookmarkEnd w:id="616"/>
      <w:bookmarkEnd w:id="617"/>
    </w:p>
    <w:p w14:paraId="08CD6AFC">
      <w:pPr>
        <w:jc w:val="center"/>
        <w:rPr>
          <w:rFonts w:ascii="宋体" w:hAnsi="宋体" w:eastAsia="宋体"/>
          <w:color w:val="auto"/>
          <w:sz w:val="28"/>
          <w:szCs w:val="28"/>
          <w:highlight w:val="none"/>
        </w:rPr>
      </w:pPr>
      <w:r>
        <w:rPr>
          <w:rFonts w:hint="eastAsia" w:ascii="宋体" w:hAnsi="宋体" w:eastAsia="宋体"/>
          <w:color w:val="auto"/>
          <w:sz w:val="28"/>
          <w:szCs w:val="28"/>
          <w:highlight w:val="none"/>
        </w:rPr>
        <w:br w:type="page"/>
      </w:r>
    </w:p>
    <w:p w14:paraId="4FE87240">
      <w:pPr>
        <w:jc w:val="center"/>
        <w:rPr>
          <w:rFonts w:hint="eastAsia" w:ascii="宋体" w:hAnsi="宋体" w:eastAsia="宋体"/>
          <w:b/>
          <w:color w:val="auto"/>
          <w:sz w:val="32"/>
          <w:szCs w:val="28"/>
          <w:highlight w:val="none"/>
          <w:u w:val="single"/>
        </w:rPr>
      </w:pPr>
    </w:p>
    <w:p w14:paraId="6B2780D6">
      <w:pPr>
        <w:jc w:val="center"/>
        <w:rPr>
          <w:rFonts w:hint="eastAsia" w:ascii="宋体" w:hAnsi="宋体" w:eastAsia="宋体"/>
          <w:b/>
          <w:color w:val="auto"/>
          <w:sz w:val="32"/>
          <w:szCs w:val="28"/>
          <w:highlight w:val="none"/>
          <w:u w:val="single"/>
        </w:rPr>
      </w:pPr>
    </w:p>
    <w:p w14:paraId="1F47B297">
      <w:pPr>
        <w:jc w:val="center"/>
        <w:rPr>
          <w:rFonts w:ascii="宋体" w:hAnsi="宋体" w:eastAsia="宋体"/>
          <w:b/>
          <w:color w:val="auto"/>
          <w:sz w:val="24"/>
          <w:szCs w:val="28"/>
          <w:highlight w:val="none"/>
          <w:u w:val="single"/>
        </w:rPr>
      </w:pPr>
      <w:r>
        <w:rPr>
          <w:rFonts w:hint="eastAsia" w:ascii="宋体" w:hAnsi="宋体" w:eastAsia="宋体"/>
          <w:b/>
          <w:color w:val="auto"/>
          <w:sz w:val="32"/>
          <w:szCs w:val="28"/>
          <w:highlight w:val="none"/>
          <w:u w:val="single"/>
        </w:rPr>
        <w:t xml:space="preserve">           （项目名称）</w:t>
      </w:r>
    </w:p>
    <w:p w14:paraId="30276A23">
      <w:pPr>
        <w:rPr>
          <w:rFonts w:ascii="宋体" w:hAnsi="宋体" w:eastAsia="宋体"/>
          <w:color w:val="auto"/>
          <w:sz w:val="20"/>
          <w:highlight w:val="none"/>
        </w:rPr>
      </w:pPr>
    </w:p>
    <w:p w14:paraId="3E924370">
      <w:pPr>
        <w:ind w:firstLine="3220" w:firstLineChars="1150"/>
        <w:rPr>
          <w:rFonts w:ascii="宋体" w:hAnsi="宋体" w:eastAsia="宋体"/>
          <w:color w:val="auto"/>
          <w:sz w:val="28"/>
          <w:szCs w:val="28"/>
          <w:highlight w:val="none"/>
        </w:rPr>
      </w:pPr>
      <w:r>
        <w:rPr>
          <w:rFonts w:hint="eastAsia" w:ascii="宋体" w:hAnsi="宋体" w:eastAsia="宋体"/>
          <w:color w:val="auto"/>
          <w:sz w:val="28"/>
          <w:szCs w:val="28"/>
          <w:highlight w:val="none"/>
        </w:rPr>
        <w:t xml:space="preserve"> (项目编号：       )</w:t>
      </w:r>
    </w:p>
    <w:p w14:paraId="047B92C7">
      <w:pPr>
        <w:rPr>
          <w:rFonts w:ascii="宋体" w:hAnsi="宋体" w:eastAsia="宋体"/>
          <w:color w:val="auto"/>
          <w:sz w:val="20"/>
          <w:highlight w:val="none"/>
        </w:rPr>
      </w:pPr>
    </w:p>
    <w:p w14:paraId="003DF7F4">
      <w:pPr>
        <w:rPr>
          <w:rFonts w:ascii="宋体" w:hAnsi="宋体" w:eastAsia="宋体"/>
          <w:color w:val="auto"/>
          <w:sz w:val="20"/>
          <w:highlight w:val="none"/>
        </w:rPr>
      </w:pPr>
    </w:p>
    <w:p w14:paraId="72EAA5C2">
      <w:pPr>
        <w:rPr>
          <w:rFonts w:ascii="宋体" w:hAnsi="宋体" w:eastAsia="宋体"/>
          <w:color w:val="auto"/>
          <w:sz w:val="20"/>
          <w:highlight w:val="none"/>
        </w:rPr>
      </w:pPr>
    </w:p>
    <w:p w14:paraId="00486093">
      <w:pPr>
        <w:rPr>
          <w:rFonts w:ascii="宋体" w:hAnsi="宋体" w:eastAsia="宋体"/>
          <w:color w:val="auto"/>
          <w:sz w:val="20"/>
          <w:highlight w:val="none"/>
        </w:rPr>
      </w:pPr>
    </w:p>
    <w:p w14:paraId="63B9E64A">
      <w:pPr>
        <w:rPr>
          <w:rFonts w:ascii="宋体" w:hAnsi="宋体" w:eastAsia="宋体"/>
          <w:color w:val="auto"/>
          <w:sz w:val="20"/>
          <w:highlight w:val="none"/>
        </w:rPr>
      </w:pPr>
    </w:p>
    <w:p w14:paraId="56ADFDCC">
      <w:pPr>
        <w:rPr>
          <w:rFonts w:ascii="宋体" w:hAnsi="宋体" w:eastAsia="宋体"/>
          <w:color w:val="auto"/>
          <w:sz w:val="20"/>
          <w:highlight w:val="none"/>
        </w:rPr>
      </w:pPr>
    </w:p>
    <w:p w14:paraId="69AEBD33">
      <w:pPr>
        <w:rPr>
          <w:rFonts w:ascii="宋体" w:hAnsi="宋体" w:eastAsia="宋体"/>
          <w:color w:val="auto"/>
          <w:sz w:val="20"/>
          <w:highlight w:val="none"/>
        </w:rPr>
      </w:pPr>
    </w:p>
    <w:p w14:paraId="38947244">
      <w:pPr>
        <w:pStyle w:val="33"/>
        <w:rPr>
          <w:rFonts w:ascii="宋体" w:hAnsi="宋体" w:eastAsia="宋体"/>
          <w:color w:val="auto"/>
          <w:sz w:val="20"/>
          <w:highlight w:val="none"/>
        </w:rPr>
      </w:pPr>
    </w:p>
    <w:p w14:paraId="0B98B6AA">
      <w:pPr>
        <w:rPr>
          <w:rFonts w:ascii="宋体" w:hAnsi="宋体" w:eastAsia="宋体"/>
          <w:color w:val="auto"/>
          <w:sz w:val="20"/>
          <w:highlight w:val="none"/>
        </w:rPr>
      </w:pPr>
    </w:p>
    <w:p w14:paraId="3AA88490">
      <w:pPr>
        <w:pStyle w:val="33"/>
        <w:rPr>
          <w:color w:val="auto"/>
          <w:highlight w:val="none"/>
        </w:rPr>
      </w:pPr>
    </w:p>
    <w:p w14:paraId="70D3D8EE">
      <w:pPr>
        <w:rPr>
          <w:rFonts w:ascii="宋体" w:hAnsi="宋体" w:eastAsia="宋体"/>
          <w:color w:val="auto"/>
          <w:sz w:val="20"/>
          <w:highlight w:val="none"/>
        </w:rPr>
      </w:pPr>
    </w:p>
    <w:p w14:paraId="74742E95">
      <w:pPr>
        <w:rPr>
          <w:rFonts w:ascii="宋体" w:hAnsi="宋体" w:eastAsia="宋体"/>
          <w:color w:val="auto"/>
          <w:sz w:val="20"/>
          <w:highlight w:val="none"/>
        </w:rPr>
      </w:pPr>
    </w:p>
    <w:p w14:paraId="1477F4CE">
      <w:pPr>
        <w:rPr>
          <w:rFonts w:ascii="宋体" w:hAnsi="宋体" w:eastAsia="宋体"/>
          <w:color w:val="auto"/>
          <w:sz w:val="20"/>
          <w:highlight w:val="none"/>
        </w:rPr>
      </w:pPr>
    </w:p>
    <w:p w14:paraId="1A56D72F">
      <w:pPr>
        <w:pStyle w:val="33"/>
        <w:rPr>
          <w:rFonts w:ascii="宋体" w:hAnsi="宋体" w:eastAsia="宋体"/>
          <w:color w:val="auto"/>
          <w:sz w:val="20"/>
          <w:highlight w:val="none"/>
        </w:rPr>
      </w:pPr>
    </w:p>
    <w:p w14:paraId="2D21E6AF">
      <w:pPr>
        <w:rPr>
          <w:color w:val="auto"/>
          <w:highlight w:val="none"/>
        </w:rPr>
      </w:pPr>
    </w:p>
    <w:p w14:paraId="3F495EF7">
      <w:pPr>
        <w:jc w:val="center"/>
        <w:rPr>
          <w:rFonts w:ascii="宋体" w:hAnsi="宋体" w:eastAsia="宋体"/>
          <w:b/>
          <w:color w:val="auto"/>
          <w:sz w:val="72"/>
          <w:szCs w:val="72"/>
          <w:highlight w:val="none"/>
        </w:rPr>
      </w:pPr>
      <w:r>
        <w:rPr>
          <w:rFonts w:hint="eastAsia" w:ascii="宋体" w:hAnsi="宋体" w:eastAsia="宋体"/>
          <w:b/>
          <w:color w:val="auto"/>
          <w:sz w:val="72"/>
          <w:szCs w:val="72"/>
          <w:highlight w:val="none"/>
        </w:rPr>
        <w:t>投标文件</w:t>
      </w:r>
    </w:p>
    <w:p w14:paraId="0546E422">
      <w:pPr>
        <w:jc w:val="center"/>
        <w:rPr>
          <w:rFonts w:ascii="宋体" w:hAnsi="宋体" w:eastAsia="宋体"/>
          <w:color w:val="auto"/>
          <w:sz w:val="44"/>
          <w:highlight w:val="none"/>
        </w:rPr>
      </w:pPr>
    </w:p>
    <w:p w14:paraId="12434E52">
      <w:pPr>
        <w:rPr>
          <w:rFonts w:ascii="宋体" w:hAnsi="宋体" w:eastAsia="宋体"/>
          <w:color w:val="auto"/>
          <w:sz w:val="28"/>
          <w:highlight w:val="none"/>
        </w:rPr>
      </w:pPr>
    </w:p>
    <w:p w14:paraId="297462CA">
      <w:pPr>
        <w:rPr>
          <w:rFonts w:ascii="宋体" w:hAnsi="宋体" w:eastAsia="宋体"/>
          <w:color w:val="auto"/>
          <w:sz w:val="28"/>
          <w:highlight w:val="none"/>
        </w:rPr>
      </w:pPr>
    </w:p>
    <w:p w14:paraId="2EFF1A1C">
      <w:pPr>
        <w:rPr>
          <w:rFonts w:ascii="宋体" w:hAnsi="宋体" w:eastAsia="宋体"/>
          <w:color w:val="auto"/>
          <w:sz w:val="28"/>
          <w:highlight w:val="none"/>
        </w:rPr>
      </w:pPr>
    </w:p>
    <w:p w14:paraId="263DDB24">
      <w:pPr>
        <w:pStyle w:val="33"/>
        <w:rPr>
          <w:rFonts w:ascii="宋体" w:hAnsi="宋体" w:eastAsia="宋体"/>
          <w:color w:val="auto"/>
          <w:sz w:val="28"/>
          <w:highlight w:val="none"/>
        </w:rPr>
      </w:pPr>
    </w:p>
    <w:p w14:paraId="6CE73704">
      <w:pPr>
        <w:rPr>
          <w:rFonts w:ascii="宋体" w:hAnsi="宋体" w:eastAsia="宋体"/>
          <w:color w:val="auto"/>
          <w:sz w:val="28"/>
          <w:highlight w:val="none"/>
        </w:rPr>
      </w:pPr>
    </w:p>
    <w:p w14:paraId="2AA838C7">
      <w:pPr>
        <w:pStyle w:val="33"/>
        <w:rPr>
          <w:rFonts w:ascii="宋体" w:hAnsi="宋体" w:eastAsia="宋体"/>
          <w:color w:val="auto"/>
          <w:sz w:val="28"/>
          <w:highlight w:val="none"/>
        </w:rPr>
      </w:pPr>
    </w:p>
    <w:p w14:paraId="3B58336C">
      <w:pPr>
        <w:rPr>
          <w:color w:val="auto"/>
          <w:highlight w:val="none"/>
        </w:rPr>
      </w:pPr>
    </w:p>
    <w:p w14:paraId="782F3231">
      <w:pPr>
        <w:pStyle w:val="33"/>
        <w:rPr>
          <w:rFonts w:ascii="宋体" w:hAnsi="宋体" w:eastAsia="宋体"/>
          <w:color w:val="auto"/>
          <w:sz w:val="28"/>
          <w:highlight w:val="none"/>
        </w:rPr>
      </w:pPr>
    </w:p>
    <w:p w14:paraId="3E34C0BC">
      <w:pPr>
        <w:rPr>
          <w:color w:val="auto"/>
          <w:highlight w:val="none"/>
        </w:rPr>
      </w:pPr>
    </w:p>
    <w:p w14:paraId="45CDB5CB">
      <w:pPr>
        <w:spacing w:line="360" w:lineRule="auto"/>
        <w:rPr>
          <w:rFonts w:ascii="宋体" w:hAnsi="宋体" w:eastAsia="宋体"/>
          <w:color w:val="auto"/>
          <w:sz w:val="28"/>
          <w:highlight w:val="none"/>
        </w:rPr>
      </w:pPr>
    </w:p>
    <w:p w14:paraId="246EA760">
      <w:pPr>
        <w:spacing w:line="360" w:lineRule="auto"/>
        <w:ind w:firstLine="1120" w:firstLineChars="400"/>
        <w:rPr>
          <w:rFonts w:ascii="宋体" w:hAnsi="宋体" w:eastAsia="宋体"/>
          <w:color w:val="auto"/>
          <w:sz w:val="28"/>
          <w:highlight w:val="none"/>
          <w:u w:val="single"/>
        </w:rPr>
      </w:pPr>
      <w:r>
        <w:rPr>
          <w:rFonts w:hint="eastAsia" w:ascii="宋体" w:hAnsi="宋体" w:eastAsia="宋体"/>
          <w:color w:val="auto"/>
          <w:sz w:val="28"/>
          <w:highlight w:val="none"/>
        </w:rPr>
        <w:t>投标人：</w:t>
      </w:r>
      <w:r>
        <w:rPr>
          <w:rFonts w:hint="eastAsia" w:ascii="宋体" w:hAnsi="宋体" w:eastAsia="宋体"/>
          <w:color w:val="auto"/>
          <w:sz w:val="28"/>
          <w:highlight w:val="none"/>
          <w:u w:val="single"/>
          <w:lang w:val="en-US" w:eastAsia="zh-CN"/>
        </w:rPr>
        <w:t xml:space="preserve">                 </w:t>
      </w:r>
      <w:r>
        <w:rPr>
          <w:rFonts w:hint="eastAsia" w:ascii="宋体" w:hAnsi="宋体" w:eastAsia="宋体"/>
          <w:color w:val="auto"/>
          <w:sz w:val="28"/>
          <w:highlight w:val="none"/>
        </w:rPr>
        <w:t>（盖单位章）</w:t>
      </w:r>
    </w:p>
    <w:p w14:paraId="3C694455">
      <w:pPr>
        <w:spacing w:line="360" w:lineRule="auto"/>
        <w:ind w:firstLine="1120" w:firstLineChars="400"/>
        <w:jc w:val="left"/>
        <w:rPr>
          <w:rFonts w:ascii="宋体" w:hAnsi="宋体" w:eastAsia="宋体"/>
          <w:color w:val="auto"/>
          <w:sz w:val="28"/>
          <w:highlight w:val="none"/>
        </w:rPr>
      </w:pPr>
      <w:r>
        <w:rPr>
          <w:rFonts w:hint="eastAsia" w:ascii="宋体" w:hAnsi="宋体" w:eastAsia="宋体"/>
          <w:color w:val="auto"/>
          <w:sz w:val="28"/>
          <w:highlight w:val="none"/>
        </w:rPr>
        <w:t>法定代表人或其委托代理人：</w:t>
      </w:r>
      <w:r>
        <w:rPr>
          <w:rFonts w:hint="eastAsia" w:ascii="宋体" w:hAnsi="宋体" w:eastAsia="宋体"/>
          <w:color w:val="auto"/>
          <w:sz w:val="28"/>
          <w:highlight w:val="none"/>
          <w:u w:val="single"/>
          <w:lang w:val="en-US" w:eastAsia="zh-CN"/>
        </w:rPr>
        <w:t xml:space="preserve">      </w:t>
      </w:r>
      <w:r>
        <w:rPr>
          <w:rFonts w:hint="eastAsia" w:ascii="宋体" w:hAnsi="宋体" w:eastAsia="宋体"/>
          <w:color w:val="auto"/>
          <w:sz w:val="28"/>
          <w:highlight w:val="none"/>
        </w:rPr>
        <w:t>（签字或盖章）</w:t>
      </w:r>
    </w:p>
    <w:p w14:paraId="15F106FA">
      <w:pPr>
        <w:jc w:val="center"/>
        <w:rPr>
          <w:rFonts w:ascii="宋体" w:hAnsi="宋体" w:eastAsia="宋体"/>
          <w:color w:val="auto"/>
          <w:sz w:val="28"/>
          <w:highlight w:val="none"/>
        </w:rPr>
      </w:pPr>
    </w:p>
    <w:p w14:paraId="19B5EC4A">
      <w:pPr>
        <w:spacing w:line="400" w:lineRule="exact"/>
        <w:jc w:val="center"/>
        <w:rPr>
          <w:rFonts w:ascii="宋体" w:hAnsi="宋体" w:eastAsia="宋体"/>
          <w:color w:val="auto"/>
          <w:highlight w:val="none"/>
        </w:rPr>
      </w:pPr>
      <w:r>
        <w:rPr>
          <w:rFonts w:hint="eastAsia" w:ascii="宋体" w:hAnsi="宋体" w:eastAsia="宋体"/>
          <w:color w:val="auto"/>
          <w:sz w:val="28"/>
          <w:highlight w:val="none"/>
        </w:rPr>
        <w:t>年</w:t>
      </w:r>
      <w:r>
        <w:rPr>
          <w:rFonts w:hint="eastAsia" w:ascii="宋体" w:hAnsi="宋体" w:eastAsia="宋体"/>
          <w:color w:val="auto"/>
          <w:sz w:val="28"/>
          <w:highlight w:val="none"/>
          <w:lang w:val="en-US" w:eastAsia="zh-CN"/>
        </w:rPr>
        <w:t xml:space="preserve">  </w:t>
      </w:r>
      <w:r>
        <w:rPr>
          <w:rFonts w:hint="eastAsia" w:ascii="宋体" w:hAnsi="宋体" w:eastAsia="宋体"/>
          <w:color w:val="auto"/>
          <w:sz w:val="28"/>
          <w:highlight w:val="none"/>
        </w:rPr>
        <w:t>月</w:t>
      </w:r>
      <w:r>
        <w:rPr>
          <w:rFonts w:hint="eastAsia" w:ascii="宋体" w:hAnsi="宋体" w:eastAsia="宋体"/>
          <w:color w:val="auto"/>
          <w:sz w:val="28"/>
          <w:highlight w:val="none"/>
          <w:lang w:val="en-US" w:eastAsia="zh-CN"/>
        </w:rPr>
        <w:t xml:space="preserve">  </w:t>
      </w:r>
      <w:r>
        <w:rPr>
          <w:rFonts w:hint="eastAsia" w:ascii="宋体" w:hAnsi="宋体" w:eastAsia="宋体"/>
          <w:color w:val="auto"/>
          <w:sz w:val="28"/>
          <w:highlight w:val="none"/>
        </w:rPr>
        <w:t>日</w:t>
      </w:r>
    </w:p>
    <w:p w14:paraId="631F0F69">
      <w:pPr>
        <w:rPr>
          <w:rFonts w:ascii="宋体" w:hAnsi="宋体" w:eastAsia="宋体"/>
          <w:color w:val="auto"/>
          <w:highlight w:val="none"/>
        </w:rPr>
      </w:pPr>
    </w:p>
    <w:p w14:paraId="73205F9A">
      <w:pPr>
        <w:pStyle w:val="6"/>
        <w:jc w:val="center"/>
        <w:rPr>
          <w:rFonts w:ascii="宋体" w:hAnsi="宋体" w:eastAsia="宋体"/>
          <w:color w:val="auto"/>
          <w:sz w:val="32"/>
          <w:highlight w:val="none"/>
        </w:rPr>
      </w:pPr>
      <w:bookmarkStart w:id="618" w:name="_Toc530470640"/>
      <w:bookmarkStart w:id="619" w:name="_Toc529196598"/>
      <w:bookmarkStart w:id="620" w:name="_Toc535938750"/>
      <w:r>
        <w:rPr>
          <w:rFonts w:hint="eastAsia" w:ascii="宋体" w:hAnsi="宋体" w:eastAsia="宋体"/>
          <w:color w:val="auto"/>
          <w:sz w:val="32"/>
          <w:highlight w:val="none"/>
        </w:rPr>
        <w:t>目录</w:t>
      </w:r>
      <w:bookmarkEnd w:id="618"/>
      <w:bookmarkEnd w:id="619"/>
      <w:bookmarkEnd w:id="620"/>
    </w:p>
    <w:p w14:paraId="6D9965E8">
      <w:pPr>
        <w:spacing w:line="240" w:lineRule="auto"/>
        <w:rPr>
          <w:rFonts w:asciiTheme="minorHAnsi" w:hAnsiTheme="minorHAnsi" w:eastAsiaTheme="minorEastAsia"/>
          <w:color w:val="auto"/>
          <w:highlight w:val="none"/>
        </w:rPr>
      </w:pPr>
    </w:p>
    <w:p w14:paraId="471F52F7">
      <w:pPr>
        <w:spacing w:line="360" w:lineRule="auto"/>
        <w:ind w:left="630" w:leftChars="300"/>
        <w:rPr>
          <w:rFonts w:ascii="宋体" w:hAnsi="宋体" w:eastAsia="宋体"/>
          <w:color w:val="auto"/>
          <w:sz w:val="24"/>
          <w:szCs w:val="24"/>
          <w:highlight w:val="none"/>
        </w:rPr>
      </w:pPr>
      <w:bookmarkStart w:id="621" w:name="_Toc352691655"/>
      <w:bookmarkStart w:id="622" w:name="_Toc369531691"/>
      <w:bookmarkStart w:id="623" w:name="_Toc7039"/>
      <w:r>
        <w:rPr>
          <w:rFonts w:hint="eastAsia" w:ascii="宋体" w:hAnsi="宋体" w:eastAsia="宋体"/>
          <w:color w:val="auto"/>
          <w:sz w:val="24"/>
          <w:szCs w:val="24"/>
          <w:highlight w:val="none"/>
        </w:rPr>
        <w:t>一、投标函及投标函附录</w:t>
      </w:r>
    </w:p>
    <w:p w14:paraId="35439BEF">
      <w:pPr>
        <w:spacing w:line="360" w:lineRule="auto"/>
        <w:ind w:left="630" w:leftChars="300"/>
        <w:rPr>
          <w:rFonts w:ascii="宋体" w:hAnsi="宋体" w:eastAsia="宋体"/>
          <w:color w:val="auto"/>
          <w:sz w:val="24"/>
          <w:szCs w:val="24"/>
          <w:highlight w:val="none"/>
        </w:rPr>
      </w:pPr>
      <w:r>
        <w:rPr>
          <w:rFonts w:hint="eastAsia" w:ascii="宋体" w:hAnsi="宋体" w:eastAsia="宋体"/>
          <w:color w:val="auto"/>
          <w:sz w:val="24"/>
          <w:szCs w:val="24"/>
          <w:highlight w:val="none"/>
        </w:rPr>
        <w:t>二、法定代表人身份证明（适用于无委托代理人的情况）、授权委托书（适用于有委托代理人的情况）</w:t>
      </w:r>
    </w:p>
    <w:p w14:paraId="0AA9449E">
      <w:pPr>
        <w:spacing w:line="360" w:lineRule="auto"/>
        <w:ind w:left="630" w:leftChars="300"/>
        <w:rPr>
          <w:rFonts w:ascii="宋体" w:hAnsi="宋体" w:eastAsia="宋体"/>
          <w:color w:val="auto"/>
          <w:sz w:val="24"/>
          <w:szCs w:val="24"/>
          <w:highlight w:val="none"/>
        </w:rPr>
      </w:pPr>
      <w:r>
        <w:rPr>
          <w:rFonts w:hint="eastAsia" w:ascii="宋体" w:hAnsi="宋体" w:eastAsia="宋体"/>
          <w:color w:val="auto"/>
          <w:sz w:val="24"/>
          <w:szCs w:val="24"/>
          <w:highlight w:val="none"/>
        </w:rPr>
        <w:t>三、投标保证金</w:t>
      </w:r>
    </w:p>
    <w:p w14:paraId="375303CC">
      <w:pPr>
        <w:spacing w:line="360" w:lineRule="auto"/>
        <w:ind w:left="630" w:leftChars="300"/>
        <w:rPr>
          <w:rFonts w:ascii="宋体" w:hAnsi="宋体" w:eastAsia="宋体"/>
          <w:color w:val="auto"/>
          <w:sz w:val="24"/>
          <w:szCs w:val="24"/>
          <w:highlight w:val="none"/>
        </w:rPr>
      </w:pPr>
      <w:r>
        <w:rPr>
          <w:rFonts w:hint="eastAsia" w:ascii="宋体" w:hAnsi="宋体" w:eastAsia="宋体"/>
          <w:color w:val="auto"/>
          <w:sz w:val="24"/>
          <w:szCs w:val="24"/>
          <w:highlight w:val="none"/>
        </w:rPr>
        <w:t>四、监理报酬清单</w:t>
      </w:r>
    </w:p>
    <w:p w14:paraId="507C9198">
      <w:pPr>
        <w:spacing w:line="360" w:lineRule="auto"/>
        <w:ind w:left="630" w:leftChars="300"/>
        <w:rPr>
          <w:rFonts w:ascii="宋体" w:hAnsi="宋体" w:eastAsia="宋体"/>
          <w:color w:val="auto"/>
          <w:sz w:val="24"/>
          <w:szCs w:val="24"/>
          <w:highlight w:val="none"/>
        </w:rPr>
      </w:pPr>
      <w:r>
        <w:rPr>
          <w:rFonts w:hint="eastAsia" w:ascii="宋体" w:hAnsi="宋体" w:eastAsia="宋体"/>
          <w:color w:val="auto"/>
          <w:sz w:val="24"/>
          <w:szCs w:val="24"/>
          <w:highlight w:val="none"/>
        </w:rPr>
        <w:t>五、资格审查资料</w:t>
      </w:r>
    </w:p>
    <w:p w14:paraId="36CC57EB">
      <w:pPr>
        <w:spacing w:line="360" w:lineRule="auto"/>
        <w:ind w:left="630" w:leftChars="3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六、监理大纲</w:t>
      </w:r>
    </w:p>
    <w:p w14:paraId="2C8F5655">
      <w:pPr>
        <w:spacing w:line="360" w:lineRule="auto"/>
        <w:ind w:left="630" w:leftChars="300"/>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七、</w:t>
      </w:r>
      <w:r>
        <w:rPr>
          <w:rFonts w:hint="eastAsia" w:ascii="宋体" w:hAnsi="宋体" w:eastAsia="宋体"/>
          <w:color w:val="auto"/>
          <w:sz w:val="24"/>
          <w:szCs w:val="24"/>
          <w:highlight w:val="none"/>
        </w:rPr>
        <w:t>其他资料</w:t>
      </w:r>
    </w:p>
    <w:p w14:paraId="0ED77124">
      <w:pPr>
        <w:spacing w:line="540" w:lineRule="exact"/>
        <w:rPr>
          <w:rFonts w:ascii="宋体" w:hAnsi="宋体" w:eastAsia="宋体"/>
          <w:color w:val="auto"/>
          <w:sz w:val="20"/>
          <w:highlight w:val="none"/>
        </w:rPr>
      </w:pPr>
    </w:p>
    <w:p w14:paraId="3199F129">
      <w:pPr>
        <w:spacing w:line="540" w:lineRule="exact"/>
        <w:rPr>
          <w:rFonts w:ascii="宋体" w:hAnsi="宋体" w:eastAsia="宋体"/>
          <w:color w:val="auto"/>
          <w:sz w:val="20"/>
          <w:highlight w:val="none"/>
        </w:rPr>
      </w:pPr>
    </w:p>
    <w:p w14:paraId="5AA38D0E">
      <w:pPr>
        <w:spacing w:line="540" w:lineRule="exact"/>
        <w:rPr>
          <w:rFonts w:ascii="宋体" w:hAnsi="宋体" w:eastAsia="宋体"/>
          <w:color w:val="auto"/>
          <w:sz w:val="20"/>
          <w:highlight w:val="none"/>
        </w:rPr>
      </w:pPr>
    </w:p>
    <w:p w14:paraId="05EC6024">
      <w:pPr>
        <w:spacing w:line="540" w:lineRule="exact"/>
        <w:rPr>
          <w:rFonts w:ascii="宋体" w:hAnsi="宋体" w:eastAsia="宋体"/>
          <w:color w:val="auto"/>
          <w:sz w:val="20"/>
          <w:highlight w:val="none"/>
        </w:rPr>
      </w:pPr>
    </w:p>
    <w:p w14:paraId="79E57587">
      <w:pPr>
        <w:spacing w:line="540" w:lineRule="exact"/>
        <w:rPr>
          <w:rFonts w:ascii="宋体" w:hAnsi="宋体" w:eastAsia="宋体"/>
          <w:color w:val="auto"/>
          <w:sz w:val="20"/>
          <w:highlight w:val="none"/>
        </w:rPr>
      </w:pPr>
    </w:p>
    <w:bookmarkEnd w:id="621"/>
    <w:bookmarkEnd w:id="622"/>
    <w:bookmarkEnd w:id="623"/>
    <w:p w14:paraId="594A3CD5">
      <w:pPr>
        <w:pStyle w:val="6"/>
        <w:spacing w:after="0" w:line="360" w:lineRule="auto"/>
        <w:jc w:val="center"/>
        <w:rPr>
          <w:rFonts w:ascii="宋体" w:hAnsi="宋体" w:eastAsia="宋体"/>
          <w:color w:val="auto"/>
          <w:sz w:val="32"/>
          <w:szCs w:val="32"/>
          <w:highlight w:val="none"/>
        </w:rPr>
      </w:pPr>
      <w:bookmarkStart w:id="624" w:name="_Toc535938751"/>
      <w:bookmarkStart w:id="625" w:name="_Toc529196600"/>
      <w:bookmarkStart w:id="626" w:name="_Toc530470642"/>
      <w:r>
        <w:rPr>
          <w:rFonts w:ascii="宋体" w:hAnsi="宋体" w:eastAsia="宋体"/>
          <w:color w:val="auto"/>
          <w:highlight w:val="none"/>
        </w:rPr>
        <w:br w:type="page"/>
      </w:r>
      <w:r>
        <w:rPr>
          <w:rFonts w:hint="eastAsia" w:ascii="宋体" w:hAnsi="宋体" w:eastAsia="宋体"/>
          <w:color w:val="auto"/>
          <w:sz w:val="32"/>
          <w:szCs w:val="32"/>
          <w:highlight w:val="none"/>
        </w:rPr>
        <w:t>一、投标</w:t>
      </w:r>
      <w:bookmarkStart w:id="627" w:name="_Toc369531692"/>
      <w:bookmarkStart w:id="628" w:name="_Toc6931"/>
      <w:bookmarkStart w:id="629" w:name="_Toc352691656"/>
      <w:r>
        <w:rPr>
          <w:rFonts w:hint="eastAsia" w:ascii="宋体" w:hAnsi="宋体" w:eastAsia="宋体"/>
          <w:color w:val="auto"/>
          <w:sz w:val="32"/>
          <w:szCs w:val="32"/>
          <w:highlight w:val="none"/>
        </w:rPr>
        <w:t>函及投标函附录</w:t>
      </w:r>
      <w:bookmarkEnd w:id="624"/>
      <w:bookmarkEnd w:id="625"/>
      <w:bookmarkEnd w:id="626"/>
    </w:p>
    <w:bookmarkEnd w:id="627"/>
    <w:bookmarkEnd w:id="628"/>
    <w:bookmarkEnd w:id="629"/>
    <w:p w14:paraId="6D6814D0">
      <w:pPr>
        <w:pStyle w:val="7"/>
        <w:spacing w:before="0" w:after="0" w:line="360" w:lineRule="auto"/>
        <w:jc w:val="center"/>
        <w:rPr>
          <w:rFonts w:ascii="宋体" w:hAnsi="宋体"/>
          <w:color w:val="auto"/>
          <w:sz w:val="30"/>
          <w:szCs w:val="30"/>
          <w:highlight w:val="none"/>
        </w:rPr>
      </w:pPr>
      <w:bookmarkStart w:id="630" w:name="_Toc482188651"/>
      <w:bookmarkStart w:id="631" w:name="_Toc391394111"/>
      <w:bookmarkStart w:id="632" w:name="_Toc529196601"/>
      <w:bookmarkStart w:id="633" w:name="_Toc359594235"/>
      <w:bookmarkStart w:id="634" w:name="_Toc370676426"/>
      <w:bookmarkStart w:id="635" w:name="_Toc385943065"/>
      <w:bookmarkStart w:id="636" w:name="_Toc530470643"/>
      <w:bookmarkStart w:id="637" w:name="_Toc535938752"/>
      <w:r>
        <w:rPr>
          <w:rFonts w:hint="eastAsia" w:ascii="宋体" w:hAnsi="宋体"/>
          <w:color w:val="auto"/>
          <w:sz w:val="30"/>
          <w:szCs w:val="30"/>
          <w:highlight w:val="none"/>
        </w:rPr>
        <w:t>（一）投标函</w:t>
      </w:r>
      <w:bookmarkEnd w:id="630"/>
      <w:bookmarkEnd w:id="631"/>
      <w:bookmarkEnd w:id="632"/>
      <w:bookmarkEnd w:id="633"/>
      <w:bookmarkEnd w:id="634"/>
      <w:bookmarkEnd w:id="635"/>
      <w:bookmarkEnd w:id="636"/>
      <w:bookmarkEnd w:id="637"/>
    </w:p>
    <w:p w14:paraId="6280FAD1">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（招标人名称）：</w:t>
      </w:r>
    </w:p>
    <w:p w14:paraId="06D9FB83">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我方已仔细研究了</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监理招标项目招标文件的全部内容，愿意以《投标函附录》中的投标报价和监理服务期限，按合同约定完成监理工作。</w:t>
      </w:r>
    </w:p>
    <w:p w14:paraId="5CA05A14">
      <w:pPr>
        <w:spacing w:line="360" w:lineRule="auto"/>
        <w:ind w:firstLine="480" w:firstLineChars="200"/>
        <w:rPr>
          <w:rFonts w:ascii="宋体" w:hAnsi="宋体" w:eastAsia="宋体"/>
          <w:color w:val="auto"/>
          <w:sz w:val="24"/>
          <w:szCs w:val="24"/>
          <w:highlight w:val="none"/>
        </w:rPr>
      </w:pPr>
      <w:bookmarkStart w:id="638" w:name="_Toc530470644"/>
      <w:r>
        <w:rPr>
          <w:rFonts w:hint="eastAsia" w:ascii="宋体" w:hAnsi="宋体" w:eastAsia="宋体"/>
          <w:color w:val="auto"/>
          <w:sz w:val="24"/>
          <w:szCs w:val="24"/>
          <w:highlight w:val="none"/>
        </w:rPr>
        <w:t>2</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我方的投标文件包括下列内容：</w:t>
      </w:r>
      <w:bookmarkEnd w:id="638"/>
    </w:p>
    <w:p w14:paraId="08B208D1">
      <w:pPr>
        <w:spacing w:line="360" w:lineRule="auto"/>
        <w:ind w:firstLine="405"/>
        <w:rPr>
          <w:rFonts w:ascii="宋体" w:hAnsi="宋体" w:eastAsia="宋体"/>
          <w:color w:val="auto"/>
          <w:sz w:val="24"/>
          <w:szCs w:val="24"/>
          <w:highlight w:val="none"/>
        </w:rPr>
      </w:pPr>
      <w:r>
        <w:rPr>
          <w:rFonts w:hint="eastAsia" w:ascii="宋体" w:hAnsi="宋体" w:eastAsia="宋体"/>
          <w:color w:val="auto"/>
          <w:sz w:val="24"/>
          <w:szCs w:val="24"/>
          <w:highlight w:val="none"/>
        </w:rPr>
        <w:t>（1）投标函及投标函附录；</w:t>
      </w:r>
    </w:p>
    <w:p w14:paraId="00C27369">
      <w:pPr>
        <w:spacing w:line="360" w:lineRule="auto"/>
        <w:ind w:firstLine="405"/>
        <w:rPr>
          <w:rFonts w:ascii="宋体" w:hAnsi="宋体" w:eastAsia="宋体"/>
          <w:color w:val="auto"/>
          <w:sz w:val="24"/>
          <w:szCs w:val="24"/>
          <w:highlight w:val="none"/>
        </w:rPr>
      </w:pPr>
      <w:r>
        <w:rPr>
          <w:rFonts w:hint="eastAsia" w:ascii="宋体" w:hAnsi="宋体" w:eastAsia="宋体"/>
          <w:color w:val="auto"/>
          <w:sz w:val="24"/>
          <w:szCs w:val="24"/>
          <w:highlight w:val="none"/>
        </w:rPr>
        <w:t>（2）法定代表人身份证明或授权委托书（如有）；</w:t>
      </w:r>
    </w:p>
    <w:p w14:paraId="5543F328">
      <w:pPr>
        <w:spacing w:line="360" w:lineRule="auto"/>
        <w:ind w:firstLine="405"/>
        <w:rPr>
          <w:rFonts w:ascii="宋体" w:hAnsi="宋体" w:eastAsia="宋体"/>
          <w:color w:val="auto"/>
          <w:sz w:val="24"/>
          <w:szCs w:val="24"/>
          <w:highlight w:val="none"/>
        </w:rPr>
      </w:pPr>
      <w:r>
        <w:rPr>
          <w:rFonts w:hint="eastAsia" w:ascii="宋体" w:hAnsi="宋体" w:eastAsia="宋体"/>
          <w:color w:val="auto"/>
          <w:sz w:val="24"/>
          <w:szCs w:val="24"/>
          <w:highlight w:val="none"/>
        </w:rPr>
        <w:t>（3）投标保证金；</w:t>
      </w:r>
    </w:p>
    <w:p w14:paraId="6BFE304C">
      <w:pPr>
        <w:spacing w:line="360" w:lineRule="auto"/>
        <w:ind w:firstLine="405"/>
        <w:rPr>
          <w:rFonts w:ascii="宋体" w:hAnsi="宋体" w:eastAsia="宋体"/>
          <w:strike/>
          <w:color w:val="auto"/>
          <w:sz w:val="24"/>
          <w:szCs w:val="24"/>
          <w:highlight w:val="none"/>
        </w:rPr>
      </w:pPr>
      <w:r>
        <w:rPr>
          <w:rFonts w:hint="eastAsia" w:ascii="宋体" w:hAnsi="宋体" w:eastAsia="宋体"/>
          <w:color w:val="auto"/>
          <w:sz w:val="24"/>
          <w:szCs w:val="24"/>
          <w:highlight w:val="none"/>
        </w:rPr>
        <w:t>（4）监理报酬清单；</w:t>
      </w:r>
    </w:p>
    <w:p w14:paraId="1B4E77AF">
      <w:pPr>
        <w:spacing w:line="360" w:lineRule="auto"/>
        <w:ind w:firstLine="405"/>
        <w:rPr>
          <w:rFonts w:ascii="宋体" w:hAnsi="宋体" w:eastAsia="宋体"/>
          <w:color w:val="auto"/>
          <w:sz w:val="24"/>
          <w:szCs w:val="24"/>
          <w:highlight w:val="none"/>
        </w:rPr>
      </w:pPr>
      <w:r>
        <w:rPr>
          <w:rFonts w:hint="eastAsia" w:ascii="宋体" w:hAnsi="宋体" w:eastAsia="宋体"/>
          <w:color w:val="auto"/>
          <w:sz w:val="24"/>
          <w:szCs w:val="24"/>
          <w:highlight w:val="none"/>
        </w:rPr>
        <w:t>（5）资格审查资料</w:t>
      </w:r>
    </w:p>
    <w:p w14:paraId="5AE39894">
      <w:pPr>
        <w:spacing w:line="360" w:lineRule="auto"/>
        <w:ind w:firstLine="405"/>
        <w:rPr>
          <w:rFonts w:ascii="宋体" w:hAnsi="宋体" w:eastAsia="宋体"/>
          <w:color w:val="auto"/>
          <w:sz w:val="24"/>
          <w:szCs w:val="24"/>
          <w:highlight w:val="none"/>
        </w:rPr>
      </w:pPr>
      <w:r>
        <w:rPr>
          <w:rFonts w:hint="eastAsia" w:ascii="宋体" w:hAnsi="宋体" w:eastAsia="宋体"/>
          <w:color w:val="auto"/>
          <w:sz w:val="24"/>
          <w:szCs w:val="24"/>
          <w:highlight w:val="none"/>
        </w:rPr>
        <w:t>（6）监理大纲；</w:t>
      </w:r>
    </w:p>
    <w:p w14:paraId="42970E7B">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（7）其他资料。</w:t>
      </w:r>
    </w:p>
    <w:p w14:paraId="4B146831">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投标文件的上述组成部分如存在内容不一致的，以投标函为准。</w:t>
      </w:r>
    </w:p>
    <w:p w14:paraId="48A73FDA">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我方承诺在招标文件规定的投标有效期</w:t>
      </w:r>
      <w:r>
        <w:rPr>
          <w:rFonts w:hint="eastAsia" w:ascii="宋体" w:hAnsi="宋体" w:eastAsia="宋体"/>
          <w:color w:val="auto"/>
          <w:sz w:val="24"/>
          <w:szCs w:val="24"/>
          <w:highlight w:val="none"/>
          <w:u w:val="single"/>
        </w:rPr>
        <w:t>90</w:t>
      </w:r>
      <w:r>
        <w:rPr>
          <w:rFonts w:hint="eastAsia" w:ascii="宋体" w:hAnsi="宋体" w:eastAsia="宋体"/>
          <w:color w:val="auto"/>
          <w:sz w:val="24"/>
          <w:szCs w:val="24"/>
          <w:highlight w:val="none"/>
        </w:rPr>
        <w:t>日历天内不撤销投标文件。</w:t>
      </w:r>
    </w:p>
    <w:p w14:paraId="7B1DAA6F">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如我方中标，我方承诺：</w:t>
      </w:r>
    </w:p>
    <w:p w14:paraId="573451A2">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（1）在收到中标通知书后，在中标通知书规定的期限内与你方签订合同；</w:t>
      </w:r>
    </w:p>
    <w:p w14:paraId="64768D49">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（2）在签订合同时不向你方提出附加条件；</w:t>
      </w:r>
    </w:p>
    <w:p w14:paraId="63E7C940">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（3）按照招标文件要求提交履约保证金；</w:t>
      </w:r>
      <w:bookmarkStart w:id="639" w:name="_Toc369531694"/>
      <w:bookmarkStart w:id="640" w:name="_Toc352691658"/>
      <w:bookmarkStart w:id="641" w:name="_Toc1187"/>
    </w:p>
    <w:p w14:paraId="4F39F6C4">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（4）在合</w:t>
      </w:r>
      <w:bookmarkEnd w:id="639"/>
      <w:bookmarkEnd w:id="640"/>
      <w:bookmarkEnd w:id="641"/>
      <w:r>
        <w:rPr>
          <w:rFonts w:hint="eastAsia" w:ascii="宋体" w:hAnsi="宋体" w:eastAsia="宋体"/>
          <w:color w:val="auto"/>
          <w:sz w:val="24"/>
          <w:szCs w:val="24"/>
          <w:highlight w:val="none"/>
        </w:rPr>
        <w:t>同约定的期限内完成合同规定的全部义务。</w:t>
      </w:r>
    </w:p>
    <w:p w14:paraId="4254A82D">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（5）除伤亡、吊销监理工程师执业资格等合法原因不能再从事监理工作情形外，如我方更换项目总监，接受贵单位1年内拒绝我方参与贵单位后续工程投标的处理。</w:t>
      </w:r>
    </w:p>
    <w:p w14:paraId="2464717A">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5</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“投标人须知”第1.4.3项规定的任何一种情形。</w:t>
      </w:r>
    </w:p>
    <w:p w14:paraId="6305B995">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6</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如我方中标，我方承诺，满足“委托人要求”中的所有内容。</w:t>
      </w:r>
    </w:p>
    <w:p w14:paraId="7F5B79F6">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7</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如我方中标，我方承诺：我司提交的所有投标资料真实可靠，并在中标通知书发放之前，如招标人、建设行政管理部门、工程招标监督机构等提出复查投标资料原件的，我方在3个工作日之内提供。如未能及时提供或提供核查的原件不齐全或者投标资料弄虚作假的，我方将承担与此有关的一切责任，包括但不限于取消投标资格或中标资格（如果已取得中标）、没收投标保证金、接受行政监督部门的行政处罚等。</w:t>
      </w:r>
    </w:p>
    <w:bookmarkEnd w:id="559"/>
    <w:bookmarkEnd w:id="560"/>
    <w:bookmarkEnd w:id="561"/>
    <w:bookmarkEnd w:id="562"/>
    <w:bookmarkEnd w:id="563"/>
    <w:bookmarkEnd w:id="564"/>
    <w:bookmarkEnd w:id="565"/>
    <w:bookmarkEnd w:id="566"/>
    <w:bookmarkEnd w:id="567"/>
    <w:p w14:paraId="31486119">
      <w:pPr>
        <w:spacing w:line="360" w:lineRule="auto"/>
        <w:ind w:firstLine="2880" w:firstLineChars="1200"/>
        <w:jc w:val="left"/>
        <w:rPr>
          <w:rFonts w:ascii="宋体" w:hAnsi="宋体" w:eastAsia="宋体"/>
          <w:color w:val="auto"/>
          <w:sz w:val="24"/>
          <w:szCs w:val="24"/>
          <w:highlight w:val="none"/>
        </w:rPr>
      </w:pPr>
    </w:p>
    <w:p w14:paraId="1FC349F5">
      <w:pPr>
        <w:spacing w:line="360" w:lineRule="auto"/>
        <w:ind w:firstLine="2880" w:firstLineChars="1200"/>
        <w:jc w:val="left"/>
        <w:rPr>
          <w:rFonts w:ascii="宋体" w:hAnsi="宋体" w:eastAsia="宋体"/>
          <w:color w:val="auto"/>
          <w:sz w:val="24"/>
          <w:szCs w:val="24"/>
          <w:highlight w:val="none"/>
        </w:rPr>
      </w:pPr>
    </w:p>
    <w:p w14:paraId="0DE91901">
      <w:pPr>
        <w:spacing w:line="360" w:lineRule="auto"/>
        <w:ind w:firstLine="4108" w:firstLineChars="1712"/>
        <w:rPr>
          <w:rFonts w:ascii="宋体" w:hAnsi="宋体" w:eastAsia="宋体"/>
          <w:color w:val="auto"/>
          <w:sz w:val="24"/>
          <w:szCs w:val="24"/>
          <w:highlight w:val="none"/>
        </w:rPr>
      </w:pPr>
      <w:bookmarkStart w:id="642" w:name="_Toc529196602"/>
      <w:bookmarkStart w:id="643" w:name="_Toc385943066"/>
      <w:bookmarkStart w:id="644" w:name="_Toc535938753"/>
      <w:bookmarkStart w:id="645" w:name="_Toc359594236"/>
      <w:bookmarkStart w:id="646" w:name="_Toc391394112"/>
      <w:bookmarkStart w:id="647" w:name="_Toc370676427"/>
      <w:bookmarkStart w:id="648" w:name="_Toc530470645"/>
      <w:bookmarkStart w:id="649" w:name="_Toc482188652"/>
      <w:bookmarkStart w:id="650" w:name="_Toc361508752"/>
      <w:bookmarkStart w:id="651" w:name="_Toc352691661"/>
      <w:bookmarkStart w:id="652" w:name="_Toc152042576"/>
      <w:bookmarkStart w:id="653" w:name="_Toc247514246"/>
      <w:bookmarkStart w:id="654" w:name="_Toc144974856"/>
      <w:bookmarkStart w:id="655" w:name="_Toc17960"/>
      <w:bookmarkStart w:id="656" w:name="_Toc247527827"/>
      <w:bookmarkStart w:id="657" w:name="_Toc152045787"/>
      <w:bookmarkStart w:id="658" w:name="_Toc369531697"/>
      <w:bookmarkStart w:id="659" w:name="_Toc384308375"/>
      <w:bookmarkStart w:id="660" w:name="_Toc300835209"/>
      <w:r>
        <w:rPr>
          <w:rFonts w:hint="eastAsia" w:ascii="宋体" w:hAnsi="宋体" w:eastAsia="宋体"/>
          <w:color w:val="auto"/>
          <w:sz w:val="24"/>
          <w:szCs w:val="24"/>
          <w:highlight w:val="none"/>
        </w:rPr>
        <w:t>投标人：</w:t>
      </w:r>
      <w:r>
        <w:rPr>
          <w:rFonts w:ascii="宋体" w:hAnsi="宋体" w:eastAsia="宋体"/>
          <w:color w:val="auto"/>
          <w:sz w:val="24"/>
          <w:szCs w:val="24"/>
          <w:highlight w:val="none"/>
          <w:u w:val="single"/>
        </w:rPr>
        <w:tab/>
      </w:r>
      <w:r>
        <w:rPr>
          <w:rFonts w:hint="eastAsia" w:ascii="宋体" w:hAnsi="宋体" w:eastAsia="宋体"/>
          <w:color w:val="auto"/>
          <w:sz w:val="24"/>
          <w:szCs w:val="24"/>
          <w:highlight w:val="none"/>
        </w:rPr>
        <w:t>（盖单位章）</w:t>
      </w:r>
    </w:p>
    <w:p w14:paraId="2CA2AD1D">
      <w:pPr>
        <w:spacing w:line="360" w:lineRule="auto"/>
        <w:ind w:firstLine="4108" w:firstLineChars="1712"/>
        <w:rPr>
          <w:rFonts w:ascii="宋体" w:hAnsi="宋体" w:eastAsia="宋体"/>
          <w:color w:val="auto"/>
          <w:sz w:val="24"/>
          <w:szCs w:val="24"/>
          <w:highlight w:val="none"/>
        </w:rPr>
      </w:pPr>
      <w:r>
        <w:rPr>
          <w:rFonts w:hint="eastAsia" w:ascii="宋体" w:hAnsi="宋体" w:eastAsia="宋体"/>
          <w:color w:val="auto"/>
          <w:sz w:val="24"/>
          <w:szCs w:val="24"/>
          <w:highlight w:val="none"/>
        </w:rPr>
        <w:t>法定代表人</w:t>
      </w:r>
      <w:r>
        <w:rPr>
          <w:rFonts w:ascii="宋体" w:hAnsi="宋体" w:eastAsia="宋体"/>
          <w:color w:val="auto"/>
          <w:sz w:val="24"/>
          <w:szCs w:val="24"/>
          <w:highlight w:val="none"/>
        </w:rPr>
        <w:t>(</w:t>
      </w:r>
      <w:r>
        <w:rPr>
          <w:rFonts w:hint="eastAsia" w:ascii="宋体" w:hAnsi="宋体" w:eastAsia="宋体"/>
          <w:color w:val="auto"/>
          <w:sz w:val="24"/>
          <w:szCs w:val="24"/>
          <w:highlight w:val="none"/>
        </w:rPr>
        <w:t>或被授权人</w:t>
      </w:r>
      <w:r>
        <w:rPr>
          <w:rFonts w:ascii="宋体" w:hAnsi="宋体" w:eastAsia="宋体"/>
          <w:color w:val="auto"/>
          <w:sz w:val="24"/>
          <w:szCs w:val="24"/>
          <w:highlight w:val="none"/>
        </w:rPr>
        <w:t>)</w:t>
      </w:r>
      <w:r>
        <w:rPr>
          <w:rFonts w:hint="eastAsia" w:ascii="宋体" w:hAnsi="宋体" w:eastAsia="宋体"/>
          <w:color w:val="auto"/>
          <w:sz w:val="24"/>
          <w:szCs w:val="24"/>
          <w:highlight w:val="none"/>
        </w:rPr>
        <w:t>（签名或盖章）：</w:t>
      </w:r>
    </w:p>
    <w:p w14:paraId="16189B8F">
      <w:pPr>
        <w:spacing w:line="360" w:lineRule="auto"/>
        <w:ind w:firstLine="4108" w:firstLineChars="1712"/>
        <w:rPr>
          <w:rFonts w:ascii="宋体" w:hAnsi="宋体" w:eastAsia="宋体"/>
          <w:color w:val="auto"/>
          <w:sz w:val="24"/>
          <w:szCs w:val="24"/>
          <w:highlight w:val="none"/>
        </w:rPr>
      </w:pPr>
      <w:r>
        <w:rPr>
          <w:rFonts w:hint="eastAsia" w:ascii="宋体" w:hAnsi="宋体" w:eastAsia="宋体"/>
          <w:color w:val="auto"/>
          <w:sz w:val="24"/>
          <w:szCs w:val="24"/>
          <w:highlight w:val="none"/>
        </w:rPr>
        <w:t>地址：</w:t>
      </w:r>
      <w:r>
        <w:rPr>
          <w:rFonts w:ascii="宋体" w:hAnsi="宋体" w:eastAsia="宋体"/>
          <w:color w:val="auto"/>
          <w:sz w:val="24"/>
          <w:szCs w:val="24"/>
          <w:highlight w:val="none"/>
          <w:u w:val="single"/>
        </w:rPr>
        <w:tab/>
      </w:r>
      <w:r>
        <w:rPr>
          <w:rFonts w:ascii="宋体" w:hAnsi="宋体" w:eastAsia="宋体"/>
          <w:color w:val="auto"/>
          <w:sz w:val="24"/>
          <w:szCs w:val="24"/>
          <w:highlight w:val="none"/>
          <w:u w:val="single"/>
        </w:rPr>
        <w:tab/>
      </w:r>
    </w:p>
    <w:p w14:paraId="4B365293">
      <w:pPr>
        <w:spacing w:line="360" w:lineRule="auto"/>
        <w:ind w:right="85" w:firstLine="4108" w:firstLineChars="1712"/>
        <w:rPr>
          <w:rFonts w:ascii="宋体" w:hAnsi="宋体" w:eastAsia="宋体"/>
          <w:color w:val="auto"/>
          <w:sz w:val="24"/>
          <w:szCs w:val="24"/>
          <w:highlight w:val="none"/>
        </w:rPr>
      </w:pPr>
      <w:r>
        <w:rPr>
          <w:rFonts w:hint="eastAsia" w:ascii="宋体" w:hAnsi="宋体" w:eastAsia="宋体"/>
          <w:color w:val="auto"/>
          <w:sz w:val="24"/>
          <w:szCs w:val="24"/>
          <w:highlight w:val="none"/>
        </w:rPr>
        <w:t>网址：</w:t>
      </w:r>
      <w:r>
        <w:rPr>
          <w:rFonts w:ascii="宋体" w:hAnsi="宋体" w:eastAsia="宋体"/>
          <w:color w:val="auto"/>
          <w:sz w:val="24"/>
          <w:szCs w:val="24"/>
          <w:highlight w:val="none"/>
          <w:u w:val="single"/>
        </w:rPr>
        <w:tab/>
      </w:r>
      <w:r>
        <w:rPr>
          <w:rFonts w:ascii="宋体" w:hAnsi="宋体" w:eastAsia="宋体"/>
          <w:color w:val="auto"/>
          <w:sz w:val="24"/>
          <w:szCs w:val="24"/>
          <w:highlight w:val="none"/>
          <w:u w:val="single"/>
        </w:rPr>
        <w:tab/>
      </w:r>
    </w:p>
    <w:p w14:paraId="554BD47F">
      <w:pPr>
        <w:spacing w:line="360" w:lineRule="auto"/>
        <w:ind w:firstLine="4108" w:firstLineChars="1712"/>
        <w:rPr>
          <w:rFonts w:ascii="宋体" w:hAnsi="宋体" w:eastAsia="宋体"/>
          <w:color w:val="auto"/>
          <w:sz w:val="24"/>
          <w:szCs w:val="24"/>
          <w:highlight w:val="none"/>
        </w:rPr>
      </w:pPr>
      <w:r>
        <w:rPr>
          <w:rFonts w:hint="eastAsia" w:ascii="宋体" w:hAnsi="宋体" w:eastAsia="宋体"/>
          <w:color w:val="auto"/>
          <w:sz w:val="24"/>
          <w:szCs w:val="24"/>
          <w:highlight w:val="none"/>
        </w:rPr>
        <w:t>电话：</w:t>
      </w:r>
      <w:r>
        <w:rPr>
          <w:rFonts w:ascii="宋体" w:hAnsi="宋体" w:eastAsia="宋体"/>
          <w:color w:val="auto"/>
          <w:sz w:val="24"/>
          <w:szCs w:val="24"/>
          <w:highlight w:val="none"/>
          <w:u w:val="single"/>
        </w:rPr>
        <w:tab/>
      </w:r>
      <w:r>
        <w:rPr>
          <w:rFonts w:ascii="宋体" w:hAnsi="宋体" w:eastAsia="宋体"/>
          <w:color w:val="auto"/>
          <w:sz w:val="24"/>
          <w:szCs w:val="24"/>
          <w:highlight w:val="none"/>
          <w:u w:val="single"/>
        </w:rPr>
        <w:tab/>
      </w:r>
    </w:p>
    <w:p w14:paraId="62FF894A">
      <w:pPr>
        <w:spacing w:line="360" w:lineRule="auto"/>
        <w:ind w:firstLine="4108" w:firstLineChars="1712"/>
        <w:rPr>
          <w:rFonts w:ascii="宋体" w:hAnsi="宋体" w:eastAsia="宋体"/>
          <w:color w:val="auto"/>
          <w:sz w:val="24"/>
          <w:szCs w:val="24"/>
          <w:highlight w:val="none"/>
        </w:rPr>
      </w:pPr>
      <w:r>
        <w:rPr>
          <w:rFonts w:hint="eastAsia" w:ascii="宋体" w:hAnsi="宋体" w:eastAsia="宋体"/>
          <w:color w:val="auto"/>
          <w:sz w:val="24"/>
          <w:szCs w:val="24"/>
          <w:highlight w:val="none"/>
        </w:rPr>
        <w:t>传真：</w:t>
      </w:r>
      <w:r>
        <w:rPr>
          <w:rFonts w:ascii="宋体" w:hAnsi="宋体" w:eastAsia="宋体"/>
          <w:color w:val="auto"/>
          <w:sz w:val="24"/>
          <w:szCs w:val="24"/>
          <w:highlight w:val="none"/>
          <w:u w:val="single"/>
        </w:rPr>
        <w:tab/>
      </w:r>
      <w:r>
        <w:rPr>
          <w:rFonts w:ascii="宋体" w:hAnsi="宋体" w:eastAsia="宋体"/>
          <w:color w:val="auto"/>
          <w:sz w:val="24"/>
          <w:szCs w:val="24"/>
          <w:highlight w:val="none"/>
          <w:u w:val="single"/>
        </w:rPr>
        <w:tab/>
      </w:r>
    </w:p>
    <w:p w14:paraId="5644263A">
      <w:pPr>
        <w:spacing w:line="360" w:lineRule="auto"/>
        <w:ind w:firstLine="4108" w:firstLineChars="1712"/>
        <w:rPr>
          <w:rFonts w:ascii="宋体" w:hAnsi="宋体" w:eastAsia="宋体"/>
          <w:color w:val="auto"/>
          <w:sz w:val="24"/>
          <w:szCs w:val="24"/>
          <w:highlight w:val="none"/>
        </w:rPr>
      </w:pPr>
      <w:r>
        <w:rPr>
          <w:rFonts w:hint="eastAsia" w:ascii="宋体" w:hAnsi="宋体" w:eastAsia="宋体"/>
          <w:color w:val="auto"/>
          <w:sz w:val="24"/>
          <w:szCs w:val="24"/>
          <w:highlight w:val="none"/>
        </w:rPr>
        <w:t>邮政编码：</w:t>
      </w:r>
      <w:r>
        <w:rPr>
          <w:rFonts w:ascii="宋体" w:hAnsi="宋体" w:eastAsia="宋体"/>
          <w:color w:val="auto"/>
          <w:sz w:val="24"/>
          <w:szCs w:val="24"/>
          <w:highlight w:val="none"/>
          <w:u w:val="single"/>
        </w:rPr>
        <w:tab/>
      </w:r>
      <w:r>
        <w:rPr>
          <w:rFonts w:ascii="宋体" w:hAnsi="宋体" w:eastAsia="宋体"/>
          <w:color w:val="auto"/>
          <w:sz w:val="24"/>
          <w:szCs w:val="24"/>
          <w:highlight w:val="none"/>
          <w:u w:val="single"/>
        </w:rPr>
        <w:tab/>
      </w:r>
    </w:p>
    <w:p w14:paraId="698B1B76">
      <w:pPr>
        <w:spacing w:line="360" w:lineRule="auto"/>
        <w:ind w:firstLine="5308" w:firstLineChars="2212"/>
        <w:rPr>
          <w:rFonts w:ascii="宋体" w:hAnsi="宋体" w:eastAsia="宋体"/>
          <w:color w:val="auto"/>
          <w:sz w:val="24"/>
          <w:szCs w:val="24"/>
          <w:highlight w:val="none"/>
        </w:rPr>
      </w:pPr>
      <w:r>
        <w:rPr>
          <w:rFonts w:hint="eastAsia" w:ascii="宋体" w:hAnsi="宋体" w:eastAsia="宋体"/>
          <w:color w:val="auto"/>
          <w:sz w:val="24"/>
          <w:szCs w:val="24"/>
          <w:highlight w:val="none"/>
        </w:rPr>
        <w:t>年</w:t>
      </w:r>
      <w:r>
        <w:rPr>
          <w:rFonts w:hint="eastAsia" w:ascii="宋体" w:hAnsi="宋体" w:eastAsia="宋体"/>
          <w:color w:val="auto"/>
          <w:sz w:val="24"/>
          <w:szCs w:val="24"/>
          <w:highlight w:val="none"/>
          <w:lang w:val="en-US" w:eastAsia="zh-CN"/>
        </w:rPr>
        <w:t xml:space="preserve">    </w:t>
      </w:r>
      <w:r>
        <w:rPr>
          <w:rFonts w:hint="eastAsia" w:ascii="宋体" w:hAnsi="宋体" w:eastAsia="宋体"/>
          <w:color w:val="auto"/>
          <w:sz w:val="24"/>
          <w:szCs w:val="24"/>
          <w:highlight w:val="none"/>
        </w:rPr>
        <w:t>月</w:t>
      </w:r>
      <w:r>
        <w:rPr>
          <w:rFonts w:hint="eastAsia" w:ascii="宋体" w:hAnsi="宋体" w:eastAsia="宋体"/>
          <w:color w:val="auto"/>
          <w:sz w:val="24"/>
          <w:szCs w:val="24"/>
          <w:highlight w:val="none"/>
          <w:lang w:val="en-US" w:eastAsia="zh-CN"/>
        </w:rPr>
        <w:t xml:space="preserve">     </w:t>
      </w:r>
      <w:r>
        <w:rPr>
          <w:rFonts w:hint="eastAsia" w:ascii="宋体" w:hAnsi="宋体" w:eastAsia="宋体"/>
          <w:color w:val="auto"/>
          <w:sz w:val="24"/>
          <w:szCs w:val="24"/>
          <w:highlight w:val="none"/>
        </w:rPr>
        <w:t>日</w:t>
      </w:r>
    </w:p>
    <w:p w14:paraId="1EC81852">
      <w:pPr>
        <w:pStyle w:val="7"/>
        <w:spacing w:before="0" w:after="0" w:line="360" w:lineRule="auto"/>
        <w:jc w:val="center"/>
        <w:rPr>
          <w:rFonts w:hint="eastAsia" w:ascii="宋体" w:hAnsi="宋体"/>
          <w:color w:val="auto"/>
          <w:sz w:val="30"/>
          <w:szCs w:val="30"/>
          <w:highlight w:val="none"/>
        </w:rPr>
      </w:pPr>
      <w:r>
        <w:rPr>
          <w:rFonts w:hint="eastAsia" w:ascii="宋体" w:hAnsi="宋体"/>
          <w:b w:val="0"/>
          <w:bCs w:val="0"/>
          <w:color w:val="auto"/>
          <w:sz w:val="24"/>
          <w:szCs w:val="24"/>
          <w:highlight w:val="none"/>
        </w:rPr>
        <w:br w:type="page"/>
      </w:r>
      <w:r>
        <w:rPr>
          <w:rFonts w:hint="eastAsia" w:ascii="宋体" w:hAnsi="宋体"/>
          <w:color w:val="auto"/>
          <w:sz w:val="30"/>
          <w:szCs w:val="30"/>
          <w:highlight w:val="none"/>
        </w:rPr>
        <w:t>（二）投标函附录</w:t>
      </w:r>
      <w:bookmarkEnd w:id="642"/>
      <w:bookmarkEnd w:id="643"/>
      <w:bookmarkEnd w:id="644"/>
      <w:bookmarkEnd w:id="645"/>
      <w:bookmarkEnd w:id="646"/>
      <w:bookmarkEnd w:id="647"/>
      <w:bookmarkEnd w:id="648"/>
      <w:bookmarkEnd w:id="649"/>
    </w:p>
    <w:tbl>
      <w:tblPr>
        <w:tblStyle w:val="40"/>
        <w:tblW w:w="9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2268"/>
        <w:gridCol w:w="3686"/>
        <w:gridCol w:w="2477"/>
      </w:tblGrid>
      <w:tr w14:paraId="52AE3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5" w:type="dxa"/>
            <w:tcBorders>
              <w:top w:val="single" w:color="auto" w:sz="4" w:space="0"/>
              <w:left w:val="single" w:color="auto" w:sz="4" w:space="0"/>
              <w:bottom w:val="single" w:color="auto" w:sz="4" w:space="0"/>
              <w:right w:val="single" w:color="auto" w:sz="4" w:space="0"/>
            </w:tcBorders>
            <w:vAlign w:val="center"/>
          </w:tcPr>
          <w:p w14:paraId="5713EA6A">
            <w:pPr>
              <w:jc w:val="center"/>
              <w:rPr>
                <w:rFonts w:ascii="宋体" w:hAnsi="宋体" w:eastAsia="宋体"/>
                <w:b/>
                <w:color w:val="auto"/>
                <w:sz w:val="24"/>
                <w:szCs w:val="24"/>
                <w:highlight w:val="none"/>
              </w:rPr>
            </w:pPr>
            <w:r>
              <w:rPr>
                <w:rFonts w:hint="eastAsia" w:ascii="宋体" w:hAnsi="宋体" w:eastAsia="宋体"/>
                <w:b/>
                <w:color w:val="auto"/>
                <w:sz w:val="24"/>
                <w:szCs w:val="24"/>
                <w:highlight w:val="none"/>
              </w:rPr>
              <w:t>序号</w:t>
            </w:r>
          </w:p>
        </w:tc>
        <w:tc>
          <w:tcPr>
            <w:tcW w:w="2268" w:type="dxa"/>
            <w:tcBorders>
              <w:top w:val="single" w:color="auto" w:sz="4" w:space="0"/>
              <w:left w:val="single" w:color="auto" w:sz="4" w:space="0"/>
              <w:bottom w:val="single" w:color="auto" w:sz="4" w:space="0"/>
              <w:right w:val="single" w:color="auto" w:sz="4" w:space="0"/>
            </w:tcBorders>
            <w:vAlign w:val="center"/>
          </w:tcPr>
          <w:p w14:paraId="67B89035">
            <w:pPr>
              <w:jc w:val="center"/>
              <w:rPr>
                <w:rFonts w:ascii="宋体" w:hAnsi="宋体" w:eastAsia="宋体"/>
                <w:b/>
                <w:color w:val="auto"/>
                <w:sz w:val="24"/>
                <w:szCs w:val="24"/>
                <w:highlight w:val="none"/>
              </w:rPr>
            </w:pPr>
            <w:r>
              <w:rPr>
                <w:rFonts w:hint="eastAsia" w:ascii="宋体" w:hAnsi="宋体" w:eastAsia="宋体"/>
                <w:b/>
                <w:color w:val="auto"/>
                <w:sz w:val="24"/>
                <w:szCs w:val="24"/>
                <w:highlight w:val="none"/>
              </w:rPr>
              <w:t>条款名称</w:t>
            </w:r>
          </w:p>
        </w:tc>
        <w:tc>
          <w:tcPr>
            <w:tcW w:w="3686" w:type="dxa"/>
            <w:tcBorders>
              <w:top w:val="single" w:color="auto" w:sz="4" w:space="0"/>
              <w:left w:val="single" w:color="auto" w:sz="4" w:space="0"/>
              <w:bottom w:val="single" w:color="auto" w:sz="4" w:space="0"/>
              <w:right w:val="single" w:color="auto" w:sz="4" w:space="0"/>
            </w:tcBorders>
            <w:vAlign w:val="center"/>
          </w:tcPr>
          <w:p w14:paraId="5CA94541">
            <w:pPr>
              <w:jc w:val="center"/>
              <w:rPr>
                <w:rFonts w:ascii="宋体" w:hAnsi="宋体" w:eastAsia="宋体"/>
                <w:b/>
                <w:color w:val="auto"/>
                <w:sz w:val="24"/>
                <w:szCs w:val="24"/>
                <w:highlight w:val="none"/>
              </w:rPr>
            </w:pPr>
            <w:r>
              <w:rPr>
                <w:rFonts w:hint="eastAsia" w:ascii="宋体" w:hAnsi="宋体" w:eastAsia="宋体"/>
                <w:b/>
                <w:color w:val="auto"/>
                <w:sz w:val="24"/>
                <w:szCs w:val="24"/>
                <w:highlight w:val="none"/>
              </w:rPr>
              <w:t>约定内容</w:t>
            </w:r>
          </w:p>
        </w:tc>
        <w:tc>
          <w:tcPr>
            <w:tcW w:w="2477" w:type="dxa"/>
            <w:tcBorders>
              <w:top w:val="single" w:color="auto" w:sz="4" w:space="0"/>
              <w:left w:val="single" w:color="auto" w:sz="4" w:space="0"/>
              <w:bottom w:val="single" w:color="auto" w:sz="4" w:space="0"/>
              <w:right w:val="single" w:color="auto" w:sz="4" w:space="0"/>
            </w:tcBorders>
            <w:vAlign w:val="center"/>
          </w:tcPr>
          <w:p w14:paraId="3EBB16B0">
            <w:pPr>
              <w:jc w:val="center"/>
              <w:rPr>
                <w:rFonts w:ascii="宋体" w:hAnsi="宋体" w:eastAsia="宋体"/>
                <w:b/>
                <w:color w:val="auto"/>
                <w:sz w:val="24"/>
                <w:szCs w:val="24"/>
                <w:highlight w:val="none"/>
              </w:rPr>
            </w:pPr>
            <w:r>
              <w:rPr>
                <w:rFonts w:hint="eastAsia" w:ascii="宋体" w:hAnsi="宋体" w:eastAsia="宋体"/>
                <w:b/>
                <w:color w:val="auto"/>
                <w:sz w:val="24"/>
                <w:szCs w:val="24"/>
                <w:highlight w:val="none"/>
              </w:rPr>
              <w:t>备注</w:t>
            </w:r>
          </w:p>
        </w:tc>
      </w:tr>
      <w:tr w14:paraId="53671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7" w:hRule="atLeast"/>
          <w:jc w:val="center"/>
        </w:trPr>
        <w:tc>
          <w:tcPr>
            <w:tcW w:w="835" w:type="dxa"/>
            <w:tcBorders>
              <w:top w:val="single" w:color="auto" w:sz="4" w:space="0"/>
              <w:left w:val="single" w:color="auto" w:sz="4" w:space="0"/>
              <w:bottom w:val="single" w:color="auto" w:sz="4" w:space="0"/>
              <w:right w:val="single" w:color="auto" w:sz="4" w:space="0"/>
            </w:tcBorders>
            <w:vAlign w:val="center"/>
          </w:tcPr>
          <w:p w14:paraId="08778A2D">
            <w:pPr>
              <w:spacing w:before="100" w:beforeAutospacing="1" w:after="100" w:afterAutospacing="1" w:line="240" w:lineRule="auto"/>
              <w:contextualSpacing/>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1</w:t>
            </w:r>
          </w:p>
        </w:tc>
        <w:tc>
          <w:tcPr>
            <w:tcW w:w="2268" w:type="dxa"/>
            <w:tcBorders>
              <w:top w:val="single" w:color="auto" w:sz="4" w:space="0"/>
              <w:left w:val="single" w:color="auto" w:sz="4" w:space="0"/>
              <w:bottom w:val="single" w:color="auto" w:sz="4" w:space="0"/>
              <w:right w:val="single" w:color="auto" w:sz="4" w:space="0"/>
            </w:tcBorders>
            <w:vAlign w:val="center"/>
          </w:tcPr>
          <w:p w14:paraId="30AEE453">
            <w:pPr>
              <w:spacing w:before="100" w:beforeAutospacing="1" w:after="100" w:afterAutospacing="1" w:line="240" w:lineRule="auto"/>
              <w:contextualSpacing/>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总监理工程师</w:t>
            </w:r>
          </w:p>
        </w:tc>
        <w:tc>
          <w:tcPr>
            <w:tcW w:w="3686" w:type="dxa"/>
            <w:tcBorders>
              <w:top w:val="single" w:color="auto" w:sz="4" w:space="0"/>
              <w:left w:val="single" w:color="auto" w:sz="4" w:space="0"/>
              <w:bottom w:val="single" w:color="auto" w:sz="4" w:space="0"/>
              <w:right w:val="single" w:color="auto" w:sz="4" w:space="0"/>
            </w:tcBorders>
            <w:vAlign w:val="center"/>
          </w:tcPr>
          <w:p w14:paraId="664CDFA0">
            <w:pPr>
              <w:spacing w:line="240" w:lineRule="auto"/>
              <w:contextualSpacing/>
              <w:rPr>
                <w:rFonts w:ascii="宋体" w:hAnsi="宋体" w:eastAsia="宋体"/>
                <w:color w:val="auto"/>
                <w:sz w:val="24"/>
                <w:szCs w:val="24"/>
                <w:highlight w:val="none"/>
              </w:rPr>
            </w:pPr>
            <w:r>
              <w:rPr>
                <w:rFonts w:hint="eastAsia" w:ascii="宋体" w:hAnsi="宋体" w:eastAsia="宋体"/>
                <w:color w:val="auto"/>
                <w:sz w:val="24"/>
                <w:szCs w:val="24"/>
                <w:highlight w:val="none"/>
              </w:rPr>
              <w:t>姓名：</w:t>
            </w:r>
          </w:p>
          <w:p w14:paraId="54C64779">
            <w:pPr>
              <w:spacing w:line="240" w:lineRule="auto"/>
              <w:contextualSpacing/>
              <w:rPr>
                <w:rFonts w:ascii="宋体" w:hAnsi="宋体" w:eastAsia="宋体"/>
                <w:color w:val="auto"/>
                <w:sz w:val="24"/>
                <w:szCs w:val="24"/>
                <w:highlight w:val="none"/>
              </w:rPr>
            </w:pPr>
            <w:r>
              <w:rPr>
                <w:rFonts w:hint="eastAsia" w:ascii="宋体" w:hAnsi="宋体" w:eastAsia="宋体"/>
                <w:color w:val="auto"/>
                <w:sz w:val="24"/>
                <w:szCs w:val="24"/>
                <w:highlight w:val="none"/>
              </w:rPr>
              <w:t>技术职称：</w:t>
            </w:r>
          </w:p>
          <w:p w14:paraId="55C71ADC">
            <w:pPr>
              <w:pStyle w:val="18"/>
              <w:topLinePunct/>
              <w:spacing w:line="240" w:lineRule="auto"/>
              <w:contextualSpacing/>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注册证号：</w:t>
            </w:r>
          </w:p>
          <w:p w14:paraId="54565147">
            <w:pPr>
              <w:pStyle w:val="18"/>
              <w:topLinePunct/>
              <w:spacing w:line="240" w:lineRule="auto"/>
              <w:contextualSpacing/>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联系电话：</w:t>
            </w:r>
          </w:p>
          <w:p w14:paraId="2931C7EC">
            <w:pPr>
              <w:pStyle w:val="18"/>
              <w:topLinePunct/>
              <w:spacing w:line="240" w:lineRule="auto"/>
              <w:contextualSpacing/>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邮箱：</w:t>
            </w:r>
          </w:p>
        </w:tc>
        <w:tc>
          <w:tcPr>
            <w:tcW w:w="2477" w:type="dxa"/>
            <w:tcBorders>
              <w:top w:val="single" w:color="auto" w:sz="4" w:space="0"/>
              <w:left w:val="single" w:color="auto" w:sz="4" w:space="0"/>
              <w:bottom w:val="single" w:color="auto" w:sz="4" w:space="0"/>
              <w:right w:val="single" w:color="auto" w:sz="4" w:space="0"/>
            </w:tcBorders>
            <w:vAlign w:val="center"/>
          </w:tcPr>
          <w:p w14:paraId="57F5B5C7">
            <w:pPr>
              <w:spacing w:line="240" w:lineRule="auto"/>
              <w:ind w:firstLine="820" w:firstLineChars="342"/>
              <w:contextualSpacing/>
              <w:rPr>
                <w:rFonts w:ascii="宋体" w:hAnsi="宋体" w:eastAsia="宋体"/>
                <w:color w:val="auto"/>
                <w:sz w:val="24"/>
                <w:szCs w:val="24"/>
                <w:highlight w:val="none"/>
              </w:rPr>
            </w:pPr>
          </w:p>
        </w:tc>
      </w:tr>
      <w:tr w14:paraId="6B7CB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35" w:type="dxa"/>
            <w:tcBorders>
              <w:top w:val="single" w:color="auto" w:sz="4" w:space="0"/>
              <w:left w:val="single" w:color="auto" w:sz="4" w:space="0"/>
              <w:bottom w:val="single" w:color="auto" w:sz="4" w:space="0"/>
              <w:right w:val="single" w:color="auto" w:sz="4" w:space="0"/>
            </w:tcBorders>
            <w:vAlign w:val="center"/>
          </w:tcPr>
          <w:p w14:paraId="118B6787">
            <w:pPr>
              <w:spacing w:before="100" w:beforeAutospacing="1" w:after="100" w:afterAutospacing="1" w:line="240" w:lineRule="auto"/>
              <w:contextualSpacing/>
              <w:jc w:val="center"/>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2</w:t>
            </w:r>
          </w:p>
        </w:tc>
        <w:tc>
          <w:tcPr>
            <w:tcW w:w="2268" w:type="dxa"/>
            <w:tcBorders>
              <w:top w:val="single" w:color="auto" w:sz="4" w:space="0"/>
              <w:left w:val="single" w:color="auto" w:sz="4" w:space="0"/>
              <w:bottom w:val="single" w:color="auto" w:sz="4" w:space="0"/>
              <w:right w:val="single" w:color="auto" w:sz="4" w:space="0"/>
            </w:tcBorders>
            <w:vAlign w:val="center"/>
          </w:tcPr>
          <w:p w14:paraId="25982BCA">
            <w:pPr>
              <w:spacing w:before="100" w:beforeAutospacing="1" w:after="100" w:afterAutospacing="1" w:line="240" w:lineRule="auto"/>
              <w:contextualSpacing/>
              <w:jc w:val="center"/>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专业监理工程师</w:t>
            </w:r>
          </w:p>
        </w:tc>
        <w:tc>
          <w:tcPr>
            <w:tcW w:w="3686" w:type="dxa"/>
            <w:tcBorders>
              <w:top w:val="single" w:color="auto" w:sz="4" w:space="0"/>
              <w:left w:val="single" w:color="auto" w:sz="4" w:space="0"/>
              <w:bottom w:val="single" w:color="auto" w:sz="4" w:space="0"/>
              <w:right w:val="single" w:color="auto" w:sz="4" w:space="0"/>
            </w:tcBorders>
            <w:vAlign w:val="center"/>
          </w:tcPr>
          <w:p w14:paraId="55810E1C">
            <w:pPr>
              <w:pStyle w:val="18"/>
              <w:topLinePunct/>
              <w:spacing w:line="240" w:lineRule="auto"/>
              <w:contextualSpacing/>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姓名：</w:t>
            </w:r>
          </w:p>
          <w:p w14:paraId="1DE66F70">
            <w:pPr>
              <w:pStyle w:val="18"/>
              <w:topLinePunct/>
              <w:spacing w:line="240" w:lineRule="auto"/>
              <w:contextualSpacing/>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联系电话：</w:t>
            </w:r>
          </w:p>
        </w:tc>
        <w:tc>
          <w:tcPr>
            <w:tcW w:w="2477" w:type="dxa"/>
            <w:tcBorders>
              <w:top w:val="single" w:color="auto" w:sz="4" w:space="0"/>
              <w:left w:val="single" w:color="auto" w:sz="4" w:space="0"/>
              <w:bottom w:val="single" w:color="auto" w:sz="4" w:space="0"/>
              <w:right w:val="single" w:color="auto" w:sz="4" w:space="0"/>
            </w:tcBorders>
            <w:vAlign w:val="center"/>
          </w:tcPr>
          <w:p w14:paraId="16535C58">
            <w:pPr>
              <w:spacing w:line="240" w:lineRule="auto"/>
              <w:ind w:firstLine="820" w:firstLineChars="342"/>
              <w:contextualSpacing/>
              <w:rPr>
                <w:rFonts w:ascii="宋体" w:hAnsi="宋体" w:eastAsia="宋体"/>
                <w:color w:val="auto"/>
                <w:sz w:val="24"/>
                <w:szCs w:val="24"/>
                <w:highlight w:val="none"/>
              </w:rPr>
            </w:pPr>
          </w:p>
        </w:tc>
      </w:tr>
      <w:tr w14:paraId="108DF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835" w:type="dxa"/>
            <w:tcBorders>
              <w:top w:val="single" w:color="auto" w:sz="4" w:space="0"/>
              <w:left w:val="single" w:color="auto" w:sz="4" w:space="0"/>
              <w:bottom w:val="single" w:color="auto" w:sz="4" w:space="0"/>
              <w:right w:val="single" w:color="auto" w:sz="4" w:space="0"/>
            </w:tcBorders>
            <w:vAlign w:val="center"/>
          </w:tcPr>
          <w:p w14:paraId="434A2F61">
            <w:pPr>
              <w:spacing w:before="100" w:beforeAutospacing="1" w:after="100" w:afterAutospacing="1" w:line="240" w:lineRule="auto"/>
              <w:contextualSpacing/>
              <w:jc w:val="center"/>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3</w:t>
            </w:r>
          </w:p>
        </w:tc>
        <w:tc>
          <w:tcPr>
            <w:tcW w:w="2268" w:type="dxa"/>
            <w:tcBorders>
              <w:top w:val="single" w:color="auto" w:sz="4" w:space="0"/>
              <w:left w:val="single" w:color="auto" w:sz="4" w:space="0"/>
              <w:bottom w:val="single" w:color="auto" w:sz="4" w:space="0"/>
              <w:right w:val="single" w:color="auto" w:sz="4" w:space="0"/>
            </w:tcBorders>
            <w:vAlign w:val="center"/>
          </w:tcPr>
          <w:p w14:paraId="0BE3AABD">
            <w:pPr>
              <w:spacing w:before="100" w:beforeAutospacing="1" w:after="100" w:afterAutospacing="1" w:line="240" w:lineRule="auto"/>
              <w:contextualSpacing/>
              <w:jc w:val="center"/>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驻场</w:t>
            </w:r>
            <w:r>
              <w:rPr>
                <w:rFonts w:hint="eastAsia" w:ascii="宋体" w:hAnsi="宋体" w:eastAsia="宋体"/>
                <w:color w:val="auto"/>
                <w:sz w:val="24"/>
                <w:szCs w:val="24"/>
                <w:highlight w:val="none"/>
                <w:lang w:eastAsia="zh-CN"/>
              </w:rPr>
              <w:t>监理员</w:t>
            </w:r>
          </w:p>
        </w:tc>
        <w:tc>
          <w:tcPr>
            <w:tcW w:w="3686" w:type="dxa"/>
            <w:tcBorders>
              <w:top w:val="single" w:color="auto" w:sz="4" w:space="0"/>
              <w:left w:val="single" w:color="auto" w:sz="4" w:space="0"/>
              <w:bottom w:val="single" w:color="auto" w:sz="4" w:space="0"/>
              <w:right w:val="single" w:color="auto" w:sz="4" w:space="0"/>
            </w:tcBorders>
            <w:vAlign w:val="center"/>
          </w:tcPr>
          <w:p w14:paraId="22077F6F">
            <w:pPr>
              <w:pStyle w:val="18"/>
              <w:topLinePunct/>
              <w:spacing w:line="240" w:lineRule="auto"/>
              <w:contextualSpacing/>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姓名：</w:t>
            </w:r>
          </w:p>
          <w:p w14:paraId="0F780F3F">
            <w:pPr>
              <w:pStyle w:val="18"/>
              <w:topLinePunct/>
              <w:spacing w:line="240" w:lineRule="auto"/>
              <w:contextualSpacing/>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联系电话：</w:t>
            </w:r>
          </w:p>
        </w:tc>
        <w:tc>
          <w:tcPr>
            <w:tcW w:w="2477" w:type="dxa"/>
            <w:tcBorders>
              <w:top w:val="single" w:color="auto" w:sz="4" w:space="0"/>
              <w:left w:val="single" w:color="auto" w:sz="4" w:space="0"/>
              <w:bottom w:val="single" w:color="auto" w:sz="4" w:space="0"/>
              <w:right w:val="single" w:color="auto" w:sz="4" w:space="0"/>
            </w:tcBorders>
            <w:vAlign w:val="center"/>
          </w:tcPr>
          <w:p w14:paraId="5C2FD4C1">
            <w:pPr>
              <w:spacing w:line="240" w:lineRule="auto"/>
              <w:ind w:firstLine="820" w:firstLineChars="342"/>
              <w:contextualSpacing/>
              <w:rPr>
                <w:rFonts w:ascii="宋体" w:hAnsi="宋体" w:eastAsia="宋体"/>
                <w:color w:val="auto"/>
                <w:sz w:val="24"/>
                <w:szCs w:val="24"/>
                <w:highlight w:val="none"/>
              </w:rPr>
            </w:pPr>
          </w:p>
        </w:tc>
      </w:tr>
      <w:tr w14:paraId="59EE7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5" w:type="dxa"/>
            <w:tcBorders>
              <w:top w:val="single" w:color="auto" w:sz="4" w:space="0"/>
              <w:left w:val="single" w:color="auto" w:sz="4" w:space="0"/>
              <w:bottom w:val="single" w:color="auto" w:sz="4" w:space="0"/>
              <w:right w:val="single" w:color="auto" w:sz="4" w:space="0"/>
            </w:tcBorders>
            <w:vAlign w:val="center"/>
          </w:tcPr>
          <w:p w14:paraId="0C25AC51">
            <w:pPr>
              <w:spacing w:line="240" w:lineRule="auto"/>
              <w:contextualSpacing/>
              <w:jc w:val="center"/>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val="en-US" w:eastAsia="zh-CN"/>
              </w:rPr>
              <w:t>4</w:t>
            </w:r>
          </w:p>
        </w:tc>
        <w:tc>
          <w:tcPr>
            <w:tcW w:w="2268" w:type="dxa"/>
            <w:tcBorders>
              <w:top w:val="single" w:color="auto" w:sz="4" w:space="0"/>
              <w:left w:val="single" w:color="auto" w:sz="4" w:space="0"/>
              <w:bottom w:val="single" w:color="auto" w:sz="4" w:space="0"/>
              <w:right w:val="single" w:color="auto" w:sz="4" w:space="0"/>
            </w:tcBorders>
            <w:vAlign w:val="center"/>
          </w:tcPr>
          <w:p w14:paraId="434CA0E6">
            <w:pPr>
              <w:spacing w:before="100" w:beforeAutospacing="1" w:after="100" w:afterAutospacing="1" w:line="240" w:lineRule="auto"/>
              <w:contextualSpacing/>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监理服务期限</w:t>
            </w:r>
          </w:p>
        </w:tc>
        <w:tc>
          <w:tcPr>
            <w:tcW w:w="3686" w:type="dxa"/>
            <w:tcBorders>
              <w:top w:val="single" w:color="auto" w:sz="4" w:space="0"/>
              <w:left w:val="single" w:color="auto" w:sz="4" w:space="0"/>
              <w:bottom w:val="single" w:color="auto" w:sz="4" w:space="0"/>
              <w:right w:val="single" w:color="auto" w:sz="4" w:space="0"/>
            </w:tcBorders>
            <w:vAlign w:val="center"/>
          </w:tcPr>
          <w:p w14:paraId="2ED3D7FC">
            <w:pPr>
              <w:pStyle w:val="18"/>
              <w:topLinePunct/>
              <w:spacing w:line="240" w:lineRule="auto"/>
              <w:contextualSpacing/>
              <w:rPr>
                <w:rFonts w:ascii="宋体" w:hAnsi="宋体" w:eastAsia="宋体"/>
                <w:color w:val="auto"/>
                <w:sz w:val="24"/>
                <w:szCs w:val="24"/>
                <w:highlight w:val="none"/>
              </w:rPr>
            </w:pPr>
            <w:r>
              <w:rPr>
                <w:rFonts w:hint="eastAsia" w:ascii="宋体" w:hAnsi="宋体" w:eastAsia="宋体"/>
                <w:color w:val="auto"/>
                <w:sz w:val="24"/>
                <w:szCs w:val="24"/>
                <w:highlight w:val="none"/>
                <w:u w:val="single"/>
              </w:rPr>
              <w:t>按招标文件要求</w:t>
            </w:r>
          </w:p>
        </w:tc>
        <w:tc>
          <w:tcPr>
            <w:tcW w:w="2477" w:type="dxa"/>
            <w:tcBorders>
              <w:top w:val="single" w:color="auto" w:sz="4" w:space="0"/>
              <w:left w:val="single" w:color="auto" w:sz="4" w:space="0"/>
              <w:bottom w:val="single" w:color="auto" w:sz="4" w:space="0"/>
              <w:right w:val="single" w:color="auto" w:sz="4" w:space="0"/>
            </w:tcBorders>
            <w:vAlign w:val="center"/>
          </w:tcPr>
          <w:p w14:paraId="5B2AA9C3">
            <w:pPr>
              <w:spacing w:line="240" w:lineRule="auto"/>
              <w:contextualSpacing/>
              <w:rPr>
                <w:rFonts w:ascii="宋体" w:hAnsi="宋体" w:eastAsia="宋体"/>
                <w:color w:val="auto"/>
                <w:sz w:val="24"/>
                <w:szCs w:val="24"/>
                <w:highlight w:val="none"/>
              </w:rPr>
            </w:pPr>
          </w:p>
        </w:tc>
      </w:tr>
      <w:tr w14:paraId="3089F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5" w:type="dxa"/>
            <w:tcBorders>
              <w:top w:val="single" w:color="auto" w:sz="4" w:space="0"/>
              <w:left w:val="single" w:color="auto" w:sz="4" w:space="0"/>
              <w:bottom w:val="single" w:color="auto" w:sz="4" w:space="0"/>
              <w:right w:val="single" w:color="auto" w:sz="4" w:space="0"/>
            </w:tcBorders>
            <w:vAlign w:val="center"/>
          </w:tcPr>
          <w:p w14:paraId="596B2B1F">
            <w:pPr>
              <w:tabs>
                <w:tab w:val="left" w:pos="360"/>
              </w:tabs>
              <w:spacing w:line="240" w:lineRule="auto"/>
              <w:contextualSpacing/>
              <w:jc w:val="center"/>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val="en-US" w:eastAsia="zh-CN"/>
              </w:rPr>
              <w:t>5</w:t>
            </w:r>
          </w:p>
        </w:tc>
        <w:tc>
          <w:tcPr>
            <w:tcW w:w="2268" w:type="dxa"/>
            <w:tcBorders>
              <w:top w:val="single" w:color="auto" w:sz="4" w:space="0"/>
              <w:left w:val="single" w:color="auto" w:sz="4" w:space="0"/>
              <w:bottom w:val="single" w:color="auto" w:sz="4" w:space="0"/>
              <w:right w:val="single" w:color="auto" w:sz="4" w:space="0"/>
            </w:tcBorders>
            <w:vAlign w:val="center"/>
          </w:tcPr>
          <w:p w14:paraId="67949C20">
            <w:pPr>
              <w:spacing w:before="100" w:beforeAutospacing="1" w:after="100" w:afterAutospacing="1" w:line="240" w:lineRule="auto"/>
              <w:contextualSpacing/>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合同价款确定方式</w:t>
            </w:r>
          </w:p>
        </w:tc>
        <w:tc>
          <w:tcPr>
            <w:tcW w:w="3686" w:type="dxa"/>
            <w:tcBorders>
              <w:top w:val="single" w:color="auto" w:sz="4" w:space="0"/>
              <w:left w:val="single" w:color="auto" w:sz="4" w:space="0"/>
              <w:bottom w:val="single" w:color="auto" w:sz="4" w:space="0"/>
              <w:right w:val="single" w:color="auto" w:sz="4" w:space="0"/>
            </w:tcBorders>
            <w:vAlign w:val="center"/>
          </w:tcPr>
          <w:p w14:paraId="2BF733E3">
            <w:pPr>
              <w:spacing w:line="240" w:lineRule="auto"/>
              <w:contextualSpacing/>
              <w:rPr>
                <w:rFonts w:ascii="宋体" w:hAnsi="宋体" w:eastAsia="宋体"/>
                <w:color w:val="auto"/>
                <w:sz w:val="24"/>
                <w:szCs w:val="24"/>
                <w:highlight w:val="none"/>
              </w:rPr>
            </w:pPr>
            <w:r>
              <w:rPr>
                <w:rFonts w:hint="eastAsia" w:ascii="宋体" w:hAnsi="宋体" w:eastAsia="宋体"/>
                <w:color w:val="auto"/>
                <w:sz w:val="24"/>
                <w:szCs w:val="24"/>
                <w:highlight w:val="none"/>
                <w:u w:val="single"/>
              </w:rPr>
              <w:t>按合同约定</w:t>
            </w:r>
          </w:p>
        </w:tc>
        <w:tc>
          <w:tcPr>
            <w:tcW w:w="2477" w:type="dxa"/>
            <w:tcBorders>
              <w:top w:val="single" w:color="auto" w:sz="4" w:space="0"/>
              <w:left w:val="single" w:color="auto" w:sz="4" w:space="0"/>
              <w:bottom w:val="single" w:color="auto" w:sz="4" w:space="0"/>
              <w:right w:val="single" w:color="auto" w:sz="4" w:space="0"/>
            </w:tcBorders>
            <w:vAlign w:val="center"/>
          </w:tcPr>
          <w:p w14:paraId="55363A3A">
            <w:pPr>
              <w:tabs>
                <w:tab w:val="left" w:pos="360"/>
              </w:tabs>
              <w:spacing w:line="240" w:lineRule="auto"/>
              <w:contextualSpacing/>
              <w:jc w:val="center"/>
              <w:rPr>
                <w:rFonts w:ascii="宋体" w:hAnsi="宋体" w:eastAsia="宋体"/>
                <w:color w:val="auto"/>
                <w:sz w:val="24"/>
                <w:szCs w:val="24"/>
                <w:highlight w:val="none"/>
              </w:rPr>
            </w:pPr>
          </w:p>
        </w:tc>
      </w:tr>
      <w:tr w14:paraId="01927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5" w:type="dxa"/>
            <w:tcBorders>
              <w:top w:val="single" w:color="auto" w:sz="4" w:space="0"/>
              <w:left w:val="single" w:color="auto" w:sz="4" w:space="0"/>
              <w:bottom w:val="single" w:color="auto" w:sz="4" w:space="0"/>
              <w:right w:val="single" w:color="auto" w:sz="4" w:space="0"/>
            </w:tcBorders>
            <w:vAlign w:val="center"/>
          </w:tcPr>
          <w:p w14:paraId="31775F6C">
            <w:pPr>
              <w:spacing w:line="240" w:lineRule="auto"/>
              <w:contextualSpacing/>
              <w:jc w:val="center"/>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val="en-US" w:eastAsia="zh-CN"/>
              </w:rPr>
              <w:t>6</w:t>
            </w:r>
          </w:p>
        </w:tc>
        <w:tc>
          <w:tcPr>
            <w:tcW w:w="2268" w:type="dxa"/>
            <w:tcBorders>
              <w:top w:val="single" w:color="auto" w:sz="4" w:space="0"/>
              <w:left w:val="single" w:color="auto" w:sz="4" w:space="0"/>
              <w:bottom w:val="single" w:color="auto" w:sz="4" w:space="0"/>
              <w:right w:val="single" w:color="auto" w:sz="4" w:space="0"/>
            </w:tcBorders>
            <w:vAlign w:val="center"/>
          </w:tcPr>
          <w:p w14:paraId="204AFDDD">
            <w:pPr>
              <w:spacing w:line="240" w:lineRule="auto"/>
              <w:contextualSpacing/>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质量标准</w:t>
            </w:r>
          </w:p>
        </w:tc>
        <w:tc>
          <w:tcPr>
            <w:tcW w:w="3686" w:type="dxa"/>
            <w:tcBorders>
              <w:top w:val="single" w:color="auto" w:sz="4" w:space="0"/>
              <w:left w:val="single" w:color="auto" w:sz="4" w:space="0"/>
              <w:bottom w:val="single" w:color="auto" w:sz="4" w:space="0"/>
              <w:right w:val="single" w:color="auto" w:sz="4" w:space="0"/>
            </w:tcBorders>
            <w:vAlign w:val="center"/>
          </w:tcPr>
          <w:p w14:paraId="41C7BB01">
            <w:pPr>
              <w:spacing w:line="240" w:lineRule="auto"/>
              <w:contextualSpacing/>
              <w:rPr>
                <w:rFonts w:ascii="宋体" w:hAnsi="宋体" w:eastAsia="宋体"/>
                <w:color w:val="auto"/>
                <w:sz w:val="24"/>
                <w:szCs w:val="24"/>
                <w:highlight w:val="none"/>
              </w:rPr>
            </w:pPr>
            <w:r>
              <w:rPr>
                <w:rFonts w:hint="eastAsia" w:ascii="宋体" w:hAnsi="宋体" w:eastAsia="宋体"/>
                <w:color w:val="auto"/>
                <w:sz w:val="24"/>
                <w:szCs w:val="24"/>
                <w:highlight w:val="none"/>
                <w:u w:val="single"/>
              </w:rPr>
              <w:t>按招标文件要求</w:t>
            </w:r>
          </w:p>
        </w:tc>
        <w:tc>
          <w:tcPr>
            <w:tcW w:w="2477" w:type="dxa"/>
            <w:tcBorders>
              <w:top w:val="single" w:color="auto" w:sz="4" w:space="0"/>
              <w:left w:val="single" w:color="auto" w:sz="4" w:space="0"/>
              <w:bottom w:val="single" w:color="auto" w:sz="4" w:space="0"/>
              <w:right w:val="single" w:color="auto" w:sz="4" w:space="0"/>
            </w:tcBorders>
            <w:vAlign w:val="center"/>
          </w:tcPr>
          <w:p w14:paraId="2FA00389">
            <w:pPr>
              <w:tabs>
                <w:tab w:val="left" w:pos="360"/>
              </w:tabs>
              <w:spacing w:line="240" w:lineRule="auto"/>
              <w:contextualSpacing/>
              <w:jc w:val="center"/>
              <w:rPr>
                <w:rFonts w:ascii="宋体" w:hAnsi="宋体" w:eastAsia="宋体"/>
                <w:color w:val="auto"/>
                <w:sz w:val="24"/>
                <w:szCs w:val="24"/>
                <w:highlight w:val="none"/>
              </w:rPr>
            </w:pPr>
          </w:p>
        </w:tc>
      </w:tr>
      <w:tr w14:paraId="639A6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5" w:type="dxa"/>
            <w:tcBorders>
              <w:top w:val="single" w:color="auto" w:sz="4" w:space="0"/>
              <w:left w:val="single" w:color="auto" w:sz="4" w:space="0"/>
              <w:bottom w:val="single" w:color="auto" w:sz="4" w:space="0"/>
              <w:right w:val="single" w:color="auto" w:sz="4" w:space="0"/>
            </w:tcBorders>
            <w:vAlign w:val="center"/>
          </w:tcPr>
          <w:p w14:paraId="24AFF20A">
            <w:pPr>
              <w:spacing w:line="240" w:lineRule="auto"/>
              <w:contextualSpacing/>
              <w:jc w:val="center"/>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val="en-US" w:eastAsia="zh-CN"/>
              </w:rPr>
              <w:t>7</w:t>
            </w:r>
          </w:p>
        </w:tc>
        <w:tc>
          <w:tcPr>
            <w:tcW w:w="2268" w:type="dxa"/>
            <w:tcBorders>
              <w:top w:val="single" w:color="auto" w:sz="4" w:space="0"/>
              <w:left w:val="single" w:color="auto" w:sz="4" w:space="0"/>
              <w:bottom w:val="single" w:color="auto" w:sz="4" w:space="0"/>
              <w:right w:val="single" w:color="auto" w:sz="4" w:space="0"/>
            </w:tcBorders>
            <w:vAlign w:val="center"/>
          </w:tcPr>
          <w:p w14:paraId="28FB6E91">
            <w:pPr>
              <w:spacing w:line="240" w:lineRule="auto"/>
              <w:contextualSpacing/>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拟投入本项目监理机构人数</w:t>
            </w:r>
          </w:p>
        </w:tc>
        <w:tc>
          <w:tcPr>
            <w:tcW w:w="3686" w:type="dxa"/>
            <w:tcBorders>
              <w:top w:val="single" w:color="auto" w:sz="4" w:space="0"/>
              <w:left w:val="single" w:color="auto" w:sz="4" w:space="0"/>
              <w:bottom w:val="single" w:color="auto" w:sz="4" w:space="0"/>
              <w:right w:val="single" w:color="auto" w:sz="4" w:space="0"/>
            </w:tcBorders>
            <w:vAlign w:val="center"/>
          </w:tcPr>
          <w:p w14:paraId="3CF01D9B">
            <w:pPr>
              <w:spacing w:line="240" w:lineRule="auto"/>
              <w:contextualSpacing/>
              <w:rPr>
                <w:rFonts w:ascii="宋体" w:hAnsi="宋体" w:eastAsia="宋体"/>
                <w:color w:val="auto"/>
                <w:sz w:val="24"/>
                <w:szCs w:val="24"/>
                <w:highlight w:val="none"/>
              </w:rPr>
            </w:pPr>
            <w:r>
              <w:rPr>
                <w:rFonts w:hint="eastAsia" w:ascii="宋体" w:hAnsi="宋体" w:eastAsia="宋体"/>
                <w:color w:val="auto"/>
                <w:sz w:val="24"/>
                <w:szCs w:val="24"/>
                <w:highlight w:val="none"/>
              </w:rPr>
              <w:t>人数：</w:t>
            </w:r>
          </w:p>
        </w:tc>
        <w:tc>
          <w:tcPr>
            <w:tcW w:w="2477" w:type="dxa"/>
            <w:tcBorders>
              <w:top w:val="single" w:color="auto" w:sz="4" w:space="0"/>
              <w:left w:val="single" w:color="auto" w:sz="4" w:space="0"/>
              <w:bottom w:val="single" w:color="auto" w:sz="4" w:space="0"/>
              <w:right w:val="single" w:color="auto" w:sz="4" w:space="0"/>
            </w:tcBorders>
            <w:vAlign w:val="center"/>
          </w:tcPr>
          <w:p w14:paraId="0C6A54BE">
            <w:pPr>
              <w:tabs>
                <w:tab w:val="left" w:pos="360"/>
              </w:tabs>
              <w:spacing w:line="240" w:lineRule="auto"/>
              <w:contextualSpacing/>
              <w:jc w:val="center"/>
              <w:rPr>
                <w:rFonts w:ascii="宋体" w:hAnsi="宋体" w:eastAsia="宋体"/>
                <w:color w:val="auto"/>
                <w:sz w:val="24"/>
                <w:szCs w:val="24"/>
                <w:highlight w:val="none"/>
              </w:rPr>
            </w:pPr>
          </w:p>
        </w:tc>
      </w:tr>
      <w:tr w14:paraId="0F8D8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5" w:type="dxa"/>
            <w:tcBorders>
              <w:top w:val="single" w:color="auto" w:sz="4" w:space="0"/>
              <w:left w:val="single" w:color="auto" w:sz="4" w:space="0"/>
              <w:bottom w:val="single" w:color="auto" w:sz="4" w:space="0"/>
              <w:right w:val="single" w:color="auto" w:sz="4" w:space="0"/>
            </w:tcBorders>
            <w:vAlign w:val="center"/>
          </w:tcPr>
          <w:p w14:paraId="1A35384D">
            <w:pPr>
              <w:spacing w:line="240" w:lineRule="auto"/>
              <w:contextualSpacing/>
              <w:jc w:val="center"/>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val="en-US" w:eastAsia="zh-CN"/>
              </w:rPr>
              <w:t>8</w:t>
            </w:r>
          </w:p>
        </w:tc>
        <w:tc>
          <w:tcPr>
            <w:tcW w:w="2268" w:type="dxa"/>
            <w:tcBorders>
              <w:top w:val="single" w:color="auto" w:sz="4" w:space="0"/>
              <w:left w:val="single" w:color="auto" w:sz="4" w:space="0"/>
              <w:bottom w:val="single" w:color="auto" w:sz="4" w:space="0"/>
              <w:right w:val="single" w:color="auto" w:sz="4" w:space="0"/>
            </w:tcBorders>
            <w:vAlign w:val="center"/>
          </w:tcPr>
          <w:p w14:paraId="4F0C6B26">
            <w:pPr>
              <w:spacing w:line="240" w:lineRule="auto"/>
              <w:contextualSpacing/>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投标总报价</w:t>
            </w:r>
          </w:p>
        </w:tc>
        <w:tc>
          <w:tcPr>
            <w:tcW w:w="3686" w:type="dxa"/>
            <w:tcBorders>
              <w:top w:val="single" w:color="auto" w:sz="4" w:space="0"/>
              <w:left w:val="single" w:color="auto" w:sz="4" w:space="0"/>
              <w:bottom w:val="single" w:color="auto" w:sz="4" w:space="0"/>
              <w:right w:val="single" w:color="auto" w:sz="4" w:space="0"/>
            </w:tcBorders>
            <w:vAlign w:val="center"/>
          </w:tcPr>
          <w:p w14:paraId="652233AC">
            <w:pPr>
              <w:spacing w:before="156" w:beforeLines="50" w:after="156" w:afterLines="50" w:line="240" w:lineRule="auto"/>
              <w:contextualSpacing/>
              <w:rPr>
                <w:rFonts w:ascii="宋体" w:hAnsi="宋体" w:eastAsia="宋体"/>
                <w:color w:val="auto"/>
                <w:sz w:val="24"/>
                <w:szCs w:val="24"/>
                <w:highlight w:val="none"/>
                <w:u w:val="single"/>
              </w:rPr>
            </w:pP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 xml:space="preserve">元 </w:t>
            </w:r>
          </w:p>
        </w:tc>
        <w:tc>
          <w:tcPr>
            <w:tcW w:w="2477" w:type="dxa"/>
            <w:tcBorders>
              <w:top w:val="single" w:color="auto" w:sz="4" w:space="0"/>
              <w:left w:val="single" w:color="auto" w:sz="4" w:space="0"/>
              <w:bottom w:val="single" w:color="auto" w:sz="4" w:space="0"/>
              <w:right w:val="single" w:color="auto" w:sz="4" w:space="0"/>
            </w:tcBorders>
            <w:vAlign w:val="center"/>
          </w:tcPr>
          <w:p w14:paraId="5216D2C1">
            <w:pPr>
              <w:tabs>
                <w:tab w:val="left" w:pos="360"/>
              </w:tabs>
              <w:spacing w:line="240" w:lineRule="auto"/>
              <w:contextualSpacing/>
              <w:jc w:val="left"/>
              <w:rPr>
                <w:rFonts w:ascii="宋体" w:hAnsi="宋体" w:eastAsia="宋体"/>
                <w:color w:val="auto"/>
                <w:szCs w:val="21"/>
                <w:highlight w:val="none"/>
              </w:rPr>
            </w:pPr>
          </w:p>
        </w:tc>
      </w:tr>
      <w:tr w14:paraId="7BB19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835" w:type="dxa"/>
            <w:tcBorders>
              <w:top w:val="single" w:color="auto" w:sz="4" w:space="0"/>
              <w:left w:val="single" w:color="auto" w:sz="4" w:space="0"/>
              <w:bottom w:val="single" w:color="auto" w:sz="4" w:space="0"/>
              <w:right w:val="single" w:color="auto" w:sz="4" w:space="0"/>
            </w:tcBorders>
            <w:vAlign w:val="center"/>
          </w:tcPr>
          <w:p w14:paraId="6DE0C9E5">
            <w:pPr>
              <w:spacing w:line="240" w:lineRule="auto"/>
              <w:contextualSpacing/>
              <w:jc w:val="center"/>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val="en-US" w:eastAsia="zh-CN"/>
              </w:rPr>
              <w:t>9</w:t>
            </w:r>
          </w:p>
        </w:tc>
        <w:tc>
          <w:tcPr>
            <w:tcW w:w="2268" w:type="dxa"/>
            <w:tcBorders>
              <w:top w:val="single" w:color="auto" w:sz="4" w:space="0"/>
              <w:left w:val="single" w:color="auto" w:sz="4" w:space="0"/>
              <w:bottom w:val="single" w:color="auto" w:sz="4" w:space="0"/>
              <w:right w:val="single" w:color="auto" w:sz="4" w:space="0"/>
            </w:tcBorders>
            <w:vAlign w:val="center"/>
          </w:tcPr>
          <w:p w14:paraId="43182FAD">
            <w:pPr>
              <w:spacing w:line="240" w:lineRule="auto"/>
              <w:contextualSpacing/>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法 人 营 业</w:t>
            </w:r>
          </w:p>
          <w:p w14:paraId="0189758A">
            <w:pPr>
              <w:spacing w:line="240" w:lineRule="auto"/>
              <w:contextualSpacing/>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执 照 证 号</w:t>
            </w:r>
          </w:p>
        </w:tc>
        <w:tc>
          <w:tcPr>
            <w:tcW w:w="3686" w:type="dxa"/>
            <w:tcBorders>
              <w:top w:val="single" w:color="auto" w:sz="4" w:space="0"/>
              <w:left w:val="single" w:color="auto" w:sz="4" w:space="0"/>
              <w:bottom w:val="single" w:color="auto" w:sz="4" w:space="0"/>
              <w:right w:val="single" w:color="auto" w:sz="4" w:space="0"/>
            </w:tcBorders>
            <w:vAlign w:val="center"/>
          </w:tcPr>
          <w:p w14:paraId="632EFE27">
            <w:pPr>
              <w:spacing w:line="240" w:lineRule="auto"/>
              <w:contextualSpacing/>
              <w:rPr>
                <w:rFonts w:ascii="宋体" w:hAnsi="宋体" w:eastAsia="宋体"/>
                <w:color w:val="auto"/>
                <w:sz w:val="24"/>
                <w:szCs w:val="24"/>
                <w:highlight w:val="none"/>
              </w:rPr>
            </w:pPr>
            <w:r>
              <w:rPr>
                <w:rFonts w:hint="eastAsia" w:ascii="宋体" w:hAnsi="宋体" w:eastAsia="宋体"/>
                <w:color w:val="auto"/>
                <w:sz w:val="24"/>
                <w:szCs w:val="24"/>
                <w:highlight w:val="none"/>
              </w:rPr>
              <w:t>法 人 营 业</w:t>
            </w:r>
          </w:p>
          <w:p w14:paraId="7852C761">
            <w:pPr>
              <w:spacing w:line="240" w:lineRule="auto"/>
              <w:contextualSpacing/>
              <w:rPr>
                <w:rFonts w:ascii="宋体" w:hAnsi="宋体" w:eastAsia="宋体"/>
                <w:color w:val="auto"/>
                <w:sz w:val="24"/>
                <w:szCs w:val="24"/>
                <w:highlight w:val="none"/>
              </w:rPr>
            </w:pPr>
            <w:r>
              <w:rPr>
                <w:rFonts w:hint="eastAsia" w:ascii="宋体" w:hAnsi="宋体" w:eastAsia="宋体"/>
                <w:color w:val="auto"/>
                <w:sz w:val="24"/>
                <w:szCs w:val="24"/>
                <w:highlight w:val="none"/>
              </w:rPr>
              <w:t>执 照 证 号：</w:t>
            </w:r>
          </w:p>
        </w:tc>
        <w:tc>
          <w:tcPr>
            <w:tcW w:w="2477" w:type="dxa"/>
            <w:tcBorders>
              <w:top w:val="single" w:color="auto" w:sz="4" w:space="0"/>
              <w:left w:val="single" w:color="auto" w:sz="4" w:space="0"/>
              <w:bottom w:val="single" w:color="auto" w:sz="4" w:space="0"/>
              <w:right w:val="single" w:color="auto" w:sz="4" w:space="0"/>
            </w:tcBorders>
            <w:vAlign w:val="center"/>
          </w:tcPr>
          <w:p w14:paraId="700A9AA7">
            <w:pPr>
              <w:spacing w:line="240" w:lineRule="auto"/>
              <w:contextualSpacing/>
              <w:jc w:val="center"/>
              <w:rPr>
                <w:rFonts w:ascii="宋体" w:hAnsi="宋体" w:eastAsia="宋体"/>
                <w:color w:val="auto"/>
                <w:sz w:val="24"/>
                <w:szCs w:val="24"/>
                <w:highlight w:val="none"/>
              </w:rPr>
            </w:pPr>
          </w:p>
        </w:tc>
      </w:tr>
      <w:tr w14:paraId="7DD22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35" w:type="dxa"/>
            <w:tcBorders>
              <w:top w:val="single" w:color="auto" w:sz="4" w:space="0"/>
              <w:left w:val="single" w:color="auto" w:sz="4" w:space="0"/>
              <w:bottom w:val="single" w:color="auto" w:sz="4" w:space="0"/>
              <w:right w:val="single" w:color="auto" w:sz="4" w:space="0"/>
            </w:tcBorders>
            <w:vAlign w:val="center"/>
          </w:tcPr>
          <w:p w14:paraId="30C862B7">
            <w:pPr>
              <w:spacing w:line="240" w:lineRule="auto"/>
              <w:contextualSpacing/>
              <w:jc w:val="center"/>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10</w:t>
            </w:r>
          </w:p>
        </w:tc>
        <w:tc>
          <w:tcPr>
            <w:tcW w:w="2268" w:type="dxa"/>
            <w:tcBorders>
              <w:top w:val="single" w:color="auto" w:sz="4" w:space="0"/>
              <w:left w:val="single" w:color="auto" w:sz="4" w:space="0"/>
              <w:bottom w:val="single" w:color="auto" w:sz="4" w:space="0"/>
              <w:right w:val="single" w:color="auto" w:sz="4" w:space="0"/>
            </w:tcBorders>
            <w:vAlign w:val="center"/>
          </w:tcPr>
          <w:p w14:paraId="65BBDA52">
            <w:pPr>
              <w:spacing w:line="240" w:lineRule="auto"/>
              <w:contextualSpacing/>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资 质 等 级</w:t>
            </w:r>
          </w:p>
          <w:p w14:paraId="1F8784D6">
            <w:pPr>
              <w:spacing w:line="240" w:lineRule="auto"/>
              <w:contextualSpacing/>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及 证 书 号</w:t>
            </w:r>
          </w:p>
        </w:tc>
        <w:tc>
          <w:tcPr>
            <w:tcW w:w="3686" w:type="dxa"/>
            <w:tcBorders>
              <w:top w:val="single" w:color="auto" w:sz="4" w:space="0"/>
              <w:left w:val="single" w:color="auto" w:sz="4" w:space="0"/>
              <w:bottom w:val="single" w:color="auto" w:sz="4" w:space="0"/>
              <w:right w:val="single" w:color="auto" w:sz="4" w:space="0"/>
            </w:tcBorders>
            <w:vAlign w:val="center"/>
          </w:tcPr>
          <w:p w14:paraId="15AA2C57">
            <w:pPr>
              <w:spacing w:line="240" w:lineRule="auto"/>
              <w:contextualSpacing/>
              <w:rPr>
                <w:rFonts w:ascii="宋体" w:hAnsi="宋体" w:eastAsia="宋体"/>
                <w:color w:val="auto"/>
                <w:sz w:val="24"/>
                <w:szCs w:val="24"/>
                <w:highlight w:val="none"/>
              </w:rPr>
            </w:pPr>
            <w:r>
              <w:rPr>
                <w:rFonts w:hint="eastAsia" w:ascii="宋体" w:hAnsi="宋体" w:eastAsia="宋体"/>
                <w:color w:val="auto"/>
                <w:sz w:val="24"/>
                <w:szCs w:val="24"/>
                <w:highlight w:val="none"/>
              </w:rPr>
              <w:t>资质等级：</w:t>
            </w:r>
          </w:p>
          <w:p w14:paraId="39EEB44B">
            <w:pPr>
              <w:spacing w:line="240" w:lineRule="auto"/>
              <w:contextualSpacing/>
              <w:rPr>
                <w:rFonts w:ascii="宋体" w:hAnsi="宋体" w:eastAsia="宋体"/>
                <w:color w:val="auto"/>
                <w:sz w:val="24"/>
                <w:szCs w:val="24"/>
                <w:highlight w:val="none"/>
              </w:rPr>
            </w:pPr>
            <w:r>
              <w:rPr>
                <w:rFonts w:hint="eastAsia" w:ascii="宋体" w:hAnsi="宋体" w:eastAsia="宋体"/>
                <w:color w:val="auto"/>
                <w:sz w:val="24"/>
                <w:szCs w:val="24"/>
                <w:highlight w:val="none"/>
              </w:rPr>
              <w:t>资质证书号：</w:t>
            </w:r>
          </w:p>
        </w:tc>
        <w:tc>
          <w:tcPr>
            <w:tcW w:w="2477" w:type="dxa"/>
            <w:tcBorders>
              <w:top w:val="single" w:color="auto" w:sz="4" w:space="0"/>
              <w:left w:val="single" w:color="auto" w:sz="4" w:space="0"/>
              <w:bottom w:val="single" w:color="auto" w:sz="4" w:space="0"/>
              <w:right w:val="single" w:color="auto" w:sz="4" w:space="0"/>
            </w:tcBorders>
            <w:vAlign w:val="center"/>
          </w:tcPr>
          <w:p w14:paraId="31BACC5F">
            <w:pPr>
              <w:spacing w:line="240" w:lineRule="auto"/>
              <w:contextualSpacing/>
              <w:jc w:val="center"/>
              <w:rPr>
                <w:rFonts w:ascii="宋体" w:hAnsi="宋体" w:eastAsia="宋体"/>
                <w:color w:val="auto"/>
                <w:sz w:val="24"/>
                <w:szCs w:val="24"/>
                <w:highlight w:val="none"/>
              </w:rPr>
            </w:pPr>
          </w:p>
        </w:tc>
      </w:tr>
      <w:tr w14:paraId="7D90A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835" w:type="dxa"/>
            <w:tcBorders>
              <w:top w:val="single" w:color="auto" w:sz="4" w:space="0"/>
              <w:left w:val="single" w:color="auto" w:sz="4" w:space="0"/>
              <w:bottom w:val="single" w:color="auto" w:sz="4" w:space="0"/>
              <w:right w:val="single" w:color="auto" w:sz="4" w:space="0"/>
            </w:tcBorders>
            <w:vAlign w:val="center"/>
          </w:tcPr>
          <w:p w14:paraId="7E7B86DB">
            <w:pPr>
              <w:spacing w:line="240" w:lineRule="auto"/>
              <w:contextualSpacing/>
              <w:jc w:val="center"/>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11</w:t>
            </w:r>
          </w:p>
        </w:tc>
        <w:tc>
          <w:tcPr>
            <w:tcW w:w="2268" w:type="dxa"/>
            <w:tcBorders>
              <w:top w:val="single" w:color="auto" w:sz="4" w:space="0"/>
              <w:left w:val="single" w:color="auto" w:sz="4" w:space="0"/>
              <w:bottom w:val="single" w:color="auto" w:sz="4" w:space="0"/>
              <w:right w:val="single" w:color="auto" w:sz="4" w:space="0"/>
            </w:tcBorders>
            <w:vAlign w:val="center"/>
          </w:tcPr>
          <w:p w14:paraId="7EF19D35">
            <w:pPr>
              <w:spacing w:line="240" w:lineRule="auto"/>
              <w:contextualSpacing/>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需要建设单位提</w:t>
            </w:r>
          </w:p>
          <w:p w14:paraId="66169AA4">
            <w:pPr>
              <w:spacing w:line="240" w:lineRule="auto"/>
              <w:contextualSpacing/>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供的配合条件</w:t>
            </w:r>
          </w:p>
        </w:tc>
        <w:tc>
          <w:tcPr>
            <w:tcW w:w="3686" w:type="dxa"/>
            <w:tcBorders>
              <w:top w:val="single" w:color="auto" w:sz="4" w:space="0"/>
              <w:left w:val="single" w:color="auto" w:sz="4" w:space="0"/>
              <w:bottom w:val="single" w:color="auto" w:sz="4" w:space="0"/>
              <w:right w:val="single" w:color="auto" w:sz="4" w:space="0"/>
            </w:tcBorders>
            <w:vAlign w:val="center"/>
          </w:tcPr>
          <w:p w14:paraId="4A625F6D">
            <w:pPr>
              <w:spacing w:line="240" w:lineRule="auto"/>
              <w:contextualSpacing/>
              <w:rPr>
                <w:rFonts w:ascii="宋体" w:hAnsi="宋体" w:eastAsia="宋体"/>
                <w:color w:val="auto"/>
                <w:sz w:val="24"/>
                <w:szCs w:val="24"/>
                <w:highlight w:val="none"/>
              </w:rPr>
            </w:pPr>
          </w:p>
        </w:tc>
        <w:tc>
          <w:tcPr>
            <w:tcW w:w="2477" w:type="dxa"/>
            <w:tcBorders>
              <w:top w:val="single" w:color="auto" w:sz="4" w:space="0"/>
              <w:left w:val="single" w:color="auto" w:sz="4" w:space="0"/>
              <w:bottom w:val="single" w:color="auto" w:sz="4" w:space="0"/>
              <w:right w:val="single" w:color="auto" w:sz="4" w:space="0"/>
            </w:tcBorders>
            <w:vAlign w:val="center"/>
          </w:tcPr>
          <w:p w14:paraId="6E7062E6">
            <w:pPr>
              <w:spacing w:line="240" w:lineRule="auto"/>
              <w:contextualSpacing/>
              <w:jc w:val="center"/>
              <w:rPr>
                <w:rFonts w:ascii="宋体" w:hAnsi="宋体" w:eastAsia="宋体"/>
                <w:color w:val="auto"/>
                <w:sz w:val="24"/>
                <w:szCs w:val="24"/>
                <w:highlight w:val="none"/>
              </w:rPr>
            </w:pPr>
          </w:p>
        </w:tc>
      </w:tr>
    </w:tbl>
    <w:p w14:paraId="23494789">
      <w:pPr>
        <w:spacing w:line="440" w:lineRule="exact"/>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注：</w:t>
      </w:r>
    </w:p>
    <w:p w14:paraId="268F1800">
      <w:pPr>
        <w:spacing w:line="360" w:lineRule="auto"/>
        <w:ind w:firstLine="825" w:firstLineChars="344"/>
        <w:jc w:val="left"/>
        <w:rPr>
          <w:rFonts w:ascii="宋体" w:hAnsi="宋体" w:eastAsia="宋体"/>
          <w:color w:val="auto"/>
          <w:sz w:val="24"/>
          <w:szCs w:val="24"/>
          <w:highlight w:val="none"/>
        </w:rPr>
      </w:pPr>
      <w:r>
        <w:rPr>
          <w:rFonts w:hint="eastAsia" w:ascii="宋体" w:hAnsi="宋体" w:eastAsia="宋体"/>
          <w:color w:val="auto"/>
          <w:sz w:val="24"/>
          <w:szCs w:val="24"/>
          <w:highlight w:val="none"/>
        </w:rPr>
        <w:t>1.投标人根据企业自身情况进行报价，</w:t>
      </w:r>
      <w:r>
        <w:rPr>
          <w:rFonts w:hint="eastAsia" w:ascii="宋体" w:hAnsi="宋体" w:eastAsia="宋体"/>
          <w:bCs/>
          <w:color w:val="auto"/>
          <w:sz w:val="24"/>
          <w:szCs w:val="24"/>
          <w:highlight w:val="none"/>
        </w:rPr>
        <w:t>投标报价不得超过最高投标限价。</w:t>
      </w:r>
      <w:r>
        <w:rPr>
          <w:rFonts w:hint="eastAsia" w:ascii="宋体" w:hAnsi="宋体" w:eastAsia="宋体"/>
          <w:color w:val="auto"/>
          <w:sz w:val="24"/>
          <w:szCs w:val="24"/>
          <w:highlight w:val="none"/>
        </w:rPr>
        <w:t>小数点后保留两位小数，第三位小数四舍五入。</w:t>
      </w:r>
    </w:p>
    <w:p w14:paraId="2E91F7E9">
      <w:pPr>
        <w:spacing w:line="360" w:lineRule="auto"/>
        <w:ind w:firstLine="3120" w:firstLineChars="1300"/>
        <w:jc w:val="left"/>
        <w:rPr>
          <w:rFonts w:ascii="宋体" w:hAnsi="宋体" w:eastAsia="宋体"/>
          <w:color w:val="auto"/>
          <w:sz w:val="24"/>
          <w:szCs w:val="24"/>
          <w:highlight w:val="none"/>
        </w:rPr>
      </w:pPr>
    </w:p>
    <w:p w14:paraId="272F115A">
      <w:pPr>
        <w:spacing w:line="360" w:lineRule="auto"/>
        <w:ind w:firstLine="2880" w:firstLineChars="1200"/>
        <w:jc w:val="left"/>
        <w:rPr>
          <w:rFonts w:ascii="宋体" w:hAnsi="宋体" w:eastAsia="宋体"/>
          <w:color w:val="auto"/>
          <w:sz w:val="24"/>
          <w:highlight w:val="none"/>
        </w:rPr>
      </w:pPr>
      <w:r>
        <w:rPr>
          <w:rFonts w:hint="eastAsia" w:ascii="宋体" w:hAnsi="宋体" w:eastAsia="宋体"/>
          <w:color w:val="auto"/>
          <w:sz w:val="24"/>
          <w:highlight w:val="none"/>
        </w:rPr>
        <w:t xml:space="preserve">  </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 xml:space="preserve"> 投标人：</w:t>
      </w:r>
      <w:r>
        <w:rPr>
          <w:rFonts w:hint="eastAsia" w:ascii="宋体" w:hAnsi="宋体" w:eastAsia="宋体"/>
          <w:color w:val="auto"/>
          <w:sz w:val="24"/>
          <w:highlight w:val="none"/>
          <w:u w:val="single"/>
        </w:rPr>
        <w:tab/>
      </w:r>
      <w:r>
        <w:rPr>
          <w:rFonts w:hint="eastAsia" w:ascii="宋体" w:hAnsi="宋体" w:eastAsia="宋体"/>
          <w:color w:val="auto"/>
          <w:sz w:val="24"/>
          <w:highlight w:val="none"/>
        </w:rPr>
        <w:t>（盖单位章）</w:t>
      </w:r>
    </w:p>
    <w:p w14:paraId="60DEF7C8">
      <w:pPr>
        <w:spacing w:line="360" w:lineRule="auto"/>
        <w:ind w:firstLine="3120" w:firstLineChars="1300"/>
        <w:jc w:val="left"/>
        <w:rPr>
          <w:rFonts w:ascii="宋体" w:hAnsi="宋体" w:eastAsia="宋体"/>
          <w:color w:val="auto"/>
          <w:sz w:val="24"/>
          <w:highlight w:val="none"/>
        </w:rPr>
      </w:pPr>
      <w:r>
        <w:rPr>
          <w:rFonts w:hint="eastAsia" w:ascii="宋体" w:hAnsi="宋体" w:eastAsia="宋体"/>
          <w:color w:val="auto"/>
          <w:sz w:val="24"/>
          <w:highlight w:val="none"/>
        </w:rPr>
        <w:t xml:space="preserve"> 法定代表人或其委托代理人：</w:t>
      </w:r>
      <w:r>
        <w:rPr>
          <w:rFonts w:hint="eastAsia" w:ascii="宋体" w:hAnsi="宋体" w:eastAsia="宋体"/>
          <w:color w:val="auto"/>
          <w:sz w:val="24"/>
          <w:highlight w:val="none"/>
          <w:u w:val="single"/>
          <w:lang w:val="en-US" w:eastAsia="zh-CN"/>
        </w:rPr>
        <w:t xml:space="preserve">  </w:t>
      </w:r>
      <w:r>
        <w:rPr>
          <w:rFonts w:hint="eastAsia" w:ascii="宋体" w:hAnsi="宋体" w:eastAsia="宋体"/>
          <w:color w:val="auto"/>
          <w:sz w:val="24"/>
          <w:highlight w:val="none"/>
        </w:rPr>
        <w:t>（签字或盖章）</w:t>
      </w:r>
    </w:p>
    <w:p w14:paraId="7C513792">
      <w:pPr>
        <w:wordWrap w:val="0"/>
        <w:spacing w:line="360" w:lineRule="auto"/>
        <w:ind w:firstLine="5400" w:firstLineChars="2250"/>
        <w:jc w:val="right"/>
        <w:rPr>
          <w:rFonts w:ascii="宋体" w:hAnsi="宋体" w:eastAsia="宋体"/>
          <w:color w:val="auto"/>
          <w:sz w:val="24"/>
          <w:highlight w:val="none"/>
        </w:rPr>
      </w:pPr>
      <w:r>
        <w:rPr>
          <w:rFonts w:hint="eastAsia" w:ascii="宋体" w:hAnsi="宋体" w:eastAsia="宋体"/>
          <w:color w:val="auto"/>
          <w:sz w:val="24"/>
          <w:highlight w:val="none"/>
        </w:rPr>
        <w:t xml:space="preserve">  年    月    日</w:t>
      </w:r>
    </w:p>
    <w:p w14:paraId="06A6F44F">
      <w:pPr>
        <w:pStyle w:val="6"/>
        <w:spacing w:line="360" w:lineRule="auto"/>
        <w:jc w:val="center"/>
        <w:rPr>
          <w:rFonts w:hint="eastAsia" w:ascii="宋体" w:hAnsi="宋体" w:eastAsia="宋体"/>
          <w:color w:val="auto"/>
          <w:sz w:val="32"/>
          <w:szCs w:val="32"/>
          <w:highlight w:val="none"/>
        </w:rPr>
      </w:pPr>
      <w:r>
        <w:rPr>
          <w:rFonts w:hint="eastAsia" w:ascii="宋体" w:hAnsi="宋体" w:eastAsia="宋体"/>
          <w:b w:val="0"/>
          <w:bCs w:val="0"/>
          <w:color w:val="auto"/>
          <w:highlight w:val="none"/>
        </w:rPr>
        <w:br w:type="page"/>
      </w:r>
      <w:bookmarkStart w:id="661" w:name="_Toc530470646"/>
      <w:bookmarkStart w:id="662" w:name="_Toc529196603"/>
      <w:bookmarkStart w:id="663" w:name="_Toc535938754"/>
      <w:r>
        <w:rPr>
          <w:rFonts w:hint="eastAsia" w:ascii="宋体" w:hAnsi="宋体" w:eastAsia="宋体"/>
          <w:color w:val="auto"/>
          <w:sz w:val="32"/>
          <w:szCs w:val="32"/>
          <w:highlight w:val="none"/>
        </w:rPr>
        <w:t>二</w:t>
      </w:r>
      <w:bookmarkEnd w:id="650"/>
      <w:bookmarkEnd w:id="651"/>
      <w:bookmarkEnd w:id="652"/>
      <w:bookmarkEnd w:id="653"/>
      <w:bookmarkEnd w:id="654"/>
      <w:bookmarkEnd w:id="655"/>
      <w:bookmarkEnd w:id="656"/>
      <w:bookmarkEnd w:id="657"/>
      <w:bookmarkEnd w:id="658"/>
      <w:bookmarkEnd w:id="659"/>
      <w:bookmarkEnd w:id="660"/>
      <w:r>
        <w:rPr>
          <w:rFonts w:hint="eastAsia" w:ascii="宋体" w:hAnsi="宋体" w:eastAsia="宋体"/>
          <w:color w:val="auto"/>
          <w:sz w:val="32"/>
          <w:szCs w:val="32"/>
          <w:highlight w:val="none"/>
        </w:rPr>
        <w:t>、法定代表人身份证明或授权委托书（格式可自定）</w:t>
      </w:r>
      <w:bookmarkEnd w:id="661"/>
      <w:bookmarkEnd w:id="662"/>
      <w:bookmarkEnd w:id="663"/>
    </w:p>
    <w:p w14:paraId="56DB5B94">
      <w:pPr>
        <w:spacing w:line="360" w:lineRule="auto"/>
        <w:jc w:val="center"/>
        <w:rPr>
          <w:rFonts w:ascii="宋体" w:hAnsi="宋体" w:eastAsia="宋体"/>
          <w:b/>
          <w:color w:val="auto"/>
          <w:sz w:val="30"/>
          <w:szCs w:val="30"/>
          <w:highlight w:val="none"/>
        </w:rPr>
      </w:pPr>
      <w:r>
        <w:rPr>
          <w:rFonts w:hint="eastAsia" w:ascii="宋体" w:hAnsi="宋体" w:eastAsia="宋体"/>
          <w:b/>
          <w:color w:val="auto"/>
          <w:sz w:val="30"/>
          <w:szCs w:val="30"/>
          <w:highlight w:val="none"/>
        </w:rPr>
        <w:t>法定代表人身份证明</w:t>
      </w:r>
    </w:p>
    <w:p w14:paraId="0998451A">
      <w:pPr>
        <w:spacing w:line="440" w:lineRule="exact"/>
        <w:rPr>
          <w:rFonts w:hint="default" w:ascii="宋体" w:hAnsi="宋体" w:eastAsia="宋体"/>
          <w:color w:val="auto"/>
          <w:sz w:val="24"/>
          <w:highlight w:val="none"/>
          <w:lang w:val="en-US" w:eastAsia="zh-CN"/>
        </w:rPr>
      </w:pPr>
      <w:r>
        <w:rPr>
          <w:rFonts w:hint="eastAsia" w:ascii="宋体" w:hAnsi="宋体" w:eastAsia="宋体"/>
          <w:color w:val="auto"/>
          <w:sz w:val="24"/>
          <w:highlight w:val="none"/>
        </w:rPr>
        <w:t>投标人名称：</w:t>
      </w:r>
      <w:r>
        <w:rPr>
          <w:rFonts w:hint="eastAsia" w:ascii="宋体" w:hAnsi="宋体" w:eastAsia="宋体"/>
          <w:color w:val="auto"/>
          <w:sz w:val="24"/>
          <w:highlight w:val="none"/>
          <w:u w:val="single"/>
          <w:lang w:val="en-US" w:eastAsia="zh-CN"/>
        </w:rPr>
        <w:t xml:space="preserve">               </w:t>
      </w:r>
    </w:p>
    <w:p w14:paraId="2AE4AFED">
      <w:pPr>
        <w:spacing w:line="440" w:lineRule="exact"/>
        <w:rPr>
          <w:rFonts w:ascii="宋体" w:hAnsi="宋体" w:eastAsia="宋体"/>
          <w:color w:val="auto"/>
          <w:sz w:val="24"/>
          <w:highlight w:val="none"/>
        </w:rPr>
      </w:pPr>
      <w:r>
        <w:rPr>
          <w:rFonts w:hint="eastAsia" w:ascii="宋体" w:hAnsi="宋体" w:eastAsia="宋体"/>
          <w:color w:val="auto"/>
          <w:sz w:val="24"/>
          <w:highlight w:val="none"/>
        </w:rPr>
        <w:t>姓名：</w:t>
      </w:r>
      <w:r>
        <w:rPr>
          <w:rFonts w:hint="eastAsia" w:ascii="宋体" w:hAnsi="宋体" w:eastAsia="宋体"/>
          <w:color w:val="auto"/>
          <w:sz w:val="24"/>
          <w:highlight w:val="none"/>
          <w:u w:val="single"/>
          <w:lang w:val="en-US" w:eastAsia="zh-CN"/>
        </w:rPr>
        <w:t xml:space="preserve">    </w:t>
      </w:r>
      <w:r>
        <w:rPr>
          <w:rFonts w:hint="eastAsia" w:ascii="宋体" w:hAnsi="宋体" w:eastAsia="宋体"/>
          <w:color w:val="auto"/>
          <w:sz w:val="24"/>
          <w:highlight w:val="none"/>
          <w:u w:val="none"/>
          <w:lang w:val="en-US" w:eastAsia="zh-CN"/>
        </w:rPr>
        <w:t xml:space="preserve"> </w:t>
      </w:r>
      <w:r>
        <w:rPr>
          <w:rFonts w:hint="eastAsia" w:ascii="宋体" w:hAnsi="宋体" w:eastAsia="宋体"/>
          <w:color w:val="auto"/>
          <w:sz w:val="24"/>
          <w:highlight w:val="none"/>
        </w:rPr>
        <w:t>性别：</w:t>
      </w:r>
      <w:r>
        <w:rPr>
          <w:rFonts w:hint="eastAsia" w:ascii="宋体" w:hAnsi="宋体" w:eastAsia="宋体"/>
          <w:color w:val="auto"/>
          <w:sz w:val="24"/>
          <w:highlight w:val="none"/>
          <w:u w:val="single"/>
          <w:lang w:val="en-US" w:eastAsia="zh-CN"/>
        </w:rPr>
        <w:t xml:space="preserve">    </w:t>
      </w:r>
      <w:r>
        <w:rPr>
          <w:rFonts w:hint="eastAsia" w:ascii="宋体" w:hAnsi="宋体" w:eastAsia="宋体"/>
          <w:color w:val="auto"/>
          <w:sz w:val="24"/>
          <w:highlight w:val="none"/>
          <w:u w:val="none"/>
          <w:lang w:val="en-US" w:eastAsia="zh-CN"/>
        </w:rPr>
        <w:t xml:space="preserve"> </w:t>
      </w:r>
      <w:r>
        <w:rPr>
          <w:rFonts w:hint="eastAsia" w:ascii="宋体" w:hAnsi="宋体" w:eastAsia="宋体"/>
          <w:color w:val="auto"/>
          <w:sz w:val="24"/>
          <w:highlight w:val="none"/>
        </w:rPr>
        <w:t>年龄：</w:t>
      </w:r>
      <w:r>
        <w:rPr>
          <w:rFonts w:hint="eastAsia" w:ascii="宋体" w:hAnsi="宋体" w:eastAsia="宋体"/>
          <w:color w:val="auto"/>
          <w:sz w:val="24"/>
          <w:highlight w:val="none"/>
          <w:u w:val="single"/>
          <w:lang w:val="en-US" w:eastAsia="zh-CN"/>
        </w:rPr>
        <w:t xml:space="preserve">    </w:t>
      </w:r>
      <w:r>
        <w:rPr>
          <w:rFonts w:hint="eastAsia" w:ascii="宋体" w:hAnsi="宋体" w:eastAsia="宋体"/>
          <w:color w:val="auto"/>
          <w:sz w:val="24"/>
          <w:highlight w:val="none"/>
          <w:u w:val="none"/>
          <w:lang w:val="en-US" w:eastAsia="zh-CN"/>
        </w:rPr>
        <w:t xml:space="preserve"> </w:t>
      </w:r>
      <w:r>
        <w:rPr>
          <w:rFonts w:hint="eastAsia" w:ascii="宋体" w:hAnsi="宋体" w:eastAsia="宋体"/>
          <w:color w:val="auto"/>
          <w:sz w:val="24"/>
          <w:highlight w:val="none"/>
        </w:rPr>
        <w:t>职务：</w:t>
      </w:r>
      <w:r>
        <w:rPr>
          <w:rFonts w:hint="eastAsia" w:ascii="宋体" w:hAnsi="宋体" w:eastAsia="宋体"/>
          <w:color w:val="auto"/>
          <w:sz w:val="24"/>
          <w:highlight w:val="none"/>
          <w:u w:val="single"/>
          <w:lang w:val="en-US" w:eastAsia="zh-CN"/>
        </w:rPr>
        <w:t xml:space="preserve">    </w:t>
      </w:r>
      <w:r>
        <w:rPr>
          <w:rFonts w:hint="eastAsia" w:ascii="宋体" w:hAnsi="宋体" w:eastAsia="宋体"/>
          <w:color w:val="auto"/>
          <w:sz w:val="24"/>
          <w:highlight w:val="none"/>
          <w:u w:val="none"/>
          <w:lang w:val="en-US" w:eastAsia="zh-CN"/>
        </w:rPr>
        <w:t xml:space="preserve"> </w:t>
      </w:r>
    </w:p>
    <w:p w14:paraId="387BE5D2">
      <w:pPr>
        <w:spacing w:line="440" w:lineRule="exact"/>
        <w:rPr>
          <w:rFonts w:ascii="宋体" w:hAnsi="宋体" w:eastAsia="宋体"/>
          <w:color w:val="auto"/>
          <w:sz w:val="24"/>
          <w:highlight w:val="none"/>
        </w:rPr>
      </w:pPr>
      <w:r>
        <w:rPr>
          <w:rFonts w:hint="eastAsia" w:ascii="宋体" w:hAnsi="宋体" w:eastAsia="宋体"/>
          <w:color w:val="auto"/>
          <w:sz w:val="24"/>
          <w:highlight w:val="none"/>
        </w:rPr>
        <w:t>系</w:t>
      </w:r>
      <w:r>
        <w:rPr>
          <w:rFonts w:hint="eastAsia" w:ascii="宋体" w:hAnsi="宋体" w:eastAsia="宋体"/>
          <w:color w:val="auto"/>
          <w:sz w:val="24"/>
          <w:highlight w:val="none"/>
          <w:u w:val="single"/>
        </w:rPr>
        <w:t>（投标人名称）</w:t>
      </w:r>
      <w:r>
        <w:rPr>
          <w:rFonts w:hint="eastAsia" w:ascii="宋体" w:hAnsi="宋体" w:eastAsia="宋体"/>
          <w:color w:val="auto"/>
          <w:sz w:val="24"/>
          <w:highlight w:val="none"/>
        </w:rPr>
        <w:t>的法定代表人。</w:t>
      </w:r>
    </w:p>
    <w:p w14:paraId="5928A2C2">
      <w:pPr>
        <w:spacing w:line="44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特此证明。</w:t>
      </w:r>
    </w:p>
    <w:p w14:paraId="693124D8">
      <w:pPr>
        <w:spacing w:line="440" w:lineRule="exact"/>
        <w:rPr>
          <w:rFonts w:ascii="宋体" w:hAnsi="宋体" w:eastAsia="宋体"/>
          <w:color w:val="auto"/>
          <w:sz w:val="24"/>
          <w:szCs w:val="24"/>
          <w:highlight w:val="none"/>
        </w:rPr>
      </w:pPr>
    </w:p>
    <w:p w14:paraId="15EF6EB7">
      <w:pPr>
        <w:spacing w:line="44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附：法定代表人身份证复印件。</w:t>
      </w:r>
    </w:p>
    <w:p w14:paraId="6596FFB1">
      <w:pPr>
        <w:spacing w:line="440" w:lineRule="exact"/>
        <w:ind w:firstLine="480" w:firstLineChars="200"/>
        <w:rPr>
          <w:rFonts w:ascii="宋体" w:hAnsi="宋体" w:eastAsia="宋体"/>
          <w:color w:val="auto"/>
          <w:sz w:val="24"/>
          <w:szCs w:val="24"/>
          <w:highlight w:val="none"/>
        </w:rPr>
      </w:pPr>
    </w:p>
    <w:p w14:paraId="17ABD7A5">
      <w:pPr>
        <w:spacing w:line="44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注：本身份证明需由投标人加盖单位公章。</w:t>
      </w:r>
    </w:p>
    <w:p w14:paraId="4BAF73D5">
      <w:pPr>
        <w:spacing w:line="440" w:lineRule="exact"/>
        <w:rPr>
          <w:rFonts w:ascii="宋体" w:hAnsi="宋体" w:eastAsia="宋体"/>
          <w:color w:val="auto"/>
          <w:sz w:val="24"/>
          <w:szCs w:val="24"/>
          <w:highlight w:val="none"/>
        </w:rPr>
      </w:pPr>
    </w:p>
    <w:p w14:paraId="5B4C6CCE">
      <w:pPr>
        <w:spacing w:line="440" w:lineRule="exact"/>
        <w:rPr>
          <w:rFonts w:ascii="宋体" w:hAnsi="宋体" w:eastAsia="宋体"/>
          <w:color w:val="auto"/>
          <w:sz w:val="24"/>
          <w:szCs w:val="24"/>
          <w:highlight w:val="none"/>
        </w:rPr>
      </w:pPr>
    </w:p>
    <w:p w14:paraId="656C76ED">
      <w:pPr>
        <w:spacing w:line="440" w:lineRule="exact"/>
        <w:jc w:val="center"/>
        <w:rPr>
          <w:rFonts w:ascii="宋体" w:hAnsi="宋体" w:eastAsia="宋体"/>
          <w:color w:val="auto"/>
          <w:sz w:val="24"/>
          <w:highlight w:val="none"/>
        </w:rPr>
      </w:pP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投标人：</w:t>
      </w:r>
      <w:r>
        <w:rPr>
          <w:rFonts w:hint="eastAsia" w:ascii="宋体" w:hAnsi="宋体" w:eastAsia="宋体"/>
          <w:color w:val="auto"/>
          <w:sz w:val="24"/>
          <w:highlight w:val="none"/>
          <w:u w:val="single"/>
        </w:rPr>
        <w:tab/>
      </w:r>
      <w:r>
        <w:rPr>
          <w:rFonts w:hint="eastAsia" w:ascii="宋体" w:hAnsi="宋体" w:eastAsia="宋体"/>
          <w:color w:val="auto"/>
          <w:sz w:val="24"/>
          <w:highlight w:val="none"/>
        </w:rPr>
        <w:t>（盖单位章）</w:t>
      </w:r>
    </w:p>
    <w:p w14:paraId="6E74CA18">
      <w:pPr>
        <w:spacing w:line="440" w:lineRule="exact"/>
        <w:rPr>
          <w:rFonts w:ascii="宋体" w:hAnsi="宋体" w:eastAsia="宋体"/>
          <w:color w:val="auto"/>
          <w:sz w:val="24"/>
          <w:highlight w:val="none"/>
        </w:rPr>
      </w:pPr>
    </w:p>
    <w:p w14:paraId="75BB2707">
      <w:pPr>
        <w:spacing w:line="440" w:lineRule="exact"/>
        <w:ind w:firstLine="4800" w:firstLineChars="2000"/>
        <w:rPr>
          <w:rFonts w:ascii="宋体" w:hAnsi="宋体" w:eastAsia="宋体"/>
          <w:color w:val="auto"/>
          <w:sz w:val="24"/>
          <w:highlight w:val="none"/>
        </w:rPr>
      </w:pPr>
      <w:r>
        <w:rPr>
          <w:rFonts w:hint="eastAsia" w:ascii="宋体" w:hAnsi="宋体" w:eastAsia="宋体"/>
          <w:color w:val="auto"/>
          <w:sz w:val="24"/>
          <w:highlight w:val="none"/>
        </w:rPr>
        <w:t>年</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月</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日</w:t>
      </w:r>
    </w:p>
    <w:p w14:paraId="4A793A2D">
      <w:pPr>
        <w:spacing w:line="440" w:lineRule="exact"/>
        <w:jc w:val="center"/>
        <w:rPr>
          <w:rFonts w:ascii="宋体" w:hAnsi="宋体" w:eastAsia="宋体"/>
          <w:color w:val="auto"/>
          <w:sz w:val="24"/>
          <w:szCs w:val="24"/>
          <w:highlight w:val="none"/>
        </w:rPr>
      </w:pPr>
    </w:p>
    <w:p w14:paraId="0426DEA6">
      <w:pPr>
        <w:spacing w:line="360" w:lineRule="auto"/>
        <w:jc w:val="center"/>
        <w:rPr>
          <w:rFonts w:ascii="宋体" w:hAnsi="宋体" w:eastAsia="宋体"/>
          <w:b/>
          <w:color w:val="auto"/>
          <w:sz w:val="30"/>
          <w:szCs w:val="30"/>
          <w:highlight w:val="none"/>
        </w:rPr>
      </w:pPr>
      <w:r>
        <w:rPr>
          <w:rFonts w:hint="eastAsia" w:ascii="宋体" w:hAnsi="宋体" w:eastAsia="宋体"/>
          <w:b/>
          <w:bCs/>
          <w:color w:val="auto"/>
          <w:sz w:val="20"/>
          <w:highlight w:val="none"/>
        </w:rPr>
        <w:br w:type="page"/>
      </w:r>
      <w:bookmarkStart w:id="664" w:name="_Toc530470647"/>
      <w:bookmarkEnd w:id="664"/>
      <w:bookmarkStart w:id="665" w:name="_Toc529196604"/>
      <w:bookmarkEnd w:id="665"/>
      <w:bookmarkStart w:id="666" w:name="_Toc535938755"/>
      <w:bookmarkEnd w:id="666"/>
      <w:r>
        <w:rPr>
          <w:rFonts w:hint="eastAsia" w:ascii="宋体" w:hAnsi="宋体" w:eastAsia="宋体"/>
          <w:b/>
          <w:color w:val="auto"/>
          <w:sz w:val="30"/>
          <w:szCs w:val="30"/>
          <w:highlight w:val="none"/>
        </w:rPr>
        <w:t>授权委托书</w:t>
      </w:r>
    </w:p>
    <w:p w14:paraId="373A1F50">
      <w:pPr>
        <w:topLinePunct/>
        <w:spacing w:line="440" w:lineRule="exact"/>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本人</w:t>
      </w:r>
      <w:r>
        <w:rPr>
          <w:rFonts w:hint="eastAsia" w:ascii="宋体" w:hAnsi="宋体" w:eastAsia="宋体"/>
          <w:color w:val="auto"/>
          <w:sz w:val="24"/>
          <w:szCs w:val="24"/>
          <w:highlight w:val="none"/>
          <w:u w:val="single"/>
        </w:rPr>
        <w:t>（姓名）</w:t>
      </w:r>
      <w:r>
        <w:rPr>
          <w:rFonts w:hint="eastAsia" w:ascii="宋体" w:hAnsi="宋体" w:eastAsia="宋体"/>
          <w:color w:val="auto"/>
          <w:sz w:val="24"/>
          <w:szCs w:val="24"/>
          <w:highlight w:val="none"/>
        </w:rPr>
        <w:t>系</w:t>
      </w:r>
      <w:r>
        <w:rPr>
          <w:rFonts w:hint="eastAsia" w:ascii="宋体" w:hAnsi="宋体" w:eastAsia="宋体"/>
          <w:color w:val="auto"/>
          <w:sz w:val="24"/>
          <w:szCs w:val="24"/>
          <w:highlight w:val="none"/>
          <w:u w:val="single"/>
        </w:rPr>
        <w:t>（投标人名称）</w:t>
      </w:r>
      <w:r>
        <w:rPr>
          <w:rFonts w:hint="eastAsia" w:ascii="宋体" w:hAnsi="宋体" w:eastAsia="宋体"/>
          <w:color w:val="auto"/>
          <w:sz w:val="24"/>
          <w:szCs w:val="24"/>
          <w:highlight w:val="none"/>
        </w:rPr>
        <w:t>的法定代表人，现委托</w:t>
      </w:r>
      <w:r>
        <w:rPr>
          <w:rFonts w:hint="eastAsia" w:ascii="宋体" w:hAnsi="宋体" w:eastAsia="宋体"/>
          <w:color w:val="auto"/>
          <w:sz w:val="24"/>
          <w:szCs w:val="24"/>
          <w:highlight w:val="none"/>
          <w:u w:val="single"/>
        </w:rPr>
        <w:t>（姓名）</w:t>
      </w:r>
      <w:r>
        <w:rPr>
          <w:rFonts w:hint="eastAsia" w:ascii="宋体" w:hAnsi="宋体" w:eastAsia="宋体"/>
          <w:color w:val="auto"/>
          <w:sz w:val="24"/>
          <w:szCs w:val="24"/>
          <w:highlight w:val="none"/>
        </w:rPr>
        <w:t>为我方代理人。代理人根据授权，以我方名义签署、澄清确认、递交、撤回、修改招标项目投标文件、签订合同和处理有关事宜，其法律后果由我方承担。</w:t>
      </w:r>
    </w:p>
    <w:p w14:paraId="3FB4D2DB">
      <w:pPr>
        <w:spacing w:line="440" w:lineRule="exact"/>
        <w:ind w:firstLine="480" w:firstLineChars="200"/>
        <w:rPr>
          <w:rFonts w:hint="default" w:ascii="宋体" w:hAnsi="宋体" w:eastAsia="宋体"/>
          <w:color w:val="auto"/>
          <w:sz w:val="24"/>
          <w:szCs w:val="24"/>
          <w:highlight w:val="none"/>
          <w:u w:val="single"/>
          <w:lang w:val="en-US" w:eastAsia="zh-CN"/>
        </w:rPr>
      </w:pPr>
      <w:r>
        <w:rPr>
          <w:rFonts w:hint="eastAsia" w:ascii="宋体" w:hAnsi="宋体" w:eastAsia="宋体"/>
          <w:color w:val="auto"/>
          <w:sz w:val="24"/>
          <w:szCs w:val="24"/>
          <w:highlight w:val="none"/>
        </w:rPr>
        <w:t>委托期限：</w:t>
      </w:r>
      <w:r>
        <w:rPr>
          <w:rFonts w:hint="eastAsia" w:ascii="宋体" w:hAnsi="宋体" w:eastAsia="宋体"/>
          <w:color w:val="auto"/>
          <w:sz w:val="24"/>
          <w:szCs w:val="24"/>
          <w:highlight w:val="none"/>
          <w:u w:val="single"/>
          <w:lang w:val="en-US" w:eastAsia="zh-CN"/>
        </w:rPr>
        <w:t xml:space="preserve">        </w:t>
      </w:r>
    </w:p>
    <w:p w14:paraId="01667BAC">
      <w:pPr>
        <w:spacing w:line="440" w:lineRule="exact"/>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代理人无转委托权。</w:t>
      </w:r>
    </w:p>
    <w:p w14:paraId="0F41CC11">
      <w:pPr>
        <w:spacing w:line="440" w:lineRule="exact"/>
        <w:ind w:firstLine="480" w:firstLineChars="200"/>
        <w:rPr>
          <w:rFonts w:ascii="宋体" w:hAnsi="宋体" w:eastAsia="宋体"/>
          <w:color w:val="auto"/>
          <w:sz w:val="24"/>
          <w:szCs w:val="24"/>
          <w:highlight w:val="none"/>
        </w:rPr>
      </w:pPr>
    </w:p>
    <w:p w14:paraId="122ADE31">
      <w:pPr>
        <w:spacing w:line="44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附：法定代表人身份证复印件及委托代理人身份证复印件</w:t>
      </w:r>
    </w:p>
    <w:p w14:paraId="256E719B">
      <w:pPr>
        <w:spacing w:line="440" w:lineRule="exact"/>
        <w:rPr>
          <w:rFonts w:ascii="宋体" w:hAnsi="宋体" w:eastAsia="宋体"/>
          <w:color w:val="auto"/>
          <w:sz w:val="24"/>
          <w:szCs w:val="24"/>
          <w:highlight w:val="none"/>
        </w:rPr>
      </w:pPr>
    </w:p>
    <w:p w14:paraId="42B23475">
      <w:pPr>
        <w:spacing w:line="44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注：本授权委托书需由投标人加盖单位公章并由其法定代表人和委托代理人签字。</w:t>
      </w:r>
    </w:p>
    <w:p w14:paraId="26DB72A8">
      <w:pPr>
        <w:spacing w:line="440" w:lineRule="exact"/>
        <w:rPr>
          <w:rFonts w:ascii="宋体" w:hAnsi="宋体" w:eastAsia="宋体"/>
          <w:color w:val="auto"/>
          <w:sz w:val="24"/>
          <w:szCs w:val="24"/>
          <w:highlight w:val="none"/>
        </w:rPr>
      </w:pPr>
    </w:p>
    <w:p w14:paraId="198E6084">
      <w:pPr>
        <w:spacing w:line="440" w:lineRule="exact"/>
        <w:ind w:firstLine="3076" w:firstLineChars="1282"/>
        <w:rPr>
          <w:rFonts w:ascii="宋体" w:hAnsi="宋体" w:eastAsia="宋体"/>
          <w:color w:val="auto"/>
          <w:sz w:val="24"/>
          <w:szCs w:val="24"/>
          <w:highlight w:val="none"/>
        </w:rPr>
      </w:pPr>
      <w:r>
        <w:rPr>
          <w:rFonts w:hint="eastAsia" w:ascii="宋体" w:hAnsi="宋体" w:eastAsia="宋体"/>
          <w:color w:val="auto"/>
          <w:sz w:val="24"/>
          <w:szCs w:val="24"/>
          <w:highlight w:val="none"/>
        </w:rPr>
        <w:t>投  标  人：</w:t>
      </w:r>
      <w:r>
        <w:rPr>
          <w:rFonts w:hint="eastAsia" w:ascii="宋体" w:hAnsi="宋体" w:eastAsia="宋体"/>
          <w:color w:val="auto"/>
          <w:sz w:val="24"/>
          <w:szCs w:val="24"/>
          <w:highlight w:val="none"/>
          <w:u w:val="single"/>
        </w:rPr>
        <w:tab/>
      </w:r>
      <w:r>
        <w:rPr>
          <w:rFonts w:hint="eastAsia" w:ascii="宋体" w:hAnsi="宋体" w:eastAsia="宋体"/>
          <w:color w:val="auto"/>
          <w:sz w:val="24"/>
          <w:szCs w:val="24"/>
          <w:highlight w:val="none"/>
          <w:u w:val="single"/>
        </w:rPr>
        <w:tab/>
      </w:r>
      <w:r>
        <w:rPr>
          <w:rFonts w:hint="eastAsia" w:ascii="宋体" w:hAnsi="宋体" w:eastAsia="宋体"/>
          <w:color w:val="auto"/>
          <w:sz w:val="24"/>
          <w:szCs w:val="24"/>
          <w:highlight w:val="none"/>
          <w:u w:val="single"/>
        </w:rPr>
        <w:tab/>
      </w:r>
      <w:r>
        <w:rPr>
          <w:rFonts w:hint="eastAsia" w:ascii="宋体" w:hAnsi="宋体" w:eastAsia="宋体"/>
          <w:color w:val="auto"/>
          <w:sz w:val="24"/>
          <w:szCs w:val="24"/>
          <w:highlight w:val="none"/>
          <w:u w:val="single"/>
        </w:rPr>
        <w:tab/>
      </w:r>
      <w:r>
        <w:rPr>
          <w:rFonts w:hint="eastAsia" w:ascii="宋体" w:hAnsi="宋体" w:eastAsia="宋体"/>
          <w:color w:val="auto"/>
          <w:sz w:val="24"/>
          <w:szCs w:val="24"/>
          <w:highlight w:val="none"/>
        </w:rPr>
        <w:t>（盖单位章）</w:t>
      </w:r>
    </w:p>
    <w:p w14:paraId="079975B6">
      <w:pPr>
        <w:spacing w:line="440" w:lineRule="exact"/>
        <w:ind w:firstLine="3076" w:firstLineChars="1282"/>
        <w:rPr>
          <w:rFonts w:ascii="宋体" w:hAnsi="宋体" w:eastAsia="宋体"/>
          <w:color w:val="auto"/>
          <w:sz w:val="24"/>
          <w:szCs w:val="24"/>
          <w:highlight w:val="none"/>
        </w:rPr>
      </w:pPr>
    </w:p>
    <w:p w14:paraId="395A57F8">
      <w:pPr>
        <w:spacing w:line="440" w:lineRule="exact"/>
        <w:ind w:firstLine="3074" w:firstLineChars="1281"/>
        <w:rPr>
          <w:rFonts w:ascii="宋体" w:hAnsi="宋体" w:eastAsia="宋体"/>
          <w:color w:val="auto"/>
          <w:sz w:val="24"/>
          <w:szCs w:val="24"/>
          <w:highlight w:val="none"/>
        </w:rPr>
      </w:pPr>
      <w:r>
        <w:rPr>
          <w:rFonts w:hint="eastAsia" w:ascii="宋体" w:hAnsi="宋体" w:eastAsia="宋体"/>
          <w:color w:val="auto"/>
          <w:sz w:val="24"/>
          <w:szCs w:val="24"/>
          <w:highlight w:val="none"/>
        </w:rPr>
        <w:t>法定代表人：</w:t>
      </w:r>
      <w:r>
        <w:rPr>
          <w:rFonts w:hint="eastAsia" w:ascii="宋体" w:hAnsi="宋体" w:eastAsia="宋体"/>
          <w:color w:val="auto"/>
          <w:sz w:val="24"/>
          <w:szCs w:val="24"/>
          <w:highlight w:val="none"/>
          <w:u w:val="single"/>
        </w:rPr>
        <w:tab/>
      </w:r>
      <w:r>
        <w:rPr>
          <w:rFonts w:hint="eastAsia" w:ascii="宋体" w:hAnsi="宋体" w:eastAsia="宋体"/>
          <w:color w:val="auto"/>
          <w:sz w:val="24"/>
          <w:szCs w:val="24"/>
          <w:highlight w:val="none"/>
          <w:u w:val="single"/>
        </w:rPr>
        <w:tab/>
      </w:r>
      <w:r>
        <w:rPr>
          <w:rFonts w:hint="eastAsia" w:ascii="宋体" w:hAnsi="宋体" w:eastAsia="宋体"/>
          <w:color w:val="auto"/>
          <w:sz w:val="24"/>
          <w:szCs w:val="24"/>
          <w:highlight w:val="none"/>
          <w:u w:val="single"/>
        </w:rPr>
        <w:tab/>
      </w:r>
      <w:r>
        <w:rPr>
          <w:rFonts w:hint="eastAsia" w:ascii="宋体" w:hAnsi="宋体" w:eastAsia="宋体"/>
          <w:color w:val="auto"/>
          <w:sz w:val="24"/>
          <w:szCs w:val="24"/>
          <w:highlight w:val="none"/>
          <w:u w:val="single"/>
        </w:rPr>
        <w:tab/>
      </w:r>
      <w:r>
        <w:rPr>
          <w:rFonts w:hint="eastAsia" w:ascii="宋体" w:hAnsi="宋体" w:eastAsia="宋体"/>
          <w:color w:val="auto"/>
          <w:sz w:val="24"/>
          <w:szCs w:val="24"/>
          <w:highlight w:val="none"/>
        </w:rPr>
        <w:t>（签字）</w:t>
      </w:r>
    </w:p>
    <w:p w14:paraId="0C0D54EB">
      <w:pPr>
        <w:spacing w:line="440" w:lineRule="exact"/>
        <w:ind w:firstLine="3076" w:firstLineChars="1282"/>
        <w:rPr>
          <w:rFonts w:ascii="宋体" w:hAnsi="宋体" w:eastAsia="宋体"/>
          <w:color w:val="auto"/>
          <w:sz w:val="24"/>
          <w:szCs w:val="24"/>
          <w:highlight w:val="none"/>
        </w:rPr>
      </w:pPr>
    </w:p>
    <w:p w14:paraId="4E02C113">
      <w:pPr>
        <w:spacing w:line="440" w:lineRule="exact"/>
        <w:ind w:firstLine="3076" w:firstLineChars="1282"/>
        <w:rPr>
          <w:rFonts w:ascii="宋体" w:hAnsi="宋体" w:eastAsia="宋体"/>
          <w:color w:val="auto"/>
          <w:sz w:val="24"/>
          <w:szCs w:val="24"/>
          <w:highlight w:val="none"/>
        </w:rPr>
      </w:pPr>
      <w:r>
        <w:rPr>
          <w:rFonts w:hint="eastAsia" w:ascii="宋体" w:hAnsi="宋体" w:eastAsia="宋体"/>
          <w:color w:val="auto"/>
          <w:sz w:val="24"/>
          <w:szCs w:val="24"/>
          <w:highlight w:val="none"/>
        </w:rPr>
        <w:t>身份证号码：</w:t>
      </w:r>
      <w:r>
        <w:rPr>
          <w:rFonts w:hint="eastAsia" w:ascii="宋体" w:hAnsi="宋体" w:eastAsia="宋体"/>
          <w:color w:val="auto"/>
          <w:sz w:val="24"/>
          <w:szCs w:val="24"/>
          <w:highlight w:val="none"/>
          <w:u w:val="single"/>
        </w:rPr>
        <w:tab/>
      </w:r>
      <w:r>
        <w:rPr>
          <w:rFonts w:hint="eastAsia" w:ascii="宋体" w:hAnsi="宋体" w:eastAsia="宋体"/>
          <w:color w:val="auto"/>
          <w:sz w:val="24"/>
          <w:szCs w:val="24"/>
          <w:highlight w:val="none"/>
          <w:u w:val="single"/>
        </w:rPr>
        <w:tab/>
      </w:r>
      <w:r>
        <w:rPr>
          <w:rFonts w:hint="eastAsia" w:ascii="宋体" w:hAnsi="宋体" w:eastAsia="宋体"/>
          <w:color w:val="auto"/>
          <w:sz w:val="24"/>
          <w:szCs w:val="24"/>
          <w:highlight w:val="none"/>
          <w:u w:val="single"/>
        </w:rPr>
        <w:tab/>
      </w:r>
      <w:r>
        <w:rPr>
          <w:rFonts w:hint="eastAsia" w:ascii="宋体" w:hAnsi="宋体" w:eastAsia="宋体"/>
          <w:color w:val="auto"/>
          <w:sz w:val="24"/>
          <w:szCs w:val="24"/>
          <w:highlight w:val="none"/>
          <w:u w:val="single"/>
        </w:rPr>
        <w:tab/>
      </w:r>
    </w:p>
    <w:p w14:paraId="4F764C2C">
      <w:pPr>
        <w:spacing w:line="440" w:lineRule="exact"/>
        <w:ind w:firstLine="3076" w:firstLineChars="1282"/>
        <w:rPr>
          <w:rFonts w:ascii="宋体" w:hAnsi="宋体" w:eastAsia="宋体"/>
          <w:color w:val="auto"/>
          <w:sz w:val="24"/>
          <w:szCs w:val="24"/>
          <w:highlight w:val="none"/>
        </w:rPr>
      </w:pPr>
    </w:p>
    <w:p w14:paraId="4FBC6F3F">
      <w:pPr>
        <w:spacing w:line="440" w:lineRule="exact"/>
        <w:ind w:firstLine="3076" w:firstLineChars="1282"/>
        <w:rPr>
          <w:rFonts w:ascii="宋体" w:hAnsi="宋体" w:eastAsia="宋体"/>
          <w:color w:val="auto"/>
          <w:sz w:val="24"/>
          <w:szCs w:val="24"/>
          <w:highlight w:val="none"/>
        </w:rPr>
      </w:pPr>
      <w:r>
        <w:rPr>
          <w:rFonts w:hint="eastAsia" w:ascii="宋体" w:hAnsi="宋体" w:eastAsia="宋体"/>
          <w:color w:val="auto"/>
          <w:sz w:val="24"/>
          <w:szCs w:val="24"/>
          <w:highlight w:val="none"/>
        </w:rPr>
        <w:t>委托代理人：</w:t>
      </w:r>
      <w:r>
        <w:rPr>
          <w:rFonts w:hint="eastAsia" w:ascii="宋体" w:hAnsi="宋体" w:eastAsia="宋体"/>
          <w:color w:val="auto"/>
          <w:sz w:val="24"/>
          <w:szCs w:val="24"/>
          <w:highlight w:val="none"/>
          <w:u w:val="single"/>
        </w:rPr>
        <w:tab/>
      </w:r>
      <w:r>
        <w:rPr>
          <w:rFonts w:hint="eastAsia" w:ascii="宋体" w:hAnsi="宋体" w:eastAsia="宋体"/>
          <w:color w:val="auto"/>
          <w:sz w:val="24"/>
          <w:szCs w:val="24"/>
          <w:highlight w:val="none"/>
          <w:u w:val="single"/>
        </w:rPr>
        <w:tab/>
      </w:r>
      <w:r>
        <w:rPr>
          <w:rFonts w:hint="eastAsia" w:ascii="宋体" w:hAnsi="宋体" w:eastAsia="宋体"/>
          <w:color w:val="auto"/>
          <w:sz w:val="24"/>
          <w:szCs w:val="24"/>
          <w:highlight w:val="none"/>
          <w:u w:val="single"/>
        </w:rPr>
        <w:tab/>
      </w:r>
      <w:r>
        <w:rPr>
          <w:rFonts w:hint="eastAsia" w:ascii="宋体" w:hAnsi="宋体" w:eastAsia="宋体"/>
          <w:color w:val="auto"/>
          <w:sz w:val="24"/>
          <w:szCs w:val="24"/>
          <w:highlight w:val="none"/>
          <w:u w:val="single"/>
        </w:rPr>
        <w:tab/>
      </w:r>
      <w:r>
        <w:rPr>
          <w:rFonts w:hint="eastAsia" w:ascii="宋体" w:hAnsi="宋体" w:eastAsia="宋体"/>
          <w:color w:val="auto"/>
          <w:sz w:val="24"/>
          <w:szCs w:val="24"/>
          <w:highlight w:val="none"/>
        </w:rPr>
        <w:t>（签字）</w:t>
      </w:r>
    </w:p>
    <w:p w14:paraId="73C01AF0">
      <w:pPr>
        <w:spacing w:line="440" w:lineRule="exact"/>
        <w:ind w:firstLine="3076" w:firstLineChars="1282"/>
        <w:rPr>
          <w:rFonts w:ascii="宋体" w:hAnsi="宋体" w:eastAsia="宋体"/>
          <w:color w:val="auto"/>
          <w:sz w:val="24"/>
          <w:szCs w:val="24"/>
          <w:highlight w:val="none"/>
        </w:rPr>
      </w:pPr>
    </w:p>
    <w:p w14:paraId="34A1487B">
      <w:pPr>
        <w:spacing w:line="440" w:lineRule="exact"/>
        <w:ind w:firstLine="3076" w:firstLineChars="1282"/>
        <w:rPr>
          <w:rFonts w:ascii="宋体" w:hAnsi="宋体" w:eastAsia="宋体"/>
          <w:color w:val="auto"/>
          <w:szCs w:val="24"/>
          <w:highlight w:val="none"/>
        </w:rPr>
      </w:pPr>
      <w:r>
        <w:rPr>
          <w:rFonts w:hint="eastAsia" w:ascii="宋体" w:hAnsi="宋体" w:eastAsia="宋体"/>
          <w:color w:val="auto"/>
          <w:sz w:val="24"/>
          <w:szCs w:val="24"/>
          <w:highlight w:val="none"/>
        </w:rPr>
        <w:t>身份证号码：</w:t>
      </w:r>
      <w:r>
        <w:rPr>
          <w:rFonts w:hint="eastAsia" w:ascii="宋体" w:hAnsi="宋体" w:eastAsia="宋体"/>
          <w:color w:val="auto"/>
          <w:sz w:val="24"/>
          <w:szCs w:val="24"/>
          <w:highlight w:val="none"/>
          <w:u w:val="single"/>
        </w:rPr>
        <w:tab/>
      </w:r>
      <w:r>
        <w:rPr>
          <w:rFonts w:hint="eastAsia" w:ascii="宋体" w:hAnsi="宋体" w:eastAsia="宋体"/>
          <w:color w:val="auto"/>
          <w:sz w:val="24"/>
          <w:szCs w:val="24"/>
          <w:highlight w:val="none"/>
          <w:u w:val="single"/>
        </w:rPr>
        <w:tab/>
      </w:r>
      <w:r>
        <w:rPr>
          <w:rFonts w:hint="eastAsia" w:ascii="宋体" w:hAnsi="宋体" w:eastAsia="宋体"/>
          <w:color w:val="auto"/>
          <w:sz w:val="24"/>
          <w:szCs w:val="24"/>
          <w:highlight w:val="none"/>
          <w:u w:val="single"/>
        </w:rPr>
        <w:tab/>
      </w:r>
      <w:r>
        <w:rPr>
          <w:rFonts w:hint="eastAsia" w:ascii="宋体" w:hAnsi="宋体" w:eastAsia="宋体"/>
          <w:color w:val="auto"/>
          <w:sz w:val="24"/>
          <w:szCs w:val="24"/>
          <w:highlight w:val="none"/>
          <w:u w:val="single"/>
        </w:rPr>
        <w:tab/>
      </w:r>
    </w:p>
    <w:p w14:paraId="6921E340">
      <w:pPr>
        <w:spacing w:line="440" w:lineRule="exact"/>
        <w:ind w:firstLine="2692" w:firstLineChars="1282"/>
        <w:rPr>
          <w:rFonts w:ascii="宋体" w:hAnsi="宋体" w:eastAsia="宋体"/>
          <w:color w:val="auto"/>
          <w:szCs w:val="24"/>
          <w:highlight w:val="none"/>
        </w:rPr>
      </w:pPr>
    </w:p>
    <w:p w14:paraId="5B11EC85">
      <w:pPr>
        <w:wordWrap w:val="0"/>
        <w:spacing w:line="440" w:lineRule="exact"/>
        <w:ind w:firstLine="4636" w:firstLineChars="1932"/>
        <w:jc w:val="right"/>
        <w:rPr>
          <w:rFonts w:hint="default" w:ascii="宋体" w:hAnsi="宋体" w:eastAsia="宋体"/>
          <w:color w:val="auto"/>
          <w:szCs w:val="24"/>
          <w:highlight w:val="none"/>
          <w:lang w:val="en-US" w:eastAsia="zh-CN"/>
        </w:rPr>
      </w:pPr>
      <w:r>
        <w:rPr>
          <w:rFonts w:hint="eastAsia" w:ascii="宋体" w:hAnsi="宋体" w:eastAsia="宋体"/>
          <w:color w:val="auto"/>
          <w:sz w:val="24"/>
          <w:szCs w:val="24"/>
          <w:highlight w:val="none"/>
        </w:rPr>
        <w:t>年</w:t>
      </w:r>
      <w:r>
        <w:rPr>
          <w:rFonts w:hint="eastAsia" w:ascii="宋体" w:hAnsi="宋体" w:eastAsia="宋体"/>
          <w:color w:val="auto"/>
          <w:sz w:val="24"/>
          <w:szCs w:val="24"/>
          <w:highlight w:val="none"/>
          <w:lang w:val="en-US" w:eastAsia="zh-CN"/>
        </w:rPr>
        <w:t xml:space="preserve">    </w:t>
      </w:r>
      <w:r>
        <w:rPr>
          <w:rFonts w:hint="eastAsia" w:ascii="宋体" w:hAnsi="宋体" w:eastAsia="宋体"/>
          <w:color w:val="auto"/>
          <w:sz w:val="24"/>
          <w:szCs w:val="24"/>
          <w:highlight w:val="none"/>
        </w:rPr>
        <w:t>月</w:t>
      </w:r>
      <w:r>
        <w:rPr>
          <w:rFonts w:hint="eastAsia" w:ascii="宋体" w:hAnsi="宋体" w:eastAsia="宋体"/>
          <w:color w:val="auto"/>
          <w:sz w:val="24"/>
          <w:szCs w:val="24"/>
          <w:highlight w:val="none"/>
          <w:lang w:val="en-US" w:eastAsia="zh-CN"/>
        </w:rPr>
        <w:t xml:space="preserve">    </w:t>
      </w:r>
      <w:r>
        <w:rPr>
          <w:rFonts w:hint="eastAsia" w:ascii="宋体" w:hAnsi="宋体" w:eastAsia="宋体"/>
          <w:color w:val="auto"/>
          <w:sz w:val="24"/>
          <w:szCs w:val="24"/>
          <w:highlight w:val="none"/>
        </w:rPr>
        <w:t>日</w:t>
      </w:r>
      <w:r>
        <w:rPr>
          <w:rFonts w:hint="eastAsia" w:ascii="宋体" w:hAnsi="宋体" w:eastAsia="宋体"/>
          <w:color w:val="auto"/>
          <w:sz w:val="24"/>
          <w:szCs w:val="24"/>
          <w:highlight w:val="none"/>
          <w:lang w:val="en-US" w:eastAsia="zh-CN"/>
        </w:rPr>
        <w:t xml:space="preserve"> </w:t>
      </w:r>
      <w:r>
        <w:rPr>
          <w:rFonts w:hint="eastAsia" w:ascii="宋体" w:hAnsi="宋体" w:eastAsia="宋体"/>
          <w:color w:val="auto"/>
          <w:highlight w:val="none"/>
          <w:lang w:val="en-US" w:eastAsia="zh-CN"/>
        </w:rPr>
        <w:t xml:space="preserve">   </w:t>
      </w:r>
    </w:p>
    <w:p w14:paraId="3EA294E5">
      <w:pPr>
        <w:rPr>
          <w:rFonts w:ascii="宋体" w:hAnsi="宋体" w:eastAsia="宋体"/>
          <w:color w:val="auto"/>
          <w:highlight w:val="none"/>
        </w:rPr>
      </w:pPr>
    </w:p>
    <w:p w14:paraId="525A1484">
      <w:pPr>
        <w:pStyle w:val="6"/>
        <w:spacing w:line="360" w:lineRule="auto"/>
        <w:jc w:val="center"/>
        <w:rPr>
          <w:rFonts w:ascii="宋体" w:hAnsi="宋体" w:eastAsia="宋体"/>
          <w:color w:val="auto"/>
          <w:sz w:val="32"/>
          <w:szCs w:val="32"/>
          <w:highlight w:val="none"/>
        </w:rPr>
      </w:pPr>
      <w:r>
        <w:rPr>
          <w:rFonts w:hint="eastAsia" w:ascii="宋体" w:hAnsi="宋体" w:eastAsia="宋体"/>
          <w:b w:val="0"/>
          <w:bCs w:val="0"/>
          <w:color w:val="auto"/>
          <w:highlight w:val="none"/>
        </w:rPr>
        <w:br w:type="page"/>
      </w:r>
      <w:bookmarkStart w:id="667" w:name="_Toc529196605"/>
      <w:bookmarkStart w:id="668" w:name="_Toc535938756"/>
      <w:bookmarkStart w:id="669" w:name="_Toc530470648"/>
      <w:r>
        <w:rPr>
          <w:rFonts w:hint="eastAsia" w:ascii="宋体" w:hAnsi="宋体" w:eastAsia="宋体"/>
          <w:color w:val="auto"/>
          <w:sz w:val="32"/>
          <w:szCs w:val="32"/>
          <w:highlight w:val="none"/>
        </w:rPr>
        <w:t>三、投标保证金（格式可自定）</w:t>
      </w:r>
      <w:bookmarkEnd w:id="667"/>
      <w:bookmarkEnd w:id="668"/>
      <w:bookmarkEnd w:id="669"/>
    </w:p>
    <w:p w14:paraId="7257B71B">
      <w:pPr>
        <w:spacing w:line="1" w:lineRule="exact"/>
        <w:rPr>
          <w:rFonts w:ascii="宋体" w:hAnsi="宋体" w:eastAsia="宋体"/>
          <w:color w:val="auto"/>
          <w:highlight w:val="none"/>
        </w:rPr>
      </w:pPr>
    </w:p>
    <w:p w14:paraId="374C31A6">
      <w:pPr>
        <w:ind w:firstLine="480"/>
        <w:rPr>
          <w:rFonts w:ascii="宋体" w:hAnsi="宋体" w:eastAsia="宋体"/>
          <w:color w:val="auto"/>
          <w:highlight w:val="none"/>
        </w:rPr>
      </w:pPr>
    </w:p>
    <w:p w14:paraId="345F3B0D">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（注：投标人采用投标保函或投标保证保险的形式提交投标保证金的，应提交投标保函或投标保证保险文本的复印件并加盖投标人电子印章。投标人采用投标保函</w:t>
      </w:r>
      <w:r>
        <w:rPr>
          <w:rFonts w:hint="eastAsia" w:ascii="宋体" w:hAnsi="宋体" w:eastAsia="宋体"/>
          <w:color w:val="auto"/>
          <w:sz w:val="24"/>
          <w:szCs w:val="24"/>
          <w:highlight w:val="none"/>
          <w:lang w:val="en-US" w:eastAsia="zh-CN"/>
        </w:rPr>
        <w:t>的，银行投标保函有效期应长于或等于投标有效期，若投标有效期延长的，银行投标保函有效期应相应延长，且延长后的有效期应满足前述要求。投标人提供的银行投标保函应为银行出具的无条件、见索即付、不可撤销的保函。</w:t>
      </w:r>
      <w:r>
        <w:rPr>
          <w:rFonts w:hint="eastAsia" w:ascii="宋体" w:hAnsi="宋体" w:eastAsia="宋体"/>
          <w:color w:val="auto"/>
          <w:sz w:val="24"/>
          <w:szCs w:val="24"/>
          <w:highlight w:val="none"/>
        </w:rPr>
        <w:t>）</w:t>
      </w:r>
    </w:p>
    <w:p w14:paraId="1599B21A">
      <w:pPr>
        <w:spacing w:line="360" w:lineRule="auto"/>
        <w:jc w:val="center"/>
        <w:rPr>
          <w:rFonts w:ascii="宋体" w:hAnsi="宋体" w:eastAsia="宋体"/>
          <w:b/>
          <w:color w:val="auto"/>
          <w:sz w:val="28"/>
          <w:szCs w:val="28"/>
          <w:highlight w:val="none"/>
        </w:rPr>
      </w:pPr>
    </w:p>
    <w:p w14:paraId="5E645A9A">
      <w:pPr>
        <w:spacing w:line="360" w:lineRule="auto"/>
        <w:jc w:val="center"/>
        <w:rPr>
          <w:rFonts w:ascii="宋体" w:hAnsi="宋体" w:eastAsia="宋体"/>
          <w:b/>
          <w:color w:val="auto"/>
          <w:sz w:val="30"/>
          <w:szCs w:val="30"/>
          <w:highlight w:val="none"/>
        </w:rPr>
      </w:pPr>
      <w:r>
        <w:rPr>
          <w:rFonts w:hint="eastAsia" w:ascii="宋体" w:hAnsi="宋体" w:eastAsia="宋体"/>
          <w:b/>
          <w:color w:val="auto"/>
          <w:sz w:val="30"/>
          <w:szCs w:val="30"/>
          <w:highlight w:val="none"/>
        </w:rPr>
        <w:t>投标保证金</w:t>
      </w:r>
    </w:p>
    <w:p w14:paraId="10E684F3">
      <w:pPr>
        <w:spacing w:line="200" w:lineRule="exact"/>
        <w:rPr>
          <w:rFonts w:ascii="宋体" w:hAnsi="宋体" w:eastAsia="宋体"/>
          <w:color w:val="auto"/>
          <w:highlight w:val="none"/>
        </w:rPr>
      </w:pPr>
    </w:p>
    <w:p w14:paraId="21F10EF6">
      <w:pPr>
        <w:spacing w:line="360" w:lineRule="auto"/>
        <w:rPr>
          <w:rFonts w:ascii="宋体" w:hAnsi="宋体" w:eastAsia="宋体"/>
          <w:color w:val="auto"/>
          <w:sz w:val="24"/>
          <w:highlight w:val="none"/>
          <w:u w:val="single"/>
        </w:rPr>
      </w:pPr>
      <w:r>
        <w:rPr>
          <w:rFonts w:hint="eastAsia" w:ascii="宋体" w:hAnsi="宋体" w:eastAsia="宋体"/>
          <w:color w:val="auto"/>
          <w:sz w:val="24"/>
          <w:highlight w:val="none"/>
          <w:u w:val="single"/>
        </w:rPr>
        <w:tab/>
      </w:r>
      <w:r>
        <w:rPr>
          <w:rFonts w:hint="eastAsia" w:ascii="宋体" w:hAnsi="宋体" w:eastAsia="宋体"/>
          <w:color w:val="auto"/>
          <w:sz w:val="24"/>
          <w:highlight w:val="none"/>
          <w:u w:val="single"/>
        </w:rPr>
        <w:tab/>
      </w:r>
      <w:r>
        <w:rPr>
          <w:rFonts w:hint="eastAsia" w:ascii="宋体" w:hAnsi="宋体" w:eastAsia="宋体"/>
          <w:color w:val="auto"/>
          <w:sz w:val="24"/>
          <w:highlight w:val="none"/>
          <w:u w:val="single"/>
        </w:rPr>
        <w:t>（招标人名称）：</w:t>
      </w:r>
    </w:p>
    <w:p w14:paraId="60F6D4D2">
      <w:pPr>
        <w:spacing w:line="360" w:lineRule="auto"/>
        <w:rPr>
          <w:rFonts w:ascii="宋体" w:hAnsi="宋体" w:eastAsia="宋体"/>
          <w:color w:val="auto"/>
          <w:sz w:val="24"/>
          <w:highlight w:val="none"/>
          <w:u w:val="single"/>
        </w:rPr>
      </w:pPr>
    </w:p>
    <w:p w14:paraId="2FA7B5BD">
      <w:pPr>
        <w:spacing w:line="360" w:lineRule="auto"/>
        <w:ind w:firstLine="480" w:firstLineChars="200"/>
        <w:rPr>
          <w:rFonts w:ascii="宋体" w:hAnsi="宋体" w:eastAsia="宋体"/>
          <w:color w:val="auto"/>
          <w:sz w:val="24"/>
          <w:highlight w:val="none"/>
          <w:u w:val="single"/>
        </w:rPr>
      </w:pPr>
      <w:r>
        <w:rPr>
          <w:rFonts w:hint="eastAsia" w:ascii="宋体" w:hAnsi="宋体" w:eastAsia="宋体"/>
          <w:color w:val="auto"/>
          <w:sz w:val="24"/>
          <w:highlight w:val="none"/>
          <w:u w:val="single"/>
        </w:rPr>
        <w:t>我方于  年  月  日参加          （项目名称）的投标，现保证：我方在规定的投标有效期内撤销或修改投标文件的，或者在收到中标通知书后无正当理由拒签合同或拒交规定履约担保的，投标保证金不予退还。</w:t>
      </w:r>
    </w:p>
    <w:tbl>
      <w:tblPr>
        <w:tblStyle w:val="40"/>
        <w:tblW w:w="96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2"/>
      </w:tblGrid>
      <w:tr w14:paraId="48735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2" w:type="dxa"/>
            <w:tcBorders>
              <w:top w:val="single" w:color="auto" w:sz="4" w:space="0"/>
              <w:left w:val="single" w:color="auto" w:sz="4" w:space="0"/>
              <w:bottom w:val="single" w:color="auto" w:sz="4" w:space="0"/>
              <w:right w:val="single" w:color="auto" w:sz="4" w:space="0"/>
            </w:tcBorders>
          </w:tcPr>
          <w:p w14:paraId="73371428">
            <w:pPr>
              <w:spacing w:line="440" w:lineRule="exact"/>
              <w:rPr>
                <w:rFonts w:ascii="宋体" w:hAnsi="宋体" w:eastAsia="宋体"/>
                <w:color w:val="auto"/>
                <w:sz w:val="24"/>
                <w:highlight w:val="none"/>
              </w:rPr>
            </w:pPr>
          </w:p>
          <w:p w14:paraId="5777CFEB">
            <w:pPr>
              <w:spacing w:line="440" w:lineRule="exact"/>
              <w:rPr>
                <w:rFonts w:ascii="宋体" w:hAnsi="宋体" w:eastAsia="宋体"/>
                <w:color w:val="auto"/>
                <w:sz w:val="24"/>
                <w:highlight w:val="none"/>
              </w:rPr>
            </w:pPr>
          </w:p>
          <w:p w14:paraId="2624B005">
            <w:pPr>
              <w:spacing w:line="440" w:lineRule="exact"/>
              <w:rPr>
                <w:rFonts w:ascii="宋体" w:hAnsi="宋体" w:eastAsia="宋体"/>
                <w:color w:val="auto"/>
                <w:sz w:val="24"/>
                <w:highlight w:val="none"/>
              </w:rPr>
            </w:pPr>
          </w:p>
          <w:p w14:paraId="183DD5AA">
            <w:pPr>
              <w:spacing w:line="440" w:lineRule="exact"/>
              <w:rPr>
                <w:rFonts w:ascii="宋体" w:hAnsi="宋体" w:eastAsia="宋体"/>
                <w:color w:val="auto"/>
                <w:sz w:val="24"/>
                <w:highlight w:val="none"/>
              </w:rPr>
            </w:pPr>
          </w:p>
          <w:p w14:paraId="5CADF99E">
            <w:pPr>
              <w:spacing w:line="360" w:lineRule="auto"/>
              <w:jc w:val="center"/>
              <w:rPr>
                <w:rFonts w:ascii="宋体" w:hAnsi="宋体" w:eastAsia="宋体"/>
                <w:b/>
                <w:color w:val="auto"/>
                <w:sz w:val="32"/>
                <w:szCs w:val="32"/>
                <w:highlight w:val="none"/>
              </w:rPr>
            </w:pPr>
            <w:r>
              <w:rPr>
                <w:rFonts w:hint="eastAsia" w:ascii="宋体" w:hAnsi="宋体" w:eastAsia="宋体"/>
                <w:b/>
                <w:color w:val="auto"/>
                <w:sz w:val="32"/>
                <w:szCs w:val="32"/>
                <w:highlight w:val="none"/>
              </w:rPr>
              <w:t>粘 贴 处</w:t>
            </w:r>
          </w:p>
          <w:p w14:paraId="5B431BB8">
            <w:pPr>
              <w:spacing w:line="440" w:lineRule="exact"/>
              <w:rPr>
                <w:rFonts w:ascii="宋体" w:hAnsi="宋体" w:eastAsia="宋体"/>
                <w:color w:val="auto"/>
                <w:sz w:val="24"/>
                <w:highlight w:val="none"/>
              </w:rPr>
            </w:pPr>
          </w:p>
          <w:p w14:paraId="4AD867AA">
            <w:pPr>
              <w:spacing w:line="440" w:lineRule="exact"/>
              <w:rPr>
                <w:rFonts w:ascii="宋体" w:hAnsi="宋体" w:eastAsia="宋体"/>
                <w:color w:val="auto"/>
                <w:sz w:val="24"/>
                <w:highlight w:val="none"/>
              </w:rPr>
            </w:pPr>
          </w:p>
          <w:p w14:paraId="2A18ED30">
            <w:pPr>
              <w:spacing w:line="440" w:lineRule="exact"/>
              <w:rPr>
                <w:rFonts w:ascii="宋体" w:hAnsi="宋体" w:eastAsia="宋体"/>
                <w:color w:val="auto"/>
                <w:sz w:val="24"/>
                <w:highlight w:val="none"/>
              </w:rPr>
            </w:pPr>
          </w:p>
          <w:p w14:paraId="0906D3F8">
            <w:pPr>
              <w:spacing w:line="440" w:lineRule="exact"/>
              <w:rPr>
                <w:rFonts w:ascii="宋体" w:hAnsi="宋体" w:eastAsia="宋体"/>
                <w:color w:val="auto"/>
                <w:sz w:val="24"/>
                <w:highlight w:val="none"/>
              </w:rPr>
            </w:pPr>
          </w:p>
        </w:tc>
      </w:tr>
    </w:tbl>
    <w:p w14:paraId="108A0782">
      <w:pPr>
        <w:tabs>
          <w:tab w:val="left" w:pos="720"/>
        </w:tabs>
        <w:spacing w:line="360" w:lineRule="auto"/>
        <w:jc w:val="center"/>
        <w:outlineLvl w:val="1"/>
        <w:rPr>
          <w:rFonts w:ascii="宋体" w:hAnsi="宋体" w:eastAsia="宋体"/>
          <w:b/>
          <w:color w:val="auto"/>
          <w:sz w:val="32"/>
          <w:szCs w:val="32"/>
          <w:highlight w:val="none"/>
        </w:rPr>
      </w:pPr>
      <w:r>
        <w:rPr>
          <w:rFonts w:hint="eastAsia" w:ascii="宋体" w:hAnsi="宋体" w:eastAsia="宋体"/>
          <w:color w:val="auto"/>
          <w:highlight w:val="none"/>
        </w:rPr>
        <w:br w:type="page"/>
      </w:r>
      <w:bookmarkStart w:id="670" w:name="_Toc529196606"/>
      <w:bookmarkStart w:id="671" w:name="_Toc535938757"/>
      <w:bookmarkStart w:id="672" w:name="_Toc530470649"/>
      <w:r>
        <w:rPr>
          <w:rFonts w:hint="eastAsia" w:ascii="宋体" w:hAnsi="宋体" w:eastAsia="宋体"/>
          <w:b/>
          <w:color w:val="auto"/>
          <w:sz w:val="32"/>
          <w:szCs w:val="32"/>
          <w:highlight w:val="none"/>
        </w:rPr>
        <w:t>四、监理报酬清单</w:t>
      </w:r>
      <w:bookmarkEnd w:id="670"/>
      <w:bookmarkEnd w:id="671"/>
      <w:bookmarkEnd w:id="672"/>
    </w:p>
    <w:p w14:paraId="0A9D62C3">
      <w:pPr>
        <w:spacing w:before="0" w:line="360" w:lineRule="auto"/>
        <w:jc w:val="center"/>
        <w:rPr>
          <w:rFonts w:ascii="宋体" w:hAnsi="宋体" w:eastAsia="宋体"/>
          <w:b/>
          <w:color w:val="auto"/>
          <w:sz w:val="30"/>
          <w:szCs w:val="30"/>
          <w:highlight w:val="none"/>
        </w:rPr>
      </w:pPr>
      <w:bookmarkStart w:id="673" w:name="_Toc525827486"/>
      <w:bookmarkStart w:id="674" w:name="_Toc529196608"/>
      <w:bookmarkStart w:id="675" w:name="_Toc525828220"/>
      <w:bookmarkStart w:id="676" w:name="_Toc530470650"/>
      <w:bookmarkStart w:id="677" w:name="_Toc361508760"/>
      <w:r>
        <w:rPr>
          <w:rFonts w:hint="eastAsia" w:ascii="宋体" w:hAnsi="宋体" w:eastAsia="宋体"/>
          <w:b/>
          <w:color w:val="auto"/>
          <w:sz w:val="30"/>
          <w:szCs w:val="30"/>
          <w:highlight w:val="none"/>
        </w:rPr>
        <w:t>监理费用成本明细</w:t>
      </w:r>
    </w:p>
    <w:tbl>
      <w:tblPr>
        <w:tblStyle w:val="40"/>
        <w:tblW w:w="9616" w:type="dxa"/>
        <w:tblInd w:w="0" w:type="dxa"/>
        <w:tblLayout w:type="fixed"/>
        <w:tblCellMar>
          <w:top w:w="0" w:type="dxa"/>
          <w:left w:w="108" w:type="dxa"/>
          <w:bottom w:w="0" w:type="dxa"/>
          <w:right w:w="108" w:type="dxa"/>
        </w:tblCellMar>
      </w:tblPr>
      <w:tblGrid>
        <w:gridCol w:w="638"/>
        <w:gridCol w:w="2911"/>
        <w:gridCol w:w="1239"/>
        <w:gridCol w:w="1201"/>
        <w:gridCol w:w="1397"/>
        <w:gridCol w:w="1364"/>
        <w:gridCol w:w="854"/>
      </w:tblGrid>
      <w:tr w14:paraId="0BE5475A">
        <w:tblPrEx>
          <w:tblCellMar>
            <w:top w:w="0" w:type="dxa"/>
            <w:left w:w="108" w:type="dxa"/>
            <w:bottom w:w="0" w:type="dxa"/>
            <w:right w:w="108" w:type="dxa"/>
          </w:tblCellMar>
        </w:tblPrEx>
        <w:trPr>
          <w:trHeight w:val="1148" w:hRule="atLeast"/>
        </w:trPr>
        <w:tc>
          <w:tcPr>
            <w:tcW w:w="638" w:type="dxa"/>
            <w:tcBorders>
              <w:top w:val="single" w:color="auto" w:sz="4" w:space="0"/>
              <w:left w:val="single" w:color="auto" w:sz="4" w:space="0"/>
              <w:bottom w:val="single" w:color="auto" w:sz="4" w:space="0"/>
              <w:right w:val="single" w:color="auto" w:sz="4" w:space="0"/>
            </w:tcBorders>
            <w:vAlign w:val="center"/>
          </w:tcPr>
          <w:p w14:paraId="5A4D2942">
            <w:pPr>
              <w:rPr>
                <w:rFonts w:ascii="宋体" w:hAnsi="宋体" w:eastAsia="宋体"/>
                <w:b/>
                <w:bCs/>
                <w:color w:val="auto"/>
                <w:sz w:val="24"/>
                <w:szCs w:val="21"/>
                <w:highlight w:val="none"/>
              </w:rPr>
            </w:pPr>
            <w:r>
              <w:rPr>
                <w:rFonts w:hint="eastAsia" w:ascii="宋体" w:hAnsi="宋体" w:eastAsia="宋体"/>
                <w:b/>
                <w:bCs/>
                <w:color w:val="auto"/>
                <w:sz w:val="24"/>
                <w:szCs w:val="21"/>
                <w:highlight w:val="none"/>
              </w:rPr>
              <w:t>序号</w:t>
            </w:r>
          </w:p>
        </w:tc>
        <w:tc>
          <w:tcPr>
            <w:tcW w:w="2911" w:type="dxa"/>
            <w:tcBorders>
              <w:top w:val="single" w:color="auto" w:sz="4" w:space="0"/>
              <w:left w:val="nil"/>
              <w:bottom w:val="single" w:color="auto" w:sz="4" w:space="0"/>
              <w:right w:val="single" w:color="auto" w:sz="4" w:space="0"/>
            </w:tcBorders>
            <w:vAlign w:val="center"/>
          </w:tcPr>
          <w:p w14:paraId="3EB7349F">
            <w:pPr>
              <w:jc w:val="center"/>
              <w:rPr>
                <w:rFonts w:ascii="宋体" w:hAnsi="宋体" w:eastAsia="宋体"/>
                <w:b/>
                <w:bCs/>
                <w:color w:val="auto"/>
                <w:sz w:val="24"/>
                <w:szCs w:val="21"/>
                <w:highlight w:val="none"/>
              </w:rPr>
            </w:pPr>
            <w:r>
              <w:rPr>
                <w:rFonts w:hint="eastAsia" w:ascii="宋体" w:hAnsi="宋体" w:eastAsia="宋体"/>
                <w:b/>
                <w:bCs/>
                <w:color w:val="auto"/>
                <w:sz w:val="24"/>
                <w:szCs w:val="21"/>
                <w:highlight w:val="none"/>
                <w:lang w:val="en-US" w:eastAsia="zh-CN"/>
              </w:rPr>
              <w:t>项目</w:t>
            </w:r>
            <w:r>
              <w:rPr>
                <w:rFonts w:hint="eastAsia" w:ascii="宋体" w:hAnsi="宋体" w:eastAsia="宋体"/>
                <w:b/>
                <w:bCs/>
                <w:color w:val="auto"/>
                <w:sz w:val="24"/>
                <w:szCs w:val="21"/>
                <w:highlight w:val="none"/>
              </w:rPr>
              <w:t>名称</w:t>
            </w:r>
          </w:p>
        </w:tc>
        <w:tc>
          <w:tcPr>
            <w:tcW w:w="1239" w:type="dxa"/>
            <w:tcBorders>
              <w:top w:val="single" w:color="auto" w:sz="4" w:space="0"/>
              <w:left w:val="nil"/>
              <w:bottom w:val="single" w:color="auto" w:sz="4" w:space="0"/>
              <w:right w:val="single" w:color="auto" w:sz="4" w:space="0"/>
            </w:tcBorders>
            <w:vAlign w:val="center"/>
          </w:tcPr>
          <w:p w14:paraId="3DB692DB">
            <w:pPr>
              <w:jc w:val="center"/>
              <w:rPr>
                <w:rFonts w:hint="eastAsia" w:ascii="宋体" w:hAnsi="宋体" w:eastAsia="宋体"/>
                <w:b/>
                <w:bCs/>
                <w:color w:val="auto"/>
                <w:sz w:val="24"/>
                <w:szCs w:val="21"/>
                <w:highlight w:val="none"/>
                <w:lang w:val="en-US" w:eastAsia="zh-CN"/>
              </w:rPr>
            </w:pPr>
            <w:r>
              <w:rPr>
                <w:rFonts w:hint="eastAsia" w:ascii="宋体" w:hAnsi="宋体" w:eastAsia="宋体"/>
                <w:b/>
                <w:bCs/>
                <w:color w:val="auto"/>
                <w:sz w:val="24"/>
                <w:szCs w:val="21"/>
                <w:highlight w:val="none"/>
                <w:lang w:val="en-US" w:eastAsia="zh-CN"/>
              </w:rPr>
              <w:t>工程量</w:t>
            </w:r>
          </w:p>
        </w:tc>
        <w:tc>
          <w:tcPr>
            <w:tcW w:w="1201" w:type="dxa"/>
            <w:tcBorders>
              <w:top w:val="single" w:color="auto" w:sz="4" w:space="0"/>
              <w:left w:val="nil"/>
              <w:bottom w:val="single" w:color="auto" w:sz="4" w:space="0"/>
              <w:right w:val="single" w:color="auto" w:sz="4" w:space="0"/>
            </w:tcBorders>
            <w:vAlign w:val="center"/>
          </w:tcPr>
          <w:p w14:paraId="3CE15523">
            <w:pPr>
              <w:jc w:val="center"/>
              <w:rPr>
                <w:rFonts w:hint="eastAsia" w:ascii="宋体" w:hAnsi="宋体" w:eastAsia="宋体"/>
                <w:b/>
                <w:bCs/>
                <w:color w:val="auto"/>
                <w:sz w:val="24"/>
                <w:szCs w:val="21"/>
                <w:highlight w:val="none"/>
                <w:lang w:val="en-US" w:eastAsia="zh-CN"/>
              </w:rPr>
            </w:pPr>
            <w:r>
              <w:rPr>
                <w:rFonts w:hint="eastAsia" w:ascii="宋体" w:hAnsi="宋体" w:eastAsia="宋体"/>
                <w:b/>
                <w:bCs/>
                <w:color w:val="auto"/>
                <w:sz w:val="24"/>
                <w:szCs w:val="21"/>
                <w:highlight w:val="none"/>
                <w:lang w:val="en-US" w:eastAsia="zh-CN"/>
              </w:rPr>
              <w:t>单位</w:t>
            </w:r>
          </w:p>
        </w:tc>
        <w:tc>
          <w:tcPr>
            <w:tcW w:w="1397" w:type="dxa"/>
            <w:tcBorders>
              <w:top w:val="single" w:color="auto" w:sz="4" w:space="0"/>
              <w:left w:val="nil"/>
              <w:bottom w:val="single" w:color="auto" w:sz="4" w:space="0"/>
              <w:right w:val="single" w:color="auto" w:sz="4" w:space="0"/>
            </w:tcBorders>
            <w:vAlign w:val="center"/>
          </w:tcPr>
          <w:p w14:paraId="3AD823C9">
            <w:pPr>
              <w:jc w:val="center"/>
              <w:rPr>
                <w:rFonts w:hint="eastAsia" w:ascii="宋体" w:hAnsi="宋体" w:eastAsia="宋体"/>
                <w:b/>
                <w:bCs/>
                <w:color w:val="auto"/>
                <w:sz w:val="24"/>
                <w:szCs w:val="21"/>
                <w:highlight w:val="none"/>
                <w:lang w:val="en-US" w:eastAsia="zh-CN"/>
              </w:rPr>
            </w:pPr>
            <w:r>
              <w:rPr>
                <w:rFonts w:hint="eastAsia" w:ascii="宋体" w:hAnsi="宋体" w:eastAsia="宋体"/>
                <w:b/>
                <w:bCs/>
                <w:color w:val="auto"/>
                <w:sz w:val="24"/>
                <w:szCs w:val="21"/>
                <w:highlight w:val="none"/>
                <w:lang w:val="en-US" w:eastAsia="zh-CN"/>
              </w:rPr>
              <w:t>单价</w:t>
            </w:r>
            <w:r>
              <w:rPr>
                <w:rFonts w:hint="eastAsia" w:ascii="宋体" w:hAnsi="宋体" w:eastAsia="宋体"/>
                <w:b/>
                <w:bCs/>
                <w:color w:val="auto"/>
                <w:sz w:val="24"/>
                <w:szCs w:val="21"/>
                <w:highlight w:val="none"/>
              </w:rPr>
              <w:t>（元）</w:t>
            </w:r>
          </w:p>
        </w:tc>
        <w:tc>
          <w:tcPr>
            <w:tcW w:w="1364" w:type="dxa"/>
            <w:tcBorders>
              <w:top w:val="single" w:color="auto" w:sz="4" w:space="0"/>
              <w:left w:val="nil"/>
              <w:bottom w:val="single" w:color="auto" w:sz="4" w:space="0"/>
              <w:right w:val="single" w:color="auto" w:sz="4" w:space="0"/>
            </w:tcBorders>
            <w:vAlign w:val="center"/>
          </w:tcPr>
          <w:p w14:paraId="76282FBC">
            <w:pPr>
              <w:jc w:val="center"/>
              <w:rPr>
                <w:rFonts w:ascii="宋体" w:hAnsi="宋体" w:eastAsia="宋体"/>
                <w:b/>
                <w:bCs/>
                <w:color w:val="auto"/>
                <w:sz w:val="24"/>
                <w:szCs w:val="21"/>
                <w:highlight w:val="none"/>
              </w:rPr>
            </w:pPr>
            <w:r>
              <w:rPr>
                <w:rFonts w:hint="eastAsia" w:ascii="宋体" w:hAnsi="宋体" w:eastAsia="宋体"/>
                <w:b/>
                <w:bCs/>
                <w:color w:val="auto"/>
                <w:sz w:val="24"/>
                <w:szCs w:val="21"/>
                <w:highlight w:val="none"/>
                <w:lang w:val="en-US" w:eastAsia="zh-CN"/>
              </w:rPr>
              <w:t>合价</w:t>
            </w:r>
            <w:r>
              <w:rPr>
                <w:rFonts w:hint="eastAsia" w:ascii="宋体" w:hAnsi="宋体" w:eastAsia="宋体"/>
                <w:b/>
                <w:bCs/>
                <w:color w:val="auto"/>
                <w:sz w:val="24"/>
                <w:szCs w:val="21"/>
                <w:highlight w:val="none"/>
              </w:rPr>
              <w:t>（元）</w:t>
            </w:r>
          </w:p>
        </w:tc>
        <w:tc>
          <w:tcPr>
            <w:tcW w:w="854" w:type="dxa"/>
            <w:tcBorders>
              <w:top w:val="single" w:color="auto" w:sz="4" w:space="0"/>
              <w:left w:val="nil"/>
              <w:bottom w:val="single" w:color="auto" w:sz="4" w:space="0"/>
              <w:right w:val="single" w:color="auto" w:sz="4" w:space="0"/>
            </w:tcBorders>
            <w:vAlign w:val="center"/>
          </w:tcPr>
          <w:p w14:paraId="429D6686">
            <w:pPr>
              <w:jc w:val="center"/>
              <w:rPr>
                <w:rFonts w:ascii="宋体" w:hAnsi="宋体" w:eastAsia="宋体"/>
                <w:b/>
                <w:bCs/>
                <w:color w:val="auto"/>
                <w:sz w:val="24"/>
                <w:szCs w:val="21"/>
                <w:highlight w:val="none"/>
              </w:rPr>
            </w:pPr>
            <w:r>
              <w:rPr>
                <w:rFonts w:hint="eastAsia" w:ascii="宋体" w:hAnsi="宋体" w:eastAsia="宋体"/>
                <w:b/>
                <w:bCs/>
                <w:color w:val="auto"/>
                <w:sz w:val="24"/>
                <w:szCs w:val="21"/>
                <w:highlight w:val="none"/>
              </w:rPr>
              <w:t>备注</w:t>
            </w:r>
          </w:p>
        </w:tc>
      </w:tr>
      <w:tr w14:paraId="4AA7933E">
        <w:tblPrEx>
          <w:tblCellMar>
            <w:top w:w="0" w:type="dxa"/>
            <w:left w:w="108" w:type="dxa"/>
            <w:bottom w:w="0" w:type="dxa"/>
            <w:right w:w="108" w:type="dxa"/>
          </w:tblCellMar>
        </w:tblPrEx>
        <w:trPr>
          <w:trHeight w:val="660" w:hRule="atLeast"/>
        </w:trPr>
        <w:tc>
          <w:tcPr>
            <w:tcW w:w="638" w:type="dxa"/>
            <w:tcBorders>
              <w:top w:val="single" w:color="auto" w:sz="4" w:space="0"/>
              <w:left w:val="single" w:color="auto" w:sz="4" w:space="0"/>
              <w:bottom w:val="single" w:color="auto" w:sz="4" w:space="0"/>
              <w:right w:val="single" w:color="auto" w:sz="4" w:space="0"/>
            </w:tcBorders>
            <w:vAlign w:val="center"/>
          </w:tcPr>
          <w:p w14:paraId="39CB88EE">
            <w:pPr>
              <w:jc w:val="center"/>
              <w:rPr>
                <w:rFonts w:ascii="宋体" w:hAnsi="宋体" w:eastAsia="宋体"/>
                <w:b/>
                <w:bCs/>
                <w:color w:val="auto"/>
                <w:szCs w:val="21"/>
                <w:highlight w:val="none"/>
              </w:rPr>
            </w:pPr>
            <w:r>
              <w:rPr>
                <w:rFonts w:hint="eastAsia" w:ascii="宋体" w:hAnsi="宋体" w:eastAsia="宋体"/>
                <w:b/>
                <w:bCs/>
                <w:color w:val="auto"/>
                <w:szCs w:val="21"/>
                <w:highlight w:val="none"/>
              </w:rPr>
              <w:t>1</w:t>
            </w:r>
          </w:p>
        </w:tc>
        <w:tc>
          <w:tcPr>
            <w:tcW w:w="2911" w:type="dxa"/>
            <w:tcBorders>
              <w:top w:val="single" w:color="auto" w:sz="4" w:space="0"/>
              <w:left w:val="nil"/>
              <w:bottom w:val="single" w:color="auto" w:sz="4" w:space="0"/>
              <w:right w:val="single" w:color="auto" w:sz="4" w:space="0"/>
            </w:tcBorders>
            <w:vAlign w:val="center"/>
          </w:tcPr>
          <w:p w14:paraId="5E47DCBC">
            <w:pPr>
              <w:jc w:val="center"/>
              <w:rPr>
                <w:rFonts w:hint="default" w:ascii="宋体" w:hAnsi="宋体" w:eastAsia="宋体"/>
                <w:b/>
                <w:bCs/>
                <w:color w:val="auto"/>
                <w:sz w:val="24"/>
                <w:szCs w:val="21"/>
                <w:highlight w:val="none"/>
                <w:lang w:val="en-US" w:eastAsia="zh-CN"/>
              </w:rPr>
            </w:pPr>
            <w:r>
              <w:rPr>
                <w:rFonts w:hint="default" w:ascii="宋体" w:hAnsi="宋体" w:eastAsia="宋体"/>
                <w:b/>
                <w:bCs/>
                <w:color w:val="auto"/>
                <w:sz w:val="24"/>
                <w:szCs w:val="21"/>
                <w:highlight w:val="none"/>
                <w:lang w:val="en-US" w:eastAsia="zh-CN"/>
              </w:rPr>
              <w:t>线路工程（含阀室、阀井）</w:t>
            </w:r>
          </w:p>
        </w:tc>
        <w:tc>
          <w:tcPr>
            <w:tcW w:w="1239" w:type="dxa"/>
            <w:tcBorders>
              <w:top w:val="single" w:color="auto" w:sz="4" w:space="0"/>
              <w:left w:val="nil"/>
              <w:bottom w:val="single" w:color="auto" w:sz="4" w:space="0"/>
              <w:right w:val="single" w:color="auto" w:sz="4" w:space="0"/>
            </w:tcBorders>
            <w:vAlign w:val="center"/>
          </w:tcPr>
          <w:p w14:paraId="6F1F5CA4">
            <w:pPr>
              <w:jc w:val="center"/>
              <w:rPr>
                <w:rFonts w:hint="default" w:ascii="宋体" w:hAnsi="宋体" w:eastAsia="宋体"/>
                <w:b/>
                <w:bCs/>
                <w:color w:val="auto"/>
                <w:sz w:val="24"/>
                <w:szCs w:val="21"/>
                <w:highlight w:val="none"/>
                <w:lang w:val="en-US" w:eastAsia="zh-CN"/>
              </w:rPr>
            </w:pPr>
            <w:r>
              <w:rPr>
                <w:rFonts w:hint="default" w:ascii="宋体" w:hAnsi="宋体" w:eastAsia="宋体"/>
                <w:b/>
                <w:bCs/>
                <w:color w:val="auto"/>
                <w:sz w:val="24"/>
                <w:szCs w:val="21"/>
                <w:highlight w:val="none"/>
                <w:lang w:val="en-US" w:eastAsia="zh-CN"/>
              </w:rPr>
              <w:t>30.1</w:t>
            </w:r>
          </w:p>
        </w:tc>
        <w:tc>
          <w:tcPr>
            <w:tcW w:w="1201" w:type="dxa"/>
            <w:tcBorders>
              <w:top w:val="single" w:color="auto" w:sz="4" w:space="0"/>
              <w:left w:val="nil"/>
              <w:bottom w:val="single" w:color="auto" w:sz="4" w:space="0"/>
              <w:right w:val="single" w:color="auto" w:sz="4" w:space="0"/>
            </w:tcBorders>
            <w:vAlign w:val="center"/>
          </w:tcPr>
          <w:p w14:paraId="308D9A4B">
            <w:pPr>
              <w:jc w:val="center"/>
              <w:rPr>
                <w:rFonts w:hint="eastAsia" w:ascii="宋体" w:hAnsi="宋体" w:eastAsia="宋体"/>
                <w:b/>
                <w:bCs/>
                <w:color w:val="auto"/>
                <w:sz w:val="24"/>
                <w:szCs w:val="21"/>
                <w:highlight w:val="none"/>
                <w:lang w:val="en-US" w:eastAsia="zh-CN"/>
              </w:rPr>
            </w:pPr>
            <w:r>
              <w:rPr>
                <w:rFonts w:hint="default" w:ascii="宋体" w:hAnsi="宋体" w:eastAsia="宋体"/>
                <w:b/>
                <w:bCs/>
                <w:color w:val="auto"/>
                <w:sz w:val="24"/>
                <w:szCs w:val="21"/>
                <w:highlight w:val="none"/>
                <w:lang w:val="en-US" w:eastAsia="zh-CN"/>
              </w:rPr>
              <w:t>千米</w:t>
            </w:r>
          </w:p>
        </w:tc>
        <w:tc>
          <w:tcPr>
            <w:tcW w:w="1397" w:type="dxa"/>
            <w:tcBorders>
              <w:top w:val="single" w:color="auto" w:sz="4" w:space="0"/>
              <w:left w:val="nil"/>
              <w:bottom w:val="single" w:color="auto" w:sz="4" w:space="0"/>
              <w:right w:val="single" w:color="auto" w:sz="4" w:space="0"/>
            </w:tcBorders>
            <w:vAlign w:val="center"/>
          </w:tcPr>
          <w:p w14:paraId="23F73DB2">
            <w:pPr>
              <w:rPr>
                <w:rFonts w:ascii="宋体" w:hAnsi="宋体" w:eastAsia="宋体"/>
                <w:b/>
                <w:bCs/>
                <w:color w:val="auto"/>
                <w:szCs w:val="21"/>
                <w:highlight w:val="none"/>
              </w:rPr>
            </w:pPr>
          </w:p>
        </w:tc>
        <w:tc>
          <w:tcPr>
            <w:tcW w:w="1364" w:type="dxa"/>
            <w:tcBorders>
              <w:top w:val="single" w:color="auto" w:sz="4" w:space="0"/>
              <w:left w:val="nil"/>
              <w:bottom w:val="single" w:color="auto" w:sz="4" w:space="0"/>
              <w:right w:val="single" w:color="auto" w:sz="4" w:space="0"/>
            </w:tcBorders>
            <w:vAlign w:val="center"/>
          </w:tcPr>
          <w:p w14:paraId="4B39652E">
            <w:pPr>
              <w:rPr>
                <w:rFonts w:ascii="宋体" w:hAnsi="宋体" w:eastAsia="宋体"/>
                <w:b/>
                <w:bCs/>
                <w:color w:val="auto"/>
                <w:szCs w:val="21"/>
                <w:highlight w:val="none"/>
              </w:rPr>
            </w:pPr>
          </w:p>
        </w:tc>
        <w:tc>
          <w:tcPr>
            <w:tcW w:w="854" w:type="dxa"/>
            <w:tcBorders>
              <w:top w:val="single" w:color="auto" w:sz="4" w:space="0"/>
              <w:left w:val="nil"/>
              <w:bottom w:val="single" w:color="auto" w:sz="4" w:space="0"/>
              <w:right w:val="single" w:color="auto" w:sz="4" w:space="0"/>
            </w:tcBorders>
            <w:vAlign w:val="center"/>
          </w:tcPr>
          <w:p w14:paraId="30040EEB">
            <w:pPr>
              <w:rPr>
                <w:rFonts w:ascii="宋体" w:hAnsi="宋体" w:eastAsia="宋体"/>
                <w:b/>
                <w:bCs/>
                <w:color w:val="auto"/>
                <w:szCs w:val="21"/>
                <w:highlight w:val="none"/>
              </w:rPr>
            </w:pPr>
          </w:p>
        </w:tc>
      </w:tr>
      <w:tr w14:paraId="0F18F0E0">
        <w:tblPrEx>
          <w:tblCellMar>
            <w:top w:w="0" w:type="dxa"/>
            <w:left w:w="108" w:type="dxa"/>
            <w:bottom w:w="0" w:type="dxa"/>
            <w:right w:w="108" w:type="dxa"/>
          </w:tblCellMar>
        </w:tblPrEx>
        <w:trPr>
          <w:trHeight w:val="556" w:hRule="atLeast"/>
        </w:trPr>
        <w:tc>
          <w:tcPr>
            <w:tcW w:w="638" w:type="dxa"/>
            <w:tcBorders>
              <w:top w:val="single" w:color="auto" w:sz="4" w:space="0"/>
              <w:left w:val="single" w:color="auto" w:sz="4" w:space="0"/>
              <w:bottom w:val="single" w:color="auto" w:sz="4" w:space="0"/>
              <w:right w:val="single" w:color="auto" w:sz="4" w:space="0"/>
            </w:tcBorders>
            <w:vAlign w:val="center"/>
          </w:tcPr>
          <w:p w14:paraId="654038B2">
            <w:pPr>
              <w:jc w:val="center"/>
              <w:rPr>
                <w:rFonts w:ascii="宋体" w:hAnsi="宋体" w:eastAsia="宋体"/>
                <w:b/>
                <w:bCs/>
                <w:color w:val="auto"/>
                <w:szCs w:val="21"/>
                <w:highlight w:val="none"/>
              </w:rPr>
            </w:pPr>
            <w:r>
              <w:rPr>
                <w:rFonts w:hint="eastAsia" w:ascii="宋体" w:hAnsi="宋体" w:eastAsia="宋体"/>
                <w:b/>
                <w:bCs/>
                <w:color w:val="auto"/>
                <w:szCs w:val="21"/>
                <w:highlight w:val="none"/>
              </w:rPr>
              <w:t>2</w:t>
            </w:r>
          </w:p>
        </w:tc>
        <w:tc>
          <w:tcPr>
            <w:tcW w:w="2911" w:type="dxa"/>
            <w:tcBorders>
              <w:top w:val="single" w:color="auto" w:sz="4" w:space="0"/>
              <w:left w:val="nil"/>
              <w:bottom w:val="single" w:color="auto" w:sz="4" w:space="0"/>
              <w:right w:val="single" w:color="auto" w:sz="4" w:space="0"/>
            </w:tcBorders>
            <w:vAlign w:val="center"/>
          </w:tcPr>
          <w:p w14:paraId="6DC47A74">
            <w:pPr>
              <w:jc w:val="center"/>
              <w:rPr>
                <w:rFonts w:hint="default" w:ascii="宋体" w:hAnsi="宋体" w:eastAsia="宋体"/>
                <w:b/>
                <w:bCs/>
                <w:color w:val="auto"/>
                <w:sz w:val="24"/>
                <w:szCs w:val="21"/>
                <w:highlight w:val="none"/>
                <w:lang w:val="en-US" w:eastAsia="zh-CN"/>
              </w:rPr>
            </w:pPr>
            <w:r>
              <w:rPr>
                <w:rFonts w:hint="default" w:ascii="宋体" w:hAnsi="宋体" w:eastAsia="宋体"/>
                <w:b/>
                <w:bCs/>
                <w:color w:val="auto"/>
                <w:sz w:val="24"/>
                <w:szCs w:val="21"/>
                <w:highlight w:val="none"/>
                <w:lang w:val="en-US" w:eastAsia="zh-CN"/>
              </w:rPr>
              <w:t>大岗门站</w:t>
            </w:r>
          </w:p>
        </w:tc>
        <w:tc>
          <w:tcPr>
            <w:tcW w:w="1239" w:type="dxa"/>
            <w:tcBorders>
              <w:top w:val="single" w:color="auto" w:sz="4" w:space="0"/>
              <w:left w:val="nil"/>
              <w:bottom w:val="single" w:color="auto" w:sz="4" w:space="0"/>
              <w:right w:val="single" w:color="auto" w:sz="4" w:space="0"/>
            </w:tcBorders>
            <w:vAlign w:val="center"/>
          </w:tcPr>
          <w:p w14:paraId="313BD333">
            <w:pPr>
              <w:jc w:val="center"/>
              <w:rPr>
                <w:rFonts w:hint="default" w:ascii="宋体" w:hAnsi="宋体" w:eastAsia="宋体"/>
                <w:b/>
                <w:bCs/>
                <w:color w:val="auto"/>
                <w:sz w:val="24"/>
                <w:szCs w:val="21"/>
                <w:highlight w:val="none"/>
                <w:lang w:val="en-US" w:eastAsia="zh-CN"/>
              </w:rPr>
            </w:pPr>
            <w:r>
              <w:rPr>
                <w:rFonts w:hint="default" w:ascii="宋体" w:hAnsi="宋体" w:eastAsia="宋体"/>
                <w:b/>
                <w:bCs/>
                <w:color w:val="auto"/>
                <w:sz w:val="24"/>
                <w:szCs w:val="21"/>
                <w:highlight w:val="none"/>
                <w:lang w:val="en-US" w:eastAsia="zh-CN"/>
              </w:rPr>
              <w:t>1</w:t>
            </w:r>
          </w:p>
        </w:tc>
        <w:tc>
          <w:tcPr>
            <w:tcW w:w="1201" w:type="dxa"/>
            <w:tcBorders>
              <w:top w:val="single" w:color="auto" w:sz="4" w:space="0"/>
              <w:left w:val="nil"/>
              <w:bottom w:val="single" w:color="auto" w:sz="4" w:space="0"/>
              <w:right w:val="single" w:color="auto" w:sz="4" w:space="0"/>
            </w:tcBorders>
            <w:vAlign w:val="center"/>
          </w:tcPr>
          <w:p w14:paraId="3D4CFE1C">
            <w:pPr>
              <w:jc w:val="center"/>
              <w:rPr>
                <w:rFonts w:hint="default" w:ascii="宋体" w:hAnsi="宋体" w:eastAsia="宋体"/>
                <w:b/>
                <w:bCs/>
                <w:color w:val="auto"/>
                <w:sz w:val="24"/>
                <w:szCs w:val="21"/>
                <w:highlight w:val="none"/>
                <w:lang w:val="en-US" w:eastAsia="zh-CN"/>
              </w:rPr>
            </w:pPr>
            <w:r>
              <w:rPr>
                <w:rFonts w:hint="default" w:ascii="宋体" w:hAnsi="宋体" w:eastAsia="宋体"/>
                <w:b/>
                <w:bCs/>
                <w:color w:val="auto"/>
                <w:sz w:val="24"/>
                <w:szCs w:val="21"/>
                <w:highlight w:val="none"/>
                <w:lang w:val="en-US" w:eastAsia="zh-CN"/>
              </w:rPr>
              <w:t>座</w:t>
            </w:r>
          </w:p>
        </w:tc>
        <w:tc>
          <w:tcPr>
            <w:tcW w:w="1397" w:type="dxa"/>
            <w:tcBorders>
              <w:top w:val="single" w:color="auto" w:sz="4" w:space="0"/>
              <w:left w:val="nil"/>
              <w:bottom w:val="single" w:color="auto" w:sz="4" w:space="0"/>
              <w:right w:val="single" w:color="auto" w:sz="4" w:space="0"/>
            </w:tcBorders>
            <w:vAlign w:val="center"/>
          </w:tcPr>
          <w:p w14:paraId="127EA6AE">
            <w:pPr>
              <w:rPr>
                <w:rFonts w:ascii="宋体" w:hAnsi="宋体" w:eastAsia="宋体"/>
                <w:b/>
                <w:bCs/>
                <w:color w:val="auto"/>
                <w:szCs w:val="21"/>
                <w:highlight w:val="none"/>
              </w:rPr>
            </w:pPr>
          </w:p>
        </w:tc>
        <w:tc>
          <w:tcPr>
            <w:tcW w:w="1364" w:type="dxa"/>
            <w:tcBorders>
              <w:top w:val="single" w:color="auto" w:sz="4" w:space="0"/>
              <w:left w:val="nil"/>
              <w:bottom w:val="single" w:color="auto" w:sz="4" w:space="0"/>
              <w:right w:val="single" w:color="auto" w:sz="4" w:space="0"/>
            </w:tcBorders>
            <w:vAlign w:val="center"/>
          </w:tcPr>
          <w:p w14:paraId="0EB5359C">
            <w:pPr>
              <w:rPr>
                <w:rFonts w:ascii="宋体" w:hAnsi="宋体" w:eastAsia="宋体"/>
                <w:b/>
                <w:bCs/>
                <w:color w:val="auto"/>
                <w:szCs w:val="21"/>
                <w:highlight w:val="none"/>
              </w:rPr>
            </w:pPr>
          </w:p>
        </w:tc>
        <w:tc>
          <w:tcPr>
            <w:tcW w:w="854" w:type="dxa"/>
            <w:tcBorders>
              <w:top w:val="single" w:color="auto" w:sz="4" w:space="0"/>
              <w:left w:val="nil"/>
              <w:bottom w:val="single" w:color="auto" w:sz="4" w:space="0"/>
              <w:right w:val="single" w:color="auto" w:sz="4" w:space="0"/>
            </w:tcBorders>
            <w:vAlign w:val="center"/>
          </w:tcPr>
          <w:p w14:paraId="1E1106AF">
            <w:pPr>
              <w:rPr>
                <w:rFonts w:ascii="宋体" w:hAnsi="宋体" w:eastAsia="宋体"/>
                <w:b/>
                <w:bCs/>
                <w:color w:val="auto"/>
                <w:szCs w:val="21"/>
                <w:highlight w:val="none"/>
              </w:rPr>
            </w:pPr>
          </w:p>
        </w:tc>
      </w:tr>
      <w:tr w14:paraId="4E55CAF7">
        <w:tblPrEx>
          <w:tblCellMar>
            <w:top w:w="0" w:type="dxa"/>
            <w:left w:w="108" w:type="dxa"/>
            <w:bottom w:w="0" w:type="dxa"/>
            <w:right w:w="108" w:type="dxa"/>
          </w:tblCellMar>
        </w:tblPrEx>
        <w:trPr>
          <w:trHeight w:val="564" w:hRule="atLeast"/>
        </w:trPr>
        <w:tc>
          <w:tcPr>
            <w:tcW w:w="638" w:type="dxa"/>
            <w:tcBorders>
              <w:top w:val="single" w:color="auto" w:sz="4" w:space="0"/>
              <w:left w:val="single" w:color="auto" w:sz="4" w:space="0"/>
              <w:bottom w:val="single" w:color="auto" w:sz="4" w:space="0"/>
              <w:right w:val="single" w:color="auto" w:sz="4" w:space="0"/>
            </w:tcBorders>
            <w:vAlign w:val="center"/>
          </w:tcPr>
          <w:p w14:paraId="3ABA3243">
            <w:pPr>
              <w:jc w:val="center"/>
              <w:rPr>
                <w:rFonts w:ascii="宋体" w:hAnsi="宋体" w:eastAsia="宋体"/>
                <w:b/>
                <w:bCs/>
                <w:color w:val="auto"/>
                <w:szCs w:val="21"/>
                <w:highlight w:val="none"/>
              </w:rPr>
            </w:pPr>
            <w:r>
              <w:rPr>
                <w:rFonts w:hint="eastAsia" w:ascii="宋体" w:hAnsi="宋体" w:eastAsia="宋体"/>
                <w:b/>
                <w:bCs/>
                <w:color w:val="auto"/>
                <w:szCs w:val="21"/>
                <w:highlight w:val="none"/>
              </w:rPr>
              <w:t>3</w:t>
            </w:r>
          </w:p>
        </w:tc>
        <w:tc>
          <w:tcPr>
            <w:tcW w:w="2911" w:type="dxa"/>
            <w:tcBorders>
              <w:top w:val="single" w:color="auto" w:sz="4" w:space="0"/>
              <w:left w:val="nil"/>
              <w:bottom w:val="single" w:color="auto" w:sz="4" w:space="0"/>
              <w:right w:val="single" w:color="auto" w:sz="4" w:space="0"/>
            </w:tcBorders>
            <w:vAlign w:val="center"/>
          </w:tcPr>
          <w:p w14:paraId="4DDBAFC3">
            <w:pPr>
              <w:jc w:val="center"/>
              <w:rPr>
                <w:rFonts w:hint="default" w:ascii="宋体" w:hAnsi="宋体" w:eastAsia="宋体"/>
                <w:b/>
                <w:bCs/>
                <w:color w:val="auto"/>
                <w:sz w:val="24"/>
                <w:szCs w:val="21"/>
                <w:highlight w:val="none"/>
                <w:lang w:val="en-US" w:eastAsia="zh-CN"/>
              </w:rPr>
            </w:pPr>
            <w:r>
              <w:rPr>
                <w:rFonts w:hint="default" w:ascii="宋体" w:hAnsi="宋体" w:eastAsia="宋体"/>
                <w:b/>
                <w:bCs/>
                <w:color w:val="auto"/>
                <w:sz w:val="24"/>
                <w:szCs w:val="21"/>
                <w:highlight w:val="none"/>
                <w:lang w:val="en-US" w:eastAsia="zh-CN"/>
              </w:rPr>
              <w:t>横沥调压和气化站</w:t>
            </w:r>
          </w:p>
        </w:tc>
        <w:tc>
          <w:tcPr>
            <w:tcW w:w="1239" w:type="dxa"/>
            <w:tcBorders>
              <w:top w:val="single" w:color="auto" w:sz="4" w:space="0"/>
              <w:left w:val="nil"/>
              <w:bottom w:val="single" w:color="auto" w:sz="4" w:space="0"/>
              <w:right w:val="single" w:color="auto" w:sz="4" w:space="0"/>
            </w:tcBorders>
            <w:vAlign w:val="center"/>
          </w:tcPr>
          <w:p w14:paraId="0E410063">
            <w:pPr>
              <w:jc w:val="center"/>
              <w:rPr>
                <w:rFonts w:hint="default" w:ascii="宋体" w:hAnsi="宋体" w:eastAsia="宋体"/>
                <w:b/>
                <w:bCs/>
                <w:color w:val="auto"/>
                <w:sz w:val="24"/>
                <w:szCs w:val="21"/>
                <w:highlight w:val="none"/>
                <w:lang w:val="en-US" w:eastAsia="zh-CN"/>
              </w:rPr>
            </w:pPr>
            <w:r>
              <w:rPr>
                <w:rFonts w:hint="default" w:ascii="宋体" w:hAnsi="宋体" w:eastAsia="宋体"/>
                <w:b/>
                <w:bCs/>
                <w:color w:val="auto"/>
                <w:sz w:val="24"/>
                <w:szCs w:val="21"/>
                <w:highlight w:val="none"/>
                <w:lang w:val="en-US" w:eastAsia="zh-CN"/>
              </w:rPr>
              <w:t>1</w:t>
            </w:r>
          </w:p>
        </w:tc>
        <w:tc>
          <w:tcPr>
            <w:tcW w:w="1201" w:type="dxa"/>
            <w:tcBorders>
              <w:top w:val="single" w:color="auto" w:sz="4" w:space="0"/>
              <w:left w:val="nil"/>
              <w:bottom w:val="single" w:color="auto" w:sz="4" w:space="0"/>
              <w:right w:val="single" w:color="auto" w:sz="4" w:space="0"/>
            </w:tcBorders>
            <w:vAlign w:val="center"/>
          </w:tcPr>
          <w:p w14:paraId="214B5B9F">
            <w:pPr>
              <w:jc w:val="center"/>
              <w:rPr>
                <w:rFonts w:hint="default" w:ascii="宋体" w:hAnsi="宋体" w:eastAsia="宋体"/>
                <w:b/>
                <w:bCs/>
                <w:color w:val="auto"/>
                <w:sz w:val="24"/>
                <w:szCs w:val="21"/>
                <w:highlight w:val="none"/>
                <w:lang w:val="en-US" w:eastAsia="zh-CN"/>
              </w:rPr>
            </w:pPr>
            <w:r>
              <w:rPr>
                <w:rFonts w:hint="default" w:ascii="宋体" w:hAnsi="宋体" w:eastAsia="宋体"/>
                <w:b/>
                <w:bCs/>
                <w:color w:val="auto"/>
                <w:sz w:val="24"/>
                <w:szCs w:val="21"/>
                <w:highlight w:val="none"/>
                <w:lang w:val="en-US" w:eastAsia="zh-CN"/>
              </w:rPr>
              <w:t>座</w:t>
            </w:r>
          </w:p>
        </w:tc>
        <w:tc>
          <w:tcPr>
            <w:tcW w:w="1397" w:type="dxa"/>
            <w:tcBorders>
              <w:top w:val="single" w:color="auto" w:sz="4" w:space="0"/>
              <w:left w:val="nil"/>
              <w:bottom w:val="single" w:color="auto" w:sz="4" w:space="0"/>
              <w:right w:val="single" w:color="auto" w:sz="4" w:space="0"/>
            </w:tcBorders>
            <w:vAlign w:val="center"/>
          </w:tcPr>
          <w:p w14:paraId="36FA1BBE">
            <w:pPr>
              <w:rPr>
                <w:rFonts w:ascii="宋体" w:hAnsi="宋体" w:eastAsia="宋体"/>
                <w:b/>
                <w:bCs/>
                <w:color w:val="auto"/>
                <w:szCs w:val="21"/>
                <w:highlight w:val="none"/>
              </w:rPr>
            </w:pPr>
          </w:p>
        </w:tc>
        <w:tc>
          <w:tcPr>
            <w:tcW w:w="1364" w:type="dxa"/>
            <w:tcBorders>
              <w:top w:val="single" w:color="auto" w:sz="4" w:space="0"/>
              <w:left w:val="nil"/>
              <w:bottom w:val="single" w:color="auto" w:sz="4" w:space="0"/>
              <w:right w:val="single" w:color="auto" w:sz="4" w:space="0"/>
            </w:tcBorders>
            <w:vAlign w:val="center"/>
          </w:tcPr>
          <w:p w14:paraId="695AB59C">
            <w:pPr>
              <w:rPr>
                <w:rFonts w:ascii="宋体" w:hAnsi="宋体" w:eastAsia="宋体"/>
                <w:b/>
                <w:bCs/>
                <w:color w:val="auto"/>
                <w:szCs w:val="21"/>
                <w:highlight w:val="none"/>
              </w:rPr>
            </w:pPr>
          </w:p>
        </w:tc>
        <w:tc>
          <w:tcPr>
            <w:tcW w:w="854" w:type="dxa"/>
            <w:tcBorders>
              <w:top w:val="single" w:color="auto" w:sz="4" w:space="0"/>
              <w:left w:val="nil"/>
              <w:bottom w:val="single" w:color="auto" w:sz="4" w:space="0"/>
              <w:right w:val="single" w:color="auto" w:sz="4" w:space="0"/>
            </w:tcBorders>
            <w:vAlign w:val="center"/>
          </w:tcPr>
          <w:p w14:paraId="6F8AB49C">
            <w:pPr>
              <w:rPr>
                <w:rFonts w:ascii="宋体" w:hAnsi="宋体" w:eastAsia="宋体"/>
                <w:b/>
                <w:bCs/>
                <w:color w:val="auto"/>
                <w:szCs w:val="21"/>
                <w:highlight w:val="none"/>
              </w:rPr>
            </w:pPr>
          </w:p>
        </w:tc>
      </w:tr>
      <w:tr w14:paraId="1F4D571C">
        <w:tblPrEx>
          <w:tblCellMar>
            <w:top w:w="0" w:type="dxa"/>
            <w:left w:w="108" w:type="dxa"/>
            <w:bottom w:w="0" w:type="dxa"/>
            <w:right w:w="108" w:type="dxa"/>
          </w:tblCellMar>
        </w:tblPrEx>
        <w:trPr>
          <w:trHeight w:val="544" w:hRule="atLeast"/>
        </w:trPr>
        <w:tc>
          <w:tcPr>
            <w:tcW w:w="638" w:type="dxa"/>
            <w:tcBorders>
              <w:top w:val="single" w:color="auto" w:sz="4" w:space="0"/>
              <w:left w:val="single" w:color="auto" w:sz="4" w:space="0"/>
              <w:bottom w:val="single" w:color="auto" w:sz="4" w:space="0"/>
              <w:right w:val="single" w:color="auto" w:sz="4" w:space="0"/>
            </w:tcBorders>
            <w:vAlign w:val="center"/>
          </w:tcPr>
          <w:p w14:paraId="4EC448F2">
            <w:pPr>
              <w:jc w:val="center"/>
              <w:rPr>
                <w:rFonts w:ascii="宋体" w:hAnsi="宋体" w:eastAsia="宋体"/>
                <w:b/>
                <w:bCs/>
                <w:color w:val="auto"/>
                <w:szCs w:val="21"/>
                <w:highlight w:val="none"/>
              </w:rPr>
            </w:pPr>
            <w:r>
              <w:rPr>
                <w:rFonts w:hint="eastAsia" w:ascii="宋体" w:hAnsi="宋体" w:eastAsia="宋体"/>
                <w:b/>
                <w:bCs/>
                <w:color w:val="auto"/>
                <w:szCs w:val="21"/>
                <w:highlight w:val="none"/>
              </w:rPr>
              <w:t>4</w:t>
            </w:r>
          </w:p>
        </w:tc>
        <w:tc>
          <w:tcPr>
            <w:tcW w:w="2911" w:type="dxa"/>
            <w:tcBorders>
              <w:top w:val="single" w:color="auto" w:sz="4" w:space="0"/>
              <w:left w:val="nil"/>
              <w:bottom w:val="single" w:color="auto" w:sz="4" w:space="0"/>
              <w:right w:val="single" w:color="auto" w:sz="4" w:space="0"/>
            </w:tcBorders>
            <w:vAlign w:val="center"/>
          </w:tcPr>
          <w:p w14:paraId="1C52D1EC">
            <w:pPr>
              <w:rPr>
                <w:rFonts w:ascii="宋体" w:hAnsi="宋体" w:eastAsia="宋体"/>
                <w:b/>
                <w:bCs/>
                <w:color w:val="auto"/>
                <w:szCs w:val="21"/>
                <w:highlight w:val="none"/>
              </w:rPr>
            </w:pPr>
          </w:p>
        </w:tc>
        <w:tc>
          <w:tcPr>
            <w:tcW w:w="1239" w:type="dxa"/>
            <w:tcBorders>
              <w:top w:val="single" w:color="auto" w:sz="4" w:space="0"/>
              <w:left w:val="nil"/>
              <w:bottom w:val="single" w:color="auto" w:sz="4" w:space="0"/>
              <w:right w:val="single" w:color="auto" w:sz="4" w:space="0"/>
            </w:tcBorders>
            <w:vAlign w:val="center"/>
          </w:tcPr>
          <w:p w14:paraId="6CDAB827">
            <w:pPr>
              <w:rPr>
                <w:rFonts w:ascii="宋体" w:hAnsi="宋体" w:eastAsia="宋体"/>
                <w:b/>
                <w:bCs/>
                <w:color w:val="auto"/>
                <w:szCs w:val="21"/>
                <w:highlight w:val="none"/>
              </w:rPr>
            </w:pPr>
          </w:p>
        </w:tc>
        <w:tc>
          <w:tcPr>
            <w:tcW w:w="1201" w:type="dxa"/>
            <w:tcBorders>
              <w:top w:val="single" w:color="auto" w:sz="4" w:space="0"/>
              <w:left w:val="nil"/>
              <w:bottom w:val="single" w:color="auto" w:sz="4" w:space="0"/>
              <w:right w:val="single" w:color="auto" w:sz="4" w:space="0"/>
            </w:tcBorders>
            <w:vAlign w:val="center"/>
          </w:tcPr>
          <w:p w14:paraId="2AD532AC">
            <w:pPr>
              <w:rPr>
                <w:rFonts w:ascii="宋体" w:hAnsi="宋体" w:eastAsia="宋体"/>
                <w:b/>
                <w:bCs/>
                <w:color w:val="auto"/>
                <w:szCs w:val="21"/>
                <w:highlight w:val="none"/>
              </w:rPr>
            </w:pPr>
          </w:p>
        </w:tc>
        <w:tc>
          <w:tcPr>
            <w:tcW w:w="1397" w:type="dxa"/>
            <w:tcBorders>
              <w:top w:val="single" w:color="auto" w:sz="4" w:space="0"/>
              <w:left w:val="nil"/>
              <w:bottom w:val="single" w:color="auto" w:sz="4" w:space="0"/>
              <w:right w:val="single" w:color="auto" w:sz="4" w:space="0"/>
            </w:tcBorders>
            <w:vAlign w:val="center"/>
          </w:tcPr>
          <w:p w14:paraId="7E819239">
            <w:pPr>
              <w:rPr>
                <w:rFonts w:ascii="宋体" w:hAnsi="宋体" w:eastAsia="宋体"/>
                <w:b/>
                <w:bCs/>
                <w:color w:val="auto"/>
                <w:szCs w:val="21"/>
                <w:highlight w:val="none"/>
              </w:rPr>
            </w:pPr>
          </w:p>
        </w:tc>
        <w:tc>
          <w:tcPr>
            <w:tcW w:w="1364" w:type="dxa"/>
            <w:tcBorders>
              <w:top w:val="single" w:color="auto" w:sz="4" w:space="0"/>
              <w:left w:val="nil"/>
              <w:bottom w:val="single" w:color="auto" w:sz="4" w:space="0"/>
              <w:right w:val="single" w:color="auto" w:sz="4" w:space="0"/>
            </w:tcBorders>
            <w:vAlign w:val="center"/>
          </w:tcPr>
          <w:p w14:paraId="6C9E4C66">
            <w:pPr>
              <w:rPr>
                <w:rFonts w:ascii="宋体" w:hAnsi="宋体" w:eastAsia="宋体"/>
                <w:b/>
                <w:bCs/>
                <w:color w:val="auto"/>
                <w:szCs w:val="21"/>
                <w:highlight w:val="none"/>
              </w:rPr>
            </w:pPr>
          </w:p>
        </w:tc>
        <w:tc>
          <w:tcPr>
            <w:tcW w:w="854" w:type="dxa"/>
            <w:tcBorders>
              <w:top w:val="single" w:color="auto" w:sz="4" w:space="0"/>
              <w:left w:val="nil"/>
              <w:bottom w:val="single" w:color="auto" w:sz="4" w:space="0"/>
              <w:right w:val="single" w:color="auto" w:sz="4" w:space="0"/>
            </w:tcBorders>
            <w:vAlign w:val="center"/>
          </w:tcPr>
          <w:p w14:paraId="61B64843">
            <w:pPr>
              <w:rPr>
                <w:rFonts w:ascii="宋体" w:hAnsi="宋体" w:eastAsia="宋体"/>
                <w:b/>
                <w:bCs/>
                <w:color w:val="auto"/>
                <w:szCs w:val="21"/>
                <w:highlight w:val="none"/>
              </w:rPr>
            </w:pPr>
          </w:p>
        </w:tc>
      </w:tr>
      <w:tr w14:paraId="0221A5F3">
        <w:tblPrEx>
          <w:tblCellMar>
            <w:top w:w="0" w:type="dxa"/>
            <w:left w:w="108" w:type="dxa"/>
            <w:bottom w:w="0" w:type="dxa"/>
            <w:right w:w="108" w:type="dxa"/>
          </w:tblCellMar>
        </w:tblPrEx>
        <w:trPr>
          <w:trHeight w:val="708" w:hRule="atLeast"/>
        </w:trPr>
        <w:tc>
          <w:tcPr>
            <w:tcW w:w="638" w:type="dxa"/>
            <w:tcBorders>
              <w:top w:val="single" w:color="auto" w:sz="4" w:space="0"/>
              <w:left w:val="single" w:color="auto" w:sz="4" w:space="0"/>
              <w:bottom w:val="single" w:color="auto" w:sz="4" w:space="0"/>
              <w:right w:val="single" w:color="auto" w:sz="4" w:space="0"/>
            </w:tcBorders>
            <w:vAlign w:val="center"/>
          </w:tcPr>
          <w:p w14:paraId="54357612">
            <w:pPr>
              <w:jc w:val="center"/>
              <w:rPr>
                <w:rFonts w:ascii="宋体" w:hAnsi="宋体" w:eastAsia="宋体"/>
                <w:b/>
                <w:bCs/>
                <w:color w:val="auto"/>
                <w:szCs w:val="21"/>
                <w:highlight w:val="none"/>
              </w:rPr>
            </w:pPr>
            <w:r>
              <w:rPr>
                <w:rFonts w:hint="eastAsia" w:ascii="宋体" w:hAnsi="宋体" w:eastAsia="宋体"/>
                <w:b/>
                <w:bCs/>
                <w:color w:val="auto"/>
                <w:szCs w:val="21"/>
                <w:highlight w:val="none"/>
              </w:rPr>
              <w:t>5</w:t>
            </w:r>
          </w:p>
        </w:tc>
        <w:tc>
          <w:tcPr>
            <w:tcW w:w="2911" w:type="dxa"/>
            <w:tcBorders>
              <w:top w:val="single" w:color="auto" w:sz="4" w:space="0"/>
              <w:left w:val="nil"/>
              <w:bottom w:val="single" w:color="auto" w:sz="4" w:space="0"/>
              <w:right w:val="single" w:color="auto" w:sz="4" w:space="0"/>
            </w:tcBorders>
            <w:vAlign w:val="center"/>
          </w:tcPr>
          <w:p w14:paraId="285F455A">
            <w:pPr>
              <w:rPr>
                <w:rFonts w:ascii="宋体" w:hAnsi="宋体" w:eastAsia="宋体"/>
                <w:b/>
                <w:bCs/>
                <w:color w:val="auto"/>
                <w:szCs w:val="21"/>
                <w:highlight w:val="none"/>
              </w:rPr>
            </w:pPr>
          </w:p>
        </w:tc>
        <w:tc>
          <w:tcPr>
            <w:tcW w:w="1239" w:type="dxa"/>
            <w:tcBorders>
              <w:top w:val="single" w:color="auto" w:sz="4" w:space="0"/>
              <w:left w:val="nil"/>
              <w:bottom w:val="single" w:color="auto" w:sz="4" w:space="0"/>
              <w:right w:val="single" w:color="auto" w:sz="4" w:space="0"/>
            </w:tcBorders>
            <w:vAlign w:val="center"/>
          </w:tcPr>
          <w:p w14:paraId="0BEDD412">
            <w:pPr>
              <w:rPr>
                <w:rFonts w:ascii="宋体" w:hAnsi="宋体" w:eastAsia="宋体"/>
                <w:b/>
                <w:bCs/>
                <w:color w:val="auto"/>
                <w:szCs w:val="21"/>
                <w:highlight w:val="none"/>
              </w:rPr>
            </w:pPr>
          </w:p>
        </w:tc>
        <w:tc>
          <w:tcPr>
            <w:tcW w:w="1201" w:type="dxa"/>
            <w:tcBorders>
              <w:top w:val="single" w:color="auto" w:sz="4" w:space="0"/>
              <w:left w:val="nil"/>
              <w:bottom w:val="single" w:color="auto" w:sz="4" w:space="0"/>
              <w:right w:val="single" w:color="auto" w:sz="4" w:space="0"/>
            </w:tcBorders>
            <w:vAlign w:val="center"/>
          </w:tcPr>
          <w:p w14:paraId="42EDD389">
            <w:pPr>
              <w:rPr>
                <w:rFonts w:ascii="宋体" w:hAnsi="宋体" w:eastAsia="宋体"/>
                <w:b/>
                <w:bCs/>
                <w:color w:val="auto"/>
                <w:szCs w:val="21"/>
                <w:highlight w:val="none"/>
              </w:rPr>
            </w:pPr>
          </w:p>
        </w:tc>
        <w:tc>
          <w:tcPr>
            <w:tcW w:w="1397" w:type="dxa"/>
            <w:tcBorders>
              <w:top w:val="single" w:color="auto" w:sz="4" w:space="0"/>
              <w:left w:val="nil"/>
              <w:bottom w:val="single" w:color="auto" w:sz="4" w:space="0"/>
              <w:right w:val="single" w:color="auto" w:sz="4" w:space="0"/>
            </w:tcBorders>
            <w:vAlign w:val="center"/>
          </w:tcPr>
          <w:p w14:paraId="1E43AF99">
            <w:pPr>
              <w:rPr>
                <w:rFonts w:ascii="宋体" w:hAnsi="宋体" w:eastAsia="宋体"/>
                <w:b/>
                <w:bCs/>
                <w:color w:val="auto"/>
                <w:szCs w:val="21"/>
                <w:highlight w:val="none"/>
              </w:rPr>
            </w:pPr>
          </w:p>
        </w:tc>
        <w:tc>
          <w:tcPr>
            <w:tcW w:w="1364" w:type="dxa"/>
            <w:tcBorders>
              <w:top w:val="single" w:color="auto" w:sz="4" w:space="0"/>
              <w:left w:val="nil"/>
              <w:bottom w:val="single" w:color="auto" w:sz="4" w:space="0"/>
              <w:right w:val="single" w:color="auto" w:sz="4" w:space="0"/>
            </w:tcBorders>
            <w:vAlign w:val="center"/>
          </w:tcPr>
          <w:p w14:paraId="444A30B4">
            <w:pPr>
              <w:rPr>
                <w:rFonts w:ascii="宋体" w:hAnsi="宋体" w:eastAsia="宋体"/>
                <w:b/>
                <w:bCs/>
                <w:color w:val="auto"/>
                <w:szCs w:val="21"/>
                <w:highlight w:val="none"/>
              </w:rPr>
            </w:pPr>
          </w:p>
        </w:tc>
        <w:tc>
          <w:tcPr>
            <w:tcW w:w="854" w:type="dxa"/>
            <w:tcBorders>
              <w:top w:val="single" w:color="auto" w:sz="4" w:space="0"/>
              <w:left w:val="nil"/>
              <w:bottom w:val="single" w:color="auto" w:sz="4" w:space="0"/>
              <w:right w:val="single" w:color="auto" w:sz="4" w:space="0"/>
            </w:tcBorders>
            <w:vAlign w:val="center"/>
          </w:tcPr>
          <w:p w14:paraId="65048439">
            <w:pPr>
              <w:rPr>
                <w:rFonts w:ascii="宋体" w:hAnsi="宋体" w:eastAsia="宋体"/>
                <w:b/>
                <w:bCs/>
                <w:color w:val="auto"/>
                <w:szCs w:val="21"/>
                <w:highlight w:val="none"/>
              </w:rPr>
            </w:pPr>
          </w:p>
        </w:tc>
      </w:tr>
      <w:tr w14:paraId="5D29EE31">
        <w:tblPrEx>
          <w:tblCellMar>
            <w:top w:w="0" w:type="dxa"/>
            <w:left w:w="108" w:type="dxa"/>
            <w:bottom w:w="0" w:type="dxa"/>
            <w:right w:w="108" w:type="dxa"/>
          </w:tblCellMar>
        </w:tblPrEx>
        <w:trPr>
          <w:trHeight w:val="704" w:hRule="atLeast"/>
        </w:trPr>
        <w:tc>
          <w:tcPr>
            <w:tcW w:w="638" w:type="dxa"/>
            <w:tcBorders>
              <w:top w:val="single" w:color="auto" w:sz="4" w:space="0"/>
              <w:left w:val="single" w:color="auto" w:sz="4" w:space="0"/>
              <w:bottom w:val="single" w:color="auto" w:sz="4" w:space="0"/>
              <w:right w:val="single" w:color="auto" w:sz="4" w:space="0"/>
            </w:tcBorders>
            <w:vAlign w:val="center"/>
          </w:tcPr>
          <w:p w14:paraId="680058E0">
            <w:pPr>
              <w:jc w:val="center"/>
              <w:rPr>
                <w:rFonts w:ascii="宋体" w:hAnsi="宋体" w:eastAsia="宋体"/>
                <w:b/>
                <w:bCs/>
                <w:color w:val="auto"/>
                <w:szCs w:val="21"/>
                <w:highlight w:val="none"/>
              </w:rPr>
            </w:pPr>
            <w:r>
              <w:rPr>
                <w:rFonts w:hint="eastAsia" w:ascii="宋体" w:hAnsi="宋体" w:eastAsia="宋体"/>
                <w:b/>
                <w:bCs/>
                <w:color w:val="auto"/>
                <w:szCs w:val="21"/>
                <w:highlight w:val="none"/>
              </w:rPr>
              <w:t>……</w:t>
            </w:r>
          </w:p>
        </w:tc>
        <w:tc>
          <w:tcPr>
            <w:tcW w:w="2911" w:type="dxa"/>
            <w:tcBorders>
              <w:top w:val="single" w:color="auto" w:sz="4" w:space="0"/>
              <w:left w:val="nil"/>
              <w:bottom w:val="single" w:color="auto" w:sz="4" w:space="0"/>
              <w:right w:val="single" w:color="auto" w:sz="4" w:space="0"/>
            </w:tcBorders>
            <w:vAlign w:val="center"/>
          </w:tcPr>
          <w:p w14:paraId="31D45C97">
            <w:pPr>
              <w:rPr>
                <w:rFonts w:ascii="宋体" w:hAnsi="宋体" w:eastAsia="宋体"/>
                <w:b/>
                <w:bCs/>
                <w:color w:val="auto"/>
                <w:szCs w:val="21"/>
                <w:highlight w:val="none"/>
              </w:rPr>
            </w:pPr>
          </w:p>
        </w:tc>
        <w:tc>
          <w:tcPr>
            <w:tcW w:w="1239" w:type="dxa"/>
            <w:tcBorders>
              <w:top w:val="single" w:color="auto" w:sz="4" w:space="0"/>
              <w:left w:val="nil"/>
              <w:bottom w:val="single" w:color="auto" w:sz="4" w:space="0"/>
              <w:right w:val="single" w:color="auto" w:sz="4" w:space="0"/>
            </w:tcBorders>
            <w:vAlign w:val="center"/>
          </w:tcPr>
          <w:p w14:paraId="259DE411">
            <w:pPr>
              <w:rPr>
                <w:rFonts w:ascii="宋体" w:hAnsi="宋体" w:eastAsia="宋体"/>
                <w:b/>
                <w:bCs/>
                <w:color w:val="auto"/>
                <w:szCs w:val="21"/>
                <w:highlight w:val="none"/>
              </w:rPr>
            </w:pPr>
          </w:p>
        </w:tc>
        <w:tc>
          <w:tcPr>
            <w:tcW w:w="1201" w:type="dxa"/>
            <w:tcBorders>
              <w:top w:val="single" w:color="auto" w:sz="4" w:space="0"/>
              <w:left w:val="nil"/>
              <w:bottom w:val="single" w:color="auto" w:sz="4" w:space="0"/>
              <w:right w:val="single" w:color="auto" w:sz="4" w:space="0"/>
            </w:tcBorders>
            <w:vAlign w:val="center"/>
          </w:tcPr>
          <w:p w14:paraId="2EAE00E9">
            <w:pPr>
              <w:rPr>
                <w:rFonts w:ascii="宋体" w:hAnsi="宋体" w:eastAsia="宋体"/>
                <w:b/>
                <w:bCs/>
                <w:color w:val="auto"/>
                <w:szCs w:val="21"/>
                <w:highlight w:val="none"/>
              </w:rPr>
            </w:pPr>
          </w:p>
        </w:tc>
        <w:tc>
          <w:tcPr>
            <w:tcW w:w="1397" w:type="dxa"/>
            <w:tcBorders>
              <w:top w:val="single" w:color="auto" w:sz="4" w:space="0"/>
              <w:left w:val="nil"/>
              <w:bottom w:val="single" w:color="auto" w:sz="4" w:space="0"/>
              <w:right w:val="single" w:color="auto" w:sz="4" w:space="0"/>
            </w:tcBorders>
            <w:vAlign w:val="center"/>
          </w:tcPr>
          <w:p w14:paraId="1DD2C13F">
            <w:pPr>
              <w:rPr>
                <w:rFonts w:ascii="宋体" w:hAnsi="宋体" w:eastAsia="宋体"/>
                <w:b/>
                <w:bCs/>
                <w:color w:val="auto"/>
                <w:szCs w:val="21"/>
                <w:highlight w:val="none"/>
              </w:rPr>
            </w:pPr>
          </w:p>
        </w:tc>
        <w:tc>
          <w:tcPr>
            <w:tcW w:w="1364" w:type="dxa"/>
            <w:tcBorders>
              <w:top w:val="single" w:color="auto" w:sz="4" w:space="0"/>
              <w:left w:val="nil"/>
              <w:bottom w:val="single" w:color="auto" w:sz="4" w:space="0"/>
              <w:right w:val="single" w:color="auto" w:sz="4" w:space="0"/>
            </w:tcBorders>
            <w:vAlign w:val="center"/>
          </w:tcPr>
          <w:p w14:paraId="2C5B845E">
            <w:pPr>
              <w:rPr>
                <w:rFonts w:ascii="宋体" w:hAnsi="宋体" w:eastAsia="宋体"/>
                <w:b/>
                <w:bCs/>
                <w:color w:val="auto"/>
                <w:szCs w:val="21"/>
                <w:highlight w:val="none"/>
              </w:rPr>
            </w:pPr>
          </w:p>
        </w:tc>
        <w:tc>
          <w:tcPr>
            <w:tcW w:w="854" w:type="dxa"/>
            <w:tcBorders>
              <w:top w:val="single" w:color="auto" w:sz="4" w:space="0"/>
              <w:left w:val="nil"/>
              <w:bottom w:val="single" w:color="auto" w:sz="4" w:space="0"/>
              <w:right w:val="single" w:color="auto" w:sz="4" w:space="0"/>
            </w:tcBorders>
            <w:vAlign w:val="center"/>
          </w:tcPr>
          <w:p w14:paraId="45823C3A">
            <w:pPr>
              <w:rPr>
                <w:rFonts w:ascii="宋体" w:hAnsi="宋体" w:eastAsia="宋体"/>
                <w:b/>
                <w:bCs/>
                <w:color w:val="auto"/>
                <w:szCs w:val="21"/>
                <w:highlight w:val="none"/>
              </w:rPr>
            </w:pPr>
          </w:p>
        </w:tc>
      </w:tr>
      <w:tr w14:paraId="7868FDB6">
        <w:tblPrEx>
          <w:tblCellMar>
            <w:top w:w="0" w:type="dxa"/>
            <w:left w:w="108" w:type="dxa"/>
            <w:bottom w:w="0" w:type="dxa"/>
            <w:right w:w="108" w:type="dxa"/>
          </w:tblCellMar>
        </w:tblPrEx>
        <w:trPr>
          <w:trHeight w:val="686" w:hRule="atLeast"/>
        </w:trPr>
        <w:tc>
          <w:tcPr>
            <w:tcW w:w="3549" w:type="dxa"/>
            <w:gridSpan w:val="2"/>
            <w:tcBorders>
              <w:top w:val="single" w:color="auto" w:sz="4" w:space="0"/>
              <w:left w:val="single" w:color="auto" w:sz="4" w:space="0"/>
              <w:bottom w:val="single" w:color="auto" w:sz="4" w:space="0"/>
              <w:right w:val="single" w:color="auto" w:sz="4" w:space="0"/>
            </w:tcBorders>
            <w:vAlign w:val="center"/>
          </w:tcPr>
          <w:p w14:paraId="6E25F67C">
            <w:pPr>
              <w:rPr>
                <w:rFonts w:ascii="宋体" w:hAnsi="宋体" w:eastAsia="宋体"/>
                <w:b/>
                <w:bCs/>
                <w:color w:val="auto"/>
                <w:szCs w:val="21"/>
                <w:highlight w:val="none"/>
              </w:rPr>
            </w:pPr>
            <w:r>
              <w:rPr>
                <w:rFonts w:hint="eastAsia" w:ascii="宋体" w:hAnsi="宋体" w:eastAsia="宋体"/>
                <w:b/>
                <w:bCs/>
                <w:color w:val="auto"/>
                <w:szCs w:val="21"/>
                <w:highlight w:val="none"/>
              </w:rPr>
              <w:t>合计报价（元）</w:t>
            </w:r>
          </w:p>
        </w:tc>
        <w:tc>
          <w:tcPr>
            <w:tcW w:w="1239" w:type="dxa"/>
            <w:tcBorders>
              <w:top w:val="single" w:color="auto" w:sz="4" w:space="0"/>
              <w:left w:val="nil"/>
              <w:bottom w:val="single" w:color="auto" w:sz="4" w:space="0"/>
              <w:right w:val="single" w:color="auto" w:sz="4" w:space="0"/>
            </w:tcBorders>
            <w:vAlign w:val="center"/>
          </w:tcPr>
          <w:p w14:paraId="1034FCFA">
            <w:pPr>
              <w:rPr>
                <w:rFonts w:ascii="宋体" w:hAnsi="宋体" w:eastAsia="宋体"/>
                <w:b/>
                <w:bCs/>
                <w:color w:val="auto"/>
                <w:szCs w:val="21"/>
                <w:highlight w:val="none"/>
              </w:rPr>
            </w:pPr>
          </w:p>
        </w:tc>
        <w:tc>
          <w:tcPr>
            <w:tcW w:w="1201" w:type="dxa"/>
            <w:tcBorders>
              <w:top w:val="single" w:color="auto" w:sz="4" w:space="0"/>
              <w:left w:val="nil"/>
              <w:bottom w:val="single" w:color="auto" w:sz="4" w:space="0"/>
              <w:right w:val="single" w:color="auto" w:sz="4" w:space="0"/>
            </w:tcBorders>
            <w:vAlign w:val="center"/>
          </w:tcPr>
          <w:p w14:paraId="65FE0DD8">
            <w:pPr>
              <w:rPr>
                <w:rFonts w:ascii="宋体" w:hAnsi="宋体" w:eastAsia="宋体"/>
                <w:b/>
                <w:bCs/>
                <w:color w:val="auto"/>
                <w:szCs w:val="21"/>
                <w:highlight w:val="none"/>
              </w:rPr>
            </w:pPr>
          </w:p>
        </w:tc>
        <w:tc>
          <w:tcPr>
            <w:tcW w:w="1397" w:type="dxa"/>
            <w:tcBorders>
              <w:top w:val="single" w:color="auto" w:sz="4" w:space="0"/>
              <w:left w:val="nil"/>
              <w:bottom w:val="single" w:color="auto" w:sz="4" w:space="0"/>
              <w:right w:val="single" w:color="auto" w:sz="4" w:space="0"/>
            </w:tcBorders>
            <w:vAlign w:val="center"/>
          </w:tcPr>
          <w:p w14:paraId="74ACB31C">
            <w:pPr>
              <w:rPr>
                <w:rFonts w:ascii="宋体" w:hAnsi="宋体" w:eastAsia="宋体"/>
                <w:b/>
                <w:bCs/>
                <w:color w:val="auto"/>
                <w:szCs w:val="21"/>
                <w:highlight w:val="none"/>
              </w:rPr>
            </w:pPr>
          </w:p>
        </w:tc>
        <w:tc>
          <w:tcPr>
            <w:tcW w:w="1364" w:type="dxa"/>
            <w:tcBorders>
              <w:top w:val="single" w:color="auto" w:sz="4" w:space="0"/>
              <w:left w:val="nil"/>
              <w:bottom w:val="single" w:color="auto" w:sz="4" w:space="0"/>
              <w:right w:val="single" w:color="auto" w:sz="4" w:space="0"/>
            </w:tcBorders>
            <w:vAlign w:val="center"/>
          </w:tcPr>
          <w:p w14:paraId="003CD500">
            <w:pPr>
              <w:rPr>
                <w:rFonts w:ascii="宋体" w:hAnsi="宋体" w:eastAsia="宋体"/>
                <w:b/>
                <w:bCs/>
                <w:color w:val="auto"/>
                <w:szCs w:val="21"/>
                <w:highlight w:val="none"/>
              </w:rPr>
            </w:pPr>
          </w:p>
        </w:tc>
        <w:tc>
          <w:tcPr>
            <w:tcW w:w="854" w:type="dxa"/>
            <w:tcBorders>
              <w:top w:val="single" w:color="auto" w:sz="4" w:space="0"/>
              <w:left w:val="nil"/>
              <w:bottom w:val="single" w:color="auto" w:sz="4" w:space="0"/>
              <w:right w:val="single" w:color="auto" w:sz="4" w:space="0"/>
            </w:tcBorders>
            <w:vAlign w:val="center"/>
          </w:tcPr>
          <w:p w14:paraId="76617B38">
            <w:pPr>
              <w:rPr>
                <w:rFonts w:ascii="宋体" w:hAnsi="宋体" w:eastAsia="宋体"/>
                <w:b/>
                <w:bCs/>
                <w:color w:val="auto"/>
                <w:szCs w:val="21"/>
                <w:highlight w:val="none"/>
              </w:rPr>
            </w:pPr>
          </w:p>
        </w:tc>
      </w:tr>
    </w:tbl>
    <w:p w14:paraId="789637FD">
      <w:pPr>
        <w:pStyle w:val="100"/>
        <w:ind w:left="0" w:leftChars="0" w:firstLine="0" w:firstLineChars="0"/>
        <w:rPr>
          <w:rFonts w:ascii="宋体" w:hAnsi="宋体"/>
          <w:color w:val="auto"/>
          <w:highlight w:val="none"/>
        </w:rPr>
      </w:pPr>
      <w:r>
        <w:rPr>
          <w:rFonts w:hint="eastAsia" w:ascii="宋体" w:hAnsi="宋体"/>
          <w:color w:val="auto"/>
          <w:highlight w:val="none"/>
        </w:rPr>
        <w:t>备注：合计费用应与投标书的监理费报价一致。</w:t>
      </w:r>
    </w:p>
    <w:p w14:paraId="766949EB">
      <w:pPr>
        <w:pStyle w:val="100"/>
        <w:ind w:left="2100" w:firstLine="496"/>
        <w:rPr>
          <w:rFonts w:ascii="宋体" w:hAnsi="宋体"/>
          <w:color w:val="auto"/>
          <w:highlight w:val="none"/>
        </w:rPr>
      </w:pPr>
    </w:p>
    <w:p w14:paraId="438FA40E">
      <w:pPr>
        <w:spacing w:line="360" w:lineRule="auto"/>
        <w:ind w:firstLine="3120" w:firstLineChars="1300"/>
        <w:jc w:val="left"/>
        <w:rPr>
          <w:rFonts w:ascii="宋体" w:hAnsi="宋体" w:eastAsia="宋体"/>
          <w:color w:val="auto"/>
          <w:sz w:val="24"/>
          <w:highlight w:val="none"/>
        </w:rPr>
      </w:pPr>
      <w:r>
        <w:rPr>
          <w:rFonts w:hint="eastAsia" w:ascii="宋体" w:hAnsi="宋体" w:eastAsia="宋体"/>
          <w:color w:val="auto"/>
          <w:sz w:val="24"/>
          <w:highlight w:val="none"/>
        </w:rPr>
        <w:t>投标人：</w:t>
      </w:r>
      <w:r>
        <w:rPr>
          <w:rFonts w:hint="eastAsia" w:ascii="宋体" w:hAnsi="宋体" w:eastAsia="宋体"/>
          <w:color w:val="auto"/>
          <w:sz w:val="24"/>
          <w:highlight w:val="none"/>
          <w:u w:val="single"/>
        </w:rPr>
        <w:tab/>
      </w:r>
      <w:r>
        <w:rPr>
          <w:rFonts w:hint="eastAsia" w:ascii="宋体" w:hAnsi="宋体" w:eastAsia="宋体"/>
          <w:color w:val="auto"/>
          <w:sz w:val="24"/>
          <w:highlight w:val="none"/>
        </w:rPr>
        <w:t>（盖单位章）</w:t>
      </w:r>
    </w:p>
    <w:p w14:paraId="259AD09F">
      <w:pPr>
        <w:spacing w:line="360" w:lineRule="auto"/>
        <w:ind w:firstLine="3120" w:firstLineChars="1300"/>
        <w:jc w:val="left"/>
        <w:rPr>
          <w:rFonts w:ascii="宋体" w:hAnsi="宋体" w:eastAsia="宋体"/>
          <w:color w:val="auto"/>
          <w:sz w:val="24"/>
          <w:highlight w:val="none"/>
        </w:rPr>
      </w:pPr>
      <w:r>
        <w:rPr>
          <w:rFonts w:hint="eastAsia" w:ascii="宋体" w:hAnsi="宋体" w:eastAsia="宋体"/>
          <w:color w:val="auto"/>
          <w:sz w:val="24"/>
          <w:highlight w:val="none"/>
        </w:rPr>
        <w:t>法定代表人或其委托代理人：</w:t>
      </w:r>
      <w:r>
        <w:rPr>
          <w:rFonts w:hint="eastAsia" w:ascii="宋体" w:hAnsi="宋体" w:eastAsia="宋体"/>
          <w:color w:val="auto"/>
          <w:sz w:val="24"/>
          <w:highlight w:val="none"/>
          <w:u w:val="single"/>
          <w:lang w:val="en-US" w:eastAsia="zh-CN"/>
        </w:rPr>
        <w:t xml:space="preserve">  </w:t>
      </w:r>
      <w:r>
        <w:rPr>
          <w:rFonts w:hint="eastAsia" w:ascii="宋体" w:hAnsi="宋体" w:eastAsia="宋体"/>
          <w:color w:val="auto"/>
          <w:sz w:val="24"/>
          <w:highlight w:val="none"/>
        </w:rPr>
        <w:t>（签字或盖章）</w:t>
      </w:r>
    </w:p>
    <w:p w14:paraId="4E65BF55">
      <w:pPr>
        <w:wordWrap w:val="0"/>
        <w:spacing w:line="360" w:lineRule="auto"/>
        <w:ind w:firstLine="5400" w:firstLineChars="2250"/>
        <w:jc w:val="right"/>
        <w:rPr>
          <w:rFonts w:ascii="宋体" w:hAnsi="宋体" w:eastAsia="宋体"/>
          <w:color w:val="auto"/>
          <w:sz w:val="24"/>
          <w:highlight w:val="none"/>
        </w:rPr>
      </w:pPr>
      <w:r>
        <w:rPr>
          <w:rFonts w:hint="eastAsia" w:ascii="宋体" w:hAnsi="宋体" w:eastAsia="宋体"/>
          <w:color w:val="auto"/>
          <w:sz w:val="24"/>
          <w:highlight w:val="none"/>
        </w:rPr>
        <w:t xml:space="preserve">  年    月    日</w:t>
      </w:r>
    </w:p>
    <w:bookmarkEnd w:id="673"/>
    <w:bookmarkEnd w:id="674"/>
    <w:bookmarkEnd w:id="675"/>
    <w:bookmarkEnd w:id="676"/>
    <w:p w14:paraId="2B1C1AEA">
      <w:pPr>
        <w:ind w:right="105"/>
        <w:rPr>
          <w:rFonts w:ascii="宋体" w:hAnsi="宋体" w:eastAsia="宋体"/>
          <w:color w:val="auto"/>
          <w:szCs w:val="24"/>
          <w:highlight w:val="none"/>
        </w:rPr>
      </w:pPr>
    </w:p>
    <w:p w14:paraId="3E814161">
      <w:pPr>
        <w:pStyle w:val="6"/>
        <w:spacing w:line="360" w:lineRule="auto"/>
        <w:jc w:val="center"/>
        <w:rPr>
          <w:rFonts w:ascii="宋体" w:hAnsi="宋体" w:eastAsia="宋体"/>
          <w:color w:val="auto"/>
          <w:sz w:val="32"/>
          <w:szCs w:val="32"/>
          <w:highlight w:val="none"/>
        </w:rPr>
      </w:pPr>
      <w:r>
        <w:rPr>
          <w:rFonts w:hint="eastAsia" w:ascii="宋体" w:hAnsi="宋体" w:eastAsia="宋体"/>
          <w:b w:val="0"/>
          <w:bCs w:val="0"/>
          <w:color w:val="auto"/>
          <w:szCs w:val="24"/>
          <w:highlight w:val="none"/>
        </w:rPr>
        <w:br w:type="page"/>
      </w:r>
      <w:r>
        <w:rPr>
          <w:rFonts w:hint="eastAsia" w:ascii="宋体" w:hAnsi="宋体" w:eastAsia="宋体"/>
          <w:bCs w:val="0"/>
          <w:color w:val="auto"/>
          <w:sz w:val="32"/>
          <w:szCs w:val="32"/>
          <w:highlight w:val="none"/>
        </w:rPr>
        <w:t>五</w:t>
      </w:r>
      <w:r>
        <w:rPr>
          <w:rFonts w:hint="eastAsia" w:ascii="宋体" w:hAnsi="宋体" w:eastAsia="宋体"/>
          <w:color w:val="auto"/>
          <w:sz w:val="32"/>
          <w:szCs w:val="32"/>
          <w:highlight w:val="none"/>
        </w:rPr>
        <w:t>、</w:t>
      </w:r>
      <w:bookmarkStart w:id="678" w:name="_Hlk22686998"/>
      <w:r>
        <w:rPr>
          <w:rFonts w:hint="eastAsia" w:ascii="宋体" w:hAnsi="宋体" w:eastAsia="宋体"/>
          <w:color w:val="auto"/>
          <w:sz w:val="32"/>
          <w:szCs w:val="32"/>
          <w:highlight w:val="none"/>
        </w:rPr>
        <w:t>资格审查资料</w:t>
      </w:r>
      <w:bookmarkEnd w:id="678"/>
    </w:p>
    <w:p w14:paraId="36098909">
      <w:pPr>
        <w:spacing w:before="20" w:line="412" w:lineRule="auto"/>
        <w:ind w:firstLine="137"/>
        <w:jc w:val="center"/>
        <w:outlineLvl w:val="2"/>
        <w:rPr>
          <w:rFonts w:ascii="宋体" w:hAnsi="宋体" w:eastAsia="宋体"/>
          <w:b/>
          <w:bCs/>
          <w:color w:val="auto"/>
          <w:sz w:val="30"/>
          <w:szCs w:val="30"/>
          <w:highlight w:val="none"/>
        </w:rPr>
      </w:pPr>
      <w:r>
        <w:rPr>
          <w:rFonts w:hint="eastAsia" w:ascii="宋体" w:hAnsi="宋体" w:eastAsia="宋体"/>
          <w:b/>
          <w:bCs/>
          <w:color w:val="auto"/>
          <w:sz w:val="30"/>
          <w:szCs w:val="30"/>
          <w:highlight w:val="none"/>
        </w:rPr>
        <w:t>（一）基本情况表</w:t>
      </w:r>
    </w:p>
    <w:tbl>
      <w:tblPr>
        <w:tblStyle w:val="40"/>
        <w:tblW w:w="9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7"/>
        <w:gridCol w:w="1308"/>
        <w:gridCol w:w="1018"/>
        <w:gridCol w:w="1222"/>
        <w:gridCol w:w="572"/>
        <w:gridCol w:w="942"/>
        <w:gridCol w:w="872"/>
        <w:gridCol w:w="308"/>
        <w:gridCol w:w="1341"/>
      </w:tblGrid>
      <w:tr w14:paraId="42824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147" w:type="dxa"/>
            <w:tcBorders>
              <w:top w:val="single" w:color="auto" w:sz="4" w:space="0"/>
              <w:left w:val="single" w:color="auto" w:sz="4" w:space="0"/>
              <w:bottom w:val="single" w:color="auto" w:sz="4" w:space="0"/>
              <w:right w:val="single" w:color="auto" w:sz="4" w:space="0"/>
            </w:tcBorders>
            <w:vAlign w:val="center"/>
          </w:tcPr>
          <w:p w14:paraId="3C30005D">
            <w:pPr>
              <w:topLinePunct/>
              <w:spacing w:line="44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投标人名称</w:t>
            </w:r>
          </w:p>
        </w:tc>
        <w:tc>
          <w:tcPr>
            <w:tcW w:w="7583" w:type="dxa"/>
            <w:gridSpan w:val="8"/>
            <w:tcBorders>
              <w:top w:val="single" w:color="auto" w:sz="4" w:space="0"/>
              <w:left w:val="single" w:color="auto" w:sz="4" w:space="0"/>
              <w:bottom w:val="single" w:color="auto" w:sz="4" w:space="0"/>
              <w:right w:val="single" w:color="auto" w:sz="4" w:space="0"/>
            </w:tcBorders>
            <w:vAlign w:val="center"/>
          </w:tcPr>
          <w:p w14:paraId="603EA6D5">
            <w:pPr>
              <w:topLinePunct/>
              <w:spacing w:line="440" w:lineRule="exact"/>
              <w:jc w:val="center"/>
              <w:rPr>
                <w:rFonts w:ascii="宋体" w:hAnsi="宋体" w:eastAsia="宋体"/>
                <w:color w:val="auto"/>
                <w:sz w:val="24"/>
                <w:szCs w:val="24"/>
                <w:highlight w:val="none"/>
              </w:rPr>
            </w:pPr>
          </w:p>
        </w:tc>
      </w:tr>
      <w:tr w14:paraId="4127B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147" w:type="dxa"/>
            <w:tcBorders>
              <w:top w:val="single" w:color="auto" w:sz="4" w:space="0"/>
              <w:left w:val="single" w:color="auto" w:sz="4" w:space="0"/>
              <w:bottom w:val="single" w:color="auto" w:sz="4" w:space="0"/>
              <w:right w:val="single" w:color="auto" w:sz="4" w:space="0"/>
            </w:tcBorders>
            <w:vAlign w:val="center"/>
          </w:tcPr>
          <w:p w14:paraId="36D8B2C6">
            <w:pPr>
              <w:topLinePunct/>
              <w:spacing w:line="44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注册地址</w:t>
            </w:r>
          </w:p>
        </w:tc>
        <w:tc>
          <w:tcPr>
            <w:tcW w:w="3548" w:type="dxa"/>
            <w:gridSpan w:val="3"/>
            <w:tcBorders>
              <w:top w:val="single" w:color="auto" w:sz="4" w:space="0"/>
              <w:left w:val="single" w:color="auto" w:sz="4" w:space="0"/>
              <w:bottom w:val="single" w:color="auto" w:sz="4" w:space="0"/>
              <w:right w:val="single" w:color="auto" w:sz="4" w:space="0"/>
            </w:tcBorders>
            <w:vAlign w:val="center"/>
          </w:tcPr>
          <w:p w14:paraId="54382750">
            <w:pPr>
              <w:topLinePunct/>
              <w:spacing w:line="440" w:lineRule="exact"/>
              <w:jc w:val="center"/>
              <w:rPr>
                <w:rFonts w:ascii="宋体" w:hAnsi="宋体" w:eastAsia="宋体"/>
                <w:color w:val="auto"/>
                <w:sz w:val="24"/>
                <w:szCs w:val="24"/>
                <w:highlight w:val="none"/>
              </w:rPr>
            </w:pP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612ED2EE">
            <w:pPr>
              <w:topLinePunct/>
              <w:spacing w:before="100" w:beforeAutospacing="1" w:after="100" w:afterAutospacing="1" w:line="44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邮政编码</w:t>
            </w:r>
          </w:p>
        </w:tc>
        <w:tc>
          <w:tcPr>
            <w:tcW w:w="2521" w:type="dxa"/>
            <w:gridSpan w:val="3"/>
            <w:tcBorders>
              <w:top w:val="single" w:color="auto" w:sz="4" w:space="0"/>
              <w:left w:val="single" w:color="auto" w:sz="4" w:space="0"/>
              <w:bottom w:val="single" w:color="auto" w:sz="4" w:space="0"/>
              <w:right w:val="single" w:color="auto" w:sz="4" w:space="0"/>
            </w:tcBorders>
            <w:vAlign w:val="center"/>
          </w:tcPr>
          <w:p w14:paraId="0A49779B">
            <w:pPr>
              <w:topLinePunct/>
              <w:spacing w:line="440" w:lineRule="exact"/>
              <w:jc w:val="center"/>
              <w:rPr>
                <w:rFonts w:ascii="宋体" w:hAnsi="宋体" w:eastAsia="宋体"/>
                <w:color w:val="auto"/>
                <w:sz w:val="24"/>
                <w:szCs w:val="24"/>
                <w:highlight w:val="none"/>
              </w:rPr>
            </w:pPr>
          </w:p>
        </w:tc>
      </w:tr>
      <w:tr w14:paraId="213A4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147" w:type="dxa"/>
            <w:vMerge w:val="restart"/>
            <w:tcBorders>
              <w:top w:val="single" w:color="auto" w:sz="4" w:space="0"/>
              <w:left w:val="single" w:color="auto" w:sz="4" w:space="0"/>
              <w:bottom w:val="single" w:color="auto" w:sz="4" w:space="0"/>
              <w:right w:val="single" w:color="auto" w:sz="4" w:space="0"/>
            </w:tcBorders>
            <w:vAlign w:val="center"/>
          </w:tcPr>
          <w:p w14:paraId="39538BCC">
            <w:pPr>
              <w:topLinePunct/>
              <w:spacing w:line="44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联系方式</w:t>
            </w:r>
          </w:p>
        </w:tc>
        <w:tc>
          <w:tcPr>
            <w:tcW w:w="1308" w:type="dxa"/>
            <w:tcBorders>
              <w:top w:val="single" w:color="auto" w:sz="4" w:space="0"/>
              <w:left w:val="single" w:color="auto" w:sz="4" w:space="0"/>
              <w:bottom w:val="single" w:color="auto" w:sz="4" w:space="0"/>
              <w:right w:val="single" w:color="auto" w:sz="4" w:space="0"/>
            </w:tcBorders>
            <w:vAlign w:val="center"/>
          </w:tcPr>
          <w:p w14:paraId="5805E720">
            <w:pPr>
              <w:topLinePunct/>
              <w:spacing w:before="100" w:beforeAutospacing="1" w:after="100" w:afterAutospacing="1" w:line="44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联系人</w:t>
            </w:r>
          </w:p>
        </w:tc>
        <w:tc>
          <w:tcPr>
            <w:tcW w:w="2240" w:type="dxa"/>
            <w:gridSpan w:val="2"/>
            <w:tcBorders>
              <w:top w:val="single" w:color="auto" w:sz="4" w:space="0"/>
              <w:left w:val="single" w:color="auto" w:sz="4" w:space="0"/>
              <w:bottom w:val="single" w:color="auto" w:sz="4" w:space="0"/>
              <w:right w:val="single" w:color="auto" w:sz="4" w:space="0"/>
            </w:tcBorders>
            <w:vAlign w:val="center"/>
          </w:tcPr>
          <w:p w14:paraId="2B04E64D">
            <w:pPr>
              <w:topLinePunct/>
              <w:spacing w:line="440" w:lineRule="exact"/>
              <w:jc w:val="center"/>
              <w:rPr>
                <w:rFonts w:ascii="宋体" w:hAnsi="宋体" w:eastAsia="宋体"/>
                <w:color w:val="auto"/>
                <w:sz w:val="24"/>
                <w:szCs w:val="24"/>
                <w:highlight w:val="none"/>
              </w:rPr>
            </w:pP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5F313F01">
            <w:pPr>
              <w:topLinePunct/>
              <w:spacing w:before="100" w:beforeAutospacing="1" w:after="100" w:afterAutospacing="1" w:line="44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电 话</w:t>
            </w:r>
          </w:p>
        </w:tc>
        <w:tc>
          <w:tcPr>
            <w:tcW w:w="2521" w:type="dxa"/>
            <w:gridSpan w:val="3"/>
            <w:tcBorders>
              <w:top w:val="single" w:color="auto" w:sz="4" w:space="0"/>
              <w:left w:val="single" w:color="auto" w:sz="4" w:space="0"/>
              <w:bottom w:val="single" w:color="auto" w:sz="4" w:space="0"/>
              <w:right w:val="single" w:color="auto" w:sz="4" w:space="0"/>
            </w:tcBorders>
            <w:vAlign w:val="center"/>
          </w:tcPr>
          <w:p w14:paraId="2079AC9C">
            <w:pPr>
              <w:topLinePunct/>
              <w:spacing w:line="440" w:lineRule="exact"/>
              <w:jc w:val="center"/>
              <w:rPr>
                <w:rFonts w:ascii="宋体" w:hAnsi="宋体" w:eastAsia="宋体"/>
                <w:color w:val="auto"/>
                <w:sz w:val="24"/>
                <w:szCs w:val="24"/>
                <w:highlight w:val="none"/>
              </w:rPr>
            </w:pPr>
          </w:p>
        </w:tc>
      </w:tr>
      <w:tr w14:paraId="47104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147" w:type="dxa"/>
            <w:vMerge w:val="continue"/>
            <w:tcBorders>
              <w:top w:val="single" w:color="auto" w:sz="4" w:space="0"/>
              <w:left w:val="single" w:color="auto" w:sz="4" w:space="0"/>
              <w:bottom w:val="single" w:color="auto" w:sz="4" w:space="0"/>
              <w:right w:val="single" w:color="auto" w:sz="4" w:space="0"/>
            </w:tcBorders>
            <w:vAlign w:val="center"/>
          </w:tcPr>
          <w:p w14:paraId="20378405">
            <w:pPr>
              <w:widowControl/>
              <w:jc w:val="left"/>
              <w:rPr>
                <w:rFonts w:ascii="宋体" w:hAnsi="宋体" w:eastAsia="宋体"/>
                <w:color w:val="auto"/>
                <w:sz w:val="24"/>
                <w:szCs w:val="24"/>
                <w:highlight w:val="none"/>
              </w:rPr>
            </w:pPr>
          </w:p>
        </w:tc>
        <w:tc>
          <w:tcPr>
            <w:tcW w:w="1308" w:type="dxa"/>
            <w:tcBorders>
              <w:top w:val="single" w:color="auto" w:sz="4" w:space="0"/>
              <w:left w:val="single" w:color="auto" w:sz="4" w:space="0"/>
              <w:bottom w:val="single" w:color="auto" w:sz="4" w:space="0"/>
              <w:right w:val="single" w:color="auto" w:sz="4" w:space="0"/>
            </w:tcBorders>
            <w:vAlign w:val="center"/>
          </w:tcPr>
          <w:p w14:paraId="3EEA629B">
            <w:pPr>
              <w:topLinePunct/>
              <w:spacing w:before="100" w:beforeAutospacing="1" w:after="100" w:afterAutospacing="1" w:line="44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传  真</w:t>
            </w:r>
          </w:p>
        </w:tc>
        <w:tc>
          <w:tcPr>
            <w:tcW w:w="2240" w:type="dxa"/>
            <w:gridSpan w:val="2"/>
            <w:tcBorders>
              <w:top w:val="single" w:color="auto" w:sz="4" w:space="0"/>
              <w:left w:val="single" w:color="auto" w:sz="4" w:space="0"/>
              <w:bottom w:val="single" w:color="auto" w:sz="4" w:space="0"/>
              <w:right w:val="single" w:color="auto" w:sz="4" w:space="0"/>
            </w:tcBorders>
            <w:vAlign w:val="center"/>
          </w:tcPr>
          <w:p w14:paraId="4EF77CDE">
            <w:pPr>
              <w:topLinePunct/>
              <w:spacing w:line="440" w:lineRule="exact"/>
              <w:jc w:val="center"/>
              <w:rPr>
                <w:rFonts w:ascii="宋体" w:hAnsi="宋体" w:eastAsia="宋体"/>
                <w:color w:val="auto"/>
                <w:sz w:val="24"/>
                <w:szCs w:val="24"/>
                <w:highlight w:val="none"/>
              </w:rPr>
            </w:pP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70521784">
            <w:pPr>
              <w:topLinePunct/>
              <w:spacing w:before="100" w:beforeAutospacing="1" w:after="100" w:afterAutospacing="1" w:line="44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网 址</w:t>
            </w:r>
          </w:p>
        </w:tc>
        <w:tc>
          <w:tcPr>
            <w:tcW w:w="2521" w:type="dxa"/>
            <w:gridSpan w:val="3"/>
            <w:tcBorders>
              <w:top w:val="single" w:color="auto" w:sz="4" w:space="0"/>
              <w:left w:val="single" w:color="auto" w:sz="4" w:space="0"/>
              <w:bottom w:val="single" w:color="auto" w:sz="4" w:space="0"/>
              <w:right w:val="single" w:color="auto" w:sz="4" w:space="0"/>
            </w:tcBorders>
            <w:vAlign w:val="center"/>
          </w:tcPr>
          <w:p w14:paraId="098FA3B8">
            <w:pPr>
              <w:topLinePunct/>
              <w:spacing w:line="440" w:lineRule="exact"/>
              <w:jc w:val="center"/>
              <w:rPr>
                <w:rFonts w:ascii="宋体" w:hAnsi="宋体" w:eastAsia="宋体"/>
                <w:color w:val="auto"/>
                <w:sz w:val="24"/>
                <w:szCs w:val="24"/>
                <w:highlight w:val="none"/>
              </w:rPr>
            </w:pPr>
          </w:p>
        </w:tc>
      </w:tr>
      <w:tr w14:paraId="085A0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147" w:type="dxa"/>
            <w:tcBorders>
              <w:top w:val="single" w:color="auto" w:sz="4" w:space="0"/>
              <w:left w:val="single" w:color="auto" w:sz="4" w:space="0"/>
              <w:bottom w:val="single" w:color="auto" w:sz="4" w:space="0"/>
              <w:right w:val="single" w:color="auto" w:sz="4" w:space="0"/>
            </w:tcBorders>
            <w:vAlign w:val="center"/>
          </w:tcPr>
          <w:p w14:paraId="1565E97E">
            <w:pPr>
              <w:topLinePunct/>
              <w:spacing w:before="100" w:beforeAutospacing="1" w:after="100" w:afterAutospacing="1" w:line="44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法定代表人</w:t>
            </w:r>
          </w:p>
        </w:tc>
        <w:tc>
          <w:tcPr>
            <w:tcW w:w="1308" w:type="dxa"/>
            <w:tcBorders>
              <w:top w:val="single" w:color="auto" w:sz="4" w:space="0"/>
              <w:left w:val="single" w:color="auto" w:sz="4" w:space="0"/>
              <w:bottom w:val="single" w:color="auto" w:sz="4" w:space="0"/>
              <w:right w:val="single" w:color="auto" w:sz="4" w:space="0"/>
            </w:tcBorders>
            <w:vAlign w:val="center"/>
          </w:tcPr>
          <w:p w14:paraId="1978CBED">
            <w:pPr>
              <w:topLinePunct/>
              <w:spacing w:before="100" w:beforeAutospacing="1" w:after="100" w:afterAutospacing="1" w:line="44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姓名</w:t>
            </w:r>
          </w:p>
        </w:tc>
        <w:tc>
          <w:tcPr>
            <w:tcW w:w="1018" w:type="dxa"/>
            <w:tcBorders>
              <w:top w:val="single" w:color="auto" w:sz="4" w:space="0"/>
              <w:left w:val="single" w:color="auto" w:sz="4" w:space="0"/>
              <w:bottom w:val="single" w:color="auto" w:sz="4" w:space="0"/>
              <w:right w:val="single" w:color="auto" w:sz="4" w:space="0"/>
            </w:tcBorders>
            <w:vAlign w:val="center"/>
          </w:tcPr>
          <w:p w14:paraId="4D8B9052">
            <w:pPr>
              <w:topLinePunct/>
              <w:spacing w:line="440" w:lineRule="exact"/>
              <w:jc w:val="center"/>
              <w:rPr>
                <w:rFonts w:ascii="宋体" w:hAnsi="宋体" w:eastAsia="宋体"/>
                <w:color w:val="auto"/>
                <w:sz w:val="24"/>
                <w:szCs w:val="24"/>
                <w:highlight w:val="none"/>
              </w:rPr>
            </w:pPr>
          </w:p>
        </w:tc>
        <w:tc>
          <w:tcPr>
            <w:tcW w:w="1222" w:type="dxa"/>
            <w:tcBorders>
              <w:top w:val="single" w:color="auto" w:sz="4" w:space="0"/>
              <w:left w:val="single" w:color="auto" w:sz="4" w:space="0"/>
              <w:bottom w:val="single" w:color="auto" w:sz="4" w:space="0"/>
              <w:right w:val="single" w:color="auto" w:sz="4" w:space="0"/>
            </w:tcBorders>
            <w:vAlign w:val="center"/>
          </w:tcPr>
          <w:p w14:paraId="32EA8EFD">
            <w:pPr>
              <w:topLinePunct/>
              <w:spacing w:before="100" w:beforeAutospacing="1" w:after="100" w:afterAutospacing="1" w:line="44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技术职称</w:t>
            </w: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1B0A279A">
            <w:pPr>
              <w:topLinePunct/>
              <w:spacing w:line="440" w:lineRule="exact"/>
              <w:jc w:val="center"/>
              <w:rPr>
                <w:rFonts w:ascii="宋体" w:hAnsi="宋体" w:eastAsia="宋体"/>
                <w:color w:val="auto"/>
                <w:sz w:val="24"/>
                <w:szCs w:val="24"/>
                <w:highlight w:val="none"/>
              </w:rPr>
            </w:pPr>
          </w:p>
        </w:tc>
        <w:tc>
          <w:tcPr>
            <w:tcW w:w="1180" w:type="dxa"/>
            <w:gridSpan w:val="2"/>
            <w:tcBorders>
              <w:top w:val="single" w:color="auto" w:sz="4" w:space="0"/>
              <w:left w:val="single" w:color="auto" w:sz="4" w:space="0"/>
              <w:bottom w:val="single" w:color="auto" w:sz="4" w:space="0"/>
              <w:right w:val="single" w:color="auto" w:sz="4" w:space="0"/>
            </w:tcBorders>
            <w:vAlign w:val="center"/>
          </w:tcPr>
          <w:p w14:paraId="72CDD2C6">
            <w:pPr>
              <w:topLinePunct/>
              <w:spacing w:before="100" w:beforeAutospacing="1" w:after="100" w:afterAutospacing="1" w:line="44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电话</w:t>
            </w:r>
          </w:p>
        </w:tc>
        <w:tc>
          <w:tcPr>
            <w:tcW w:w="1341" w:type="dxa"/>
            <w:tcBorders>
              <w:top w:val="single" w:color="auto" w:sz="4" w:space="0"/>
              <w:left w:val="single" w:color="auto" w:sz="4" w:space="0"/>
              <w:bottom w:val="single" w:color="auto" w:sz="4" w:space="0"/>
              <w:right w:val="single" w:color="auto" w:sz="4" w:space="0"/>
            </w:tcBorders>
            <w:vAlign w:val="center"/>
          </w:tcPr>
          <w:p w14:paraId="203CB434">
            <w:pPr>
              <w:topLinePunct/>
              <w:spacing w:line="440" w:lineRule="exact"/>
              <w:jc w:val="center"/>
              <w:rPr>
                <w:rFonts w:ascii="宋体" w:hAnsi="宋体" w:eastAsia="宋体"/>
                <w:color w:val="auto"/>
                <w:sz w:val="24"/>
                <w:szCs w:val="24"/>
                <w:highlight w:val="none"/>
              </w:rPr>
            </w:pPr>
          </w:p>
        </w:tc>
      </w:tr>
      <w:tr w14:paraId="1875C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147" w:type="dxa"/>
            <w:tcBorders>
              <w:top w:val="single" w:color="auto" w:sz="4" w:space="0"/>
              <w:left w:val="single" w:color="auto" w:sz="4" w:space="0"/>
              <w:bottom w:val="single" w:color="auto" w:sz="4" w:space="0"/>
              <w:right w:val="single" w:color="auto" w:sz="4" w:space="0"/>
            </w:tcBorders>
            <w:vAlign w:val="center"/>
          </w:tcPr>
          <w:p w14:paraId="1769237F">
            <w:pPr>
              <w:topLinePunct/>
              <w:spacing w:line="44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技术负责人</w:t>
            </w:r>
          </w:p>
        </w:tc>
        <w:tc>
          <w:tcPr>
            <w:tcW w:w="1308" w:type="dxa"/>
            <w:tcBorders>
              <w:top w:val="single" w:color="auto" w:sz="4" w:space="0"/>
              <w:left w:val="single" w:color="auto" w:sz="4" w:space="0"/>
              <w:bottom w:val="single" w:color="auto" w:sz="4" w:space="0"/>
              <w:right w:val="single" w:color="auto" w:sz="4" w:space="0"/>
            </w:tcBorders>
            <w:vAlign w:val="center"/>
          </w:tcPr>
          <w:p w14:paraId="5B396C4F">
            <w:pPr>
              <w:topLinePunct/>
              <w:spacing w:before="100" w:beforeAutospacing="1" w:after="100" w:afterAutospacing="1" w:line="44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姓名</w:t>
            </w:r>
          </w:p>
        </w:tc>
        <w:tc>
          <w:tcPr>
            <w:tcW w:w="1018" w:type="dxa"/>
            <w:tcBorders>
              <w:top w:val="single" w:color="auto" w:sz="4" w:space="0"/>
              <w:left w:val="single" w:color="auto" w:sz="4" w:space="0"/>
              <w:bottom w:val="single" w:color="auto" w:sz="4" w:space="0"/>
              <w:right w:val="single" w:color="auto" w:sz="4" w:space="0"/>
            </w:tcBorders>
            <w:vAlign w:val="center"/>
          </w:tcPr>
          <w:p w14:paraId="17352373">
            <w:pPr>
              <w:topLinePunct/>
              <w:spacing w:line="440" w:lineRule="exact"/>
              <w:jc w:val="center"/>
              <w:rPr>
                <w:rFonts w:ascii="宋体" w:hAnsi="宋体" w:eastAsia="宋体"/>
                <w:color w:val="auto"/>
                <w:sz w:val="24"/>
                <w:szCs w:val="24"/>
                <w:highlight w:val="none"/>
              </w:rPr>
            </w:pPr>
          </w:p>
        </w:tc>
        <w:tc>
          <w:tcPr>
            <w:tcW w:w="1222" w:type="dxa"/>
            <w:tcBorders>
              <w:top w:val="single" w:color="auto" w:sz="4" w:space="0"/>
              <w:left w:val="single" w:color="auto" w:sz="4" w:space="0"/>
              <w:bottom w:val="single" w:color="auto" w:sz="4" w:space="0"/>
              <w:right w:val="single" w:color="auto" w:sz="4" w:space="0"/>
            </w:tcBorders>
            <w:vAlign w:val="center"/>
          </w:tcPr>
          <w:p w14:paraId="2166C89A">
            <w:pPr>
              <w:topLinePunct/>
              <w:spacing w:before="100" w:beforeAutospacing="1" w:after="100" w:afterAutospacing="1" w:line="44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技术职称</w:t>
            </w: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1848D7A6">
            <w:pPr>
              <w:topLinePunct/>
              <w:spacing w:line="440" w:lineRule="exact"/>
              <w:jc w:val="center"/>
              <w:rPr>
                <w:rFonts w:ascii="宋体" w:hAnsi="宋体" w:eastAsia="宋体"/>
                <w:color w:val="auto"/>
                <w:sz w:val="24"/>
                <w:szCs w:val="24"/>
                <w:highlight w:val="none"/>
              </w:rPr>
            </w:pPr>
          </w:p>
        </w:tc>
        <w:tc>
          <w:tcPr>
            <w:tcW w:w="1180" w:type="dxa"/>
            <w:gridSpan w:val="2"/>
            <w:tcBorders>
              <w:top w:val="single" w:color="auto" w:sz="4" w:space="0"/>
              <w:left w:val="single" w:color="auto" w:sz="4" w:space="0"/>
              <w:bottom w:val="single" w:color="auto" w:sz="4" w:space="0"/>
              <w:right w:val="single" w:color="auto" w:sz="4" w:space="0"/>
            </w:tcBorders>
            <w:vAlign w:val="center"/>
          </w:tcPr>
          <w:p w14:paraId="47E7260A">
            <w:pPr>
              <w:topLinePunct/>
              <w:spacing w:before="100" w:beforeAutospacing="1" w:after="100" w:afterAutospacing="1" w:line="44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电话</w:t>
            </w:r>
          </w:p>
        </w:tc>
        <w:tc>
          <w:tcPr>
            <w:tcW w:w="1341" w:type="dxa"/>
            <w:tcBorders>
              <w:top w:val="single" w:color="auto" w:sz="4" w:space="0"/>
              <w:left w:val="single" w:color="auto" w:sz="4" w:space="0"/>
              <w:bottom w:val="single" w:color="auto" w:sz="4" w:space="0"/>
              <w:right w:val="single" w:color="auto" w:sz="4" w:space="0"/>
            </w:tcBorders>
            <w:vAlign w:val="center"/>
          </w:tcPr>
          <w:p w14:paraId="7B329995">
            <w:pPr>
              <w:topLinePunct/>
              <w:spacing w:line="440" w:lineRule="exact"/>
              <w:jc w:val="center"/>
              <w:rPr>
                <w:rFonts w:ascii="宋体" w:hAnsi="宋体" w:eastAsia="宋体"/>
                <w:color w:val="auto"/>
                <w:sz w:val="24"/>
                <w:szCs w:val="24"/>
                <w:highlight w:val="none"/>
              </w:rPr>
            </w:pPr>
          </w:p>
        </w:tc>
      </w:tr>
      <w:tr w14:paraId="0D9CB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147" w:type="dxa"/>
            <w:tcBorders>
              <w:top w:val="single" w:color="auto" w:sz="4" w:space="0"/>
              <w:left w:val="single" w:color="auto" w:sz="4" w:space="0"/>
              <w:bottom w:val="single" w:color="auto" w:sz="4" w:space="0"/>
              <w:right w:val="single" w:color="auto" w:sz="4" w:space="0"/>
            </w:tcBorders>
            <w:vAlign w:val="center"/>
          </w:tcPr>
          <w:p w14:paraId="25860B21">
            <w:pPr>
              <w:topLinePunct/>
              <w:spacing w:before="100" w:beforeAutospacing="1" w:after="100" w:afterAutospacing="1" w:line="44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企业监理资质证书</w:t>
            </w:r>
          </w:p>
        </w:tc>
        <w:tc>
          <w:tcPr>
            <w:tcW w:w="7583" w:type="dxa"/>
            <w:gridSpan w:val="8"/>
            <w:tcBorders>
              <w:top w:val="single" w:color="auto" w:sz="4" w:space="0"/>
              <w:left w:val="single" w:color="auto" w:sz="4" w:space="0"/>
              <w:bottom w:val="single" w:color="auto" w:sz="4" w:space="0"/>
              <w:right w:val="single" w:color="auto" w:sz="4" w:space="0"/>
            </w:tcBorders>
            <w:vAlign w:val="center"/>
          </w:tcPr>
          <w:p w14:paraId="3EB25ADA">
            <w:pPr>
              <w:topLinePunct/>
              <w:spacing w:before="100" w:beforeAutospacing="1" w:after="100" w:afterAutospacing="1" w:line="440" w:lineRule="exact"/>
              <w:ind w:firstLine="120" w:firstLineChars="50"/>
              <w:rPr>
                <w:rFonts w:ascii="宋体" w:hAnsi="宋体" w:eastAsia="宋体"/>
                <w:color w:val="auto"/>
                <w:sz w:val="24"/>
                <w:szCs w:val="24"/>
                <w:highlight w:val="none"/>
              </w:rPr>
            </w:pPr>
            <w:r>
              <w:rPr>
                <w:rFonts w:hint="eastAsia" w:ascii="宋体" w:hAnsi="宋体" w:eastAsia="宋体"/>
                <w:color w:val="auto"/>
                <w:sz w:val="24"/>
                <w:szCs w:val="24"/>
                <w:highlight w:val="none"/>
              </w:rPr>
              <w:t>类型：                    等级：      证书号：</w:t>
            </w:r>
          </w:p>
        </w:tc>
      </w:tr>
      <w:tr w14:paraId="05592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147" w:type="dxa"/>
            <w:tcBorders>
              <w:top w:val="single" w:color="auto" w:sz="4" w:space="0"/>
              <w:left w:val="single" w:color="auto" w:sz="4" w:space="0"/>
              <w:bottom w:val="single" w:color="auto" w:sz="4" w:space="0"/>
              <w:right w:val="single" w:color="auto" w:sz="4" w:space="0"/>
            </w:tcBorders>
            <w:vAlign w:val="center"/>
          </w:tcPr>
          <w:p w14:paraId="15A259EF">
            <w:pPr>
              <w:topLinePunct/>
              <w:spacing w:before="100" w:beforeAutospacing="1" w:after="100" w:afterAutospacing="1" w:line="44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质量管理体系证书（如有）</w:t>
            </w:r>
          </w:p>
        </w:tc>
        <w:tc>
          <w:tcPr>
            <w:tcW w:w="7583" w:type="dxa"/>
            <w:gridSpan w:val="8"/>
            <w:tcBorders>
              <w:top w:val="single" w:color="auto" w:sz="4" w:space="0"/>
              <w:left w:val="single" w:color="auto" w:sz="4" w:space="0"/>
              <w:bottom w:val="single" w:color="auto" w:sz="4" w:space="0"/>
              <w:right w:val="single" w:color="auto" w:sz="4" w:space="0"/>
            </w:tcBorders>
            <w:vAlign w:val="center"/>
          </w:tcPr>
          <w:p w14:paraId="41B212F4">
            <w:pPr>
              <w:topLinePunct/>
              <w:spacing w:before="100" w:beforeAutospacing="1" w:after="100" w:afterAutospacing="1" w:line="440" w:lineRule="exact"/>
              <w:ind w:firstLine="120" w:firstLineChars="50"/>
              <w:rPr>
                <w:rFonts w:ascii="宋体" w:hAnsi="宋体" w:eastAsia="宋体"/>
                <w:color w:val="auto"/>
                <w:sz w:val="24"/>
                <w:szCs w:val="24"/>
                <w:highlight w:val="none"/>
              </w:rPr>
            </w:pPr>
            <w:r>
              <w:rPr>
                <w:rFonts w:hint="eastAsia" w:ascii="宋体" w:hAnsi="宋体" w:eastAsia="宋体"/>
                <w:color w:val="auto"/>
                <w:sz w:val="24"/>
                <w:szCs w:val="24"/>
                <w:highlight w:val="none"/>
              </w:rPr>
              <w:t>类型：                    等级：      证书号：</w:t>
            </w:r>
          </w:p>
        </w:tc>
      </w:tr>
      <w:tr w14:paraId="46677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147" w:type="dxa"/>
            <w:tcBorders>
              <w:top w:val="single" w:color="auto" w:sz="4" w:space="0"/>
              <w:left w:val="single" w:color="auto" w:sz="4" w:space="0"/>
              <w:bottom w:val="single" w:color="auto" w:sz="4" w:space="0"/>
              <w:right w:val="single" w:color="auto" w:sz="4" w:space="0"/>
            </w:tcBorders>
            <w:vAlign w:val="center"/>
          </w:tcPr>
          <w:p w14:paraId="01878D11">
            <w:pPr>
              <w:topLinePunct/>
              <w:spacing w:before="100" w:beforeAutospacing="1" w:after="100" w:afterAutospacing="1" w:line="44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营业执照号</w:t>
            </w:r>
          </w:p>
        </w:tc>
        <w:tc>
          <w:tcPr>
            <w:tcW w:w="3548" w:type="dxa"/>
            <w:gridSpan w:val="3"/>
            <w:tcBorders>
              <w:top w:val="single" w:color="auto" w:sz="4" w:space="0"/>
              <w:left w:val="single" w:color="auto" w:sz="4" w:space="0"/>
              <w:bottom w:val="single" w:color="auto" w:sz="4" w:space="0"/>
              <w:right w:val="single" w:color="auto" w:sz="4" w:space="0"/>
            </w:tcBorders>
            <w:vAlign w:val="center"/>
          </w:tcPr>
          <w:p w14:paraId="490AE1C1">
            <w:pPr>
              <w:topLinePunct/>
              <w:spacing w:line="440" w:lineRule="exact"/>
              <w:jc w:val="center"/>
              <w:rPr>
                <w:rFonts w:ascii="宋体" w:hAnsi="宋体" w:eastAsia="宋体"/>
                <w:color w:val="auto"/>
                <w:sz w:val="24"/>
                <w:szCs w:val="24"/>
                <w:highlight w:val="none"/>
              </w:rPr>
            </w:pPr>
          </w:p>
        </w:tc>
        <w:tc>
          <w:tcPr>
            <w:tcW w:w="4035" w:type="dxa"/>
            <w:gridSpan w:val="5"/>
            <w:tcBorders>
              <w:top w:val="single" w:color="auto" w:sz="4" w:space="0"/>
              <w:left w:val="single" w:color="auto" w:sz="4" w:space="0"/>
              <w:bottom w:val="single" w:color="auto" w:sz="4" w:space="0"/>
              <w:right w:val="single" w:color="auto" w:sz="4" w:space="0"/>
            </w:tcBorders>
            <w:vAlign w:val="center"/>
          </w:tcPr>
          <w:p w14:paraId="0DEE45C7">
            <w:pPr>
              <w:topLinePunct/>
              <w:spacing w:before="100" w:beforeAutospacing="1" w:after="100" w:afterAutospacing="1" w:line="44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员工总人数：</w:t>
            </w:r>
          </w:p>
        </w:tc>
      </w:tr>
      <w:tr w14:paraId="65B66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147" w:type="dxa"/>
            <w:tcBorders>
              <w:top w:val="single" w:color="auto" w:sz="4" w:space="0"/>
              <w:left w:val="single" w:color="auto" w:sz="4" w:space="0"/>
              <w:bottom w:val="single" w:color="auto" w:sz="4" w:space="0"/>
              <w:right w:val="single" w:color="auto" w:sz="4" w:space="0"/>
            </w:tcBorders>
            <w:vAlign w:val="center"/>
          </w:tcPr>
          <w:p w14:paraId="4EDF0681">
            <w:pPr>
              <w:topLinePunct/>
              <w:spacing w:before="100" w:beforeAutospacing="1" w:after="100" w:afterAutospacing="1" w:line="44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注册资本</w:t>
            </w:r>
          </w:p>
        </w:tc>
        <w:tc>
          <w:tcPr>
            <w:tcW w:w="3548" w:type="dxa"/>
            <w:gridSpan w:val="3"/>
            <w:tcBorders>
              <w:top w:val="single" w:color="auto" w:sz="4" w:space="0"/>
              <w:left w:val="single" w:color="auto" w:sz="4" w:space="0"/>
              <w:bottom w:val="single" w:color="auto" w:sz="4" w:space="0"/>
              <w:right w:val="single" w:color="auto" w:sz="4" w:space="0"/>
            </w:tcBorders>
            <w:vAlign w:val="center"/>
          </w:tcPr>
          <w:p w14:paraId="23576102">
            <w:pPr>
              <w:topLinePunct/>
              <w:spacing w:line="440" w:lineRule="exact"/>
              <w:jc w:val="center"/>
              <w:rPr>
                <w:rFonts w:ascii="宋体" w:hAnsi="宋体" w:eastAsia="宋体"/>
                <w:color w:val="auto"/>
                <w:sz w:val="24"/>
                <w:szCs w:val="24"/>
                <w:highlight w:val="none"/>
              </w:rPr>
            </w:pPr>
          </w:p>
        </w:tc>
        <w:tc>
          <w:tcPr>
            <w:tcW w:w="572" w:type="dxa"/>
            <w:vMerge w:val="restart"/>
            <w:tcBorders>
              <w:top w:val="single" w:color="auto" w:sz="4" w:space="0"/>
              <w:left w:val="single" w:color="auto" w:sz="4" w:space="0"/>
              <w:bottom w:val="single" w:color="auto" w:sz="4" w:space="0"/>
              <w:right w:val="single" w:color="auto" w:sz="4" w:space="0"/>
            </w:tcBorders>
            <w:vAlign w:val="center"/>
          </w:tcPr>
          <w:p w14:paraId="693D99C2">
            <w:pPr>
              <w:topLinePunct/>
              <w:spacing w:before="100" w:beforeAutospacing="1" w:after="100" w:afterAutospacing="1" w:line="44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其中</w:t>
            </w:r>
          </w:p>
        </w:tc>
        <w:tc>
          <w:tcPr>
            <w:tcW w:w="1814" w:type="dxa"/>
            <w:gridSpan w:val="2"/>
            <w:tcBorders>
              <w:top w:val="single" w:color="auto" w:sz="4" w:space="0"/>
              <w:left w:val="single" w:color="auto" w:sz="4" w:space="0"/>
              <w:bottom w:val="single" w:color="auto" w:sz="4" w:space="0"/>
              <w:right w:val="single" w:color="auto" w:sz="4" w:space="0"/>
            </w:tcBorders>
            <w:vAlign w:val="center"/>
          </w:tcPr>
          <w:p w14:paraId="4095A76C">
            <w:pPr>
              <w:topLinePunct/>
              <w:spacing w:before="100" w:beforeAutospacing="1" w:after="100" w:afterAutospacing="1" w:line="44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高级职称人员</w:t>
            </w: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2F40186E">
            <w:pPr>
              <w:topLinePunct/>
              <w:spacing w:line="440" w:lineRule="exact"/>
              <w:jc w:val="center"/>
              <w:rPr>
                <w:rFonts w:ascii="宋体" w:hAnsi="宋体" w:eastAsia="宋体"/>
                <w:color w:val="auto"/>
                <w:sz w:val="24"/>
                <w:szCs w:val="24"/>
                <w:highlight w:val="none"/>
              </w:rPr>
            </w:pPr>
          </w:p>
        </w:tc>
      </w:tr>
      <w:tr w14:paraId="3DFAA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147" w:type="dxa"/>
            <w:tcBorders>
              <w:top w:val="single" w:color="auto" w:sz="4" w:space="0"/>
              <w:left w:val="single" w:color="auto" w:sz="4" w:space="0"/>
              <w:bottom w:val="single" w:color="auto" w:sz="4" w:space="0"/>
              <w:right w:val="single" w:color="auto" w:sz="4" w:space="0"/>
            </w:tcBorders>
            <w:vAlign w:val="center"/>
          </w:tcPr>
          <w:p w14:paraId="20529F89">
            <w:pPr>
              <w:topLinePunct/>
              <w:spacing w:before="100" w:beforeAutospacing="1" w:after="100" w:afterAutospacing="1" w:line="44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成立日期</w:t>
            </w:r>
          </w:p>
        </w:tc>
        <w:tc>
          <w:tcPr>
            <w:tcW w:w="3548" w:type="dxa"/>
            <w:gridSpan w:val="3"/>
            <w:tcBorders>
              <w:top w:val="single" w:color="auto" w:sz="4" w:space="0"/>
              <w:left w:val="single" w:color="auto" w:sz="4" w:space="0"/>
              <w:bottom w:val="single" w:color="auto" w:sz="4" w:space="0"/>
              <w:right w:val="single" w:color="auto" w:sz="4" w:space="0"/>
            </w:tcBorders>
            <w:vAlign w:val="center"/>
          </w:tcPr>
          <w:p w14:paraId="3A6AF41C">
            <w:pPr>
              <w:topLinePunct/>
              <w:spacing w:line="440" w:lineRule="exact"/>
              <w:jc w:val="center"/>
              <w:rPr>
                <w:rFonts w:ascii="宋体" w:hAnsi="宋体" w:eastAsia="宋体"/>
                <w:color w:val="auto"/>
                <w:sz w:val="24"/>
                <w:szCs w:val="24"/>
                <w:highlight w:val="none"/>
              </w:rPr>
            </w:pPr>
          </w:p>
        </w:tc>
        <w:tc>
          <w:tcPr>
            <w:tcW w:w="572" w:type="dxa"/>
            <w:vMerge w:val="continue"/>
            <w:tcBorders>
              <w:top w:val="single" w:color="auto" w:sz="4" w:space="0"/>
              <w:left w:val="single" w:color="auto" w:sz="4" w:space="0"/>
              <w:bottom w:val="single" w:color="auto" w:sz="4" w:space="0"/>
              <w:right w:val="single" w:color="auto" w:sz="4" w:space="0"/>
            </w:tcBorders>
            <w:vAlign w:val="center"/>
          </w:tcPr>
          <w:p w14:paraId="28DCB0F3">
            <w:pPr>
              <w:widowControl/>
              <w:jc w:val="left"/>
              <w:rPr>
                <w:rFonts w:ascii="宋体" w:hAnsi="宋体" w:eastAsia="宋体"/>
                <w:color w:val="auto"/>
                <w:sz w:val="24"/>
                <w:szCs w:val="24"/>
                <w:highlight w:val="none"/>
              </w:rPr>
            </w:pPr>
          </w:p>
        </w:tc>
        <w:tc>
          <w:tcPr>
            <w:tcW w:w="1814" w:type="dxa"/>
            <w:gridSpan w:val="2"/>
            <w:tcBorders>
              <w:top w:val="single" w:color="auto" w:sz="4" w:space="0"/>
              <w:left w:val="single" w:color="auto" w:sz="4" w:space="0"/>
              <w:bottom w:val="single" w:color="auto" w:sz="4" w:space="0"/>
              <w:right w:val="single" w:color="auto" w:sz="4" w:space="0"/>
            </w:tcBorders>
            <w:vAlign w:val="center"/>
          </w:tcPr>
          <w:p w14:paraId="2AF30E05">
            <w:pPr>
              <w:topLinePunct/>
              <w:spacing w:before="100" w:beforeAutospacing="1" w:after="100" w:afterAutospacing="1" w:line="44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中级职称人员</w:t>
            </w: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038ACB9C">
            <w:pPr>
              <w:topLinePunct/>
              <w:spacing w:line="440" w:lineRule="exact"/>
              <w:jc w:val="center"/>
              <w:rPr>
                <w:rFonts w:ascii="宋体" w:hAnsi="宋体" w:eastAsia="宋体"/>
                <w:color w:val="auto"/>
                <w:sz w:val="24"/>
                <w:szCs w:val="24"/>
                <w:highlight w:val="none"/>
              </w:rPr>
            </w:pPr>
          </w:p>
        </w:tc>
      </w:tr>
      <w:tr w14:paraId="209E1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147" w:type="dxa"/>
            <w:tcBorders>
              <w:top w:val="single" w:color="auto" w:sz="4" w:space="0"/>
              <w:left w:val="single" w:color="auto" w:sz="4" w:space="0"/>
              <w:bottom w:val="single" w:color="auto" w:sz="4" w:space="0"/>
              <w:right w:val="single" w:color="auto" w:sz="4" w:space="0"/>
            </w:tcBorders>
            <w:vAlign w:val="center"/>
          </w:tcPr>
          <w:p w14:paraId="4394EB91">
            <w:pPr>
              <w:topLinePunct/>
              <w:spacing w:before="100" w:beforeAutospacing="1" w:after="100" w:afterAutospacing="1" w:line="44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基本账户开户银行</w:t>
            </w:r>
          </w:p>
        </w:tc>
        <w:tc>
          <w:tcPr>
            <w:tcW w:w="3548" w:type="dxa"/>
            <w:gridSpan w:val="3"/>
            <w:tcBorders>
              <w:top w:val="single" w:color="auto" w:sz="4" w:space="0"/>
              <w:left w:val="single" w:color="auto" w:sz="4" w:space="0"/>
              <w:bottom w:val="single" w:color="auto" w:sz="4" w:space="0"/>
              <w:right w:val="single" w:color="auto" w:sz="4" w:space="0"/>
            </w:tcBorders>
            <w:vAlign w:val="center"/>
          </w:tcPr>
          <w:p w14:paraId="61E1E7D4">
            <w:pPr>
              <w:topLinePunct/>
              <w:spacing w:line="440" w:lineRule="exact"/>
              <w:jc w:val="center"/>
              <w:rPr>
                <w:rFonts w:ascii="宋体" w:hAnsi="宋体" w:eastAsia="宋体"/>
                <w:color w:val="auto"/>
                <w:sz w:val="24"/>
                <w:szCs w:val="24"/>
                <w:highlight w:val="none"/>
              </w:rPr>
            </w:pPr>
          </w:p>
        </w:tc>
        <w:tc>
          <w:tcPr>
            <w:tcW w:w="572" w:type="dxa"/>
            <w:vMerge w:val="continue"/>
            <w:tcBorders>
              <w:top w:val="single" w:color="auto" w:sz="4" w:space="0"/>
              <w:left w:val="single" w:color="auto" w:sz="4" w:space="0"/>
              <w:bottom w:val="single" w:color="auto" w:sz="4" w:space="0"/>
              <w:right w:val="single" w:color="auto" w:sz="4" w:space="0"/>
            </w:tcBorders>
            <w:vAlign w:val="center"/>
          </w:tcPr>
          <w:p w14:paraId="4B9B1EBF">
            <w:pPr>
              <w:widowControl/>
              <w:jc w:val="left"/>
              <w:rPr>
                <w:rFonts w:ascii="宋体" w:hAnsi="宋体" w:eastAsia="宋体"/>
                <w:color w:val="auto"/>
                <w:sz w:val="24"/>
                <w:szCs w:val="24"/>
                <w:highlight w:val="none"/>
              </w:rPr>
            </w:pPr>
          </w:p>
        </w:tc>
        <w:tc>
          <w:tcPr>
            <w:tcW w:w="1814" w:type="dxa"/>
            <w:gridSpan w:val="2"/>
            <w:tcBorders>
              <w:top w:val="single" w:color="auto" w:sz="4" w:space="0"/>
              <w:left w:val="single" w:color="auto" w:sz="4" w:space="0"/>
              <w:bottom w:val="single" w:color="auto" w:sz="4" w:space="0"/>
              <w:right w:val="single" w:color="auto" w:sz="4" w:space="0"/>
            </w:tcBorders>
            <w:vAlign w:val="center"/>
          </w:tcPr>
          <w:p w14:paraId="43E7E373">
            <w:pPr>
              <w:topLinePunct/>
              <w:spacing w:before="100" w:beforeAutospacing="1" w:after="100" w:afterAutospacing="1" w:line="44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技术人员数量</w:t>
            </w: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51D6B62E">
            <w:pPr>
              <w:topLinePunct/>
              <w:spacing w:line="440" w:lineRule="exact"/>
              <w:jc w:val="center"/>
              <w:rPr>
                <w:rFonts w:ascii="宋体" w:hAnsi="宋体" w:eastAsia="宋体"/>
                <w:color w:val="auto"/>
                <w:sz w:val="24"/>
                <w:szCs w:val="24"/>
                <w:highlight w:val="none"/>
              </w:rPr>
            </w:pPr>
          </w:p>
        </w:tc>
      </w:tr>
      <w:tr w14:paraId="7F528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147" w:type="dxa"/>
            <w:tcBorders>
              <w:top w:val="single" w:color="auto" w:sz="4" w:space="0"/>
              <w:left w:val="single" w:color="auto" w:sz="4" w:space="0"/>
              <w:bottom w:val="single" w:color="auto" w:sz="4" w:space="0"/>
              <w:right w:val="single" w:color="auto" w:sz="4" w:space="0"/>
            </w:tcBorders>
            <w:vAlign w:val="center"/>
          </w:tcPr>
          <w:p w14:paraId="6523D681">
            <w:pPr>
              <w:topLinePunct/>
              <w:spacing w:before="100" w:beforeAutospacing="1" w:after="100" w:afterAutospacing="1" w:line="44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基本账户银行账号</w:t>
            </w:r>
          </w:p>
        </w:tc>
        <w:tc>
          <w:tcPr>
            <w:tcW w:w="3548" w:type="dxa"/>
            <w:gridSpan w:val="3"/>
            <w:tcBorders>
              <w:top w:val="single" w:color="auto" w:sz="4" w:space="0"/>
              <w:left w:val="single" w:color="auto" w:sz="4" w:space="0"/>
              <w:bottom w:val="single" w:color="auto" w:sz="4" w:space="0"/>
              <w:right w:val="single" w:color="auto" w:sz="4" w:space="0"/>
            </w:tcBorders>
            <w:vAlign w:val="center"/>
          </w:tcPr>
          <w:p w14:paraId="75701EC6">
            <w:pPr>
              <w:topLinePunct/>
              <w:spacing w:line="440" w:lineRule="exact"/>
              <w:jc w:val="center"/>
              <w:rPr>
                <w:rFonts w:ascii="宋体" w:hAnsi="宋体" w:eastAsia="宋体"/>
                <w:color w:val="auto"/>
                <w:sz w:val="24"/>
                <w:szCs w:val="24"/>
                <w:highlight w:val="none"/>
              </w:rPr>
            </w:pPr>
          </w:p>
        </w:tc>
        <w:tc>
          <w:tcPr>
            <w:tcW w:w="572" w:type="dxa"/>
            <w:vMerge w:val="continue"/>
            <w:tcBorders>
              <w:top w:val="single" w:color="auto" w:sz="4" w:space="0"/>
              <w:left w:val="single" w:color="auto" w:sz="4" w:space="0"/>
              <w:bottom w:val="single" w:color="auto" w:sz="4" w:space="0"/>
              <w:right w:val="single" w:color="auto" w:sz="4" w:space="0"/>
            </w:tcBorders>
            <w:vAlign w:val="center"/>
          </w:tcPr>
          <w:p w14:paraId="7C5A9732">
            <w:pPr>
              <w:widowControl/>
              <w:jc w:val="left"/>
              <w:rPr>
                <w:rFonts w:ascii="宋体" w:hAnsi="宋体" w:eastAsia="宋体"/>
                <w:color w:val="auto"/>
                <w:sz w:val="24"/>
                <w:szCs w:val="24"/>
                <w:highlight w:val="none"/>
              </w:rPr>
            </w:pPr>
          </w:p>
        </w:tc>
        <w:tc>
          <w:tcPr>
            <w:tcW w:w="1814" w:type="dxa"/>
            <w:gridSpan w:val="2"/>
            <w:tcBorders>
              <w:top w:val="single" w:color="auto" w:sz="4" w:space="0"/>
              <w:left w:val="single" w:color="auto" w:sz="4" w:space="0"/>
              <w:bottom w:val="single" w:color="auto" w:sz="4" w:space="0"/>
              <w:right w:val="single" w:color="auto" w:sz="4" w:space="0"/>
            </w:tcBorders>
            <w:vAlign w:val="center"/>
          </w:tcPr>
          <w:p w14:paraId="180049DF">
            <w:pPr>
              <w:topLinePunct/>
              <w:spacing w:before="100" w:beforeAutospacing="1" w:after="100" w:afterAutospacing="1" w:line="44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各类注册人员</w:t>
            </w: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3D0AD438">
            <w:pPr>
              <w:topLinePunct/>
              <w:spacing w:line="440" w:lineRule="exact"/>
              <w:jc w:val="center"/>
              <w:rPr>
                <w:rFonts w:ascii="宋体" w:hAnsi="宋体" w:eastAsia="宋体"/>
                <w:color w:val="auto"/>
                <w:sz w:val="24"/>
                <w:szCs w:val="24"/>
                <w:highlight w:val="none"/>
              </w:rPr>
            </w:pPr>
          </w:p>
        </w:tc>
      </w:tr>
      <w:tr w14:paraId="0C483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147" w:type="dxa"/>
            <w:tcBorders>
              <w:top w:val="single" w:color="auto" w:sz="4" w:space="0"/>
              <w:left w:val="single" w:color="auto" w:sz="4" w:space="0"/>
              <w:bottom w:val="single" w:color="auto" w:sz="4" w:space="0"/>
              <w:right w:val="single" w:color="auto" w:sz="4" w:space="0"/>
            </w:tcBorders>
            <w:vAlign w:val="center"/>
          </w:tcPr>
          <w:p w14:paraId="79C9435E">
            <w:pPr>
              <w:topLinePunct/>
              <w:spacing w:before="100" w:beforeAutospacing="1" w:after="100" w:afterAutospacing="1" w:line="440" w:lineRule="exact"/>
              <w:ind w:firstLine="240" w:firstLineChars="100"/>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经营范围</w:t>
            </w:r>
          </w:p>
        </w:tc>
        <w:tc>
          <w:tcPr>
            <w:tcW w:w="7583" w:type="dxa"/>
            <w:gridSpan w:val="8"/>
            <w:tcBorders>
              <w:top w:val="single" w:color="auto" w:sz="4" w:space="0"/>
              <w:left w:val="single" w:color="auto" w:sz="4" w:space="0"/>
              <w:bottom w:val="single" w:color="auto" w:sz="4" w:space="0"/>
              <w:right w:val="single" w:color="auto" w:sz="4" w:space="0"/>
            </w:tcBorders>
            <w:vAlign w:val="center"/>
          </w:tcPr>
          <w:p w14:paraId="04C0B4B1">
            <w:pPr>
              <w:topLinePunct/>
              <w:spacing w:line="440" w:lineRule="exact"/>
              <w:jc w:val="center"/>
              <w:rPr>
                <w:rFonts w:ascii="宋体" w:hAnsi="宋体" w:eastAsia="宋体"/>
                <w:color w:val="auto"/>
                <w:sz w:val="24"/>
                <w:szCs w:val="24"/>
                <w:highlight w:val="none"/>
              </w:rPr>
            </w:pPr>
          </w:p>
        </w:tc>
      </w:tr>
      <w:tr w14:paraId="74733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147" w:type="dxa"/>
            <w:tcBorders>
              <w:top w:val="single" w:color="auto" w:sz="4" w:space="0"/>
              <w:left w:val="single" w:color="auto" w:sz="4" w:space="0"/>
              <w:bottom w:val="single" w:color="auto" w:sz="4" w:space="0"/>
              <w:right w:val="single" w:color="auto" w:sz="4" w:space="0"/>
            </w:tcBorders>
            <w:vAlign w:val="center"/>
          </w:tcPr>
          <w:p w14:paraId="10DE6B37">
            <w:pPr>
              <w:topLinePunct/>
              <w:spacing w:before="100" w:beforeAutospacing="1" w:after="100" w:afterAutospacing="1" w:line="44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投标人关联企业情况（包括但不限于与投标人法定代表人为同一人或者存在控股、管理关系的不同单位）</w:t>
            </w:r>
          </w:p>
        </w:tc>
        <w:tc>
          <w:tcPr>
            <w:tcW w:w="7583" w:type="dxa"/>
            <w:gridSpan w:val="8"/>
            <w:tcBorders>
              <w:top w:val="single" w:color="auto" w:sz="4" w:space="0"/>
              <w:left w:val="single" w:color="auto" w:sz="4" w:space="0"/>
              <w:bottom w:val="single" w:color="auto" w:sz="4" w:space="0"/>
              <w:right w:val="single" w:color="auto" w:sz="4" w:space="0"/>
            </w:tcBorders>
            <w:vAlign w:val="center"/>
          </w:tcPr>
          <w:p w14:paraId="0F58581D">
            <w:pPr>
              <w:topLinePunct/>
              <w:spacing w:line="440" w:lineRule="exact"/>
              <w:jc w:val="center"/>
              <w:rPr>
                <w:rFonts w:ascii="宋体" w:hAnsi="宋体" w:eastAsia="宋体"/>
                <w:color w:val="auto"/>
                <w:sz w:val="24"/>
                <w:szCs w:val="24"/>
                <w:highlight w:val="none"/>
              </w:rPr>
            </w:pPr>
          </w:p>
        </w:tc>
      </w:tr>
      <w:tr w14:paraId="5780C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147" w:type="dxa"/>
            <w:tcBorders>
              <w:top w:val="single" w:color="auto" w:sz="4" w:space="0"/>
              <w:left w:val="single" w:color="auto" w:sz="4" w:space="0"/>
              <w:bottom w:val="single" w:color="auto" w:sz="4" w:space="0"/>
              <w:right w:val="single" w:color="auto" w:sz="4" w:space="0"/>
            </w:tcBorders>
            <w:vAlign w:val="center"/>
          </w:tcPr>
          <w:p w14:paraId="6C1C0D14">
            <w:pPr>
              <w:topLinePunct/>
              <w:spacing w:before="100" w:beforeAutospacing="1" w:after="100" w:afterAutospacing="1" w:line="44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备注</w:t>
            </w:r>
          </w:p>
        </w:tc>
        <w:tc>
          <w:tcPr>
            <w:tcW w:w="7583" w:type="dxa"/>
            <w:gridSpan w:val="8"/>
            <w:tcBorders>
              <w:top w:val="single" w:color="auto" w:sz="4" w:space="0"/>
              <w:left w:val="single" w:color="auto" w:sz="4" w:space="0"/>
              <w:bottom w:val="single" w:color="auto" w:sz="4" w:space="0"/>
              <w:right w:val="single" w:color="auto" w:sz="4" w:space="0"/>
            </w:tcBorders>
            <w:vAlign w:val="center"/>
          </w:tcPr>
          <w:p w14:paraId="5E54192B">
            <w:pPr>
              <w:topLinePunct/>
              <w:spacing w:line="440" w:lineRule="exact"/>
              <w:jc w:val="center"/>
              <w:rPr>
                <w:rFonts w:ascii="宋体" w:hAnsi="宋体" w:eastAsia="宋体"/>
                <w:color w:val="auto"/>
                <w:sz w:val="24"/>
                <w:szCs w:val="24"/>
                <w:highlight w:val="none"/>
              </w:rPr>
            </w:pPr>
          </w:p>
        </w:tc>
      </w:tr>
    </w:tbl>
    <w:p w14:paraId="5464C00D">
      <w:pPr>
        <w:spacing w:line="40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注：投标人应</w:t>
      </w:r>
      <w:bookmarkStart w:id="679" w:name="_Toc520184751"/>
      <w:r>
        <w:rPr>
          <w:rFonts w:hint="eastAsia" w:ascii="宋体" w:hAnsi="宋体" w:eastAsia="宋体"/>
          <w:color w:val="auto"/>
          <w:sz w:val="24"/>
          <w:szCs w:val="24"/>
          <w:highlight w:val="none"/>
        </w:rPr>
        <w:t>根据投标人须知第3.5</w:t>
      </w:r>
      <w:bookmarkEnd w:id="679"/>
      <w:r>
        <w:rPr>
          <w:rFonts w:hint="eastAsia" w:ascii="宋体" w:hAnsi="宋体" w:eastAsia="宋体"/>
          <w:color w:val="auto"/>
          <w:sz w:val="24"/>
          <w:szCs w:val="24"/>
          <w:highlight w:val="none"/>
        </w:rPr>
        <w:t>.1项的要求在本表后附相关证</w:t>
      </w:r>
      <w:bookmarkStart w:id="680" w:name="_Toc520184752"/>
      <w:r>
        <w:rPr>
          <w:rFonts w:hint="eastAsia" w:ascii="宋体" w:hAnsi="宋体" w:eastAsia="宋体"/>
          <w:color w:val="auto"/>
          <w:sz w:val="24"/>
          <w:szCs w:val="24"/>
          <w:highlight w:val="none"/>
        </w:rPr>
        <w:t>明材料。</w:t>
      </w:r>
      <w:bookmarkEnd w:id="680"/>
    </w:p>
    <w:p w14:paraId="5194A329">
      <w:pPr>
        <w:rPr>
          <w:rFonts w:ascii="宋体" w:hAnsi="宋体" w:eastAsia="宋体"/>
          <w:color w:val="auto"/>
          <w:highlight w:val="none"/>
        </w:rPr>
      </w:pPr>
    </w:p>
    <w:p w14:paraId="641B2226">
      <w:pPr>
        <w:rPr>
          <w:rFonts w:ascii="宋体" w:hAnsi="宋体" w:eastAsia="宋体"/>
          <w:color w:val="auto"/>
          <w:highlight w:val="none"/>
        </w:rPr>
      </w:pPr>
    </w:p>
    <w:p w14:paraId="3BAAEE69">
      <w:pPr>
        <w:spacing w:line="24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br w:type="page"/>
      </w:r>
    </w:p>
    <w:p w14:paraId="30586F9B">
      <w:pPr>
        <w:spacing w:before="20" w:line="412" w:lineRule="auto"/>
        <w:ind w:firstLine="137"/>
        <w:jc w:val="center"/>
        <w:outlineLvl w:val="2"/>
        <w:rPr>
          <w:rFonts w:hint="eastAsia" w:ascii="宋体" w:hAnsi="宋体" w:eastAsia="宋体"/>
          <w:b/>
          <w:bCs/>
          <w:color w:val="auto"/>
          <w:sz w:val="30"/>
          <w:szCs w:val="30"/>
          <w:highlight w:val="none"/>
        </w:rPr>
      </w:pPr>
      <w:r>
        <w:rPr>
          <w:rFonts w:hint="eastAsia" w:ascii="宋体" w:hAnsi="宋体" w:eastAsia="宋体"/>
          <w:b/>
          <w:bCs/>
          <w:color w:val="auto"/>
          <w:sz w:val="30"/>
          <w:szCs w:val="30"/>
          <w:highlight w:val="none"/>
        </w:rPr>
        <w:t>（</w:t>
      </w:r>
      <w:r>
        <w:rPr>
          <w:rFonts w:hint="eastAsia" w:ascii="宋体" w:hAnsi="宋体" w:eastAsia="宋体"/>
          <w:b/>
          <w:bCs/>
          <w:color w:val="auto"/>
          <w:sz w:val="30"/>
          <w:szCs w:val="30"/>
          <w:highlight w:val="none"/>
          <w:lang w:val="en-US" w:eastAsia="zh-CN"/>
        </w:rPr>
        <w:t>二</w:t>
      </w:r>
      <w:r>
        <w:rPr>
          <w:rFonts w:hint="eastAsia" w:ascii="宋体" w:hAnsi="宋体" w:eastAsia="宋体"/>
          <w:b/>
          <w:bCs/>
          <w:color w:val="auto"/>
          <w:sz w:val="30"/>
          <w:szCs w:val="30"/>
          <w:highlight w:val="none"/>
        </w:rPr>
        <w:t>）主要人员简历表</w:t>
      </w:r>
    </w:p>
    <w:tbl>
      <w:tblPr>
        <w:tblStyle w:val="40"/>
        <w:tblW w:w="9321" w:type="dxa"/>
        <w:jc w:val="center"/>
        <w:tblLayout w:type="fixed"/>
        <w:tblCellMar>
          <w:top w:w="0" w:type="dxa"/>
          <w:left w:w="108" w:type="dxa"/>
          <w:bottom w:w="0" w:type="dxa"/>
          <w:right w:w="108" w:type="dxa"/>
        </w:tblCellMar>
      </w:tblPr>
      <w:tblGrid>
        <w:gridCol w:w="1644"/>
        <w:gridCol w:w="357"/>
        <w:gridCol w:w="691"/>
        <w:gridCol w:w="958"/>
        <w:gridCol w:w="1065"/>
        <w:gridCol w:w="706"/>
        <w:gridCol w:w="1261"/>
        <w:gridCol w:w="401"/>
        <w:gridCol w:w="2238"/>
      </w:tblGrid>
      <w:tr w14:paraId="0E6BBC6C">
        <w:tblPrEx>
          <w:tblCellMar>
            <w:top w:w="0" w:type="dxa"/>
            <w:left w:w="108" w:type="dxa"/>
            <w:bottom w:w="0" w:type="dxa"/>
            <w:right w:w="108" w:type="dxa"/>
          </w:tblCellMar>
        </w:tblPrEx>
        <w:trPr>
          <w:trHeight w:val="751" w:hRule="atLeast"/>
          <w:jc w:val="center"/>
        </w:trPr>
        <w:tc>
          <w:tcPr>
            <w:tcW w:w="1644" w:type="dxa"/>
            <w:tcBorders>
              <w:top w:val="single" w:color="auto" w:sz="4" w:space="0"/>
              <w:left w:val="single" w:color="auto" w:sz="4" w:space="0"/>
              <w:bottom w:val="single" w:color="auto" w:sz="4" w:space="0"/>
              <w:right w:val="single" w:color="auto" w:sz="4" w:space="0"/>
            </w:tcBorders>
            <w:vAlign w:val="center"/>
          </w:tcPr>
          <w:p w14:paraId="62E52A29">
            <w:pPr>
              <w:spacing w:line="44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姓  名</w:t>
            </w:r>
          </w:p>
        </w:tc>
        <w:tc>
          <w:tcPr>
            <w:tcW w:w="1048" w:type="dxa"/>
            <w:gridSpan w:val="2"/>
            <w:tcBorders>
              <w:top w:val="single" w:color="auto" w:sz="4" w:space="0"/>
              <w:left w:val="nil"/>
              <w:bottom w:val="single" w:color="auto" w:sz="4" w:space="0"/>
              <w:right w:val="single" w:color="auto" w:sz="4" w:space="0"/>
            </w:tcBorders>
            <w:vAlign w:val="center"/>
          </w:tcPr>
          <w:p w14:paraId="1A1B3448">
            <w:pPr>
              <w:spacing w:line="440" w:lineRule="exact"/>
              <w:jc w:val="center"/>
              <w:rPr>
                <w:rFonts w:ascii="宋体" w:hAnsi="宋体" w:eastAsia="宋体"/>
                <w:color w:val="auto"/>
                <w:sz w:val="24"/>
                <w:szCs w:val="24"/>
                <w:highlight w:val="none"/>
              </w:rPr>
            </w:pPr>
          </w:p>
        </w:tc>
        <w:tc>
          <w:tcPr>
            <w:tcW w:w="958" w:type="dxa"/>
            <w:tcBorders>
              <w:top w:val="single" w:color="auto" w:sz="4" w:space="0"/>
              <w:left w:val="nil"/>
              <w:bottom w:val="single" w:color="auto" w:sz="4" w:space="0"/>
              <w:right w:val="single" w:color="auto" w:sz="4" w:space="0"/>
            </w:tcBorders>
            <w:vAlign w:val="center"/>
          </w:tcPr>
          <w:p w14:paraId="73B2B558">
            <w:pPr>
              <w:spacing w:line="44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年龄</w:t>
            </w:r>
          </w:p>
        </w:tc>
        <w:tc>
          <w:tcPr>
            <w:tcW w:w="1065" w:type="dxa"/>
            <w:tcBorders>
              <w:top w:val="single" w:color="auto" w:sz="4" w:space="0"/>
              <w:left w:val="nil"/>
              <w:bottom w:val="single" w:color="auto" w:sz="4" w:space="0"/>
              <w:right w:val="single" w:color="auto" w:sz="4" w:space="0"/>
            </w:tcBorders>
            <w:vAlign w:val="center"/>
          </w:tcPr>
          <w:p w14:paraId="2F40E290">
            <w:pPr>
              <w:spacing w:line="440" w:lineRule="exact"/>
              <w:jc w:val="center"/>
              <w:rPr>
                <w:rFonts w:ascii="宋体" w:hAnsi="宋体" w:eastAsia="宋体"/>
                <w:color w:val="auto"/>
                <w:sz w:val="24"/>
                <w:szCs w:val="24"/>
                <w:highlight w:val="none"/>
              </w:rPr>
            </w:pPr>
          </w:p>
        </w:tc>
        <w:tc>
          <w:tcPr>
            <w:tcW w:w="2368" w:type="dxa"/>
            <w:gridSpan w:val="3"/>
            <w:tcBorders>
              <w:top w:val="single" w:color="auto" w:sz="4" w:space="0"/>
              <w:left w:val="nil"/>
              <w:bottom w:val="single" w:color="auto" w:sz="4" w:space="0"/>
              <w:right w:val="single" w:color="auto" w:sz="4" w:space="0"/>
            </w:tcBorders>
            <w:vAlign w:val="center"/>
          </w:tcPr>
          <w:p w14:paraId="562F2FB2">
            <w:pPr>
              <w:spacing w:line="44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执业资格证书（或上岗证书）名称</w:t>
            </w:r>
          </w:p>
        </w:tc>
        <w:tc>
          <w:tcPr>
            <w:tcW w:w="2238" w:type="dxa"/>
            <w:tcBorders>
              <w:top w:val="single" w:color="auto" w:sz="4" w:space="0"/>
              <w:left w:val="nil"/>
              <w:bottom w:val="single" w:color="auto" w:sz="4" w:space="0"/>
              <w:right w:val="single" w:color="auto" w:sz="4" w:space="0"/>
            </w:tcBorders>
            <w:vAlign w:val="center"/>
          </w:tcPr>
          <w:p w14:paraId="51293C51">
            <w:pPr>
              <w:spacing w:line="440" w:lineRule="exact"/>
              <w:jc w:val="center"/>
              <w:rPr>
                <w:rFonts w:ascii="宋体" w:hAnsi="宋体" w:eastAsia="宋体"/>
                <w:color w:val="auto"/>
                <w:sz w:val="24"/>
                <w:szCs w:val="24"/>
                <w:highlight w:val="none"/>
              </w:rPr>
            </w:pPr>
          </w:p>
        </w:tc>
      </w:tr>
      <w:tr w14:paraId="53021543">
        <w:tblPrEx>
          <w:tblCellMar>
            <w:top w:w="0" w:type="dxa"/>
            <w:left w:w="108" w:type="dxa"/>
            <w:bottom w:w="0" w:type="dxa"/>
            <w:right w:w="108" w:type="dxa"/>
          </w:tblCellMar>
        </w:tblPrEx>
        <w:trPr>
          <w:trHeight w:val="689" w:hRule="atLeast"/>
          <w:jc w:val="center"/>
        </w:trPr>
        <w:tc>
          <w:tcPr>
            <w:tcW w:w="1644" w:type="dxa"/>
            <w:tcBorders>
              <w:top w:val="single" w:color="auto" w:sz="4" w:space="0"/>
              <w:left w:val="single" w:color="auto" w:sz="4" w:space="0"/>
              <w:bottom w:val="single" w:color="auto" w:sz="4" w:space="0"/>
              <w:right w:val="single" w:color="auto" w:sz="4" w:space="0"/>
            </w:tcBorders>
            <w:vAlign w:val="center"/>
          </w:tcPr>
          <w:p w14:paraId="6928A11D">
            <w:pPr>
              <w:spacing w:line="44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职  称</w:t>
            </w:r>
          </w:p>
        </w:tc>
        <w:tc>
          <w:tcPr>
            <w:tcW w:w="1048" w:type="dxa"/>
            <w:gridSpan w:val="2"/>
            <w:tcBorders>
              <w:top w:val="single" w:color="auto" w:sz="4" w:space="0"/>
              <w:left w:val="nil"/>
              <w:bottom w:val="single" w:color="auto" w:sz="4" w:space="0"/>
              <w:right w:val="single" w:color="auto" w:sz="4" w:space="0"/>
            </w:tcBorders>
            <w:vAlign w:val="center"/>
          </w:tcPr>
          <w:p w14:paraId="30DE94D1">
            <w:pPr>
              <w:spacing w:line="440" w:lineRule="exact"/>
              <w:jc w:val="center"/>
              <w:rPr>
                <w:rFonts w:ascii="宋体" w:hAnsi="宋体" w:eastAsia="宋体"/>
                <w:color w:val="auto"/>
                <w:sz w:val="24"/>
                <w:szCs w:val="24"/>
                <w:highlight w:val="none"/>
              </w:rPr>
            </w:pPr>
          </w:p>
        </w:tc>
        <w:tc>
          <w:tcPr>
            <w:tcW w:w="958" w:type="dxa"/>
            <w:tcBorders>
              <w:top w:val="single" w:color="auto" w:sz="4" w:space="0"/>
              <w:left w:val="nil"/>
              <w:bottom w:val="single" w:color="auto" w:sz="4" w:space="0"/>
              <w:right w:val="single" w:color="auto" w:sz="4" w:space="0"/>
            </w:tcBorders>
            <w:vAlign w:val="center"/>
          </w:tcPr>
          <w:p w14:paraId="2D7133DE">
            <w:pPr>
              <w:spacing w:before="100" w:beforeAutospacing="1" w:after="100" w:afterAutospacing="1" w:line="44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学历</w:t>
            </w:r>
          </w:p>
        </w:tc>
        <w:tc>
          <w:tcPr>
            <w:tcW w:w="1065" w:type="dxa"/>
            <w:tcBorders>
              <w:top w:val="single" w:color="auto" w:sz="4" w:space="0"/>
              <w:left w:val="nil"/>
              <w:bottom w:val="single" w:color="auto" w:sz="4" w:space="0"/>
              <w:right w:val="single" w:color="auto" w:sz="4" w:space="0"/>
            </w:tcBorders>
            <w:vAlign w:val="center"/>
          </w:tcPr>
          <w:p w14:paraId="01F3DCD3">
            <w:pPr>
              <w:spacing w:line="440" w:lineRule="exact"/>
              <w:jc w:val="center"/>
              <w:rPr>
                <w:rFonts w:ascii="宋体" w:hAnsi="宋体" w:eastAsia="宋体"/>
                <w:color w:val="auto"/>
                <w:sz w:val="24"/>
                <w:szCs w:val="24"/>
                <w:highlight w:val="none"/>
              </w:rPr>
            </w:pPr>
          </w:p>
        </w:tc>
        <w:tc>
          <w:tcPr>
            <w:tcW w:w="2368" w:type="dxa"/>
            <w:gridSpan w:val="3"/>
            <w:tcBorders>
              <w:top w:val="single" w:color="auto" w:sz="4" w:space="0"/>
              <w:left w:val="nil"/>
              <w:bottom w:val="single" w:color="auto" w:sz="4" w:space="0"/>
              <w:right w:val="single" w:color="auto" w:sz="4" w:space="0"/>
            </w:tcBorders>
            <w:vAlign w:val="center"/>
          </w:tcPr>
          <w:p w14:paraId="24B61578">
            <w:pPr>
              <w:spacing w:before="100" w:beforeAutospacing="1" w:after="100" w:afterAutospacing="1" w:line="44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拟在本项目任职</w:t>
            </w:r>
          </w:p>
        </w:tc>
        <w:tc>
          <w:tcPr>
            <w:tcW w:w="2238" w:type="dxa"/>
            <w:tcBorders>
              <w:top w:val="single" w:color="auto" w:sz="4" w:space="0"/>
              <w:left w:val="nil"/>
              <w:bottom w:val="single" w:color="auto" w:sz="4" w:space="0"/>
              <w:right w:val="single" w:color="auto" w:sz="4" w:space="0"/>
            </w:tcBorders>
            <w:vAlign w:val="center"/>
          </w:tcPr>
          <w:p w14:paraId="42BEB694">
            <w:pPr>
              <w:spacing w:line="440" w:lineRule="exact"/>
              <w:jc w:val="center"/>
              <w:rPr>
                <w:rFonts w:ascii="宋体" w:hAnsi="宋体" w:eastAsia="宋体"/>
                <w:color w:val="auto"/>
                <w:sz w:val="24"/>
                <w:szCs w:val="24"/>
                <w:highlight w:val="none"/>
              </w:rPr>
            </w:pPr>
          </w:p>
        </w:tc>
      </w:tr>
      <w:tr w14:paraId="07996D80">
        <w:tblPrEx>
          <w:tblCellMar>
            <w:top w:w="0" w:type="dxa"/>
            <w:left w:w="108" w:type="dxa"/>
            <w:bottom w:w="0" w:type="dxa"/>
            <w:right w:w="108" w:type="dxa"/>
          </w:tblCellMar>
        </w:tblPrEx>
        <w:trPr>
          <w:trHeight w:val="689" w:hRule="atLeast"/>
          <w:jc w:val="center"/>
        </w:trPr>
        <w:tc>
          <w:tcPr>
            <w:tcW w:w="1644" w:type="dxa"/>
            <w:tcBorders>
              <w:top w:val="single" w:color="auto" w:sz="4" w:space="0"/>
              <w:left w:val="single" w:color="auto" w:sz="4" w:space="0"/>
              <w:bottom w:val="single" w:color="auto" w:sz="4" w:space="0"/>
              <w:right w:val="single" w:color="auto" w:sz="4" w:space="0"/>
            </w:tcBorders>
            <w:vAlign w:val="center"/>
          </w:tcPr>
          <w:p w14:paraId="2DA55405">
            <w:pPr>
              <w:spacing w:before="100" w:beforeAutospacing="1" w:after="100" w:afterAutospacing="1" w:line="44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工作年限</w:t>
            </w:r>
          </w:p>
        </w:tc>
        <w:tc>
          <w:tcPr>
            <w:tcW w:w="3071" w:type="dxa"/>
            <w:gridSpan w:val="4"/>
            <w:tcBorders>
              <w:top w:val="single" w:color="auto" w:sz="4" w:space="0"/>
              <w:left w:val="nil"/>
              <w:bottom w:val="single" w:color="auto" w:sz="4" w:space="0"/>
              <w:right w:val="single" w:color="auto" w:sz="4" w:space="0"/>
            </w:tcBorders>
            <w:vAlign w:val="center"/>
          </w:tcPr>
          <w:p w14:paraId="3395F05B">
            <w:pPr>
              <w:spacing w:line="440" w:lineRule="exact"/>
              <w:jc w:val="center"/>
              <w:rPr>
                <w:rFonts w:ascii="宋体" w:hAnsi="宋体" w:eastAsia="宋体"/>
                <w:color w:val="auto"/>
                <w:sz w:val="24"/>
                <w:szCs w:val="24"/>
                <w:highlight w:val="none"/>
              </w:rPr>
            </w:pPr>
          </w:p>
        </w:tc>
        <w:tc>
          <w:tcPr>
            <w:tcW w:w="2368" w:type="dxa"/>
            <w:gridSpan w:val="3"/>
            <w:tcBorders>
              <w:top w:val="single" w:color="auto" w:sz="4" w:space="0"/>
              <w:left w:val="nil"/>
              <w:bottom w:val="single" w:color="auto" w:sz="4" w:space="0"/>
              <w:right w:val="single" w:color="auto" w:sz="4" w:space="0"/>
            </w:tcBorders>
            <w:vAlign w:val="center"/>
          </w:tcPr>
          <w:p w14:paraId="20A8F2B3">
            <w:pPr>
              <w:spacing w:before="100" w:beforeAutospacing="1" w:after="100" w:afterAutospacing="1" w:line="44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从事监理工作年限</w:t>
            </w:r>
          </w:p>
        </w:tc>
        <w:tc>
          <w:tcPr>
            <w:tcW w:w="2238" w:type="dxa"/>
            <w:tcBorders>
              <w:top w:val="single" w:color="auto" w:sz="4" w:space="0"/>
              <w:left w:val="nil"/>
              <w:bottom w:val="single" w:color="auto" w:sz="4" w:space="0"/>
              <w:right w:val="single" w:color="auto" w:sz="4" w:space="0"/>
            </w:tcBorders>
            <w:vAlign w:val="center"/>
          </w:tcPr>
          <w:p w14:paraId="48D4FA1C">
            <w:pPr>
              <w:spacing w:line="440" w:lineRule="exact"/>
              <w:jc w:val="center"/>
              <w:rPr>
                <w:rFonts w:ascii="宋体" w:hAnsi="宋体" w:eastAsia="宋体"/>
                <w:color w:val="auto"/>
                <w:sz w:val="24"/>
                <w:szCs w:val="24"/>
                <w:highlight w:val="none"/>
              </w:rPr>
            </w:pPr>
          </w:p>
        </w:tc>
      </w:tr>
      <w:tr w14:paraId="43554468">
        <w:tblPrEx>
          <w:tblCellMar>
            <w:top w:w="0" w:type="dxa"/>
            <w:left w:w="108" w:type="dxa"/>
            <w:bottom w:w="0" w:type="dxa"/>
            <w:right w:w="108" w:type="dxa"/>
          </w:tblCellMar>
        </w:tblPrEx>
        <w:trPr>
          <w:trHeight w:val="701" w:hRule="atLeast"/>
          <w:jc w:val="center"/>
        </w:trPr>
        <w:tc>
          <w:tcPr>
            <w:tcW w:w="1644" w:type="dxa"/>
            <w:tcBorders>
              <w:top w:val="single" w:color="auto" w:sz="4" w:space="0"/>
              <w:left w:val="single" w:color="auto" w:sz="4" w:space="0"/>
              <w:bottom w:val="single" w:color="auto" w:sz="4" w:space="0"/>
              <w:right w:val="single" w:color="auto" w:sz="4" w:space="0"/>
            </w:tcBorders>
            <w:vAlign w:val="center"/>
          </w:tcPr>
          <w:p w14:paraId="1E2160CC">
            <w:pPr>
              <w:spacing w:before="100" w:beforeAutospacing="1" w:after="100" w:afterAutospacing="1" w:line="44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毕业学校</w:t>
            </w:r>
          </w:p>
        </w:tc>
        <w:tc>
          <w:tcPr>
            <w:tcW w:w="7677" w:type="dxa"/>
            <w:gridSpan w:val="8"/>
            <w:tcBorders>
              <w:top w:val="single" w:color="auto" w:sz="4" w:space="0"/>
              <w:left w:val="nil"/>
              <w:bottom w:val="single" w:color="auto" w:sz="4" w:space="0"/>
              <w:right w:val="single" w:color="auto" w:sz="4" w:space="0"/>
            </w:tcBorders>
            <w:vAlign w:val="center"/>
          </w:tcPr>
          <w:p w14:paraId="01F20200">
            <w:pPr>
              <w:spacing w:before="100" w:beforeAutospacing="1" w:after="100" w:afterAutospacing="1" w:line="440" w:lineRule="exact"/>
              <w:ind w:firstLine="1320" w:firstLineChars="550"/>
              <w:rPr>
                <w:rFonts w:ascii="宋体" w:hAnsi="宋体" w:eastAsia="宋体"/>
                <w:color w:val="auto"/>
                <w:sz w:val="24"/>
                <w:szCs w:val="24"/>
                <w:highlight w:val="none"/>
              </w:rPr>
            </w:pPr>
            <w:r>
              <w:rPr>
                <w:rFonts w:hint="eastAsia" w:ascii="宋体" w:hAnsi="宋体" w:eastAsia="宋体"/>
                <w:color w:val="auto"/>
                <w:sz w:val="24"/>
                <w:szCs w:val="24"/>
                <w:highlight w:val="none"/>
              </w:rPr>
              <w:t>年毕业于            学校        专业</w:t>
            </w:r>
          </w:p>
        </w:tc>
      </w:tr>
      <w:tr w14:paraId="144F81DC">
        <w:tblPrEx>
          <w:tblCellMar>
            <w:top w:w="0" w:type="dxa"/>
            <w:left w:w="108" w:type="dxa"/>
            <w:bottom w:w="0" w:type="dxa"/>
            <w:right w:w="108" w:type="dxa"/>
          </w:tblCellMar>
        </w:tblPrEx>
        <w:trPr>
          <w:trHeight w:val="684" w:hRule="atLeast"/>
          <w:jc w:val="center"/>
        </w:trPr>
        <w:tc>
          <w:tcPr>
            <w:tcW w:w="9321" w:type="dxa"/>
            <w:gridSpan w:val="9"/>
            <w:tcBorders>
              <w:top w:val="single" w:color="auto" w:sz="4" w:space="0"/>
              <w:left w:val="single" w:color="auto" w:sz="4" w:space="0"/>
              <w:bottom w:val="single" w:color="auto" w:sz="4" w:space="0"/>
              <w:right w:val="single" w:color="auto" w:sz="4" w:space="0"/>
            </w:tcBorders>
            <w:vAlign w:val="center"/>
          </w:tcPr>
          <w:p w14:paraId="6E66FF49">
            <w:pPr>
              <w:spacing w:before="100" w:beforeAutospacing="1" w:after="100" w:afterAutospacing="1" w:line="44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主要工作经历</w:t>
            </w:r>
          </w:p>
        </w:tc>
      </w:tr>
      <w:tr w14:paraId="6F2D980C">
        <w:tblPrEx>
          <w:tblCellMar>
            <w:top w:w="0" w:type="dxa"/>
            <w:left w:w="108" w:type="dxa"/>
            <w:bottom w:w="0" w:type="dxa"/>
            <w:right w:w="108" w:type="dxa"/>
          </w:tblCellMar>
        </w:tblPrEx>
        <w:trPr>
          <w:trHeight w:val="707" w:hRule="atLeast"/>
          <w:jc w:val="center"/>
        </w:trPr>
        <w:tc>
          <w:tcPr>
            <w:tcW w:w="2001" w:type="dxa"/>
            <w:gridSpan w:val="2"/>
            <w:tcBorders>
              <w:top w:val="single" w:color="auto" w:sz="4" w:space="0"/>
              <w:left w:val="single" w:color="auto" w:sz="4" w:space="0"/>
              <w:bottom w:val="single" w:color="auto" w:sz="4" w:space="0"/>
              <w:right w:val="single" w:color="auto" w:sz="4" w:space="0"/>
            </w:tcBorders>
            <w:vAlign w:val="center"/>
          </w:tcPr>
          <w:p w14:paraId="1A354BB2">
            <w:pPr>
              <w:spacing w:before="100" w:beforeAutospacing="1" w:after="100" w:afterAutospacing="1" w:line="44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时  间</w:t>
            </w:r>
          </w:p>
        </w:tc>
        <w:tc>
          <w:tcPr>
            <w:tcW w:w="3420" w:type="dxa"/>
            <w:gridSpan w:val="4"/>
            <w:tcBorders>
              <w:top w:val="single" w:color="auto" w:sz="4" w:space="0"/>
              <w:left w:val="nil"/>
              <w:bottom w:val="single" w:color="auto" w:sz="4" w:space="0"/>
              <w:right w:val="single" w:color="auto" w:sz="4" w:space="0"/>
            </w:tcBorders>
            <w:vAlign w:val="center"/>
          </w:tcPr>
          <w:p w14:paraId="247E8C02">
            <w:pPr>
              <w:spacing w:before="100" w:beforeAutospacing="1" w:after="100" w:afterAutospacing="1" w:line="44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参加过的类似项目</w:t>
            </w:r>
          </w:p>
        </w:tc>
        <w:tc>
          <w:tcPr>
            <w:tcW w:w="1261" w:type="dxa"/>
            <w:tcBorders>
              <w:top w:val="single" w:color="auto" w:sz="4" w:space="0"/>
              <w:left w:val="nil"/>
              <w:bottom w:val="single" w:color="auto" w:sz="4" w:space="0"/>
              <w:right w:val="single" w:color="auto" w:sz="4" w:space="0"/>
            </w:tcBorders>
            <w:vAlign w:val="center"/>
          </w:tcPr>
          <w:p w14:paraId="102AAC19">
            <w:pPr>
              <w:spacing w:before="100" w:beforeAutospacing="1" w:after="100" w:afterAutospacing="1" w:line="44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担任职务</w:t>
            </w:r>
          </w:p>
        </w:tc>
        <w:tc>
          <w:tcPr>
            <w:tcW w:w="2639" w:type="dxa"/>
            <w:gridSpan w:val="2"/>
            <w:tcBorders>
              <w:top w:val="single" w:color="auto" w:sz="4" w:space="0"/>
              <w:left w:val="nil"/>
              <w:bottom w:val="single" w:color="auto" w:sz="4" w:space="0"/>
              <w:right w:val="single" w:color="auto" w:sz="4" w:space="0"/>
            </w:tcBorders>
            <w:vAlign w:val="center"/>
          </w:tcPr>
          <w:p w14:paraId="4C257E9E">
            <w:pPr>
              <w:spacing w:before="100" w:beforeAutospacing="1" w:after="100" w:afterAutospacing="1" w:line="44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委托人及联系电话</w:t>
            </w:r>
          </w:p>
        </w:tc>
      </w:tr>
      <w:tr w14:paraId="79683281">
        <w:tblPrEx>
          <w:tblCellMar>
            <w:top w:w="0" w:type="dxa"/>
            <w:left w:w="108" w:type="dxa"/>
            <w:bottom w:w="0" w:type="dxa"/>
            <w:right w:w="108" w:type="dxa"/>
          </w:tblCellMar>
        </w:tblPrEx>
        <w:trPr>
          <w:trHeight w:val="690" w:hRule="atLeast"/>
          <w:jc w:val="center"/>
        </w:trPr>
        <w:tc>
          <w:tcPr>
            <w:tcW w:w="2001" w:type="dxa"/>
            <w:gridSpan w:val="2"/>
            <w:tcBorders>
              <w:top w:val="single" w:color="auto" w:sz="4" w:space="0"/>
              <w:left w:val="single" w:color="auto" w:sz="4" w:space="0"/>
              <w:bottom w:val="single" w:color="auto" w:sz="4" w:space="0"/>
              <w:right w:val="single" w:color="auto" w:sz="4" w:space="0"/>
            </w:tcBorders>
          </w:tcPr>
          <w:p w14:paraId="73781800">
            <w:pPr>
              <w:spacing w:line="440" w:lineRule="exact"/>
              <w:rPr>
                <w:rFonts w:ascii="宋体" w:hAnsi="宋体" w:eastAsia="宋体"/>
                <w:color w:val="auto"/>
                <w:sz w:val="24"/>
                <w:szCs w:val="24"/>
                <w:highlight w:val="none"/>
              </w:rPr>
            </w:pPr>
          </w:p>
        </w:tc>
        <w:tc>
          <w:tcPr>
            <w:tcW w:w="3420" w:type="dxa"/>
            <w:gridSpan w:val="4"/>
            <w:tcBorders>
              <w:top w:val="single" w:color="auto" w:sz="4" w:space="0"/>
              <w:left w:val="nil"/>
              <w:bottom w:val="single" w:color="auto" w:sz="4" w:space="0"/>
              <w:right w:val="single" w:color="auto" w:sz="4" w:space="0"/>
            </w:tcBorders>
          </w:tcPr>
          <w:p w14:paraId="31C8DEA8">
            <w:pPr>
              <w:spacing w:line="440" w:lineRule="exact"/>
              <w:rPr>
                <w:rFonts w:ascii="宋体" w:hAnsi="宋体" w:eastAsia="宋体"/>
                <w:color w:val="auto"/>
                <w:sz w:val="24"/>
                <w:szCs w:val="24"/>
                <w:highlight w:val="none"/>
              </w:rPr>
            </w:pPr>
          </w:p>
        </w:tc>
        <w:tc>
          <w:tcPr>
            <w:tcW w:w="1261" w:type="dxa"/>
            <w:tcBorders>
              <w:top w:val="single" w:color="auto" w:sz="4" w:space="0"/>
              <w:left w:val="nil"/>
              <w:bottom w:val="single" w:color="auto" w:sz="4" w:space="0"/>
              <w:right w:val="single" w:color="auto" w:sz="4" w:space="0"/>
            </w:tcBorders>
          </w:tcPr>
          <w:p w14:paraId="3014EA1E">
            <w:pPr>
              <w:spacing w:line="440" w:lineRule="exact"/>
              <w:rPr>
                <w:rFonts w:ascii="宋体" w:hAnsi="宋体" w:eastAsia="宋体"/>
                <w:color w:val="auto"/>
                <w:sz w:val="24"/>
                <w:szCs w:val="24"/>
                <w:highlight w:val="none"/>
              </w:rPr>
            </w:pPr>
          </w:p>
        </w:tc>
        <w:tc>
          <w:tcPr>
            <w:tcW w:w="2639" w:type="dxa"/>
            <w:gridSpan w:val="2"/>
            <w:tcBorders>
              <w:top w:val="single" w:color="auto" w:sz="4" w:space="0"/>
              <w:left w:val="nil"/>
              <w:bottom w:val="single" w:color="auto" w:sz="4" w:space="0"/>
              <w:right w:val="single" w:color="auto" w:sz="4" w:space="0"/>
            </w:tcBorders>
          </w:tcPr>
          <w:p w14:paraId="5EE6AA9A">
            <w:pPr>
              <w:spacing w:line="440" w:lineRule="exact"/>
              <w:rPr>
                <w:rFonts w:ascii="宋体" w:hAnsi="宋体" w:eastAsia="宋体"/>
                <w:color w:val="auto"/>
                <w:sz w:val="24"/>
                <w:szCs w:val="24"/>
                <w:highlight w:val="none"/>
              </w:rPr>
            </w:pPr>
          </w:p>
        </w:tc>
      </w:tr>
      <w:tr w14:paraId="221DD93C">
        <w:tblPrEx>
          <w:tblCellMar>
            <w:top w:w="0" w:type="dxa"/>
            <w:left w:w="108" w:type="dxa"/>
            <w:bottom w:w="0" w:type="dxa"/>
            <w:right w:w="108" w:type="dxa"/>
          </w:tblCellMar>
        </w:tblPrEx>
        <w:trPr>
          <w:trHeight w:val="690" w:hRule="atLeast"/>
          <w:jc w:val="center"/>
        </w:trPr>
        <w:tc>
          <w:tcPr>
            <w:tcW w:w="2001" w:type="dxa"/>
            <w:gridSpan w:val="2"/>
            <w:tcBorders>
              <w:top w:val="single" w:color="auto" w:sz="4" w:space="0"/>
              <w:left w:val="single" w:color="auto" w:sz="4" w:space="0"/>
              <w:bottom w:val="single" w:color="auto" w:sz="4" w:space="0"/>
              <w:right w:val="single" w:color="auto" w:sz="4" w:space="0"/>
            </w:tcBorders>
          </w:tcPr>
          <w:p w14:paraId="57E118CE">
            <w:pPr>
              <w:spacing w:line="440" w:lineRule="exact"/>
              <w:rPr>
                <w:rFonts w:ascii="宋体" w:hAnsi="宋体" w:eastAsia="宋体"/>
                <w:color w:val="auto"/>
                <w:sz w:val="24"/>
                <w:szCs w:val="24"/>
                <w:highlight w:val="none"/>
              </w:rPr>
            </w:pPr>
          </w:p>
        </w:tc>
        <w:tc>
          <w:tcPr>
            <w:tcW w:w="3420" w:type="dxa"/>
            <w:gridSpan w:val="4"/>
            <w:tcBorders>
              <w:top w:val="single" w:color="auto" w:sz="4" w:space="0"/>
              <w:left w:val="nil"/>
              <w:bottom w:val="single" w:color="auto" w:sz="4" w:space="0"/>
              <w:right w:val="single" w:color="auto" w:sz="4" w:space="0"/>
            </w:tcBorders>
          </w:tcPr>
          <w:p w14:paraId="6D2349B4">
            <w:pPr>
              <w:spacing w:line="440" w:lineRule="exact"/>
              <w:rPr>
                <w:rFonts w:ascii="宋体" w:hAnsi="宋体" w:eastAsia="宋体"/>
                <w:color w:val="auto"/>
                <w:sz w:val="24"/>
                <w:szCs w:val="24"/>
                <w:highlight w:val="none"/>
              </w:rPr>
            </w:pPr>
          </w:p>
        </w:tc>
        <w:tc>
          <w:tcPr>
            <w:tcW w:w="1261" w:type="dxa"/>
            <w:tcBorders>
              <w:top w:val="single" w:color="auto" w:sz="4" w:space="0"/>
              <w:left w:val="nil"/>
              <w:bottom w:val="single" w:color="auto" w:sz="4" w:space="0"/>
              <w:right w:val="single" w:color="auto" w:sz="4" w:space="0"/>
            </w:tcBorders>
          </w:tcPr>
          <w:p w14:paraId="557DCB99">
            <w:pPr>
              <w:spacing w:line="440" w:lineRule="exact"/>
              <w:rPr>
                <w:rFonts w:ascii="宋体" w:hAnsi="宋体" w:eastAsia="宋体"/>
                <w:color w:val="auto"/>
                <w:sz w:val="24"/>
                <w:szCs w:val="24"/>
                <w:highlight w:val="none"/>
              </w:rPr>
            </w:pPr>
          </w:p>
        </w:tc>
        <w:tc>
          <w:tcPr>
            <w:tcW w:w="2639" w:type="dxa"/>
            <w:gridSpan w:val="2"/>
            <w:tcBorders>
              <w:top w:val="single" w:color="auto" w:sz="4" w:space="0"/>
              <w:left w:val="nil"/>
              <w:bottom w:val="single" w:color="auto" w:sz="4" w:space="0"/>
              <w:right w:val="single" w:color="auto" w:sz="4" w:space="0"/>
            </w:tcBorders>
          </w:tcPr>
          <w:p w14:paraId="686C3A32">
            <w:pPr>
              <w:spacing w:line="440" w:lineRule="exact"/>
              <w:rPr>
                <w:rFonts w:ascii="宋体" w:hAnsi="宋体" w:eastAsia="宋体"/>
                <w:color w:val="auto"/>
                <w:sz w:val="24"/>
                <w:szCs w:val="24"/>
                <w:highlight w:val="none"/>
              </w:rPr>
            </w:pPr>
          </w:p>
        </w:tc>
      </w:tr>
      <w:tr w14:paraId="0AA277A1">
        <w:tblPrEx>
          <w:tblCellMar>
            <w:top w:w="0" w:type="dxa"/>
            <w:left w:w="108" w:type="dxa"/>
            <w:bottom w:w="0" w:type="dxa"/>
            <w:right w:w="108" w:type="dxa"/>
          </w:tblCellMar>
        </w:tblPrEx>
        <w:trPr>
          <w:trHeight w:val="690" w:hRule="atLeast"/>
          <w:jc w:val="center"/>
        </w:trPr>
        <w:tc>
          <w:tcPr>
            <w:tcW w:w="2001" w:type="dxa"/>
            <w:gridSpan w:val="2"/>
            <w:tcBorders>
              <w:top w:val="single" w:color="auto" w:sz="4" w:space="0"/>
              <w:left w:val="single" w:color="auto" w:sz="4" w:space="0"/>
              <w:bottom w:val="single" w:color="auto" w:sz="4" w:space="0"/>
              <w:right w:val="single" w:color="auto" w:sz="4" w:space="0"/>
            </w:tcBorders>
          </w:tcPr>
          <w:p w14:paraId="5F18EAFB">
            <w:pPr>
              <w:spacing w:line="440" w:lineRule="exact"/>
              <w:rPr>
                <w:rFonts w:ascii="宋体" w:hAnsi="宋体" w:eastAsia="宋体"/>
                <w:color w:val="auto"/>
                <w:sz w:val="24"/>
                <w:szCs w:val="24"/>
                <w:highlight w:val="none"/>
              </w:rPr>
            </w:pPr>
          </w:p>
        </w:tc>
        <w:tc>
          <w:tcPr>
            <w:tcW w:w="3420" w:type="dxa"/>
            <w:gridSpan w:val="4"/>
            <w:tcBorders>
              <w:top w:val="single" w:color="auto" w:sz="4" w:space="0"/>
              <w:left w:val="nil"/>
              <w:bottom w:val="single" w:color="auto" w:sz="4" w:space="0"/>
              <w:right w:val="single" w:color="auto" w:sz="4" w:space="0"/>
            </w:tcBorders>
          </w:tcPr>
          <w:p w14:paraId="13C520AB">
            <w:pPr>
              <w:spacing w:line="440" w:lineRule="exact"/>
              <w:rPr>
                <w:rFonts w:ascii="宋体" w:hAnsi="宋体" w:eastAsia="宋体"/>
                <w:color w:val="auto"/>
                <w:sz w:val="24"/>
                <w:szCs w:val="24"/>
                <w:highlight w:val="none"/>
              </w:rPr>
            </w:pPr>
          </w:p>
        </w:tc>
        <w:tc>
          <w:tcPr>
            <w:tcW w:w="1261" w:type="dxa"/>
            <w:tcBorders>
              <w:top w:val="single" w:color="auto" w:sz="4" w:space="0"/>
              <w:left w:val="nil"/>
              <w:bottom w:val="single" w:color="auto" w:sz="4" w:space="0"/>
              <w:right w:val="single" w:color="auto" w:sz="4" w:space="0"/>
            </w:tcBorders>
          </w:tcPr>
          <w:p w14:paraId="2A101A24">
            <w:pPr>
              <w:spacing w:line="440" w:lineRule="exact"/>
              <w:rPr>
                <w:rFonts w:ascii="宋体" w:hAnsi="宋体" w:eastAsia="宋体"/>
                <w:color w:val="auto"/>
                <w:sz w:val="24"/>
                <w:szCs w:val="24"/>
                <w:highlight w:val="none"/>
              </w:rPr>
            </w:pPr>
          </w:p>
        </w:tc>
        <w:tc>
          <w:tcPr>
            <w:tcW w:w="2639" w:type="dxa"/>
            <w:gridSpan w:val="2"/>
            <w:tcBorders>
              <w:top w:val="single" w:color="auto" w:sz="4" w:space="0"/>
              <w:left w:val="nil"/>
              <w:bottom w:val="single" w:color="auto" w:sz="4" w:space="0"/>
              <w:right w:val="single" w:color="auto" w:sz="4" w:space="0"/>
            </w:tcBorders>
          </w:tcPr>
          <w:p w14:paraId="79CAB1AD">
            <w:pPr>
              <w:spacing w:line="440" w:lineRule="exact"/>
              <w:rPr>
                <w:rFonts w:ascii="宋体" w:hAnsi="宋体" w:eastAsia="宋体"/>
                <w:color w:val="auto"/>
                <w:sz w:val="24"/>
                <w:szCs w:val="24"/>
                <w:highlight w:val="none"/>
              </w:rPr>
            </w:pPr>
          </w:p>
        </w:tc>
      </w:tr>
      <w:tr w14:paraId="495CE740">
        <w:tblPrEx>
          <w:tblCellMar>
            <w:top w:w="0" w:type="dxa"/>
            <w:left w:w="108" w:type="dxa"/>
            <w:bottom w:w="0" w:type="dxa"/>
            <w:right w:w="108" w:type="dxa"/>
          </w:tblCellMar>
        </w:tblPrEx>
        <w:trPr>
          <w:trHeight w:val="690" w:hRule="atLeast"/>
          <w:jc w:val="center"/>
        </w:trPr>
        <w:tc>
          <w:tcPr>
            <w:tcW w:w="2001" w:type="dxa"/>
            <w:gridSpan w:val="2"/>
            <w:tcBorders>
              <w:top w:val="single" w:color="auto" w:sz="4" w:space="0"/>
              <w:left w:val="single" w:color="auto" w:sz="4" w:space="0"/>
              <w:bottom w:val="single" w:color="auto" w:sz="4" w:space="0"/>
              <w:right w:val="single" w:color="auto" w:sz="4" w:space="0"/>
            </w:tcBorders>
            <w:vAlign w:val="center"/>
          </w:tcPr>
          <w:p w14:paraId="576F1791">
            <w:pPr>
              <w:spacing w:line="440" w:lineRule="exact"/>
              <w:rPr>
                <w:rFonts w:ascii="宋体" w:hAnsi="宋体" w:eastAsia="宋体"/>
                <w:color w:val="auto"/>
                <w:sz w:val="24"/>
                <w:szCs w:val="24"/>
                <w:highlight w:val="none"/>
              </w:rPr>
            </w:pPr>
          </w:p>
        </w:tc>
        <w:tc>
          <w:tcPr>
            <w:tcW w:w="3420" w:type="dxa"/>
            <w:gridSpan w:val="4"/>
            <w:tcBorders>
              <w:top w:val="single" w:color="auto" w:sz="4" w:space="0"/>
              <w:left w:val="nil"/>
              <w:bottom w:val="single" w:color="auto" w:sz="4" w:space="0"/>
              <w:right w:val="single" w:color="auto" w:sz="4" w:space="0"/>
            </w:tcBorders>
            <w:vAlign w:val="center"/>
          </w:tcPr>
          <w:p w14:paraId="5A9D8139">
            <w:pPr>
              <w:spacing w:line="440" w:lineRule="exact"/>
              <w:rPr>
                <w:rFonts w:ascii="宋体" w:hAnsi="宋体" w:eastAsia="宋体"/>
                <w:color w:val="auto"/>
                <w:sz w:val="24"/>
                <w:szCs w:val="24"/>
                <w:highlight w:val="none"/>
              </w:rPr>
            </w:pPr>
          </w:p>
        </w:tc>
        <w:tc>
          <w:tcPr>
            <w:tcW w:w="1261" w:type="dxa"/>
            <w:tcBorders>
              <w:top w:val="single" w:color="auto" w:sz="4" w:space="0"/>
              <w:left w:val="nil"/>
              <w:bottom w:val="single" w:color="auto" w:sz="4" w:space="0"/>
              <w:right w:val="single" w:color="auto" w:sz="4" w:space="0"/>
            </w:tcBorders>
            <w:vAlign w:val="center"/>
          </w:tcPr>
          <w:p w14:paraId="55D0178C">
            <w:pPr>
              <w:spacing w:line="440" w:lineRule="exact"/>
              <w:rPr>
                <w:rFonts w:ascii="宋体" w:hAnsi="宋体" w:eastAsia="宋体"/>
                <w:color w:val="auto"/>
                <w:sz w:val="24"/>
                <w:szCs w:val="24"/>
                <w:highlight w:val="none"/>
              </w:rPr>
            </w:pPr>
          </w:p>
        </w:tc>
        <w:tc>
          <w:tcPr>
            <w:tcW w:w="2639" w:type="dxa"/>
            <w:gridSpan w:val="2"/>
            <w:tcBorders>
              <w:top w:val="single" w:color="auto" w:sz="4" w:space="0"/>
              <w:left w:val="nil"/>
              <w:bottom w:val="single" w:color="auto" w:sz="4" w:space="0"/>
              <w:right w:val="single" w:color="auto" w:sz="4" w:space="0"/>
            </w:tcBorders>
            <w:vAlign w:val="center"/>
          </w:tcPr>
          <w:p w14:paraId="090EF223">
            <w:pPr>
              <w:spacing w:line="440" w:lineRule="exact"/>
              <w:rPr>
                <w:rFonts w:ascii="宋体" w:hAnsi="宋体" w:eastAsia="宋体"/>
                <w:color w:val="auto"/>
                <w:sz w:val="24"/>
                <w:szCs w:val="24"/>
                <w:highlight w:val="none"/>
              </w:rPr>
            </w:pPr>
          </w:p>
        </w:tc>
      </w:tr>
      <w:tr w14:paraId="11A7A2D8">
        <w:tblPrEx>
          <w:tblCellMar>
            <w:top w:w="0" w:type="dxa"/>
            <w:left w:w="108" w:type="dxa"/>
            <w:bottom w:w="0" w:type="dxa"/>
            <w:right w:w="108" w:type="dxa"/>
          </w:tblCellMar>
        </w:tblPrEx>
        <w:trPr>
          <w:trHeight w:val="690" w:hRule="atLeast"/>
          <w:jc w:val="center"/>
        </w:trPr>
        <w:tc>
          <w:tcPr>
            <w:tcW w:w="2001" w:type="dxa"/>
            <w:gridSpan w:val="2"/>
            <w:tcBorders>
              <w:top w:val="single" w:color="auto" w:sz="4" w:space="0"/>
              <w:left w:val="single" w:color="auto" w:sz="4" w:space="0"/>
              <w:bottom w:val="single" w:color="auto" w:sz="4" w:space="0"/>
              <w:right w:val="single" w:color="auto" w:sz="4" w:space="0"/>
            </w:tcBorders>
            <w:vAlign w:val="center"/>
          </w:tcPr>
          <w:p w14:paraId="1E4493F9">
            <w:pPr>
              <w:spacing w:line="440" w:lineRule="exact"/>
              <w:rPr>
                <w:rFonts w:ascii="宋体" w:hAnsi="宋体" w:eastAsia="宋体"/>
                <w:color w:val="auto"/>
                <w:sz w:val="24"/>
                <w:szCs w:val="24"/>
                <w:highlight w:val="none"/>
              </w:rPr>
            </w:pPr>
          </w:p>
        </w:tc>
        <w:tc>
          <w:tcPr>
            <w:tcW w:w="3420" w:type="dxa"/>
            <w:gridSpan w:val="4"/>
            <w:tcBorders>
              <w:top w:val="single" w:color="auto" w:sz="4" w:space="0"/>
              <w:left w:val="nil"/>
              <w:bottom w:val="single" w:color="auto" w:sz="4" w:space="0"/>
              <w:right w:val="single" w:color="auto" w:sz="4" w:space="0"/>
            </w:tcBorders>
            <w:vAlign w:val="center"/>
          </w:tcPr>
          <w:p w14:paraId="2E5DFE39">
            <w:pPr>
              <w:spacing w:line="440" w:lineRule="exact"/>
              <w:rPr>
                <w:rFonts w:ascii="宋体" w:hAnsi="宋体" w:eastAsia="宋体"/>
                <w:color w:val="auto"/>
                <w:sz w:val="24"/>
                <w:szCs w:val="24"/>
                <w:highlight w:val="none"/>
              </w:rPr>
            </w:pPr>
          </w:p>
        </w:tc>
        <w:tc>
          <w:tcPr>
            <w:tcW w:w="1261" w:type="dxa"/>
            <w:tcBorders>
              <w:top w:val="single" w:color="auto" w:sz="4" w:space="0"/>
              <w:left w:val="nil"/>
              <w:bottom w:val="single" w:color="auto" w:sz="4" w:space="0"/>
              <w:right w:val="single" w:color="auto" w:sz="4" w:space="0"/>
            </w:tcBorders>
            <w:vAlign w:val="center"/>
          </w:tcPr>
          <w:p w14:paraId="6582E224">
            <w:pPr>
              <w:spacing w:line="440" w:lineRule="exact"/>
              <w:rPr>
                <w:rFonts w:ascii="宋体" w:hAnsi="宋体" w:eastAsia="宋体"/>
                <w:color w:val="auto"/>
                <w:sz w:val="24"/>
                <w:szCs w:val="24"/>
                <w:highlight w:val="none"/>
              </w:rPr>
            </w:pPr>
          </w:p>
        </w:tc>
        <w:tc>
          <w:tcPr>
            <w:tcW w:w="2639" w:type="dxa"/>
            <w:gridSpan w:val="2"/>
            <w:tcBorders>
              <w:top w:val="single" w:color="auto" w:sz="4" w:space="0"/>
              <w:left w:val="nil"/>
              <w:bottom w:val="single" w:color="auto" w:sz="4" w:space="0"/>
              <w:right w:val="single" w:color="auto" w:sz="4" w:space="0"/>
            </w:tcBorders>
            <w:vAlign w:val="center"/>
          </w:tcPr>
          <w:p w14:paraId="36478818">
            <w:pPr>
              <w:spacing w:line="440" w:lineRule="exact"/>
              <w:rPr>
                <w:rFonts w:ascii="宋体" w:hAnsi="宋体" w:eastAsia="宋体"/>
                <w:color w:val="auto"/>
                <w:sz w:val="24"/>
                <w:szCs w:val="24"/>
                <w:highlight w:val="none"/>
              </w:rPr>
            </w:pPr>
          </w:p>
        </w:tc>
      </w:tr>
      <w:tr w14:paraId="5C9FAA7C">
        <w:tblPrEx>
          <w:tblCellMar>
            <w:top w:w="0" w:type="dxa"/>
            <w:left w:w="108" w:type="dxa"/>
            <w:bottom w:w="0" w:type="dxa"/>
            <w:right w:w="108" w:type="dxa"/>
          </w:tblCellMar>
        </w:tblPrEx>
        <w:trPr>
          <w:trHeight w:val="690" w:hRule="atLeast"/>
          <w:jc w:val="center"/>
        </w:trPr>
        <w:tc>
          <w:tcPr>
            <w:tcW w:w="2001" w:type="dxa"/>
            <w:gridSpan w:val="2"/>
            <w:tcBorders>
              <w:top w:val="single" w:color="auto" w:sz="4" w:space="0"/>
              <w:left w:val="single" w:color="auto" w:sz="4" w:space="0"/>
              <w:bottom w:val="single" w:color="auto" w:sz="4" w:space="0"/>
              <w:right w:val="single" w:color="auto" w:sz="4" w:space="0"/>
            </w:tcBorders>
            <w:vAlign w:val="center"/>
          </w:tcPr>
          <w:p w14:paraId="1D5F0722">
            <w:pPr>
              <w:spacing w:line="440" w:lineRule="exact"/>
              <w:rPr>
                <w:rFonts w:ascii="宋体" w:hAnsi="宋体" w:eastAsia="宋体"/>
                <w:color w:val="auto"/>
                <w:sz w:val="24"/>
                <w:szCs w:val="24"/>
                <w:highlight w:val="none"/>
              </w:rPr>
            </w:pPr>
          </w:p>
        </w:tc>
        <w:tc>
          <w:tcPr>
            <w:tcW w:w="3420" w:type="dxa"/>
            <w:gridSpan w:val="4"/>
            <w:tcBorders>
              <w:top w:val="single" w:color="auto" w:sz="4" w:space="0"/>
              <w:left w:val="nil"/>
              <w:bottom w:val="single" w:color="auto" w:sz="4" w:space="0"/>
              <w:right w:val="single" w:color="auto" w:sz="4" w:space="0"/>
            </w:tcBorders>
            <w:vAlign w:val="center"/>
          </w:tcPr>
          <w:p w14:paraId="0936BCFF">
            <w:pPr>
              <w:spacing w:line="440" w:lineRule="exact"/>
              <w:rPr>
                <w:rFonts w:ascii="宋体" w:hAnsi="宋体" w:eastAsia="宋体"/>
                <w:color w:val="auto"/>
                <w:sz w:val="24"/>
                <w:szCs w:val="24"/>
                <w:highlight w:val="none"/>
              </w:rPr>
            </w:pPr>
          </w:p>
        </w:tc>
        <w:tc>
          <w:tcPr>
            <w:tcW w:w="1261" w:type="dxa"/>
            <w:tcBorders>
              <w:top w:val="single" w:color="auto" w:sz="4" w:space="0"/>
              <w:left w:val="nil"/>
              <w:bottom w:val="single" w:color="auto" w:sz="4" w:space="0"/>
              <w:right w:val="single" w:color="auto" w:sz="4" w:space="0"/>
            </w:tcBorders>
            <w:vAlign w:val="center"/>
          </w:tcPr>
          <w:p w14:paraId="3477C424">
            <w:pPr>
              <w:spacing w:line="440" w:lineRule="exact"/>
              <w:rPr>
                <w:rFonts w:ascii="宋体" w:hAnsi="宋体" w:eastAsia="宋体"/>
                <w:color w:val="auto"/>
                <w:sz w:val="24"/>
                <w:szCs w:val="24"/>
                <w:highlight w:val="none"/>
              </w:rPr>
            </w:pPr>
          </w:p>
        </w:tc>
        <w:tc>
          <w:tcPr>
            <w:tcW w:w="2639" w:type="dxa"/>
            <w:gridSpan w:val="2"/>
            <w:tcBorders>
              <w:top w:val="single" w:color="auto" w:sz="4" w:space="0"/>
              <w:left w:val="nil"/>
              <w:bottom w:val="single" w:color="auto" w:sz="4" w:space="0"/>
              <w:right w:val="single" w:color="auto" w:sz="4" w:space="0"/>
            </w:tcBorders>
            <w:vAlign w:val="center"/>
          </w:tcPr>
          <w:p w14:paraId="1558F4CD">
            <w:pPr>
              <w:spacing w:line="440" w:lineRule="exact"/>
              <w:rPr>
                <w:rFonts w:ascii="宋体" w:hAnsi="宋体" w:eastAsia="宋体"/>
                <w:color w:val="auto"/>
                <w:sz w:val="24"/>
                <w:szCs w:val="24"/>
                <w:highlight w:val="none"/>
              </w:rPr>
            </w:pPr>
          </w:p>
        </w:tc>
      </w:tr>
      <w:tr w14:paraId="156FD234">
        <w:tblPrEx>
          <w:tblCellMar>
            <w:top w:w="0" w:type="dxa"/>
            <w:left w:w="108" w:type="dxa"/>
            <w:bottom w:w="0" w:type="dxa"/>
            <w:right w:w="108" w:type="dxa"/>
          </w:tblCellMar>
        </w:tblPrEx>
        <w:trPr>
          <w:trHeight w:val="690" w:hRule="atLeast"/>
          <w:jc w:val="center"/>
        </w:trPr>
        <w:tc>
          <w:tcPr>
            <w:tcW w:w="2001" w:type="dxa"/>
            <w:gridSpan w:val="2"/>
            <w:tcBorders>
              <w:top w:val="single" w:color="auto" w:sz="4" w:space="0"/>
              <w:left w:val="single" w:color="auto" w:sz="4" w:space="0"/>
              <w:bottom w:val="single" w:color="auto" w:sz="4" w:space="0"/>
              <w:right w:val="single" w:color="auto" w:sz="4" w:space="0"/>
            </w:tcBorders>
            <w:vAlign w:val="center"/>
          </w:tcPr>
          <w:p w14:paraId="5EE6058A">
            <w:pPr>
              <w:spacing w:line="440" w:lineRule="exact"/>
              <w:rPr>
                <w:rFonts w:ascii="宋体" w:hAnsi="宋体" w:eastAsia="宋体"/>
                <w:color w:val="auto"/>
                <w:sz w:val="24"/>
                <w:szCs w:val="24"/>
                <w:highlight w:val="none"/>
              </w:rPr>
            </w:pPr>
          </w:p>
        </w:tc>
        <w:tc>
          <w:tcPr>
            <w:tcW w:w="3420" w:type="dxa"/>
            <w:gridSpan w:val="4"/>
            <w:tcBorders>
              <w:top w:val="single" w:color="auto" w:sz="4" w:space="0"/>
              <w:left w:val="nil"/>
              <w:bottom w:val="single" w:color="auto" w:sz="4" w:space="0"/>
              <w:right w:val="single" w:color="auto" w:sz="4" w:space="0"/>
            </w:tcBorders>
            <w:vAlign w:val="center"/>
          </w:tcPr>
          <w:p w14:paraId="4A7A7DFC">
            <w:pPr>
              <w:spacing w:line="440" w:lineRule="exact"/>
              <w:rPr>
                <w:rFonts w:ascii="宋体" w:hAnsi="宋体" w:eastAsia="宋体"/>
                <w:color w:val="auto"/>
                <w:sz w:val="24"/>
                <w:szCs w:val="24"/>
                <w:highlight w:val="none"/>
              </w:rPr>
            </w:pPr>
          </w:p>
        </w:tc>
        <w:tc>
          <w:tcPr>
            <w:tcW w:w="1261" w:type="dxa"/>
            <w:tcBorders>
              <w:top w:val="single" w:color="auto" w:sz="4" w:space="0"/>
              <w:left w:val="nil"/>
              <w:bottom w:val="single" w:color="auto" w:sz="4" w:space="0"/>
              <w:right w:val="single" w:color="auto" w:sz="4" w:space="0"/>
            </w:tcBorders>
            <w:vAlign w:val="center"/>
          </w:tcPr>
          <w:p w14:paraId="2245EE61">
            <w:pPr>
              <w:spacing w:line="440" w:lineRule="exact"/>
              <w:rPr>
                <w:rFonts w:ascii="宋体" w:hAnsi="宋体" w:eastAsia="宋体"/>
                <w:color w:val="auto"/>
                <w:sz w:val="24"/>
                <w:szCs w:val="24"/>
                <w:highlight w:val="none"/>
              </w:rPr>
            </w:pPr>
          </w:p>
        </w:tc>
        <w:tc>
          <w:tcPr>
            <w:tcW w:w="2639" w:type="dxa"/>
            <w:gridSpan w:val="2"/>
            <w:tcBorders>
              <w:top w:val="single" w:color="auto" w:sz="4" w:space="0"/>
              <w:left w:val="nil"/>
              <w:bottom w:val="single" w:color="auto" w:sz="4" w:space="0"/>
              <w:right w:val="single" w:color="auto" w:sz="4" w:space="0"/>
            </w:tcBorders>
            <w:vAlign w:val="center"/>
          </w:tcPr>
          <w:p w14:paraId="7EA34379">
            <w:pPr>
              <w:spacing w:line="440" w:lineRule="exact"/>
              <w:rPr>
                <w:rFonts w:ascii="宋体" w:hAnsi="宋体" w:eastAsia="宋体"/>
                <w:color w:val="auto"/>
                <w:sz w:val="24"/>
                <w:szCs w:val="24"/>
                <w:highlight w:val="none"/>
              </w:rPr>
            </w:pPr>
          </w:p>
        </w:tc>
      </w:tr>
    </w:tbl>
    <w:p w14:paraId="27C2A882">
      <w:pPr>
        <w:spacing w:line="44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注：投标人应根据投标人须知第3.5.6项的要求在本表后附相关证明材料。</w:t>
      </w:r>
    </w:p>
    <w:p w14:paraId="26F0800A">
      <w:pPr>
        <w:spacing w:line="440" w:lineRule="exact"/>
        <w:rPr>
          <w:rFonts w:ascii="宋体" w:hAnsi="宋体" w:eastAsia="宋体"/>
          <w:color w:val="auto"/>
          <w:szCs w:val="24"/>
          <w:highlight w:val="none"/>
        </w:rPr>
      </w:pPr>
    </w:p>
    <w:p w14:paraId="5D91F789">
      <w:pPr>
        <w:spacing w:before="20" w:line="412" w:lineRule="auto"/>
        <w:ind w:firstLine="137"/>
        <w:jc w:val="center"/>
        <w:outlineLvl w:val="2"/>
        <w:rPr>
          <w:rFonts w:ascii="宋体" w:hAnsi="宋体" w:eastAsia="宋体"/>
          <w:b/>
          <w:bCs/>
          <w:color w:val="auto"/>
          <w:sz w:val="28"/>
          <w:szCs w:val="28"/>
          <w:highlight w:val="none"/>
        </w:rPr>
      </w:pPr>
      <w:r>
        <w:rPr>
          <w:rFonts w:hint="eastAsia" w:ascii="宋体" w:hAnsi="宋体" w:eastAsia="宋体"/>
          <w:b/>
          <w:bCs/>
          <w:color w:val="auto"/>
          <w:szCs w:val="24"/>
          <w:highlight w:val="none"/>
        </w:rPr>
        <w:br w:type="page"/>
      </w:r>
      <w:r>
        <w:rPr>
          <w:rFonts w:hint="eastAsia" w:ascii="宋体" w:hAnsi="宋体" w:eastAsia="宋体"/>
          <w:b/>
          <w:bCs/>
          <w:color w:val="auto"/>
          <w:sz w:val="30"/>
          <w:szCs w:val="30"/>
          <w:highlight w:val="none"/>
        </w:rPr>
        <w:t>（</w:t>
      </w:r>
      <w:r>
        <w:rPr>
          <w:rFonts w:hint="eastAsia" w:ascii="宋体" w:hAnsi="宋体" w:eastAsia="宋体"/>
          <w:b/>
          <w:bCs/>
          <w:color w:val="auto"/>
          <w:sz w:val="30"/>
          <w:szCs w:val="30"/>
          <w:highlight w:val="none"/>
          <w:lang w:val="en-US" w:eastAsia="zh-CN"/>
        </w:rPr>
        <w:t>三</w:t>
      </w:r>
      <w:r>
        <w:rPr>
          <w:rFonts w:hint="eastAsia" w:ascii="宋体" w:hAnsi="宋体" w:eastAsia="宋体"/>
          <w:b/>
          <w:bCs/>
          <w:color w:val="auto"/>
          <w:sz w:val="30"/>
          <w:szCs w:val="30"/>
          <w:highlight w:val="none"/>
        </w:rPr>
        <w:t>）投标人声明格式</w:t>
      </w:r>
    </w:p>
    <w:p w14:paraId="5F7D2B8C">
      <w:pPr>
        <w:topLinePunct/>
        <w:spacing w:line="360" w:lineRule="auto"/>
        <w:jc w:val="center"/>
        <w:rPr>
          <w:rFonts w:ascii="宋体" w:hAnsi="宋体" w:eastAsia="宋体"/>
          <w:b/>
          <w:bCs/>
          <w:color w:val="auto"/>
          <w:spacing w:val="18"/>
          <w:sz w:val="28"/>
          <w:szCs w:val="28"/>
          <w:highlight w:val="none"/>
        </w:rPr>
      </w:pPr>
      <w:r>
        <w:rPr>
          <w:rFonts w:hint="eastAsia" w:ascii="宋体" w:hAnsi="宋体" w:eastAsia="宋体"/>
          <w:b/>
          <w:bCs/>
          <w:snapToGrid w:val="0"/>
          <w:color w:val="auto"/>
          <w:spacing w:val="4"/>
          <w:kern w:val="0"/>
          <w:sz w:val="28"/>
          <w:szCs w:val="28"/>
          <w:highlight w:val="none"/>
        </w:rPr>
        <w:t>（格式详见招标公告附件一）</w:t>
      </w:r>
    </w:p>
    <w:p w14:paraId="3CDE6076">
      <w:pPr>
        <w:spacing w:line="60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br w:type="page"/>
      </w:r>
    </w:p>
    <w:bookmarkEnd w:id="677"/>
    <w:p w14:paraId="522AFCFB">
      <w:pPr>
        <w:pStyle w:val="6"/>
        <w:spacing w:line="360" w:lineRule="auto"/>
        <w:jc w:val="center"/>
        <w:rPr>
          <w:rFonts w:hint="eastAsia" w:ascii="宋体" w:hAnsi="宋体" w:eastAsia="宋体"/>
          <w:color w:val="auto"/>
          <w:sz w:val="32"/>
          <w:szCs w:val="32"/>
          <w:highlight w:val="none"/>
        </w:rPr>
      </w:pPr>
      <w:bookmarkStart w:id="681" w:name="_Toc529196610"/>
      <w:bookmarkStart w:id="682" w:name="_Toc530470651"/>
      <w:bookmarkStart w:id="683" w:name="_Toc535938758"/>
      <w:r>
        <w:rPr>
          <w:rFonts w:hint="eastAsia" w:ascii="宋体" w:hAnsi="宋体" w:eastAsia="宋体"/>
          <w:color w:val="auto"/>
          <w:sz w:val="32"/>
          <w:szCs w:val="32"/>
          <w:highlight w:val="none"/>
        </w:rPr>
        <w:t>六、监理大纲</w:t>
      </w:r>
      <w:bookmarkEnd w:id="681"/>
      <w:bookmarkEnd w:id="682"/>
      <w:bookmarkEnd w:id="683"/>
    </w:p>
    <w:p w14:paraId="768AF133">
      <w:pPr>
        <w:rPr>
          <w:rFonts w:hint="eastAsia"/>
          <w:color w:val="auto"/>
          <w:highlight w:val="none"/>
        </w:rPr>
      </w:pPr>
    </w:p>
    <w:p w14:paraId="7CE9F304">
      <w:pPr>
        <w:spacing w:line="360" w:lineRule="auto"/>
        <w:ind w:firstLine="542" w:firstLineChars="226"/>
        <w:rPr>
          <w:rFonts w:ascii="宋体" w:hAnsi="宋体" w:eastAsia="宋体"/>
          <w:color w:val="auto"/>
          <w:sz w:val="24"/>
          <w:szCs w:val="24"/>
          <w:highlight w:val="none"/>
        </w:rPr>
      </w:pPr>
      <w:r>
        <w:rPr>
          <w:rFonts w:hint="eastAsia" w:ascii="宋体" w:hAnsi="宋体" w:eastAsia="宋体"/>
          <w:color w:val="auto"/>
          <w:sz w:val="24"/>
          <w:szCs w:val="24"/>
          <w:highlight w:val="none"/>
        </w:rPr>
        <w:t>监理大纲应包括（但不限于）下列内容：</w:t>
      </w:r>
    </w:p>
    <w:p w14:paraId="05DC40CC">
      <w:pPr>
        <w:spacing w:line="360" w:lineRule="auto"/>
        <w:ind w:firstLine="542" w:firstLineChars="226"/>
        <w:rPr>
          <w:rFonts w:ascii="宋体" w:hAnsi="宋体" w:eastAsia="宋体"/>
          <w:color w:val="auto"/>
          <w:sz w:val="24"/>
          <w:szCs w:val="24"/>
          <w:highlight w:val="none"/>
        </w:rPr>
      </w:pPr>
      <w:r>
        <w:rPr>
          <w:rFonts w:hint="eastAsia" w:ascii="宋体" w:hAnsi="宋体" w:eastAsia="宋体"/>
          <w:color w:val="auto"/>
          <w:sz w:val="24"/>
          <w:szCs w:val="24"/>
          <w:highlight w:val="none"/>
        </w:rPr>
        <w:t>一、监理工程概况；</w:t>
      </w:r>
    </w:p>
    <w:p w14:paraId="11A582A0">
      <w:pPr>
        <w:spacing w:line="360" w:lineRule="auto"/>
        <w:ind w:firstLine="542" w:firstLineChars="226"/>
        <w:rPr>
          <w:rFonts w:ascii="宋体" w:hAnsi="宋体" w:eastAsia="宋体"/>
          <w:color w:val="auto"/>
          <w:sz w:val="24"/>
          <w:szCs w:val="24"/>
          <w:highlight w:val="none"/>
        </w:rPr>
      </w:pPr>
      <w:r>
        <w:rPr>
          <w:rFonts w:hint="eastAsia" w:ascii="宋体" w:hAnsi="宋体" w:eastAsia="宋体"/>
          <w:color w:val="auto"/>
          <w:sz w:val="24"/>
          <w:szCs w:val="24"/>
          <w:highlight w:val="none"/>
        </w:rPr>
        <w:t>二、监理范围、监理内容；</w:t>
      </w:r>
    </w:p>
    <w:p w14:paraId="66304586">
      <w:pPr>
        <w:spacing w:line="360" w:lineRule="auto"/>
        <w:ind w:firstLine="542" w:firstLineChars="226"/>
        <w:rPr>
          <w:rFonts w:ascii="宋体" w:hAnsi="宋体" w:eastAsia="宋体"/>
          <w:color w:val="auto"/>
          <w:sz w:val="24"/>
          <w:szCs w:val="24"/>
          <w:highlight w:val="none"/>
        </w:rPr>
      </w:pPr>
      <w:r>
        <w:rPr>
          <w:rFonts w:hint="eastAsia" w:ascii="宋体" w:hAnsi="宋体" w:eastAsia="宋体"/>
          <w:color w:val="auto"/>
          <w:sz w:val="24"/>
          <w:szCs w:val="24"/>
          <w:highlight w:val="none"/>
        </w:rPr>
        <w:t>三、监理依据、监理工作目标；</w:t>
      </w:r>
    </w:p>
    <w:p w14:paraId="4EB240CF">
      <w:pPr>
        <w:spacing w:line="360" w:lineRule="auto"/>
        <w:ind w:firstLine="542" w:firstLineChars="226"/>
        <w:rPr>
          <w:rFonts w:ascii="宋体" w:hAnsi="宋体" w:eastAsia="宋体"/>
          <w:color w:val="auto"/>
          <w:sz w:val="24"/>
          <w:szCs w:val="24"/>
          <w:highlight w:val="none"/>
        </w:rPr>
      </w:pPr>
      <w:r>
        <w:rPr>
          <w:rFonts w:hint="eastAsia" w:ascii="宋体" w:hAnsi="宋体" w:eastAsia="宋体"/>
          <w:color w:val="auto"/>
          <w:sz w:val="24"/>
          <w:szCs w:val="24"/>
          <w:highlight w:val="none"/>
        </w:rPr>
        <w:t>四、监理机构设置（监理组织架构框图）、岗位职责；</w:t>
      </w:r>
    </w:p>
    <w:p w14:paraId="2F73007F">
      <w:pPr>
        <w:spacing w:line="360" w:lineRule="auto"/>
        <w:ind w:firstLine="542" w:firstLineChars="226"/>
        <w:rPr>
          <w:rFonts w:ascii="宋体" w:hAnsi="宋体" w:eastAsia="宋体"/>
          <w:color w:val="auto"/>
          <w:sz w:val="24"/>
          <w:szCs w:val="24"/>
          <w:highlight w:val="none"/>
        </w:rPr>
      </w:pPr>
      <w:r>
        <w:rPr>
          <w:rFonts w:hint="eastAsia" w:ascii="宋体" w:hAnsi="宋体" w:eastAsia="宋体"/>
          <w:color w:val="auto"/>
          <w:sz w:val="24"/>
          <w:szCs w:val="24"/>
          <w:highlight w:val="none"/>
        </w:rPr>
        <w:t>五、监理工作程序、方法和制度；</w:t>
      </w:r>
    </w:p>
    <w:p w14:paraId="62B2DCFD">
      <w:pPr>
        <w:spacing w:line="360" w:lineRule="auto"/>
        <w:ind w:firstLine="542" w:firstLineChars="226"/>
        <w:rPr>
          <w:rFonts w:ascii="宋体" w:hAnsi="宋体" w:eastAsia="宋体"/>
          <w:color w:val="auto"/>
          <w:sz w:val="24"/>
          <w:szCs w:val="24"/>
          <w:highlight w:val="none"/>
        </w:rPr>
      </w:pPr>
      <w:r>
        <w:rPr>
          <w:rFonts w:hint="eastAsia" w:ascii="宋体" w:hAnsi="宋体" w:eastAsia="宋体"/>
          <w:color w:val="auto"/>
          <w:sz w:val="24"/>
          <w:szCs w:val="24"/>
          <w:highlight w:val="none"/>
        </w:rPr>
        <w:t>六、拟投入的监理人员、试验检测仪器设备；</w:t>
      </w:r>
    </w:p>
    <w:p w14:paraId="425C7DFC">
      <w:pPr>
        <w:spacing w:line="360" w:lineRule="auto"/>
        <w:ind w:firstLine="542" w:firstLineChars="226"/>
        <w:rPr>
          <w:rFonts w:ascii="宋体" w:hAnsi="宋体" w:eastAsia="宋体"/>
          <w:color w:val="auto"/>
          <w:sz w:val="24"/>
          <w:szCs w:val="24"/>
          <w:highlight w:val="none"/>
        </w:rPr>
      </w:pPr>
      <w:r>
        <w:rPr>
          <w:rFonts w:hint="eastAsia" w:ascii="宋体" w:hAnsi="宋体" w:eastAsia="宋体"/>
          <w:color w:val="auto"/>
          <w:sz w:val="24"/>
          <w:szCs w:val="24"/>
          <w:highlight w:val="none"/>
        </w:rPr>
        <w:t>七、</w:t>
      </w:r>
      <w:r>
        <w:rPr>
          <w:rFonts w:hint="eastAsia" w:ascii="宋体" w:hAnsi="宋体" w:eastAsia="宋体"/>
          <w:color w:val="auto"/>
          <w:sz w:val="24"/>
          <w:szCs w:val="24"/>
          <w:highlight w:val="none"/>
          <w:lang w:eastAsia="zh-CN"/>
        </w:rPr>
        <w:t>投资、</w:t>
      </w:r>
      <w:r>
        <w:rPr>
          <w:rFonts w:hint="eastAsia" w:ascii="宋体" w:hAnsi="宋体" w:eastAsia="宋体"/>
          <w:color w:val="auto"/>
          <w:sz w:val="24"/>
          <w:szCs w:val="24"/>
          <w:highlight w:val="none"/>
        </w:rPr>
        <w:t>进度、质量</w:t>
      </w:r>
      <w:r>
        <w:rPr>
          <w:rFonts w:hint="eastAsia" w:ascii="宋体" w:hAnsi="宋体" w:eastAsia="宋体"/>
          <w:color w:val="auto"/>
          <w:sz w:val="24"/>
          <w:szCs w:val="24"/>
          <w:highlight w:val="none"/>
          <w:lang w:val="en-US" w:eastAsia="zh-CN"/>
        </w:rPr>
        <w:t>控制措施及</w:t>
      </w:r>
      <w:r>
        <w:rPr>
          <w:rFonts w:hint="eastAsia" w:ascii="宋体" w:hAnsi="宋体" w:eastAsia="宋体"/>
          <w:color w:val="auto"/>
          <w:sz w:val="24"/>
          <w:szCs w:val="24"/>
          <w:highlight w:val="none"/>
        </w:rPr>
        <w:t>安全、</w:t>
      </w:r>
      <w:r>
        <w:rPr>
          <w:rFonts w:hint="eastAsia" w:ascii="宋体" w:hAnsi="宋体" w:eastAsia="宋体"/>
          <w:color w:val="auto"/>
          <w:sz w:val="24"/>
          <w:szCs w:val="24"/>
          <w:highlight w:val="none"/>
          <w:lang w:eastAsia="zh-CN"/>
        </w:rPr>
        <w:t>文明</w:t>
      </w:r>
      <w:r>
        <w:rPr>
          <w:rFonts w:hint="eastAsia" w:ascii="宋体" w:hAnsi="宋体" w:eastAsia="宋体"/>
          <w:color w:val="auto"/>
          <w:sz w:val="24"/>
          <w:szCs w:val="24"/>
          <w:highlight w:val="none"/>
          <w:lang w:val="en-US" w:eastAsia="zh-CN"/>
        </w:rPr>
        <w:t>施工管理</w:t>
      </w:r>
      <w:r>
        <w:rPr>
          <w:rFonts w:hint="eastAsia" w:ascii="宋体" w:hAnsi="宋体" w:eastAsia="宋体"/>
          <w:color w:val="auto"/>
          <w:sz w:val="24"/>
          <w:szCs w:val="24"/>
          <w:highlight w:val="none"/>
        </w:rPr>
        <w:t>措施；</w:t>
      </w:r>
    </w:p>
    <w:p w14:paraId="5BD3D95D">
      <w:pPr>
        <w:spacing w:line="360" w:lineRule="auto"/>
        <w:ind w:firstLine="542" w:firstLineChars="226"/>
        <w:rPr>
          <w:rFonts w:ascii="宋体" w:hAnsi="宋体" w:eastAsia="宋体"/>
          <w:color w:val="auto"/>
          <w:sz w:val="24"/>
          <w:szCs w:val="24"/>
          <w:highlight w:val="none"/>
        </w:rPr>
      </w:pPr>
      <w:r>
        <w:rPr>
          <w:rFonts w:hint="eastAsia" w:ascii="宋体" w:hAnsi="宋体" w:eastAsia="宋体"/>
          <w:color w:val="auto"/>
          <w:sz w:val="24"/>
          <w:szCs w:val="24"/>
          <w:highlight w:val="none"/>
        </w:rPr>
        <w:t>八、合同、信息管理方案；</w:t>
      </w:r>
    </w:p>
    <w:p w14:paraId="4AE826F8">
      <w:pPr>
        <w:spacing w:line="360" w:lineRule="auto"/>
        <w:ind w:firstLine="542" w:firstLineChars="226"/>
        <w:rPr>
          <w:rFonts w:ascii="宋体" w:hAnsi="宋体" w:eastAsia="宋体"/>
          <w:color w:val="auto"/>
          <w:sz w:val="24"/>
          <w:szCs w:val="24"/>
          <w:highlight w:val="none"/>
        </w:rPr>
      </w:pPr>
      <w:r>
        <w:rPr>
          <w:rFonts w:hint="eastAsia" w:ascii="宋体" w:hAnsi="宋体" w:eastAsia="宋体"/>
          <w:color w:val="auto"/>
          <w:sz w:val="24"/>
          <w:szCs w:val="24"/>
          <w:highlight w:val="none"/>
        </w:rPr>
        <w:t>九、组织协调内容及措施；</w:t>
      </w:r>
    </w:p>
    <w:p w14:paraId="206902C8">
      <w:pPr>
        <w:spacing w:line="360" w:lineRule="auto"/>
        <w:ind w:firstLine="542" w:firstLineChars="226"/>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十、监理工作重点、难点分析；</w:t>
      </w:r>
    </w:p>
    <w:p w14:paraId="130D5905">
      <w:pPr>
        <w:spacing w:line="360" w:lineRule="auto"/>
        <w:ind w:firstLine="542" w:firstLineChars="226"/>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十一、工程进度款、工程结算的管理</w:t>
      </w:r>
      <w:r>
        <w:rPr>
          <w:rFonts w:hint="eastAsia" w:ascii="宋体" w:hAnsi="宋体" w:eastAsia="宋体"/>
          <w:color w:val="auto"/>
          <w:sz w:val="24"/>
          <w:szCs w:val="24"/>
          <w:highlight w:val="none"/>
          <w:lang w:val="en-US" w:eastAsia="zh-CN"/>
        </w:rPr>
        <w:t>方案</w:t>
      </w:r>
      <w:r>
        <w:rPr>
          <w:rFonts w:hint="eastAsia" w:ascii="宋体" w:hAnsi="宋体" w:eastAsia="宋体"/>
          <w:color w:val="auto"/>
          <w:sz w:val="24"/>
          <w:szCs w:val="24"/>
          <w:highlight w:val="none"/>
          <w:lang w:eastAsia="zh-CN"/>
        </w:rPr>
        <w:t>；</w:t>
      </w:r>
    </w:p>
    <w:p w14:paraId="1C5394B6">
      <w:pPr>
        <w:spacing w:line="360" w:lineRule="auto"/>
        <w:ind w:firstLine="542" w:firstLineChars="226"/>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十</w:t>
      </w:r>
      <w:r>
        <w:rPr>
          <w:rFonts w:hint="eastAsia" w:ascii="宋体" w:hAnsi="宋体" w:eastAsia="宋体"/>
          <w:color w:val="auto"/>
          <w:sz w:val="24"/>
          <w:szCs w:val="24"/>
          <w:highlight w:val="none"/>
          <w:lang w:val="en-US" w:eastAsia="zh-CN"/>
        </w:rPr>
        <w:t>二</w:t>
      </w:r>
      <w:r>
        <w:rPr>
          <w:rFonts w:hint="eastAsia" w:ascii="宋体" w:hAnsi="宋体" w:eastAsia="宋体"/>
          <w:color w:val="auto"/>
          <w:sz w:val="24"/>
          <w:szCs w:val="24"/>
          <w:highlight w:val="none"/>
        </w:rPr>
        <w:t>、对本工程监理的合理化建议</w:t>
      </w:r>
      <w:r>
        <w:rPr>
          <w:rFonts w:hint="eastAsia" w:ascii="宋体" w:hAnsi="宋体" w:eastAsia="宋体"/>
          <w:color w:val="auto"/>
          <w:sz w:val="24"/>
          <w:szCs w:val="24"/>
          <w:highlight w:val="none"/>
          <w:lang w:eastAsia="zh-CN"/>
        </w:rPr>
        <w:t>；</w:t>
      </w:r>
    </w:p>
    <w:p w14:paraId="76F884DC">
      <w:pPr>
        <w:spacing w:line="360" w:lineRule="auto"/>
        <w:ind w:firstLine="542" w:firstLineChars="226"/>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十</w:t>
      </w:r>
      <w:r>
        <w:rPr>
          <w:rFonts w:hint="eastAsia" w:ascii="宋体" w:hAnsi="宋体" w:eastAsia="宋体"/>
          <w:color w:val="auto"/>
          <w:sz w:val="24"/>
          <w:szCs w:val="24"/>
          <w:highlight w:val="none"/>
          <w:lang w:val="en-US" w:eastAsia="zh-CN"/>
        </w:rPr>
        <w:t>三</w:t>
      </w:r>
      <w:r>
        <w:rPr>
          <w:rFonts w:hint="eastAsia" w:ascii="宋体" w:hAnsi="宋体" w:eastAsia="宋体"/>
          <w:color w:val="auto"/>
          <w:sz w:val="24"/>
          <w:szCs w:val="24"/>
          <w:highlight w:val="none"/>
        </w:rPr>
        <w:t>、承接业务能力优势</w:t>
      </w:r>
      <w:r>
        <w:rPr>
          <w:rFonts w:hint="eastAsia" w:ascii="宋体" w:hAnsi="宋体" w:eastAsia="宋体"/>
          <w:color w:val="auto"/>
          <w:sz w:val="24"/>
          <w:szCs w:val="24"/>
          <w:highlight w:val="none"/>
          <w:lang w:eastAsia="zh-CN"/>
        </w:rPr>
        <w:t>。</w:t>
      </w:r>
    </w:p>
    <w:p w14:paraId="68D05418">
      <w:pPr>
        <w:spacing w:line="240" w:lineRule="auto"/>
        <w:ind w:firstLine="0" w:firstLineChars="0"/>
        <w:rPr>
          <w:rFonts w:hint="eastAsia" w:ascii="宋体" w:hAnsi="宋体" w:eastAsia="宋体"/>
          <w:color w:val="auto"/>
          <w:sz w:val="24"/>
          <w:szCs w:val="24"/>
          <w:highlight w:val="none"/>
        </w:rPr>
      </w:pPr>
      <w:r>
        <w:rPr>
          <w:rFonts w:hint="eastAsia" w:ascii="宋体" w:hAnsi="宋体" w:eastAsia="宋体"/>
          <w:color w:val="auto"/>
          <w:sz w:val="24"/>
          <w:szCs w:val="24"/>
          <w:highlight w:val="none"/>
        </w:rPr>
        <w:br w:type="page"/>
      </w:r>
    </w:p>
    <w:p w14:paraId="65FFC70E">
      <w:pPr>
        <w:pStyle w:val="6"/>
        <w:spacing w:line="360" w:lineRule="auto"/>
        <w:jc w:val="center"/>
        <w:rPr>
          <w:rFonts w:ascii="宋体" w:hAnsi="宋体" w:eastAsia="宋体"/>
          <w:color w:val="auto"/>
          <w:sz w:val="32"/>
          <w:szCs w:val="32"/>
          <w:highlight w:val="none"/>
        </w:rPr>
      </w:pPr>
      <w:bookmarkStart w:id="684" w:name="_Toc530470652"/>
      <w:bookmarkStart w:id="685" w:name="_Toc529196611"/>
      <w:bookmarkStart w:id="686" w:name="_Toc535938759"/>
      <w:r>
        <w:rPr>
          <w:rFonts w:hint="eastAsia" w:ascii="宋体" w:hAnsi="宋体" w:eastAsia="宋体"/>
          <w:color w:val="auto"/>
          <w:sz w:val="32"/>
          <w:szCs w:val="32"/>
          <w:highlight w:val="none"/>
          <w:lang w:val="en-US" w:eastAsia="zh-CN"/>
        </w:rPr>
        <w:t>七</w:t>
      </w:r>
      <w:r>
        <w:rPr>
          <w:rFonts w:hint="eastAsia" w:ascii="宋体" w:hAnsi="宋体" w:eastAsia="宋体"/>
          <w:color w:val="auto"/>
          <w:sz w:val="32"/>
          <w:szCs w:val="32"/>
          <w:highlight w:val="none"/>
        </w:rPr>
        <w:t>、其他资料</w:t>
      </w:r>
      <w:bookmarkEnd w:id="684"/>
      <w:bookmarkEnd w:id="685"/>
      <w:bookmarkEnd w:id="686"/>
    </w:p>
    <w:p w14:paraId="2F00FF19">
      <w:pPr>
        <w:pStyle w:val="7"/>
        <w:spacing w:before="0" w:after="0" w:line="360" w:lineRule="auto"/>
        <w:ind w:firstLine="136"/>
        <w:jc w:val="center"/>
        <w:outlineLvl w:val="2"/>
        <w:rPr>
          <w:rFonts w:hint="default" w:ascii="宋体" w:hAnsi="宋体" w:eastAsia="宋体"/>
          <w:b/>
          <w:bCs/>
          <w:color w:val="auto"/>
          <w:sz w:val="30"/>
          <w:szCs w:val="30"/>
          <w:highlight w:val="none"/>
          <w:lang w:val="en-US" w:eastAsia="zh-CN"/>
        </w:rPr>
      </w:pPr>
      <w:bookmarkStart w:id="687" w:name="_Toc530470659"/>
      <w:bookmarkStart w:id="688" w:name="_Hlk22687129"/>
      <w:bookmarkStart w:id="689" w:name="_Toc535938766"/>
      <w:r>
        <w:rPr>
          <w:rFonts w:hint="eastAsia" w:ascii="宋体" w:hAnsi="宋体"/>
          <w:b/>
          <w:bCs/>
          <w:color w:val="auto"/>
          <w:sz w:val="30"/>
          <w:szCs w:val="30"/>
          <w:highlight w:val="none"/>
          <w:lang w:val="en-US" w:eastAsia="zh-CN"/>
        </w:rPr>
        <w:t>（一）</w:t>
      </w:r>
      <w:r>
        <w:rPr>
          <w:rFonts w:hint="eastAsia" w:ascii="宋体" w:hAnsi="宋体" w:eastAsia="宋体"/>
          <w:b/>
          <w:bCs/>
          <w:color w:val="auto"/>
          <w:sz w:val="30"/>
          <w:szCs w:val="30"/>
          <w:highlight w:val="none"/>
          <w:lang w:val="en-US" w:eastAsia="zh-CN"/>
        </w:rPr>
        <w:t>资信业绩证明材料</w:t>
      </w:r>
    </w:p>
    <w:p w14:paraId="76B794B1">
      <w:pPr>
        <w:spacing w:before="20" w:line="412" w:lineRule="auto"/>
        <w:ind w:firstLine="137"/>
        <w:jc w:val="center"/>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1</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rPr>
        <w:t>20</w:t>
      </w:r>
      <w:r>
        <w:rPr>
          <w:rFonts w:hint="eastAsia" w:ascii="宋体" w:hAnsi="宋体" w:eastAsia="宋体" w:cs="宋体"/>
          <w:b/>
          <w:bCs/>
          <w:color w:val="auto"/>
          <w:sz w:val="28"/>
          <w:szCs w:val="28"/>
          <w:highlight w:val="none"/>
          <w:lang w:val="en-US" w:eastAsia="zh-CN"/>
        </w:rPr>
        <w:t>22</w:t>
      </w:r>
      <w:r>
        <w:rPr>
          <w:rFonts w:hint="eastAsia" w:ascii="宋体" w:hAnsi="宋体" w:eastAsia="宋体" w:cs="宋体"/>
          <w:b/>
          <w:bCs/>
          <w:color w:val="auto"/>
          <w:sz w:val="28"/>
          <w:szCs w:val="28"/>
          <w:highlight w:val="none"/>
        </w:rPr>
        <w:t>年1月1日至今完成的类似项目情况表</w:t>
      </w:r>
    </w:p>
    <w:tbl>
      <w:tblPr>
        <w:tblStyle w:val="40"/>
        <w:tblW w:w="9622" w:type="dxa"/>
        <w:jc w:val="center"/>
        <w:tblLayout w:type="fixed"/>
        <w:tblCellMar>
          <w:top w:w="0" w:type="dxa"/>
          <w:left w:w="108" w:type="dxa"/>
          <w:bottom w:w="0" w:type="dxa"/>
          <w:right w:w="108" w:type="dxa"/>
        </w:tblCellMar>
      </w:tblPr>
      <w:tblGrid>
        <w:gridCol w:w="2562"/>
        <w:gridCol w:w="7060"/>
      </w:tblGrid>
      <w:tr w14:paraId="1FBD0AEA">
        <w:tblPrEx>
          <w:tblCellMar>
            <w:top w:w="0" w:type="dxa"/>
            <w:left w:w="108" w:type="dxa"/>
            <w:bottom w:w="0" w:type="dxa"/>
            <w:right w:w="108" w:type="dxa"/>
          </w:tblCellMar>
        </w:tblPrEx>
        <w:trPr>
          <w:trHeight w:val="670" w:hRule="atLeast"/>
          <w:jc w:val="center"/>
        </w:trPr>
        <w:tc>
          <w:tcPr>
            <w:tcW w:w="2562" w:type="dxa"/>
            <w:tcBorders>
              <w:top w:val="single" w:color="auto" w:sz="4" w:space="0"/>
              <w:left w:val="single" w:color="auto" w:sz="4" w:space="0"/>
              <w:bottom w:val="single" w:color="auto" w:sz="4" w:space="0"/>
              <w:right w:val="single" w:color="auto" w:sz="4" w:space="0"/>
            </w:tcBorders>
            <w:vAlign w:val="center"/>
          </w:tcPr>
          <w:p w14:paraId="0C225C3F">
            <w:pPr>
              <w:topLinePunct/>
              <w:spacing w:line="44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项目名称</w:t>
            </w:r>
          </w:p>
        </w:tc>
        <w:tc>
          <w:tcPr>
            <w:tcW w:w="7060" w:type="dxa"/>
            <w:tcBorders>
              <w:top w:val="single" w:color="auto" w:sz="4" w:space="0"/>
              <w:left w:val="nil"/>
              <w:bottom w:val="single" w:color="auto" w:sz="4" w:space="0"/>
              <w:right w:val="single" w:color="auto" w:sz="4" w:space="0"/>
            </w:tcBorders>
          </w:tcPr>
          <w:p w14:paraId="0EE9B815">
            <w:pPr>
              <w:topLinePunct/>
              <w:spacing w:line="440" w:lineRule="exact"/>
              <w:rPr>
                <w:rFonts w:ascii="宋体" w:hAnsi="宋体" w:eastAsia="宋体"/>
                <w:color w:val="auto"/>
                <w:sz w:val="24"/>
                <w:szCs w:val="24"/>
                <w:highlight w:val="none"/>
              </w:rPr>
            </w:pPr>
          </w:p>
        </w:tc>
      </w:tr>
      <w:tr w14:paraId="1C28D7AB">
        <w:tblPrEx>
          <w:tblCellMar>
            <w:top w:w="0" w:type="dxa"/>
            <w:left w:w="108" w:type="dxa"/>
            <w:bottom w:w="0" w:type="dxa"/>
            <w:right w:w="108" w:type="dxa"/>
          </w:tblCellMar>
        </w:tblPrEx>
        <w:trPr>
          <w:trHeight w:val="670" w:hRule="atLeast"/>
          <w:jc w:val="center"/>
        </w:trPr>
        <w:tc>
          <w:tcPr>
            <w:tcW w:w="2562" w:type="dxa"/>
            <w:tcBorders>
              <w:top w:val="single" w:color="auto" w:sz="4" w:space="0"/>
              <w:left w:val="single" w:color="auto" w:sz="4" w:space="0"/>
              <w:bottom w:val="single" w:color="auto" w:sz="4" w:space="0"/>
              <w:right w:val="single" w:color="auto" w:sz="4" w:space="0"/>
            </w:tcBorders>
            <w:vAlign w:val="center"/>
          </w:tcPr>
          <w:p w14:paraId="25B1EE6D">
            <w:pPr>
              <w:topLinePunct/>
              <w:spacing w:line="44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项目所在地</w:t>
            </w:r>
          </w:p>
        </w:tc>
        <w:tc>
          <w:tcPr>
            <w:tcW w:w="7060" w:type="dxa"/>
            <w:tcBorders>
              <w:top w:val="single" w:color="auto" w:sz="4" w:space="0"/>
              <w:left w:val="nil"/>
              <w:bottom w:val="single" w:color="auto" w:sz="4" w:space="0"/>
              <w:right w:val="single" w:color="auto" w:sz="4" w:space="0"/>
            </w:tcBorders>
          </w:tcPr>
          <w:p w14:paraId="532D830C">
            <w:pPr>
              <w:topLinePunct/>
              <w:spacing w:line="440" w:lineRule="exact"/>
              <w:rPr>
                <w:rFonts w:ascii="宋体" w:hAnsi="宋体" w:eastAsia="宋体"/>
                <w:color w:val="auto"/>
                <w:sz w:val="24"/>
                <w:szCs w:val="24"/>
                <w:highlight w:val="none"/>
              </w:rPr>
            </w:pPr>
          </w:p>
        </w:tc>
      </w:tr>
      <w:tr w14:paraId="1474FDD6">
        <w:tblPrEx>
          <w:tblCellMar>
            <w:top w:w="0" w:type="dxa"/>
            <w:left w:w="108" w:type="dxa"/>
            <w:bottom w:w="0" w:type="dxa"/>
            <w:right w:w="108" w:type="dxa"/>
          </w:tblCellMar>
        </w:tblPrEx>
        <w:trPr>
          <w:trHeight w:val="670" w:hRule="atLeast"/>
          <w:jc w:val="center"/>
        </w:trPr>
        <w:tc>
          <w:tcPr>
            <w:tcW w:w="2562" w:type="dxa"/>
            <w:tcBorders>
              <w:top w:val="single" w:color="auto" w:sz="4" w:space="0"/>
              <w:left w:val="single" w:color="auto" w:sz="4" w:space="0"/>
              <w:bottom w:val="single" w:color="auto" w:sz="4" w:space="0"/>
              <w:right w:val="single" w:color="auto" w:sz="4" w:space="0"/>
            </w:tcBorders>
            <w:vAlign w:val="center"/>
          </w:tcPr>
          <w:p w14:paraId="716CDC47">
            <w:pPr>
              <w:topLinePunct/>
              <w:spacing w:line="44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委托人名称</w:t>
            </w:r>
          </w:p>
        </w:tc>
        <w:tc>
          <w:tcPr>
            <w:tcW w:w="7060" w:type="dxa"/>
            <w:tcBorders>
              <w:top w:val="single" w:color="auto" w:sz="4" w:space="0"/>
              <w:left w:val="nil"/>
              <w:bottom w:val="single" w:color="auto" w:sz="4" w:space="0"/>
              <w:right w:val="single" w:color="auto" w:sz="4" w:space="0"/>
            </w:tcBorders>
          </w:tcPr>
          <w:p w14:paraId="74D73348">
            <w:pPr>
              <w:topLinePunct/>
              <w:spacing w:line="440" w:lineRule="exact"/>
              <w:rPr>
                <w:rFonts w:ascii="宋体" w:hAnsi="宋体" w:eastAsia="宋体"/>
                <w:color w:val="auto"/>
                <w:sz w:val="24"/>
                <w:szCs w:val="24"/>
                <w:highlight w:val="none"/>
              </w:rPr>
            </w:pPr>
          </w:p>
        </w:tc>
      </w:tr>
      <w:tr w14:paraId="40ABABEC">
        <w:tblPrEx>
          <w:tblCellMar>
            <w:top w:w="0" w:type="dxa"/>
            <w:left w:w="108" w:type="dxa"/>
            <w:bottom w:w="0" w:type="dxa"/>
            <w:right w:w="108" w:type="dxa"/>
          </w:tblCellMar>
        </w:tblPrEx>
        <w:trPr>
          <w:trHeight w:val="670" w:hRule="atLeast"/>
          <w:jc w:val="center"/>
        </w:trPr>
        <w:tc>
          <w:tcPr>
            <w:tcW w:w="2562" w:type="dxa"/>
            <w:tcBorders>
              <w:top w:val="single" w:color="auto" w:sz="4" w:space="0"/>
              <w:left w:val="single" w:color="auto" w:sz="4" w:space="0"/>
              <w:bottom w:val="single" w:color="auto" w:sz="4" w:space="0"/>
              <w:right w:val="single" w:color="auto" w:sz="4" w:space="0"/>
            </w:tcBorders>
            <w:vAlign w:val="center"/>
          </w:tcPr>
          <w:p w14:paraId="1DABFEF3">
            <w:pPr>
              <w:topLinePunct/>
              <w:spacing w:line="44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委托人地址</w:t>
            </w:r>
          </w:p>
        </w:tc>
        <w:tc>
          <w:tcPr>
            <w:tcW w:w="7060" w:type="dxa"/>
            <w:tcBorders>
              <w:top w:val="single" w:color="auto" w:sz="4" w:space="0"/>
              <w:left w:val="nil"/>
              <w:bottom w:val="single" w:color="auto" w:sz="4" w:space="0"/>
              <w:right w:val="single" w:color="auto" w:sz="4" w:space="0"/>
            </w:tcBorders>
          </w:tcPr>
          <w:p w14:paraId="43C78B15">
            <w:pPr>
              <w:topLinePunct/>
              <w:spacing w:line="440" w:lineRule="exact"/>
              <w:rPr>
                <w:rFonts w:ascii="宋体" w:hAnsi="宋体" w:eastAsia="宋体"/>
                <w:color w:val="auto"/>
                <w:sz w:val="24"/>
                <w:szCs w:val="24"/>
                <w:highlight w:val="none"/>
              </w:rPr>
            </w:pPr>
          </w:p>
        </w:tc>
      </w:tr>
      <w:tr w14:paraId="45A31462">
        <w:tblPrEx>
          <w:tblCellMar>
            <w:top w:w="0" w:type="dxa"/>
            <w:left w:w="108" w:type="dxa"/>
            <w:bottom w:w="0" w:type="dxa"/>
            <w:right w:w="108" w:type="dxa"/>
          </w:tblCellMar>
        </w:tblPrEx>
        <w:trPr>
          <w:trHeight w:val="670" w:hRule="atLeast"/>
          <w:jc w:val="center"/>
        </w:trPr>
        <w:tc>
          <w:tcPr>
            <w:tcW w:w="2562" w:type="dxa"/>
            <w:tcBorders>
              <w:top w:val="single" w:color="auto" w:sz="4" w:space="0"/>
              <w:left w:val="single" w:color="auto" w:sz="4" w:space="0"/>
              <w:bottom w:val="single" w:color="auto" w:sz="4" w:space="0"/>
              <w:right w:val="single" w:color="auto" w:sz="4" w:space="0"/>
            </w:tcBorders>
            <w:vAlign w:val="center"/>
          </w:tcPr>
          <w:p w14:paraId="518F8F92">
            <w:pPr>
              <w:topLinePunct/>
              <w:spacing w:line="44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委托人电话</w:t>
            </w:r>
          </w:p>
        </w:tc>
        <w:tc>
          <w:tcPr>
            <w:tcW w:w="7060" w:type="dxa"/>
            <w:tcBorders>
              <w:top w:val="single" w:color="auto" w:sz="4" w:space="0"/>
              <w:left w:val="nil"/>
              <w:bottom w:val="single" w:color="auto" w:sz="4" w:space="0"/>
              <w:right w:val="single" w:color="auto" w:sz="4" w:space="0"/>
            </w:tcBorders>
          </w:tcPr>
          <w:p w14:paraId="4E68B4E0">
            <w:pPr>
              <w:topLinePunct/>
              <w:spacing w:line="440" w:lineRule="exact"/>
              <w:rPr>
                <w:rFonts w:ascii="宋体" w:hAnsi="宋体" w:eastAsia="宋体"/>
                <w:color w:val="auto"/>
                <w:sz w:val="24"/>
                <w:szCs w:val="24"/>
                <w:highlight w:val="none"/>
              </w:rPr>
            </w:pPr>
          </w:p>
        </w:tc>
      </w:tr>
      <w:tr w14:paraId="1B162AFD">
        <w:tblPrEx>
          <w:tblCellMar>
            <w:top w:w="0" w:type="dxa"/>
            <w:left w:w="108" w:type="dxa"/>
            <w:bottom w:w="0" w:type="dxa"/>
            <w:right w:w="108" w:type="dxa"/>
          </w:tblCellMar>
        </w:tblPrEx>
        <w:trPr>
          <w:trHeight w:val="670" w:hRule="atLeast"/>
          <w:jc w:val="center"/>
        </w:trPr>
        <w:tc>
          <w:tcPr>
            <w:tcW w:w="2562" w:type="dxa"/>
            <w:tcBorders>
              <w:top w:val="single" w:color="auto" w:sz="4" w:space="0"/>
              <w:left w:val="single" w:color="auto" w:sz="4" w:space="0"/>
              <w:bottom w:val="single" w:color="auto" w:sz="4" w:space="0"/>
              <w:right w:val="single" w:color="auto" w:sz="4" w:space="0"/>
            </w:tcBorders>
            <w:vAlign w:val="center"/>
          </w:tcPr>
          <w:p w14:paraId="09F91361">
            <w:pPr>
              <w:topLinePunct/>
              <w:spacing w:line="44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合同价格</w:t>
            </w:r>
          </w:p>
        </w:tc>
        <w:tc>
          <w:tcPr>
            <w:tcW w:w="7060" w:type="dxa"/>
            <w:tcBorders>
              <w:top w:val="single" w:color="auto" w:sz="4" w:space="0"/>
              <w:left w:val="nil"/>
              <w:bottom w:val="single" w:color="auto" w:sz="4" w:space="0"/>
              <w:right w:val="single" w:color="auto" w:sz="4" w:space="0"/>
            </w:tcBorders>
          </w:tcPr>
          <w:p w14:paraId="5FE93E68">
            <w:pPr>
              <w:topLinePunct/>
              <w:spacing w:line="440" w:lineRule="exact"/>
              <w:rPr>
                <w:rFonts w:ascii="宋体" w:hAnsi="宋体" w:eastAsia="宋体"/>
                <w:color w:val="auto"/>
                <w:sz w:val="24"/>
                <w:szCs w:val="24"/>
                <w:highlight w:val="none"/>
              </w:rPr>
            </w:pPr>
          </w:p>
        </w:tc>
      </w:tr>
      <w:tr w14:paraId="4A7E5348">
        <w:tblPrEx>
          <w:tblCellMar>
            <w:top w:w="0" w:type="dxa"/>
            <w:left w:w="108" w:type="dxa"/>
            <w:bottom w:w="0" w:type="dxa"/>
            <w:right w:w="108" w:type="dxa"/>
          </w:tblCellMar>
        </w:tblPrEx>
        <w:trPr>
          <w:trHeight w:val="670" w:hRule="atLeast"/>
          <w:jc w:val="center"/>
        </w:trPr>
        <w:tc>
          <w:tcPr>
            <w:tcW w:w="2562" w:type="dxa"/>
            <w:tcBorders>
              <w:top w:val="single" w:color="auto" w:sz="4" w:space="0"/>
              <w:left w:val="single" w:color="auto" w:sz="4" w:space="0"/>
              <w:bottom w:val="single" w:color="auto" w:sz="4" w:space="0"/>
              <w:right w:val="single" w:color="auto" w:sz="4" w:space="0"/>
            </w:tcBorders>
            <w:vAlign w:val="center"/>
          </w:tcPr>
          <w:p w14:paraId="1FF6FD59">
            <w:pPr>
              <w:topLinePunct/>
              <w:spacing w:line="44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监理服务期限</w:t>
            </w:r>
          </w:p>
        </w:tc>
        <w:tc>
          <w:tcPr>
            <w:tcW w:w="7060" w:type="dxa"/>
            <w:tcBorders>
              <w:top w:val="single" w:color="auto" w:sz="4" w:space="0"/>
              <w:left w:val="nil"/>
              <w:bottom w:val="single" w:color="auto" w:sz="4" w:space="0"/>
              <w:right w:val="single" w:color="auto" w:sz="4" w:space="0"/>
            </w:tcBorders>
          </w:tcPr>
          <w:p w14:paraId="3583F6E7">
            <w:pPr>
              <w:topLinePunct/>
              <w:spacing w:line="440" w:lineRule="exact"/>
              <w:rPr>
                <w:rFonts w:ascii="宋体" w:hAnsi="宋体" w:eastAsia="宋体"/>
                <w:color w:val="auto"/>
                <w:sz w:val="24"/>
                <w:szCs w:val="24"/>
                <w:highlight w:val="none"/>
              </w:rPr>
            </w:pPr>
          </w:p>
        </w:tc>
      </w:tr>
      <w:tr w14:paraId="07E0F921">
        <w:tblPrEx>
          <w:tblCellMar>
            <w:top w:w="0" w:type="dxa"/>
            <w:left w:w="108" w:type="dxa"/>
            <w:bottom w:w="0" w:type="dxa"/>
            <w:right w:w="108" w:type="dxa"/>
          </w:tblCellMar>
        </w:tblPrEx>
        <w:trPr>
          <w:trHeight w:val="670" w:hRule="atLeast"/>
          <w:jc w:val="center"/>
        </w:trPr>
        <w:tc>
          <w:tcPr>
            <w:tcW w:w="2562" w:type="dxa"/>
            <w:tcBorders>
              <w:top w:val="single" w:color="auto" w:sz="4" w:space="0"/>
              <w:left w:val="single" w:color="auto" w:sz="4" w:space="0"/>
              <w:bottom w:val="single" w:color="auto" w:sz="4" w:space="0"/>
              <w:right w:val="single" w:color="auto" w:sz="4" w:space="0"/>
            </w:tcBorders>
            <w:vAlign w:val="center"/>
          </w:tcPr>
          <w:p w14:paraId="1A639A97">
            <w:pPr>
              <w:topLinePunct/>
              <w:spacing w:line="44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监理内容</w:t>
            </w:r>
          </w:p>
        </w:tc>
        <w:tc>
          <w:tcPr>
            <w:tcW w:w="7060" w:type="dxa"/>
            <w:tcBorders>
              <w:top w:val="single" w:color="auto" w:sz="4" w:space="0"/>
              <w:left w:val="nil"/>
              <w:bottom w:val="single" w:color="auto" w:sz="4" w:space="0"/>
              <w:right w:val="single" w:color="auto" w:sz="4" w:space="0"/>
            </w:tcBorders>
          </w:tcPr>
          <w:p w14:paraId="1E3617F8">
            <w:pPr>
              <w:topLinePunct/>
              <w:spacing w:line="440" w:lineRule="exact"/>
              <w:rPr>
                <w:rFonts w:ascii="宋体" w:hAnsi="宋体" w:eastAsia="宋体"/>
                <w:color w:val="auto"/>
                <w:sz w:val="24"/>
                <w:szCs w:val="24"/>
                <w:highlight w:val="none"/>
              </w:rPr>
            </w:pPr>
          </w:p>
        </w:tc>
      </w:tr>
      <w:tr w14:paraId="1410D5EE">
        <w:tblPrEx>
          <w:tblCellMar>
            <w:top w:w="0" w:type="dxa"/>
            <w:left w:w="108" w:type="dxa"/>
            <w:bottom w:w="0" w:type="dxa"/>
            <w:right w:w="108" w:type="dxa"/>
          </w:tblCellMar>
        </w:tblPrEx>
        <w:trPr>
          <w:trHeight w:val="670" w:hRule="atLeast"/>
          <w:jc w:val="center"/>
        </w:trPr>
        <w:tc>
          <w:tcPr>
            <w:tcW w:w="2562" w:type="dxa"/>
            <w:tcBorders>
              <w:top w:val="single" w:color="auto" w:sz="4" w:space="0"/>
              <w:left w:val="single" w:color="auto" w:sz="4" w:space="0"/>
              <w:bottom w:val="single" w:color="auto" w:sz="4" w:space="0"/>
              <w:right w:val="single" w:color="auto" w:sz="4" w:space="0"/>
            </w:tcBorders>
            <w:vAlign w:val="center"/>
          </w:tcPr>
          <w:p w14:paraId="1947D748">
            <w:pPr>
              <w:topLinePunct/>
              <w:spacing w:line="44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总监理工程师</w:t>
            </w:r>
          </w:p>
        </w:tc>
        <w:tc>
          <w:tcPr>
            <w:tcW w:w="7060" w:type="dxa"/>
            <w:tcBorders>
              <w:top w:val="single" w:color="auto" w:sz="4" w:space="0"/>
              <w:left w:val="nil"/>
              <w:bottom w:val="single" w:color="auto" w:sz="4" w:space="0"/>
              <w:right w:val="single" w:color="auto" w:sz="4" w:space="0"/>
            </w:tcBorders>
          </w:tcPr>
          <w:p w14:paraId="6D29E668">
            <w:pPr>
              <w:topLinePunct/>
              <w:spacing w:line="440" w:lineRule="exact"/>
              <w:rPr>
                <w:rFonts w:ascii="宋体" w:hAnsi="宋体" w:eastAsia="宋体"/>
                <w:color w:val="auto"/>
                <w:sz w:val="24"/>
                <w:szCs w:val="24"/>
                <w:highlight w:val="none"/>
              </w:rPr>
            </w:pPr>
          </w:p>
        </w:tc>
      </w:tr>
      <w:tr w14:paraId="51A6DBFF">
        <w:tblPrEx>
          <w:tblCellMar>
            <w:top w:w="0" w:type="dxa"/>
            <w:left w:w="108" w:type="dxa"/>
            <w:bottom w:w="0" w:type="dxa"/>
            <w:right w:w="108" w:type="dxa"/>
          </w:tblCellMar>
        </w:tblPrEx>
        <w:trPr>
          <w:trHeight w:val="670" w:hRule="atLeast"/>
          <w:jc w:val="center"/>
        </w:trPr>
        <w:tc>
          <w:tcPr>
            <w:tcW w:w="2562" w:type="dxa"/>
            <w:tcBorders>
              <w:top w:val="single" w:color="auto" w:sz="4" w:space="0"/>
              <w:left w:val="single" w:color="auto" w:sz="4" w:space="0"/>
              <w:bottom w:val="single" w:color="auto" w:sz="4" w:space="0"/>
              <w:right w:val="single" w:color="auto" w:sz="4" w:space="0"/>
            </w:tcBorders>
            <w:vAlign w:val="center"/>
          </w:tcPr>
          <w:p w14:paraId="58A3F4EE">
            <w:pPr>
              <w:topLinePunct/>
              <w:spacing w:line="44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项目描述</w:t>
            </w:r>
          </w:p>
        </w:tc>
        <w:tc>
          <w:tcPr>
            <w:tcW w:w="7060" w:type="dxa"/>
            <w:tcBorders>
              <w:top w:val="single" w:color="auto" w:sz="4" w:space="0"/>
              <w:left w:val="nil"/>
              <w:bottom w:val="single" w:color="auto" w:sz="4" w:space="0"/>
              <w:right w:val="single" w:color="auto" w:sz="4" w:space="0"/>
            </w:tcBorders>
          </w:tcPr>
          <w:p w14:paraId="1679FDB9">
            <w:pPr>
              <w:topLinePunct/>
              <w:spacing w:line="440" w:lineRule="exact"/>
              <w:rPr>
                <w:rFonts w:ascii="宋体" w:hAnsi="宋体" w:eastAsia="宋体"/>
                <w:color w:val="auto"/>
                <w:sz w:val="24"/>
                <w:szCs w:val="24"/>
                <w:highlight w:val="none"/>
              </w:rPr>
            </w:pPr>
          </w:p>
          <w:p w14:paraId="2E9EDC1C">
            <w:pPr>
              <w:topLinePunct/>
              <w:spacing w:line="440" w:lineRule="exact"/>
              <w:rPr>
                <w:rFonts w:ascii="宋体" w:hAnsi="宋体" w:eastAsia="宋体"/>
                <w:color w:val="auto"/>
                <w:sz w:val="24"/>
                <w:szCs w:val="24"/>
                <w:highlight w:val="none"/>
              </w:rPr>
            </w:pPr>
          </w:p>
          <w:p w14:paraId="51CA26E9">
            <w:pPr>
              <w:topLinePunct/>
              <w:spacing w:line="440" w:lineRule="exact"/>
              <w:rPr>
                <w:rFonts w:ascii="宋体" w:hAnsi="宋体" w:eastAsia="宋体"/>
                <w:color w:val="auto"/>
                <w:sz w:val="24"/>
                <w:szCs w:val="24"/>
                <w:highlight w:val="none"/>
              </w:rPr>
            </w:pPr>
          </w:p>
          <w:p w14:paraId="14324BDD">
            <w:pPr>
              <w:topLinePunct/>
              <w:spacing w:line="440" w:lineRule="exact"/>
              <w:rPr>
                <w:rFonts w:ascii="宋体" w:hAnsi="宋体" w:eastAsia="宋体"/>
                <w:color w:val="auto"/>
                <w:sz w:val="24"/>
                <w:szCs w:val="24"/>
                <w:highlight w:val="none"/>
              </w:rPr>
            </w:pPr>
          </w:p>
          <w:p w14:paraId="09067617">
            <w:pPr>
              <w:topLinePunct/>
              <w:spacing w:line="440" w:lineRule="exact"/>
              <w:rPr>
                <w:rFonts w:ascii="宋体" w:hAnsi="宋体" w:eastAsia="宋体"/>
                <w:color w:val="auto"/>
                <w:sz w:val="24"/>
                <w:szCs w:val="24"/>
                <w:highlight w:val="none"/>
              </w:rPr>
            </w:pPr>
          </w:p>
          <w:p w14:paraId="6397A357">
            <w:pPr>
              <w:topLinePunct/>
              <w:spacing w:line="440" w:lineRule="exact"/>
              <w:rPr>
                <w:rFonts w:ascii="宋体" w:hAnsi="宋体" w:eastAsia="宋体"/>
                <w:color w:val="auto"/>
                <w:sz w:val="24"/>
                <w:szCs w:val="24"/>
                <w:highlight w:val="none"/>
              </w:rPr>
            </w:pPr>
          </w:p>
          <w:p w14:paraId="32350108">
            <w:pPr>
              <w:topLinePunct/>
              <w:spacing w:line="440" w:lineRule="exact"/>
              <w:rPr>
                <w:rFonts w:ascii="宋体" w:hAnsi="宋体" w:eastAsia="宋体"/>
                <w:color w:val="auto"/>
                <w:sz w:val="24"/>
                <w:szCs w:val="24"/>
                <w:highlight w:val="none"/>
              </w:rPr>
            </w:pPr>
          </w:p>
        </w:tc>
      </w:tr>
      <w:tr w14:paraId="1F336698">
        <w:tblPrEx>
          <w:tblCellMar>
            <w:top w:w="0" w:type="dxa"/>
            <w:left w:w="108" w:type="dxa"/>
            <w:bottom w:w="0" w:type="dxa"/>
            <w:right w:w="108" w:type="dxa"/>
          </w:tblCellMar>
        </w:tblPrEx>
        <w:trPr>
          <w:trHeight w:val="670" w:hRule="atLeast"/>
          <w:jc w:val="center"/>
        </w:trPr>
        <w:tc>
          <w:tcPr>
            <w:tcW w:w="2562" w:type="dxa"/>
            <w:tcBorders>
              <w:top w:val="single" w:color="auto" w:sz="4" w:space="0"/>
              <w:left w:val="single" w:color="auto" w:sz="4" w:space="0"/>
              <w:bottom w:val="single" w:color="auto" w:sz="4" w:space="0"/>
              <w:right w:val="single" w:color="auto" w:sz="4" w:space="0"/>
            </w:tcBorders>
            <w:vAlign w:val="center"/>
          </w:tcPr>
          <w:p w14:paraId="30CFFC22">
            <w:pPr>
              <w:topLinePunct/>
              <w:spacing w:line="44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备注</w:t>
            </w:r>
          </w:p>
        </w:tc>
        <w:tc>
          <w:tcPr>
            <w:tcW w:w="7060" w:type="dxa"/>
            <w:tcBorders>
              <w:top w:val="single" w:color="auto" w:sz="4" w:space="0"/>
              <w:left w:val="nil"/>
              <w:bottom w:val="single" w:color="auto" w:sz="4" w:space="0"/>
              <w:right w:val="single" w:color="auto" w:sz="4" w:space="0"/>
            </w:tcBorders>
          </w:tcPr>
          <w:p w14:paraId="081E0990">
            <w:pPr>
              <w:topLinePunct/>
              <w:spacing w:line="440" w:lineRule="exact"/>
              <w:rPr>
                <w:rFonts w:ascii="宋体" w:hAnsi="宋体" w:eastAsia="宋体"/>
                <w:color w:val="auto"/>
                <w:sz w:val="24"/>
                <w:szCs w:val="24"/>
                <w:highlight w:val="none"/>
              </w:rPr>
            </w:pPr>
          </w:p>
        </w:tc>
      </w:tr>
    </w:tbl>
    <w:p w14:paraId="1E60D84F">
      <w:pPr>
        <w:spacing w:line="44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注：投标人应根据</w:t>
      </w:r>
      <w:r>
        <w:rPr>
          <w:rFonts w:hint="eastAsia" w:ascii="宋体" w:hAnsi="宋体" w:eastAsia="宋体"/>
          <w:color w:val="auto"/>
          <w:sz w:val="24"/>
          <w:szCs w:val="24"/>
          <w:highlight w:val="none"/>
          <w:lang w:val="en-US" w:eastAsia="zh-CN"/>
        </w:rPr>
        <w:t xml:space="preserve">第三章 评标办法前附表 </w:t>
      </w:r>
      <w:r>
        <w:rPr>
          <w:rFonts w:hint="eastAsia" w:ascii="宋体" w:hAnsi="宋体" w:eastAsia="宋体"/>
          <w:color w:val="auto"/>
          <w:sz w:val="24"/>
          <w:szCs w:val="24"/>
          <w:highlight w:val="none"/>
        </w:rPr>
        <w:t>第</w:t>
      </w:r>
      <w:r>
        <w:rPr>
          <w:rFonts w:hint="eastAsia" w:ascii="宋体" w:hAnsi="宋体" w:eastAsia="宋体"/>
          <w:color w:val="auto"/>
          <w:sz w:val="24"/>
          <w:szCs w:val="24"/>
          <w:highlight w:val="none"/>
          <w:lang w:val="en-US" w:eastAsia="zh-CN"/>
        </w:rPr>
        <w:t>2.2.4（1）</w:t>
      </w:r>
      <w:r>
        <w:rPr>
          <w:rFonts w:hint="eastAsia" w:ascii="宋体" w:hAnsi="宋体" w:eastAsia="宋体"/>
          <w:color w:val="auto"/>
          <w:sz w:val="24"/>
          <w:szCs w:val="24"/>
          <w:highlight w:val="none"/>
        </w:rPr>
        <w:t>项的要求在本表后附相关证明材料。</w:t>
      </w:r>
    </w:p>
    <w:p w14:paraId="75BBE63F">
      <w:pPr>
        <w:spacing w:line="240" w:lineRule="auto"/>
        <w:outlineLvl w:val="9"/>
        <w:rPr>
          <w:rFonts w:hint="eastAsia" w:ascii="宋体" w:hAnsi="宋体" w:eastAsia="宋体"/>
          <w:color w:val="auto"/>
          <w:sz w:val="28"/>
          <w:szCs w:val="28"/>
          <w:highlight w:val="none"/>
          <w:lang w:val="en-US" w:eastAsia="zh-CN"/>
        </w:rPr>
      </w:pPr>
      <w:r>
        <w:rPr>
          <w:rFonts w:hint="eastAsia" w:ascii="宋体" w:hAnsi="宋体" w:eastAsia="宋体"/>
          <w:b/>
          <w:bCs/>
          <w:color w:val="auto"/>
          <w:sz w:val="32"/>
          <w:szCs w:val="32"/>
          <w:highlight w:val="none"/>
        </w:rPr>
        <w:br w:type="page"/>
      </w:r>
    </w:p>
    <w:p w14:paraId="76624602">
      <w:pPr>
        <w:spacing w:before="0" w:line="360" w:lineRule="auto"/>
        <w:ind w:firstLine="136"/>
        <w:jc w:val="center"/>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w:t>
      </w:r>
      <w:r>
        <w:rPr>
          <w:rFonts w:hint="eastAsia" w:ascii="宋体" w:hAnsi="宋体" w:eastAsia="宋体" w:cs="宋体"/>
          <w:b/>
          <w:bCs/>
          <w:color w:val="auto"/>
          <w:sz w:val="28"/>
          <w:szCs w:val="28"/>
          <w:highlight w:val="none"/>
          <w:lang w:val="en-US" w:eastAsia="zh-CN"/>
        </w:rPr>
        <w:t>2</w:t>
      </w:r>
      <w:r>
        <w:rPr>
          <w:rFonts w:hint="eastAsia" w:ascii="宋体" w:hAnsi="宋体" w:eastAsia="宋体" w:cs="宋体"/>
          <w:b/>
          <w:bCs/>
          <w:color w:val="auto"/>
          <w:sz w:val="28"/>
          <w:szCs w:val="28"/>
          <w:highlight w:val="none"/>
        </w:rPr>
        <w:t>）拟委任的主要人员汇总表</w:t>
      </w:r>
    </w:p>
    <w:tbl>
      <w:tblPr>
        <w:tblStyle w:val="40"/>
        <w:tblW w:w="9618" w:type="dxa"/>
        <w:jc w:val="center"/>
        <w:tblLayout w:type="fixed"/>
        <w:tblCellMar>
          <w:top w:w="0" w:type="dxa"/>
          <w:left w:w="108" w:type="dxa"/>
          <w:bottom w:w="0" w:type="dxa"/>
          <w:right w:w="108" w:type="dxa"/>
        </w:tblCellMar>
      </w:tblPr>
      <w:tblGrid>
        <w:gridCol w:w="981"/>
        <w:gridCol w:w="1530"/>
        <w:gridCol w:w="853"/>
        <w:gridCol w:w="735"/>
        <w:gridCol w:w="907"/>
        <w:gridCol w:w="1359"/>
        <w:gridCol w:w="849"/>
        <w:gridCol w:w="1049"/>
        <w:gridCol w:w="1355"/>
      </w:tblGrid>
      <w:tr w14:paraId="5ED4C012">
        <w:tblPrEx>
          <w:tblCellMar>
            <w:top w:w="0" w:type="dxa"/>
            <w:left w:w="108" w:type="dxa"/>
            <w:bottom w:w="0" w:type="dxa"/>
            <w:right w:w="108" w:type="dxa"/>
          </w:tblCellMar>
        </w:tblPrEx>
        <w:trPr>
          <w:jc w:val="center"/>
        </w:trPr>
        <w:tc>
          <w:tcPr>
            <w:tcW w:w="981" w:type="dxa"/>
            <w:vMerge w:val="restart"/>
            <w:tcBorders>
              <w:top w:val="single" w:color="auto" w:sz="4" w:space="0"/>
              <w:left w:val="single" w:color="auto" w:sz="4" w:space="0"/>
              <w:bottom w:val="single" w:color="auto" w:sz="4" w:space="0"/>
              <w:right w:val="single" w:color="auto" w:sz="4" w:space="0"/>
            </w:tcBorders>
            <w:vAlign w:val="center"/>
          </w:tcPr>
          <w:p w14:paraId="6B15FDF8">
            <w:pPr>
              <w:spacing w:line="44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序号</w:t>
            </w:r>
          </w:p>
        </w:tc>
        <w:tc>
          <w:tcPr>
            <w:tcW w:w="1530" w:type="dxa"/>
            <w:vMerge w:val="restart"/>
            <w:tcBorders>
              <w:top w:val="single" w:color="auto" w:sz="4" w:space="0"/>
              <w:left w:val="nil"/>
              <w:bottom w:val="single" w:color="auto" w:sz="4" w:space="0"/>
              <w:right w:val="single" w:color="auto" w:sz="4" w:space="0"/>
            </w:tcBorders>
            <w:vAlign w:val="center"/>
          </w:tcPr>
          <w:p w14:paraId="705BD2BD">
            <w:pPr>
              <w:spacing w:line="44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本项目任职</w:t>
            </w:r>
          </w:p>
        </w:tc>
        <w:tc>
          <w:tcPr>
            <w:tcW w:w="853" w:type="dxa"/>
            <w:vMerge w:val="restart"/>
            <w:tcBorders>
              <w:top w:val="single" w:color="auto" w:sz="4" w:space="0"/>
              <w:left w:val="nil"/>
              <w:bottom w:val="single" w:color="auto" w:sz="4" w:space="0"/>
              <w:right w:val="single" w:color="auto" w:sz="4" w:space="0"/>
            </w:tcBorders>
            <w:vAlign w:val="center"/>
          </w:tcPr>
          <w:p w14:paraId="1D043167">
            <w:pPr>
              <w:spacing w:line="44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姓名</w:t>
            </w:r>
          </w:p>
        </w:tc>
        <w:tc>
          <w:tcPr>
            <w:tcW w:w="735" w:type="dxa"/>
            <w:vMerge w:val="restart"/>
            <w:tcBorders>
              <w:top w:val="single" w:color="auto" w:sz="4" w:space="0"/>
              <w:left w:val="nil"/>
              <w:bottom w:val="single" w:color="auto" w:sz="4" w:space="0"/>
              <w:right w:val="single" w:color="auto" w:sz="4" w:space="0"/>
            </w:tcBorders>
            <w:vAlign w:val="center"/>
          </w:tcPr>
          <w:p w14:paraId="1CBAFBA2">
            <w:pPr>
              <w:spacing w:line="44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职称</w:t>
            </w:r>
          </w:p>
        </w:tc>
        <w:tc>
          <w:tcPr>
            <w:tcW w:w="907" w:type="dxa"/>
            <w:vMerge w:val="restart"/>
            <w:tcBorders>
              <w:top w:val="single" w:color="auto" w:sz="4" w:space="0"/>
              <w:left w:val="nil"/>
              <w:bottom w:val="single" w:color="auto" w:sz="4" w:space="0"/>
              <w:right w:val="single" w:color="auto" w:sz="4" w:space="0"/>
            </w:tcBorders>
            <w:vAlign w:val="center"/>
          </w:tcPr>
          <w:p w14:paraId="607EC077">
            <w:pPr>
              <w:spacing w:line="44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专业</w:t>
            </w:r>
          </w:p>
        </w:tc>
        <w:tc>
          <w:tcPr>
            <w:tcW w:w="3257" w:type="dxa"/>
            <w:gridSpan w:val="3"/>
            <w:tcBorders>
              <w:top w:val="single" w:color="auto" w:sz="4" w:space="0"/>
              <w:left w:val="nil"/>
              <w:bottom w:val="single" w:color="auto" w:sz="4" w:space="0"/>
              <w:right w:val="single" w:color="auto" w:sz="4" w:space="0"/>
            </w:tcBorders>
            <w:vAlign w:val="center"/>
          </w:tcPr>
          <w:p w14:paraId="2A0696FA">
            <w:pPr>
              <w:spacing w:line="44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执业或职业资格证明</w:t>
            </w:r>
          </w:p>
        </w:tc>
        <w:tc>
          <w:tcPr>
            <w:tcW w:w="1355" w:type="dxa"/>
            <w:tcBorders>
              <w:top w:val="single" w:color="auto" w:sz="4" w:space="0"/>
              <w:left w:val="nil"/>
              <w:bottom w:val="single" w:color="auto" w:sz="4" w:space="0"/>
              <w:right w:val="single" w:color="auto" w:sz="4" w:space="0"/>
            </w:tcBorders>
            <w:vAlign w:val="center"/>
          </w:tcPr>
          <w:p w14:paraId="45592790">
            <w:pPr>
              <w:spacing w:line="44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备注</w:t>
            </w:r>
          </w:p>
        </w:tc>
      </w:tr>
      <w:tr w14:paraId="544BF556">
        <w:tblPrEx>
          <w:tblCellMar>
            <w:top w:w="0" w:type="dxa"/>
            <w:left w:w="108" w:type="dxa"/>
            <w:bottom w:w="0" w:type="dxa"/>
            <w:right w:w="108" w:type="dxa"/>
          </w:tblCellMar>
        </w:tblPrEx>
        <w:trPr>
          <w:jc w:val="center"/>
        </w:trPr>
        <w:tc>
          <w:tcPr>
            <w:tcW w:w="981" w:type="dxa"/>
            <w:vMerge w:val="continue"/>
            <w:tcBorders>
              <w:top w:val="single" w:color="auto" w:sz="4" w:space="0"/>
              <w:left w:val="single" w:color="auto" w:sz="4" w:space="0"/>
              <w:bottom w:val="single" w:color="auto" w:sz="4" w:space="0"/>
              <w:right w:val="single" w:color="auto" w:sz="4" w:space="0"/>
            </w:tcBorders>
            <w:vAlign w:val="center"/>
          </w:tcPr>
          <w:p w14:paraId="07326D0B">
            <w:pPr>
              <w:widowControl/>
              <w:jc w:val="left"/>
              <w:rPr>
                <w:rFonts w:ascii="宋体" w:hAnsi="宋体" w:eastAsia="宋体"/>
                <w:color w:val="auto"/>
                <w:sz w:val="24"/>
                <w:szCs w:val="24"/>
                <w:highlight w:val="none"/>
              </w:rPr>
            </w:pPr>
          </w:p>
        </w:tc>
        <w:tc>
          <w:tcPr>
            <w:tcW w:w="1530" w:type="dxa"/>
            <w:vMerge w:val="continue"/>
            <w:tcBorders>
              <w:top w:val="single" w:color="auto" w:sz="4" w:space="0"/>
              <w:left w:val="nil"/>
              <w:bottom w:val="single" w:color="auto" w:sz="4" w:space="0"/>
              <w:right w:val="single" w:color="auto" w:sz="4" w:space="0"/>
            </w:tcBorders>
            <w:vAlign w:val="center"/>
          </w:tcPr>
          <w:p w14:paraId="16FA85E0">
            <w:pPr>
              <w:widowControl/>
              <w:jc w:val="left"/>
              <w:rPr>
                <w:rFonts w:ascii="宋体" w:hAnsi="宋体" w:eastAsia="宋体"/>
                <w:color w:val="auto"/>
                <w:sz w:val="24"/>
                <w:szCs w:val="24"/>
                <w:highlight w:val="none"/>
              </w:rPr>
            </w:pPr>
          </w:p>
        </w:tc>
        <w:tc>
          <w:tcPr>
            <w:tcW w:w="853" w:type="dxa"/>
            <w:vMerge w:val="continue"/>
            <w:tcBorders>
              <w:top w:val="single" w:color="auto" w:sz="4" w:space="0"/>
              <w:left w:val="nil"/>
              <w:bottom w:val="single" w:color="auto" w:sz="4" w:space="0"/>
              <w:right w:val="single" w:color="auto" w:sz="4" w:space="0"/>
            </w:tcBorders>
            <w:vAlign w:val="center"/>
          </w:tcPr>
          <w:p w14:paraId="2B9FD602">
            <w:pPr>
              <w:widowControl/>
              <w:jc w:val="left"/>
              <w:rPr>
                <w:rFonts w:ascii="宋体" w:hAnsi="宋体" w:eastAsia="宋体"/>
                <w:color w:val="auto"/>
                <w:sz w:val="24"/>
                <w:szCs w:val="24"/>
                <w:highlight w:val="none"/>
              </w:rPr>
            </w:pPr>
          </w:p>
        </w:tc>
        <w:tc>
          <w:tcPr>
            <w:tcW w:w="735" w:type="dxa"/>
            <w:vMerge w:val="continue"/>
            <w:tcBorders>
              <w:top w:val="single" w:color="auto" w:sz="4" w:space="0"/>
              <w:left w:val="nil"/>
              <w:bottom w:val="single" w:color="auto" w:sz="4" w:space="0"/>
              <w:right w:val="single" w:color="auto" w:sz="4" w:space="0"/>
            </w:tcBorders>
            <w:vAlign w:val="center"/>
          </w:tcPr>
          <w:p w14:paraId="45CF028E">
            <w:pPr>
              <w:widowControl/>
              <w:jc w:val="left"/>
              <w:rPr>
                <w:rFonts w:ascii="宋体" w:hAnsi="宋体" w:eastAsia="宋体"/>
                <w:color w:val="auto"/>
                <w:sz w:val="24"/>
                <w:szCs w:val="24"/>
                <w:highlight w:val="none"/>
              </w:rPr>
            </w:pPr>
          </w:p>
        </w:tc>
        <w:tc>
          <w:tcPr>
            <w:tcW w:w="907" w:type="dxa"/>
            <w:vMerge w:val="continue"/>
            <w:tcBorders>
              <w:top w:val="single" w:color="auto" w:sz="4" w:space="0"/>
              <w:left w:val="nil"/>
              <w:bottom w:val="single" w:color="auto" w:sz="4" w:space="0"/>
              <w:right w:val="single" w:color="auto" w:sz="4" w:space="0"/>
            </w:tcBorders>
            <w:vAlign w:val="center"/>
          </w:tcPr>
          <w:p w14:paraId="0A68EAB0">
            <w:pPr>
              <w:widowControl/>
              <w:jc w:val="left"/>
              <w:rPr>
                <w:rFonts w:ascii="宋体" w:hAnsi="宋体" w:eastAsia="宋体"/>
                <w:color w:val="auto"/>
                <w:sz w:val="24"/>
                <w:szCs w:val="24"/>
                <w:highlight w:val="none"/>
              </w:rPr>
            </w:pPr>
          </w:p>
        </w:tc>
        <w:tc>
          <w:tcPr>
            <w:tcW w:w="1359" w:type="dxa"/>
            <w:tcBorders>
              <w:top w:val="single" w:color="auto" w:sz="4" w:space="0"/>
              <w:left w:val="nil"/>
              <w:bottom w:val="single" w:color="auto" w:sz="4" w:space="0"/>
              <w:right w:val="single" w:color="auto" w:sz="4" w:space="0"/>
            </w:tcBorders>
            <w:vAlign w:val="center"/>
          </w:tcPr>
          <w:p w14:paraId="2D875C16">
            <w:pPr>
              <w:spacing w:before="100" w:beforeAutospacing="1" w:after="100" w:afterAutospacing="1" w:line="44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证书名称</w:t>
            </w:r>
          </w:p>
        </w:tc>
        <w:tc>
          <w:tcPr>
            <w:tcW w:w="849" w:type="dxa"/>
            <w:tcBorders>
              <w:top w:val="single" w:color="auto" w:sz="4" w:space="0"/>
              <w:left w:val="nil"/>
              <w:bottom w:val="single" w:color="auto" w:sz="4" w:space="0"/>
              <w:right w:val="single" w:color="auto" w:sz="4" w:space="0"/>
            </w:tcBorders>
            <w:vAlign w:val="center"/>
          </w:tcPr>
          <w:p w14:paraId="5A4A5973">
            <w:pPr>
              <w:spacing w:before="100" w:beforeAutospacing="1" w:after="100" w:afterAutospacing="1" w:line="44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级别</w:t>
            </w:r>
          </w:p>
        </w:tc>
        <w:tc>
          <w:tcPr>
            <w:tcW w:w="1049" w:type="dxa"/>
            <w:tcBorders>
              <w:top w:val="single" w:color="auto" w:sz="4" w:space="0"/>
              <w:left w:val="nil"/>
              <w:bottom w:val="single" w:color="auto" w:sz="4" w:space="0"/>
              <w:right w:val="single" w:color="auto" w:sz="4" w:space="0"/>
            </w:tcBorders>
            <w:vAlign w:val="center"/>
          </w:tcPr>
          <w:p w14:paraId="636E81CB">
            <w:pPr>
              <w:spacing w:before="100" w:beforeAutospacing="1" w:after="100" w:afterAutospacing="1" w:line="44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证号</w:t>
            </w:r>
          </w:p>
        </w:tc>
        <w:tc>
          <w:tcPr>
            <w:tcW w:w="1355" w:type="dxa"/>
            <w:tcBorders>
              <w:top w:val="single" w:color="auto" w:sz="4" w:space="0"/>
              <w:left w:val="nil"/>
              <w:bottom w:val="single" w:color="auto" w:sz="4" w:space="0"/>
              <w:right w:val="single" w:color="auto" w:sz="4" w:space="0"/>
            </w:tcBorders>
            <w:vAlign w:val="center"/>
          </w:tcPr>
          <w:p w14:paraId="35FB5ED9">
            <w:pPr>
              <w:spacing w:line="440" w:lineRule="exact"/>
              <w:jc w:val="center"/>
              <w:rPr>
                <w:rFonts w:ascii="宋体" w:hAnsi="宋体" w:eastAsia="宋体"/>
                <w:color w:val="auto"/>
                <w:sz w:val="24"/>
                <w:szCs w:val="24"/>
                <w:highlight w:val="none"/>
              </w:rPr>
            </w:pPr>
          </w:p>
        </w:tc>
      </w:tr>
      <w:tr w14:paraId="1E29F8C1">
        <w:tblPrEx>
          <w:tblCellMar>
            <w:top w:w="0" w:type="dxa"/>
            <w:left w:w="108" w:type="dxa"/>
            <w:bottom w:w="0" w:type="dxa"/>
            <w:right w:w="108" w:type="dxa"/>
          </w:tblCellMar>
        </w:tblPrEx>
        <w:trPr>
          <w:jc w:val="center"/>
        </w:trPr>
        <w:tc>
          <w:tcPr>
            <w:tcW w:w="981" w:type="dxa"/>
            <w:tcBorders>
              <w:top w:val="single" w:color="auto" w:sz="4" w:space="0"/>
              <w:left w:val="single" w:color="auto" w:sz="4" w:space="0"/>
              <w:bottom w:val="single" w:color="auto" w:sz="4" w:space="0"/>
              <w:right w:val="single" w:color="auto" w:sz="4" w:space="0"/>
            </w:tcBorders>
            <w:vAlign w:val="center"/>
          </w:tcPr>
          <w:p w14:paraId="290BFF84">
            <w:pPr>
              <w:spacing w:line="440" w:lineRule="exact"/>
              <w:jc w:val="center"/>
              <w:rPr>
                <w:rFonts w:ascii="宋体" w:hAnsi="宋体" w:eastAsia="宋体"/>
                <w:color w:val="auto"/>
                <w:sz w:val="24"/>
                <w:szCs w:val="24"/>
                <w:highlight w:val="none"/>
              </w:rPr>
            </w:pPr>
          </w:p>
        </w:tc>
        <w:tc>
          <w:tcPr>
            <w:tcW w:w="1530" w:type="dxa"/>
            <w:tcBorders>
              <w:top w:val="single" w:color="auto" w:sz="4" w:space="0"/>
              <w:left w:val="nil"/>
              <w:bottom w:val="single" w:color="auto" w:sz="4" w:space="0"/>
              <w:right w:val="single" w:color="auto" w:sz="4" w:space="0"/>
            </w:tcBorders>
          </w:tcPr>
          <w:p w14:paraId="2F039ACE">
            <w:pPr>
              <w:spacing w:line="440" w:lineRule="exact"/>
              <w:jc w:val="center"/>
              <w:rPr>
                <w:rFonts w:ascii="宋体" w:hAnsi="宋体" w:eastAsia="宋体"/>
                <w:color w:val="auto"/>
                <w:sz w:val="24"/>
                <w:szCs w:val="24"/>
                <w:highlight w:val="none"/>
              </w:rPr>
            </w:pPr>
          </w:p>
        </w:tc>
        <w:tc>
          <w:tcPr>
            <w:tcW w:w="853" w:type="dxa"/>
            <w:tcBorders>
              <w:top w:val="single" w:color="auto" w:sz="4" w:space="0"/>
              <w:left w:val="nil"/>
              <w:bottom w:val="single" w:color="auto" w:sz="4" w:space="0"/>
              <w:right w:val="single" w:color="auto" w:sz="4" w:space="0"/>
            </w:tcBorders>
            <w:vAlign w:val="center"/>
          </w:tcPr>
          <w:p w14:paraId="30C195FD">
            <w:pPr>
              <w:spacing w:line="440" w:lineRule="exact"/>
              <w:jc w:val="center"/>
              <w:rPr>
                <w:rFonts w:ascii="宋体" w:hAnsi="宋体" w:eastAsia="宋体"/>
                <w:color w:val="auto"/>
                <w:sz w:val="24"/>
                <w:szCs w:val="24"/>
                <w:highlight w:val="none"/>
              </w:rPr>
            </w:pPr>
          </w:p>
        </w:tc>
        <w:tc>
          <w:tcPr>
            <w:tcW w:w="735" w:type="dxa"/>
            <w:tcBorders>
              <w:top w:val="single" w:color="auto" w:sz="4" w:space="0"/>
              <w:left w:val="nil"/>
              <w:bottom w:val="single" w:color="auto" w:sz="4" w:space="0"/>
              <w:right w:val="single" w:color="auto" w:sz="4" w:space="0"/>
            </w:tcBorders>
            <w:vAlign w:val="center"/>
          </w:tcPr>
          <w:p w14:paraId="71B7F6EF">
            <w:pPr>
              <w:spacing w:line="440" w:lineRule="exact"/>
              <w:jc w:val="center"/>
              <w:rPr>
                <w:rFonts w:ascii="宋体" w:hAnsi="宋体" w:eastAsia="宋体"/>
                <w:color w:val="auto"/>
                <w:sz w:val="24"/>
                <w:szCs w:val="24"/>
                <w:highlight w:val="none"/>
              </w:rPr>
            </w:pPr>
          </w:p>
        </w:tc>
        <w:tc>
          <w:tcPr>
            <w:tcW w:w="907" w:type="dxa"/>
            <w:tcBorders>
              <w:top w:val="single" w:color="auto" w:sz="4" w:space="0"/>
              <w:left w:val="nil"/>
              <w:bottom w:val="single" w:color="auto" w:sz="4" w:space="0"/>
              <w:right w:val="single" w:color="auto" w:sz="4" w:space="0"/>
            </w:tcBorders>
            <w:vAlign w:val="center"/>
          </w:tcPr>
          <w:p w14:paraId="31941B50">
            <w:pPr>
              <w:spacing w:line="440" w:lineRule="exact"/>
              <w:jc w:val="center"/>
              <w:rPr>
                <w:rFonts w:ascii="宋体" w:hAnsi="宋体" w:eastAsia="宋体"/>
                <w:color w:val="auto"/>
                <w:sz w:val="24"/>
                <w:szCs w:val="24"/>
                <w:highlight w:val="none"/>
              </w:rPr>
            </w:pPr>
          </w:p>
        </w:tc>
        <w:tc>
          <w:tcPr>
            <w:tcW w:w="1359" w:type="dxa"/>
            <w:tcBorders>
              <w:top w:val="single" w:color="auto" w:sz="4" w:space="0"/>
              <w:left w:val="nil"/>
              <w:bottom w:val="single" w:color="auto" w:sz="4" w:space="0"/>
              <w:right w:val="single" w:color="auto" w:sz="4" w:space="0"/>
            </w:tcBorders>
            <w:vAlign w:val="center"/>
          </w:tcPr>
          <w:p w14:paraId="00240F70">
            <w:pPr>
              <w:spacing w:line="440" w:lineRule="exact"/>
              <w:jc w:val="center"/>
              <w:rPr>
                <w:rFonts w:ascii="宋体" w:hAnsi="宋体" w:eastAsia="宋体"/>
                <w:color w:val="auto"/>
                <w:sz w:val="24"/>
                <w:szCs w:val="24"/>
                <w:highlight w:val="none"/>
              </w:rPr>
            </w:pPr>
          </w:p>
        </w:tc>
        <w:tc>
          <w:tcPr>
            <w:tcW w:w="849" w:type="dxa"/>
            <w:tcBorders>
              <w:top w:val="single" w:color="auto" w:sz="4" w:space="0"/>
              <w:left w:val="nil"/>
              <w:bottom w:val="single" w:color="auto" w:sz="4" w:space="0"/>
              <w:right w:val="single" w:color="auto" w:sz="4" w:space="0"/>
            </w:tcBorders>
            <w:vAlign w:val="center"/>
          </w:tcPr>
          <w:p w14:paraId="508EC7C7">
            <w:pPr>
              <w:spacing w:line="440" w:lineRule="exact"/>
              <w:jc w:val="center"/>
              <w:rPr>
                <w:rFonts w:ascii="宋体" w:hAnsi="宋体" w:eastAsia="宋体"/>
                <w:color w:val="auto"/>
                <w:sz w:val="24"/>
                <w:szCs w:val="24"/>
                <w:highlight w:val="none"/>
              </w:rPr>
            </w:pPr>
          </w:p>
        </w:tc>
        <w:tc>
          <w:tcPr>
            <w:tcW w:w="1049" w:type="dxa"/>
            <w:tcBorders>
              <w:top w:val="single" w:color="auto" w:sz="4" w:space="0"/>
              <w:left w:val="nil"/>
              <w:bottom w:val="single" w:color="auto" w:sz="4" w:space="0"/>
              <w:right w:val="single" w:color="auto" w:sz="4" w:space="0"/>
            </w:tcBorders>
            <w:vAlign w:val="center"/>
          </w:tcPr>
          <w:p w14:paraId="13DC1624">
            <w:pPr>
              <w:spacing w:line="440" w:lineRule="exact"/>
              <w:jc w:val="center"/>
              <w:rPr>
                <w:rFonts w:ascii="宋体" w:hAnsi="宋体" w:eastAsia="宋体"/>
                <w:color w:val="auto"/>
                <w:sz w:val="24"/>
                <w:szCs w:val="24"/>
                <w:highlight w:val="none"/>
              </w:rPr>
            </w:pPr>
          </w:p>
        </w:tc>
        <w:tc>
          <w:tcPr>
            <w:tcW w:w="1355" w:type="dxa"/>
            <w:tcBorders>
              <w:top w:val="single" w:color="auto" w:sz="4" w:space="0"/>
              <w:left w:val="nil"/>
              <w:bottom w:val="single" w:color="auto" w:sz="4" w:space="0"/>
              <w:right w:val="single" w:color="auto" w:sz="4" w:space="0"/>
            </w:tcBorders>
            <w:vAlign w:val="center"/>
          </w:tcPr>
          <w:p w14:paraId="6B88911E">
            <w:pPr>
              <w:spacing w:line="440" w:lineRule="exact"/>
              <w:jc w:val="center"/>
              <w:rPr>
                <w:rFonts w:ascii="宋体" w:hAnsi="宋体" w:eastAsia="宋体"/>
                <w:color w:val="auto"/>
                <w:sz w:val="24"/>
                <w:szCs w:val="24"/>
                <w:highlight w:val="none"/>
              </w:rPr>
            </w:pPr>
          </w:p>
        </w:tc>
      </w:tr>
      <w:tr w14:paraId="5683E2A0">
        <w:tblPrEx>
          <w:tblCellMar>
            <w:top w:w="0" w:type="dxa"/>
            <w:left w:w="108" w:type="dxa"/>
            <w:bottom w:w="0" w:type="dxa"/>
            <w:right w:w="108" w:type="dxa"/>
          </w:tblCellMar>
        </w:tblPrEx>
        <w:trPr>
          <w:jc w:val="center"/>
        </w:trPr>
        <w:tc>
          <w:tcPr>
            <w:tcW w:w="981" w:type="dxa"/>
            <w:tcBorders>
              <w:top w:val="single" w:color="auto" w:sz="4" w:space="0"/>
              <w:left w:val="single" w:color="auto" w:sz="4" w:space="0"/>
              <w:bottom w:val="single" w:color="auto" w:sz="4" w:space="0"/>
              <w:right w:val="single" w:color="auto" w:sz="4" w:space="0"/>
            </w:tcBorders>
          </w:tcPr>
          <w:p w14:paraId="390BD5B4">
            <w:pPr>
              <w:spacing w:line="440" w:lineRule="exact"/>
              <w:jc w:val="center"/>
              <w:rPr>
                <w:rFonts w:ascii="宋体" w:hAnsi="宋体" w:eastAsia="宋体"/>
                <w:color w:val="auto"/>
                <w:sz w:val="24"/>
                <w:szCs w:val="24"/>
                <w:highlight w:val="none"/>
              </w:rPr>
            </w:pPr>
          </w:p>
        </w:tc>
        <w:tc>
          <w:tcPr>
            <w:tcW w:w="1530" w:type="dxa"/>
            <w:tcBorders>
              <w:top w:val="single" w:color="auto" w:sz="4" w:space="0"/>
              <w:left w:val="nil"/>
              <w:bottom w:val="single" w:color="auto" w:sz="4" w:space="0"/>
              <w:right w:val="single" w:color="auto" w:sz="4" w:space="0"/>
            </w:tcBorders>
          </w:tcPr>
          <w:p w14:paraId="08666BEF">
            <w:pPr>
              <w:spacing w:line="440" w:lineRule="exact"/>
              <w:jc w:val="center"/>
              <w:rPr>
                <w:rFonts w:ascii="宋体" w:hAnsi="宋体" w:eastAsia="宋体"/>
                <w:color w:val="auto"/>
                <w:sz w:val="24"/>
                <w:szCs w:val="24"/>
                <w:highlight w:val="none"/>
              </w:rPr>
            </w:pPr>
          </w:p>
        </w:tc>
        <w:tc>
          <w:tcPr>
            <w:tcW w:w="853" w:type="dxa"/>
            <w:tcBorders>
              <w:top w:val="single" w:color="auto" w:sz="4" w:space="0"/>
              <w:left w:val="nil"/>
              <w:bottom w:val="single" w:color="auto" w:sz="4" w:space="0"/>
              <w:right w:val="single" w:color="auto" w:sz="4" w:space="0"/>
            </w:tcBorders>
          </w:tcPr>
          <w:p w14:paraId="2CB27C95">
            <w:pPr>
              <w:spacing w:line="440" w:lineRule="exact"/>
              <w:jc w:val="center"/>
              <w:rPr>
                <w:rFonts w:ascii="宋体" w:hAnsi="宋体" w:eastAsia="宋体"/>
                <w:color w:val="auto"/>
                <w:sz w:val="24"/>
                <w:szCs w:val="24"/>
                <w:highlight w:val="none"/>
              </w:rPr>
            </w:pPr>
          </w:p>
        </w:tc>
        <w:tc>
          <w:tcPr>
            <w:tcW w:w="735" w:type="dxa"/>
            <w:tcBorders>
              <w:top w:val="single" w:color="auto" w:sz="4" w:space="0"/>
              <w:left w:val="nil"/>
              <w:bottom w:val="single" w:color="auto" w:sz="4" w:space="0"/>
              <w:right w:val="single" w:color="auto" w:sz="4" w:space="0"/>
            </w:tcBorders>
          </w:tcPr>
          <w:p w14:paraId="21D9220B">
            <w:pPr>
              <w:spacing w:line="440" w:lineRule="exact"/>
              <w:jc w:val="center"/>
              <w:rPr>
                <w:rFonts w:ascii="宋体" w:hAnsi="宋体" w:eastAsia="宋体"/>
                <w:color w:val="auto"/>
                <w:sz w:val="24"/>
                <w:szCs w:val="24"/>
                <w:highlight w:val="none"/>
              </w:rPr>
            </w:pPr>
          </w:p>
        </w:tc>
        <w:tc>
          <w:tcPr>
            <w:tcW w:w="907" w:type="dxa"/>
            <w:tcBorders>
              <w:top w:val="single" w:color="auto" w:sz="4" w:space="0"/>
              <w:left w:val="nil"/>
              <w:bottom w:val="single" w:color="auto" w:sz="4" w:space="0"/>
              <w:right w:val="single" w:color="auto" w:sz="4" w:space="0"/>
            </w:tcBorders>
          </w:tcPr>
          <w:p w14:paraId="5818326C">
            <w:pPr>
              <w:spacing w:line="440" w:lineRule="exact"/>
              <w:jc w:val="center"/>
              <w:rPr>
                <w:rFonts w:ascii="宋体" w:hAnsi="宋体" w:eastAsia="宋体"/>
                <w:color w:val="auto"/>
                <w:sz w:val="24"/>
                <w:szCs w:val="24"/>
                <w:highlight w:val="none"/>
              </w:rPr>
            </w:pPr>
          </w:p>
        </w:tc>
        <w:tc>
          <w:tcPr>
            <w:tcW w:w="1359" w:type="dxa"/>
            <w:tcBorders>
              <w:top w:val="single" w:color="auto" w:sz="4" w:space="0"/>
              <w:left w:val="nil"/>
              <w:bottom w:val="single" w:color="auto" w:sz="4" w:space="0"/>
              <w:right w:val="single" w:color="auto" w:sz="4" w:space="0"/>
            </w:tcBorders>
          </w:tcPr>
          <w:p w14:paraId="51909ADD">
            <w:pPr>
              <w:spacing w:line="440" w:lineRule="exact"/>
              <w:jc w:val="center"/>
              <w:rPr>
                <w:rFonts w:ascii="宋体" w:hAnsi="宋体" w:eastAsia="宋体"/>
                <w:color w:val="auto"/>
                <w:sz w:val="24"/>
                <w:szCs w:val="24"/>
                <w:highlight w:val="none"/>
              </w:rPr>
            </w:pPr>
          </w:p>
        </w:tc>
        <w:tc>
          <w:tcPr>
            <w:tcW w:w="849" w:type="dxa"/>
            <w:tcBorders>
              <w:top w:val="single" w:color="auto" w:sz="4" w:space="0"/>
              <w:left w:val="nil"/>
              <w:bottom w:val="single" w:color="auto" w:sz="4" w:space="0"/>
              <w:right w:val="single" w:color="auto" w:sz="4" w:space="0"/>
            </w:tcBorders>
          </w:tcPr>
          <w:p w14:paraId="51687C2D">
            <w:pPr>
              <w:spacing w:line="440" w:lineRule="exact"/>
              <w:jc w:val="center"/>
              <w:rPr>
                <w:rFonts w:ascii="宋体" w:hAnsi="宋体" w:eastAsia="宋体"/>
                <w:color w:val="auto"/>
                <w:sz w:val="24"/>
                <w:szCs w:val="24"/>
                <w:highlight w:val="none"/>
              </w:rPr>
            </w:pPr>
          </w:p>
        </w:tc>
        <w:tc>
          <w:tcPr>
            <w:tcW w:w="1049" w:type="dxa"/>
            <w:tcBorders>
              <w:top w:val="single" w:color="auto" w:sz="4" w:space="0"/>
              <w:left w:val="nil"/>
              <w:bottom w:val="single" w:color="auto" w:sz="4" w:space="0"/>
              <w:right w:val="single" w:color="auto" w:sz="4" w:space="0"/>
            </w:tcBorders>
          </w:tcPr>
          <w:p w14:paraId="21763D54">
            <w:pPr>
              <w:spacing w:line="440" w:lineRule="exact"/>
              <w:jc w:val="center"/>
              <w:rPr>
                <w:rFonts w:ascii="宋体" w:hAnsi="宋体" w:eastAsia="宋体"/>
                <w:color w:val="auto"/>
                <w:sz w:val="24"/>
                <w:szCs w:val="24"/>
                <w:highlight w:val="none"/>
              </w:rPr>
            </w:pPr>
          </w:p>
        </w:tc>
        <w:tc>
          <w:tcPr>
            <w:tcW w:w="1355" w:type="dxa"/>
            <w:tcBorders>
              <w:top w:val="single" w:color="auto" w:sz="4" w:space="0"/>
              <w:left w:val="nil"/>
              <w:bottom w:val="single" w:color="auto" w:sz="4" w:space="0"/>
              <w:right w:val="single" w:color="auto" w:sz="4" w:space="0"/>
            </w:tcBorders>
          </w:tcPr>
          <w:p w14:paraId="600BA40F">
            <w:pPr>
              <w:spacing w:line="440" w:lineRule="exact"/>
              <w:jc w:val="center"/>
              <w:rPr>
                <w:rFonts w:ascii="宋体" w:hAnsi="宋体" w:eastAsia="宋体"/>
                <w:color w:val="auto"/>
                <w:sz w:val="24"/>
                <w:szCs w:val="24"/>
                <w:highlight w:val="none"/>
              </w:rPr>
            </w:pPr>
          </w:p>
        </w:tc>
      </w:tr>
      <w:tr w14:paraId="1B7BC727">
        <w:tblPrEx>
          <w:tblCellMar>
            <w:top w:w="0" w:type="dxa"/>
            <w:left w:w="108" w:type="dxa"/>
            <w:bottom w:w="0" w:type="dxa"/>
            <w:right w:w="108" w:type="dxa"/>
          </w:tblCellMar>
        </w:tblPrEx>
        <w:trPr>
          <w:jc w:val="center"/>
        </w:trPr>
        <w:tc>
          <w:tcPr>
            <w:tcW w:w="981" w:type="dxa"/>
            <w:tcBorders>
              <w:top w:val="single" w:color="auto" w:sz="4" w:space="0"/>
              <w:left w:val="single" w:color="auto" w:sz="4" w:space="0"/>
              <w:bottom w:val="single" w:color="auto" w:sz="4" w:space="0"/>
              <w:right w:val="single" w:color="auto" w:sz="4" w:space="0"/>
            </w:tcBorders>
          </w:tcPr>
          <w:p w14:paraId="0B7FF35D">
            <w:pPr>
              <w:spacing w:line="440" w:lineRule="exact"/>
              <w:jc w:val="center"/>
              <w:rPr>
                <w:rFonts w:ascii="宋体" w:hAnsi="宋体" w:eastAsia="宋体"/>
                <w:color w:val="auto"/>
                <w:sz w:val="24"/>
                <w:szCs w:val="24"/>
                <w:highlight w:val="none"/>
              </w:rPr>
            </w:pPr>
          </w:p>
        </w:tc>
        <w:tc>
          <w:tcPr>
            <w:tcW w:w="1530" w:type="dxa"/>
            <w:tcBorders>
              <w:top w:val="single" w:color="auto" w:sz="4" w:space="0"/>
              <w:left w:val="nil"/>
              <w:bottom w:val="single" w:color="auto" w:sz="4" w:space="0"/>
              <w:right w:val="single" w:color="auto" w:sz="4" w:space="0"/>
            </w:tcBorders>
          </w:tcPr>
          <w:p w14:paraId="7CC382E6">
            <w:pPr>
              <w:spacing w:line="440" w:lineRule="exact"/>
              <w:jc w:val="center"/>
              <w:rPr>
                <w:rFonts w:ascii="宋体" w:hAnsi="宋体" w:eastAsia="宋体"/>
                <w:color w:val="auto"/>
                <w:sz w:val="24"/>
                <w:szCs w:val="24"/>
                <w:highlight w:val="none"/>
              </w:rPr>
            </w:pPr>
          </w:p>
        </w:tc>
        <w:tc>
          <w:tcPr>
            <w:tcW w:w="853" w:type="dxa"/>
            <w:tcBorders>
              <w:top w:val="single" w:color="auto" w:sz="4" w:space="0"/>
              <w:left w:val="nil"/>
              <w:bottom w:val="single" w:color="auto" w:sz="4" w:space="0"/>
              <w:right w:val="single" w:color="auto" w:sz="4" w:space="0"/>
            </w:tcBorders>
          </w:tcPr>
          <w:p w14:paraId="14AED6F6">
            <w:pPr>
              <w:spacing w:line="440" w:lineRule="exact"/>
              <w:jc w:val="center"/>
              <w:rPr>
                <w:rFonts w:ascii="宋体" w:hAnsi="宋体" w:eastAsia="宋体"/>
                <w:color w:val="auto"/>
                <w:sz w:val="24"/>
                <w:szCs w:val="24"/>
                <w:highlight w:val="none"/>
              </w:rPr>
            </w:pPr>
          </w:p>
        </w:tc>
        <w:tc>
          <w:tcPr>
            <w:tcW w:w="735" w:type="dxa"/>
            <w:tcBorders>
              <w:top w:val="single" w:color="auto" w:sz="4" w:space="0"/>
              <w:left w:val="nil"/>
              <w:bottom w:val="single" w:color="auto" w:sz="4" w:space="0"/>
              <w:right w:val="single" w:color="auto" w:sz="4" w:space="0"/>
            </w:tcBorders>
          </w:tcPr>
          <w:p w14:paraId="3149D065">
            <w:pPr>
              <w:spacing w:line="440" w:lineRule="exact"/>
              <w:jc w:val="center"/>
              <w:rPr>
                <w:rFonts w:ascii="宋体" w:hAnsi="宋体" w:eastAsia="宋体"/>
                <w:color w:val="auto"/>
                <w:sz w:val="24"/>
                <w:szCs w:val="24"/>
                <w:highlight w:val="none"/>
              </w:rPr>
            </w:pPr>
          </w:p>
        </w:tc>
        <w:tc>
          <w:tcPr>
            <w:tcW w:w="907" w:type="dxa"/>
            <w:tcBorders>
              <w:top w:val="single" w:color="auto" w:sz="4" w:space="0"/>
              <w:left w:val="nil"/>
              <w:bottom w:val="single" w:color="auto" w:sz="4" w:space="0"/>
              <w:right w:val="single" w:color="auto" w:sz="4" w:space="0"/>
            </w:tcBorders>
          </w:tcPr>
          <w:p w14:paraId="5E8CE5C1">
            <w:pPr>
              <w:spacing w:line="440" w:lineRule="exact"/>
              <w:jc w:val="center"/>
              <w:rPr>
                <w:rFonts w:ascii="宋体" w:hAnsi="宋体" w:eastAsia="宋体"/>
                <w:color w:val="auto"/>
                <w:sz w:val="24"/>
                <w:szCs w:val="24"/>
                <w:highlight w:val="none"/>
              </w:rPr>
            </w:pPr>
          </w:p>
        </w:tc>
        <w:tc>
          <w:tcPr>
            <w:tcW w:w="1359" w:type="dxa"/>
            <w:tcBorders>
              <w:top w:val="single" w:color="auto" w:sz="4" w:space="0"/>
              <w:left w:val="nil"/>
              <w:bottom w:val="single" w:color="auto" w:sz="4" w:space="0"/>
              <w:right w:val="single" w:color="auto" w:sz="4" w:space="0"/>
            </w:tcBorders>
          </w:tcPr>
          <w:p w14:paraId="6484B495">
            <w:pPr>
              <w:spacing w:line="440" w:lineRule="exact"/>
              <w:jc w:val="center"/>
              <w:rPr>
                <w:rFonts w:ascii="宋体" w:hAnsi="宋体" w:eastAsia="宋体"/>
                <w:color w:val="auto"/>
                <w:sz w:val="24"/>
                <w:szCs w:val="24"/>
                <w:highlight w:val="none"/>
              </w:rPr>
            </w:pPr>
          </w:p>
        </w:tc>
        <w:tc>
          <w:tcPr>
            <w:tcW w:w="849" w:type="dxa"/>
            <w:tcBorders>
              <w:top w:val="single" w:color="auto" w:sz="4" w:space="0"/>
              <w:left w:val="nil"/>
              <w:bottom w:val="single" w:color="auto" w:sz="4" w:space="0"/>
              <w:right w:val="single" w:color="auto" w:sz="4" w:space="0"/>
            </w:tcBorders>
          </w:tcPr>
          <w:p w14:paraId="06419ECF">
            <w:pPr>
              <w:spacing w:line="440" w:lineRule="exact"/>
              <w:jc w:val="center"/>
              <w:rPr>
                <w:rFonts w:ascii="宋体" w:hAnsi="宋体" w:eastAsia="宋体"/>
                <w:color w:val="auto"/>
                <w:sz w:val="24"/>
                <w:szCs w:val="24"/>
                <w:highlight w:val="none"/>
              </w:rPr>
            </w:pPr>
          </w:p>
        </w:tc>
        <w:tc>
          <w:tcPr>
            <w:tcW w:w="1049" w:type="dxa"/>
            <w:tcBorders>
              <w:top w:val="single" w:color="auto" w:sz="4" w:space="0"/>
              <w:left w:val="nil"/>
              <w:bottom w:val="single" w:color="auto" w:sz="4" w:space="0"/>
              <w:right w:val="single" w:color="auto" w:sz="4" w:space="0"/>
            </w:tcBorders>
          </w:tcPr>
          <w:p w14:paraId="3003D3C7">
            <w:pPr>
              <w:spacing w:line="440" w:lineRule="exact"/>
              <w:jc w:val="center"/>
              <w:rPr>
                <w:rFonts w:ascii="宋体" w:hAnsi="宋体" w:eastAsia="宋体"/>
                <w:color w:val="auto"/>
                <w:sz w:val="24"/>
                <w:szCs w:val="24"/>
                <w:highlight w:val="none"/>
              </w:rPr>
            </w:pPr>
          </w:p>
        </w:tc>
        <w:tc>
          <w:tcPr>
            <w:tcW w:w="1355" w:type="dxa"/>
            <w:tcBorders>
              <w:top w:val="single" w:color="auto" w:sz="4" w:space="0"/>
              <w:left w:val="nil"/>
              <w:bottom w:val="single" w:color="auto" w:sz="4" w:space="0"/>
              <w:right w:val="single" w:color="auto" w:sz="4" w:space="0"/>
            </w:tcBorders>
          </w:tcPr>
          <w:p w14:paraId="17527046">
            <w:pPr>
              <w:spacing w:line="440" w:lineRule="exact"/>
              <w:jc w:val="center"/>
              <w:rPr>
                <w:rFonts w:ascii="宋体" w:hAnsi="宋体" w:eastAsia="宋体"/>
                <w:color w:val="auto"/>
                <w:sz w:val="24"/>
                <w:szCs w:val="24"/>
                <w:highlight w:val="none"/>
              </w:rPr>
            </w:pPr>
          </w:p>
        </w:tc>
      </w:tr>
      <w:tr w14:paraId="58A8CF08">
        <w:tblPrEx>
          <w:tblCellMar>
            <w:top w:w="0" w:type="dxa"/>
            <w:left w:w="108" w:type="dxa"/>
            <w:bottom w:w="0" w:type="dxa"/>
            <w:right w:w="108" w:type="dxa"/>
          </w:tblCellMar>
        </w:tblPrEx>
        <w:trPr>
          <w:jc w:val="center"/>
        </w:trPr>
        <w:tc>
          <w:tcPr>
            <w:tcW w:w="981" w:type="dxa"/>
            <w:tcBorders>
              <w:top w:val="single" w:color="auto" w:sz="4" w:space="0"/>
              <w:left w:val="single" w:color="auto" w:sz="4" w:space="0"/>
              <w:bottom w:val="single" w:color="auto" w:sz="4" w:space="0"/>
              <w:right w:val="single" w:color="auto" w:sz="4" w:space="0"/>
            </w:tcBorders>
          </w:tcPr>
          <w:p w14:paraId="46BD1C1E">
            <w:pPr>
              <w:spacing w:line="440" w:lineRule="exact"/>
              <w:jc w:val="center"/>
              <w:rPr>
                <w:rFonts w:ascii="宋体" w:hAnsi="宋体" w:eastAsia="宋体"/>
                <w:color w:val="auto"/>
                <w:sz w:val="24"/>
                <w:szCs w:val="24"/>
                <w:highlight w:val="none"/>
              </w:rPr>
            </w:pPr>
          </w:p>
        </w:tc>
        <w:tc>
          <w:tcPr>
            <w:tcW w:w="1530" w:type="dxa"/>
            <w:tcBorders>
              <w:top w:val="single" w:color="auto" w:sz="4" w:space="0"/>
              <w:left w:val="nil"/>
              <w:bottom w:val="single" w:color="auto" w:sz="4" w:space="0"/>
              <w:right w:val="single" w:color="auto" w:sz="4" w:space="0"/>
            </w:tcBorders>
          </w:tcPr>
          <w:p w14:paraId="45FE5943">
            <w:pPr>
              <w:spacing w:line="440" w:lineRule="exact"/>
              <w:jc w:val="center"/>
              <w:rPr>
                <w:rFonts w:ascii="宋体" w:hAnsi="宋体" w:eastAsia="宋体"/>
                <w:color w:val="auto"/>
                <w:sz w:val="24"/>
                <w:szCs w:val="24"/>
                <w:highlight w:val="none"/>
              </w:rPr>
            </w:pPr>
          </w:p>
        </w:tc>
        <w:tc>
          <w:tcPr>
            <w:tcW w:w="853" w:type="dxa"/>
            <w:tcBorders>
              <w:top w:val="single" w:color="auto" w:sz="4" w:space="0"/>
              <w:left w:val="nil"/>
              <w:bottom w:val="single" w:color="auto" w:sz="4" w:space="0"/>
              <w:right w:val="single" w:color="auto" w:sz="4" w:space="0"/>
            </w:tcBorders>
          </w:tcPr>
          <w:p w14:paraId="058202E4">
            <w:pPr>
              <w:spacing w:line="440" w:lineRule="exact"/>
              <w:jc w:val="center"/>
              <w:rPr>
                <w:rFonts w:ascii="宋体" w:hAnsi="宋体" w:eastAsia="宋体"/>
                <w:color w:val="auto"/>
                <w:sz w:val="24"/>
                <w:szCs w:val="24"/>
                <w:highlight w:val="none"/>
              </w:rPr>
            </w:pPr>
          </w:p>
        </w:tc>
        <w:tc>
          <w:tcPr>
            <w:tcW w:w="735" w:type="dxa"/>
            <w:tcBorders>
              <w:top w:val="single" w:color="auto" w:sz="4" w:space="0"/>
              <w:left w:val="nil"/>
              <w:bottom w:val="single" w:color="auto" w:sz="4" w:space="0"/>
              <w:right w:val="single" w:color="auto" w:sz="4" w:space="0"/>
            </w:tcBorders>
          </w:tcPr>
          <w:p w14:paraId="5116E0CC">
            <w:pPr>
              <w:spacing w:line="440" w:lineRule="exact"/>
              <w:jc w:val="center"/>
              <w:rPr>
                <w:rFonts w:ascii="宋体" w:hAnsi="宋体" w:eastAsia="宋体"/>
                <w:color w:val="auto"/>
                <w:sz w:val="24"/>
                <w:szCs w:val="24"/>
                <w:highlight w:val="none"/>
              </w:rPr>
            </w:pPr>
          </w:p>
        </w:tc>
        <w:tc>
          <w:tcPr>
            <w:tcW w:w="907" w:type="dxa"/>
            <w:tcBorders>
              <w:top w:val="single" w:color="auto" w:sz="4" w:space="0"/>
              <w:left w:val="nil"/>
              <w:bottom w:val="single" w:color="auto" w:sz="4" w:space="0"/>
              <w:right w:val="single" w:color="auto" w:sz="4" w:space="0"/>
            </w:tcBorders>
          </w:tcPr>
          <w:p w14:paraId="2F9AB38C">
            <w:pPr>
              <w:spacing w:line="440" w:lineRule="exact"/>
              <w:jc w:val="center"/>
              <w:rPr>
                <w:rFonts w:ascii="宋体" w:hAnsi="宋体" w:eastAsia="宋体"/>
                <w:color w:val="auto"/>
                <w:sz w:val="24"/>
                <w:szCs w:val="24"/>
                <w:highlight w:val="none"/>
              </w:rPr>
            </w:pPr>
          </w:p>
        </w:tc>
        <w:tc>
          <w:tcPr>
            <w:tcW w:w="1359" w:type="dxa"/>
            <w:tcBorders>
              <w:top w:val="single" w:color="auto" w:sz="4" w:space="0"/>
              <w:left w:val="nil"/>
              <w:bottom w:val="single" w:color="auto" w:sz="4" w:space="0"/>
              <w:right w:val="single" w:color="auto" w:sz="4" w:space="0"/>
            </w:tcBorders>
          </w:tcPr>
          <w:p w14:paraId="654AC440">
            <w:pPr>
              <w:spacing w:line="440" w:lineRule="exact"/>
              <w:jc w:val="center"/>
              <w:rPr>
                <w:rFonts w:ascii="宋体" w:hAnsi="宋体" w:eastAsia="宋体"/>
                <w:color w:val="auto"/>
                <w:sz w:val="24"/>
                <w:szCs w:val="24"/>
                <w:highlight w:val="none"/>
              </w:rPr>
            </w:pPr>
          </w:p>
        </w:tc>
        <w:tc>
          <w:tcPr>
            <w:tcW w:w="849" w:type="dxa"/>
            <w:tcBorders>
              <w:top w:val="single" w:color="auto" w:sz="4" w:space="0"/>
              <w:left w:val="nil"/>
              <w:bottom w:val="single" w:color="auto" w:sz="4" w:space="0"/>
              <w:right w:val="single" w:color="auto" w:sz="4" w:space="0"/>
            </w:tcBorders>
          </w:tcPr>
          <w:p w14:paraId="46DA1479">
            <w:pPr>
              <w:spacing w:line="440" w:lineRule="exact"/>
              <w:jc w:val="center"/>
              <w:rPr>
                <w:rFonts w:ascii="宋体" w:hAnsi="宋体" w:eastAsia="宋体"/>
                <w:color w:val="auto"/>
                <w:sz w:val="24"/>
                <w:szCs w:val="24"/>
                <w:highlight w:val="none"/>
              </w:rPr>
            </w:pPr>
          </w:p>
        </w:tc>
        <w:tc>
          <w:tcPr>
            <w:tcW w:w="1049" w:type="dxa"/>
            <w:tcBorders>
              <w:top w:val="single" w:color="auto" w:sz="4" w:space="0"/>
              <w:left w:val="nil"/>
              <w:bottom w:val="single" w:color="auto" w:sz="4" w:space="0"/>
              <w:right w:val="single" w:color="auto" w:sz="4" w:space="0"/>
            </w:tcBorders>
          </w:tcPr>
          <w:p w14:paraId="2FEA05B0">
            <w:pPr>
              <w:spacing w:line="440" w:lineRule="exact"/>
              <w:jc w:val="center"/>
              <w:rPr>
                <w:rFonts w:ascii="宋体" w:hAnsi="宋体" w:eastAsia="宋体"/>
                <w:color w:val="auto"/>
                <w:sz w:val="24"/>
                <w:szCs w:val="24"/>
                <w:highlight w:val="none"/>
              </w:rPr>
            </w:pPr>
          </w:p>
        </w:tc>
        <w:tc>
          <w:tcPr>
            <w:tcW w:w="1355" w:type="dxa"/>
            <w:tcBorders>
              <w:top w:val="single" w:color="auto" w:sz="4" w:space="0"/>
              <w:left w:val="nil"/>
              <w:bottom w:val="single" w:color="auto" w:sz="4" w:space="0"/>
              <w:right w:val="single" w:color="auto" w:sz="4" w:space="0"/>
            </w:tcBorders>
          </w:tcPr>
          <w:p w14:paraId="7FA9AB85">
            <w:pPr>
              <w:spacing w:line="440" w:lineRule="exact"/>
              <w:jc w:val="center"/>
              <w:rPr>
                <w:rFonts w:ascii="宋体" w:hAnsi="宋体" w:eastAsia="宋体"/>
                <w:color w:val="auto"/>
                <w:sz w:val="24"/>
                <w:szCs w:val="24"/>
                <w:highlight w:val="none"/>
              </w:rPr>
            </w:pPr>
          </w:p>
        </w:tc>
      </w:tr>
      <w:tr w14:paraId="52ABCF42">
        <w:tblPrEx>
          <w:tblCellMar>
            <w:top w:w="0" w:type="dxa"/>
            <w:left w:w="108" w:type="dxa"/>
            <w:bottom w:w="0" w:type="dxa"/>
            <w:right w:w="108" w:type="dxa"/>
          </w:tblCellMar>
        </w:tblPrEx>
        <w:trPr>
          <w:jc w:val="center"/>
        </w:trPr>
        <w:tc>
          <w:tcPr>
            <w:tcW w:w="981" w:type="dxa"/>
            <w:tcBorders>
              <w:top w:val="single" w:color="auto" w:sz="4" w:space="0"/>
              <w:left w:val="single" w:color="auto" w:sz="4" w:space="0"/>
              <w:bottom w:val="single" w:color="auto" w:sz="4" w:space="0"/>
              <w:right w:val="single" w:color="auto" w:sz="4" w:space="0"/>
            </w:tcBorders>
          </w:tcPr>
          <w:p w14:paraId="08CADFB5">
            <w:pPr>
              <w:spacing w:line="440" w:lineRule="exact"/>
              <w:jc w:val="center"/>
              <w:rPr>
                <w:rFonts w:ascii="宋体" w:hAnsi="宋体" w:eastAsia="宋体"/>
                <w:color w:val="auto"/>
                <w:sz w:val="24"/>
                <w:szCs w:val="24"/>
                <w:highlight w:val="none"/>
              </w:rPr>
            </w:pPr>
          </w:p>
        </w:tc>
        <w:tc>
          <w:tcPr>
            <w:tcW w:w="1530" w:type="dxa"/>
            <w:tcBorders>
              <w:top w:val="single" w:color="auto" w:sz="4" w:space="0"/>
              <w:left w:val="nil"/>
              <w:bottom w:val="single" w:color="auto" w:sz="4" w:space="0"/>
              <w:right w:val="single" w:color="auto" w:sz="4" w:space="0"/>
            </w:tcBorders>
          </w:tcPr>
          <w:p w14:paraId="12FA415A">
            <w:pPr>
              <w:spacing w:line="440" w:lineRule="exact"/>
              <w:jc w:val="center"/>
              <w:rPr>
                <w:rFonts w:ascii="宋体" w:hAnsi="宋体" w:eastAsia="宋体"/>
                <w:color w:val="auto"/>
                <w:sz w:val="24"/>
                <w:szCs w:val="24"/>
                <w:highlight w:val="none"/>
              </w:rPr>
            </w:pPr>
          </w:p>
        </w:tc>
        <w:tc>
          <w:tcPr>
            <w:tcW w:w="853" w:type="dxa"/>
            <w:tcBorders>
              <w:top w:val="single" w:color="auto" w:sz="4" w:space="0"/>
              <w:left w:val="nil"/>
              <w:bottom w:val="single" w:color="auto" w:sz="4" w:space="0"/>
              <w:right w:val="single" w:color="auto" w:sz="4" w:space="0"/>
            </w:tcBorders>
          </w:tcPr>
          <w:p w14:paraId="51FF45F6">
            <w:pPr>
              <w:spacing w:line="440" w:lineRule="exact"/>
              <w:jc w:val="center"/>
              <w:rPr>
                <w:rFonts w:ascii="宋体" w:hAnsi="宋体" w:eastAsia="宋体"/>
                <w:color w:val="auto"/>
                <w:sz w:val="24"/>
                <w:szCs w:val="24"/>
                <w:highlight w:val="none"/>
              </w:rPr>
            </w:pPr>
          </w:p>
        </w:tc>
        <w:tc>
          <w:tcPr>
            <w:tcW w:w="735" w:type="dxa"/>
            <w:tcBorders>
              <w:top w:val="single" w:color="auto" w:sz="4" w:space="0"/>
              <w:left w:val="nil"/>
              <w:bottom w:val="single" w:color="auto" w:sz="4" w:space="0"/>
              <w:right w:val="single" w:color="auto" w:sz="4" w:space="0"/>
            </w:tcBorders>
          </w:tcPr>
          <w:p w14:paraId="5CBA813C">
            <w:pPr>
              <w:spacing w:line="440" w:lineRule="exact"/>
              <w:jc w:val="center"/>
              <w:rPr>
                <w:rFonts w:ascii="宋体" w:hAnsi="宋体" w:eastAsia="宋体"/>
                <w:color w:val="auto"/>
                <w:sz w:val="24"/>
                <w:szCs w:val="24"/>
                <w:highlight w:val="none"/>
              </w:rPr>
            </w:pPr>
          </w:p>
        </w:tc>
        <w:tc>
          <w:tcPr>
            <w:tcW w:w="907" w:type="dxa"/>
            <w:tcBorders>
              <w:top w:val="single" w:color="auto" w:sz="4" w:space="0"/>
              <w:left w:val="nil"/>
              <w:bottom w:val="single" w:color="auto" w:sz="4" w:space="0"/>
              <w:right w:val="single" w:color="auto" w:sz="4" w:space="0"/>
            </w:tcBorders>
          </w:tcPr>
          <w:p w14:paraId="10F220D2">
            <w:pPr>
              <w:spacing w:line="440" w:lineRule="exact"/>
              <w:jc w:val="center"/>
              <w:rPr>
                <w:rFonts w:ascii="宋体" w:hAnsi="宋体" w:eastAsia="宋体"/>
                <w:color w:val="auto"/>
                <w:sz w:val="24"/>
                <w:szCs w:val="24"/>
                <w:highlight w:val="none"/>
              </w:rPr>
            </w:pPr>
          </w:p>
        </w:tc>
        <w:tc>
          <w:tcPr>
            <w:tcW w:w="1359" w:type="dxa"/>
            <w:tcBorders>
              <w:top w:val="single" w:color="auto" w:sz="4" w:space="0"/>
              <w:left w:val="nil"/>
              <w:bottom w:val="single" w:color="auto" w:sz="4" w:space="0"/>
              <w:right w:val="single" w:color="auto" w:sz="4" w:space="0"/>
            </w:tcBorders>
          </w:tcPr>
          <w:p w14:paraId="34CDD540">
            <w:pPr>
              <w:spacing w:line="440" w:lineRule="exact"/>
              <w:jc w:val="center"/>
              <w:rPr>
                <w:rFonts w:ascii="宋体" w:hAnsi="宋体" w:eastAsia="宋体"/>
                <w:color w:val="auto"/>
                <w:sz w:val="24"/>
                <w:szCs w:val="24"/>
                <w:highlight w:val="none"/>
              </w:rPr>
            </w:pPr>
          </w:p>
        </w:tc>
        <w:tc>
          <w:tcPr>
            <w:tcW w:w="849" w:type="dxa"/>
            <w:tcBorders>
              <w:top w:val="single" w:color="auto" w:sz="4" w:space="0"/>
              <w:left w:val="nil"/>
              <w:bottom w:val="single" w:color="auto" w:sz="4" w:space="0"/>
              <w:right w:val="single" w:color="auto" w:sz="4" w:space="0"/>
            </w:tcBorders>
          </w:tcPr>
          <w:p w14:paraId="260C9883">
            <w:pPr>
              <w:spacing w:line="440" w:lineRule="exact"/>
              <w:jc w:val="center"/>
              <w:rPr>
                <w:rFonts w:ascii="宋体" w:hAnsi="宋体" w:eastAsia="宋体"/>
                <w:color w:val="auto"/>
                <w:sz w:val="24"/>
                <w:szCs w:val="24"/>
                <w:highlight w:val="none"/>
              </w:rPr>
            </w:pPr>
          </w:p>
        </w:tc>
        <w:tc>
          <w:tcPr>
            <w:tcW w:w="1049" w:type="dxa"/>
            <w:tcBorders>
              <w:top w:val="single" w:color="auto" w:sz="4" w:space="0"/>
              <w:left w:val="nil"/>
              <w:bottom w:val="single" w:color="auto" w:sz="4" w:space="0"/>
              <w:right w:val="single" w:color="auto" w:sz="4" w:space="0"/>
            </w:tcBorders>
          </w:tcPr>
          <w:p w14:paraId="089DF26B">
            <w:pPr>
              <w:spacing w:line="440" w:lineRule="exact"/>
              <w:jc w:val="center"/>
              <w:rPr>
                <w:rFonts w:ascii="宋体" w:hAnsi="宋体" w:eastAsia="宋体"/>
                <w:color w:val="auto"/>
                <w:sz w:val="24"/>
                <w:szCs w:val="24"/>
                <w:highlight w:val="none"/>
              </w:rPr>
            </w:pPr>
          </w:p>
        </w:tc>
        <w:tc>
          <w:tcPr>
            <w:tcW w:w="1355" w:type="dxa"/>
            <w:tcBorders>
              <w:top w:val="single" w:color="auto" w:sz="4" w:space="0"/>
              <w:left w:val="nil"/>
              <w:bottom w:val="single" w:color="auto" w:sz="4" w:space="0"/>
              <w:right w:val="single" w:color="auto" w:sz="4" w:space="0"/>
            </w:tcBorders>
          </w:tcPr>
          <w:p w14:paraId="20A1F1C8">
            <w:pPr>
              <w:spacing w:line="440" w:lineRule="exact"/>
              <w:jc w:val="center"/>
              <w:rPr>
                <w:rFonts w:ascii="宋体" w:hAnsi="宋体" w:eastAsia="宋体"/>
                <w:color w:val="auto"/>
                <w:sz w:val="24"/>
                <w:szCs w:val="24"/>
                <w:highlight w:val="none"/>
              </w:rPr>
            </w:pPr>
          </w:p>
        </w:tc>
      </w:tr>
      <w:tr w14:paraId="127C5CF6">
        <w:tblPrEx>
          <w:tblCellMar>
            <w:top w:w="0" w:type="dxa"/>
            <w:left w:w="108" w:type="dxa"/>
            <w:bottom w:w="0" w:type="dxa"/>
            <w:right w:w="108" w:type="dxa"/>
          </w:tblCellMar>
        </w:tblPrEx>
        <w:trPr>
          <w:jc w:val="center"/>
        </w:trPr>
        <w:tc>
          <w:tcPr>
            <w:tcW w:w="981" w:type="dxa"/>
            <w:tcBorders>
              <w:top w:val="single" w:color="auto" w:sz="4" w:space="0"/>
              <w:left w:val="single" w:color="auto" w:sz="4" w:space="0"/>
              <w:bottom w:val="single" w:color="auto" w:sz="4" w:space="0"/>
              <w:right w:val="single" w:color="auto" w:sz="4" w:space="0"/>
            </w:tcBorders>
          </w:tcPr>
          <w:p w14:paraId="78F94A15">
            <w:pPr>
              <w:spacing w:line="440" w:lineRule="exact"/>
              <w:jc w:val="center"/>
              <w:rPr>
                <w:rFonts w:ascii="宋体" w:hAnsi="宋体" w:eastAsia="宋体"/>
                <w:color w:val="auto"/>
                <w:sz w:val="24"/>
                <w:szCs w:val="24"/>
                <w:highlight w:val="none"/>
              </w:rPr>
            </w:pPr>
          </w:p>
        </w:tc>
        <w:tc>
          <w:tcPr>
            <w:tcW w:w="1530" w:type="dxa"/>
            <w:tcBorders>
              <w:top w:val="single" w:color="auto" w:sz="4" w:space="0"/>
              <w:left w:val="nil"/>
              <w:bottom w:val="single" w:color="auto" w:sz="4" w:space="0"/>
              <w:right w:val="single" w:color="auto" w:sz="4" w:space="0"/>
            </w:tcBorders>
          </w:tcPr>
          <w:p w14:paraId="7148E2DF">
            <w:pPr>
              <w:spacing w:line="440" w:lineRule="exact"/>
              <w:jc w:val="center"/>
              <w:rPr>
                <w:rFonts w:ascii="宋体" w:hAnsi="宋体" w:eastAsia="宋体"/>
                <w:color w:val="auto"/>
                <w:sz w:val="24"/>
                <w:szCs w:val="24"/>
                <w:highlight w:val="none"/>
              </w:rPr>
            </w:pPr>
          </w:p>
        </w:tc>
        <w:tc>
          <w:tcPr>
            <w:tcW w:w="853" w:type="dxa"/>
            <w:tcBorders>
              <w:top w:val="single" w:color="auto" w:sz="4" w:space="0"/>
              <w:left w:val="nil"/>
              <w:bottom w:val="single" w:color="auto" w:sz="4" w:space="0"/>
              <w:right w:val="single" w:color="auto" w:sz="4" w:space="0"/>
            </w:tcBorders>
          </w:tcPr>
          <w:p w14:paraId="3B98A880">
            <w:pPr>
              <w:spacing w:line="440" w:lineRule="exact"/>
              <w:jc w:val="center"/>
              <w:rPr>
                <w:rFonts w:ascii="宋体" w:hAnsi="宋体" w:eastAsia="宋体"/>
                <w:color w:val="auto"/>
                <w:sz w:val="24"/>
                <w:szCs w:val="24"/>
                <w:highlight w:val="none"/>
              </w:rPr>
            </w:pPr>
          </w:p>
        </w:tc>
        <w:tc>
          <w:tcPr>
            <w:tcW w:w="735" w:type="dxa"/>
            <w:tcBorders>
              <w:top w:val="single" w:color="auto" w:sz="4" w:space="0"/>
              <w:left w:val="nil"/>
              <w:bottom w:val="single" w:color="auto" w:sz="4" w:space="0"/>
              <w:right w:val="single" w:color="auto" w:sz="4" w:space="0"/>
            </w:tcBorders>
          </w:tcPr>
          <w:p w14:paraId="10A76B4C">
            <w:pPr>
              <w:spacing w:line="440" w:lineRule="exact"/>
              <w:jc w:val="center"/>
              <w:rPr>
                <w:rFonts w:ascii="宋体" w:hAnsi="宋体" w:eastAsia="宋体"/>
                <w:color w:val="auto"/>
                <w:sz w:val="24"/>
                <w:szCs w:val="24"/>
                <w:highlight w:val="none"/>
              </w:rPr>
            </w:pPr>
          </w:p>
        </w:tc>
        <w:tc>
          <w:tcPr>
            <w:tcW w:w="907" w:type="dxa"/>
            <w:tcBorders>
              <w:top w:val="single" w:color="auto" w:sz="4" w:space="0"/>
              <w:left w:val="nil"/>
              <w:bottom w:val="single" w:color="auto" w:sz="4" w:space="0"/>
              <w:right w:val="single" w:color="auto" w:sz="4" w:space="0"/>
            </w:tcBorders>
          </w:tcPr>
          <w:p w14:paraId="366E7522">
            <w:pPr>
              <w:spacing w:line="440" w:lineRule="exact"/>
              <w:jc w:val="center"/>
              <w:rPr>
                <w:rFonts w:ascii="宋体" w:hAnsi="宋体" w:eastAsia="宋体"/>
                <w:color w:val="auto"/>
                <w:sz w:val="24"/>
                <w:szCs w:val="24"/>
                <w:highlight w:val="none"/>
              </w:rPr>
            </w:pPr>
          </w:p>
        </w:tc>
        <w:tc>
          <w:tcPr>
            <w:tcW w:w="1359" w:type="dxa"/>
            <w:tcBorders>
              <w:top w:val="single" w:color="auto" w:sz="4" w:space="0"/>
              <w:left w:val="nil"/>
              <w:bottom w:val="single" w:color="auto" w:sz="4" w:space="0"/>
              <w:right w:val="single" w:color="auto" w:sz="4" w:space="0"/>
            </w:tcBorders>
          </w:tcPr>
          <w:p w14:paraId="62E10A58">
            <w:pPr>
              <w:spacing w:line="440" w:lineRule="exact"/>
              <w:jc w:val="center"/>
              <w:rPr>
                <w:rFonts w:ascii="宋体" w:hAnsi="宋体" w:eastAsia="宋体"/>
                <w:color w:val="auto"/>
                <w:sz w:val="24"/>
                <w:szCs w:val="24"/>
                <w:highlight w:val="none"/>
              </w:rPr>
            </w:pPr>
          </w:p>
        </w:tc>
        <w:tc>
          <w:tcPr>
            <w:tcW w:w="849" w:type="dxa"/>
            <w:tcBorders>
              <w:top w:val="single" w:color="auto" w:sz="4" w:space="0"/>
              <w:left w:val="nil"/>
              <w:bottom w:val="single" w:color="auto" w:sz="4" w:space="0"/>
              <w:right w:val="single" w:color="auto" w:sz="4" w:space="0"/>
            </w:tcBorders>
          </w:tcPr>
          <w:p w14:paraId="1296816E">
            <w:pPr>
              <w:spacing w:line="440" w:lineRule="exact"/>
              <w:jc w:val="center"/>
              <w:rPr>
                <w:rFonts w:ascii="宋体" w:hAnsi="宋体" w:eastAsia="宋体"/>
                <w:color w:val="auto"/>
                <w:sz w:val="24"/>
                <w:szCs w:val="24"/>
                <w:highlight w:val="none"/>
              </w:rPr>
            </w:pPr>
          </w:p>
        </w:tc>
        <w:tc>
          <w:tcPr>
            <w:tcW w:w="1049" w:type="dxa"/>
            <w:tcBorders>
              <w:top w:val="single" w:color="auto" w:sz="4" w:space="0"/>
              <w:left w:val="nil"/>
              <w:bottom w:val="single" w:color="auto" w:sz="4" w:space="0"/>
              <w:right w:val="single" w:color="auto" w:sz="4" w:space="0"/>
            </w:tcBorders>
          </w:tcPr>
          <w:p w14:paraId="62E882B3">
            <w:pPr>
              <w:spacing w:line="440" w:lineRule="exact"/>
              <w:jc w:val="center"/>
              <w:rPr>
                <w:rFonts w:ascii="宋体" w:hAnsi="宋体" w:eastAsia="宋体"/>
                <w:color w:val="auto"/>
                <w:sz w:val="24"/>
                <w:szCs w:val="24"/>
                <w:highlight w:val="none"/>
              </w:rPr>
            </w:pPr>
          </w:p>
        </w:tc>
        <w:tc>
          <w:tcPr>
            <w:tcW w:w="1355" w:type="dxa"/>
            <w:tcBorders>
              <w:top w:val="single" w:color="auto" w:sz="4" w:space="0"/>
              <w:left w:val="nil"/>
              <w:bottom w:val="single" w:color="auto" w:sz="4" w:space="0"/>
              <w:right w:val="single" w:color="auto" w:sz="4" w:space="0"/>
            </w:tcBorders>
          </w:tcPr>
          <w:p w14:paraId="686997F9">
            <w:pPr>
              <w:spacing w:line="440" w:lineRule="exact"/>
              <w:jc w:val="center"/>
              <w:rPr>
                <w:rFonts w:ascii="宋体" w:hAnsi="宋体" w:eastAsia="宋体"/>
                <w:color w:val="auto"/>
                <w:sz w:val="24"/>
                <w:szCs w:val="24"/>
                <w:highlight w:val="none"/>
              </w:rPr>
            </w:pPr>
          </w:p>
        </w:tc>
      </w:tr>
      <w:tr w14:paraId="46130908">
        <w:tblPrEx>
          <w:tblCellMar>
            <w:top w:w="0" w:type="dxa"/>
            <w:left w:w="108" w:type="dxa"/>
            <w:bottom w:w="0" w:type="dxa"/>
            <w:right w:w="108" w:type="dxa"/>
          </w:tblCellMar>
        </w:tblPrEx>
        <w:trPr>
          <w:jc w:val="center"/>
        </w:trPr>
        <w:tc>
          <w:tcPr>
            <w:tcW w:w="981" w:type="dxa"/>
            <w:tcBorders>
              <w:top w:val="single" w:color="auto" w:sz="4" w:space="0"/>
              <w:left w:val="single" w:color="auto" w:sz="4" w:space="0"/>
              <w:bottom w:val="single" w:color="auto" w:sz="4" w:space="0"/>
              <w:right w:val="single" w:color="auto" w:sz="4" w:space="0"/>
            </w:tcBorders>
          </w:tcPr>
          <w:p w14:paraId="0C8A18CE">
            <w:pPr>
              <w:spacing w:line="440" w:lineRule="exact"/>
              <w:jc w:val="center"/>
              <w:rPr>
                <w:rFonts w:ascii="宋体" w:hAnsi="宋体" w:eastAsia="宋体"/>
                <w:color w:val="auto"/>
                <w:sz w:val="24"/>
                <w:szCs w:val="24"/>
                <w:highlight w:val="none"/>
              </w:rPr>
            </w:pPr>
          </w:p>
        </w:tc>
        <w:tc>
          <w:tcPr>
            <w:tcW w:w="1530" w:type="dxa"/>
            <w:tcBorders>
              <w:top w:val="single" w:color="auto" w:sz="4" w:space="0"/>
              <w:left w:val="nil"/>
              <w:bottom w:val="single" w:color="auto" w:sz="4" w:space="0"/>
              <w:right w:val="single" w:color="auto" w:sz="4" w:space="0"/>
            </w:tcBorders>
          </w:tcPr>
          <w:p w14:paraId="38E4A072">
            <w:pPr>
              <w:spacing w:line="440" w:lineRule="exact"/>
              <w:jc w:val="center"/>
              <w:rPr>
                <w:rFonts w:ascii="宋体" w:hAnsi="宋体" w:eastAsia="宋体"/>
                <w:color w:val="auto"/>
                <w:sz w:val="24"/>
                <w:szCs w:val="24"/>
                <w:highlight w:val="none"/>
              </w:rPr>
            </w:pPr>
          </w:p>
        </w:tc>
        <w:tc>
          <w:tcPr>
            <w:tcW w:w="853" w:type="dxa"/>
            <w:tcBorders>
              <w:top w:val="single" w:color="auto" w:sz="4" w:space="0"/>
              <w:left w:val="nil"/>
              <w:bottom w:val="single" w:color="auto" w:sz="4" w:space="0"/>
              <w:right w:val="single" w:color="auto" w:sz="4" w:space="0"/>
            </w:tcBorders>
          </w:tcPr>
          <w:p w14:paraId="127F4C01">
            <w:pPr>
              <w:spacing w:line="440" w:lineRule="exact"/>
              <w:jc w:val="center"/>
              <w:rPr>
                <w:rFonts w:ascii="宋体" w:hAnsi="宋体" w:eastAsia="宋体"/>
                <w:color w:val="auto"/>
                <w:sz w:val="24"/>
                <w:szCs w:val="24"/>
                <w:highlight w:val="none"/>
              </w:rPr>
            </w:pPr>
          </w:p>
        </w:tc>
        <w:tc>
          <w:tcPr>
            <w:tcW w:w="735" w:type="dxa"/>
            <w:tcBorders>
              <w:top w:val="single" w:color="auto" w:sz="4" w:space="0"/>
              <w:left w:val="nil"/>
              <w:bottom w:val="single" w:color="auto" w:sz="4" w:space="0"/>
              <w:right w:val="single" w:color="auto" w:sz="4" w:space="0"/>
            </w:tcBorders>
          </w:tcPr>
          <w:p w14:paraId="2D9390D9">
            <w:pPr>
              <w:spacing w:line="440" w:lineRule="exact"/>
              <w:jc w:val="center"/>
              <w:rPr>
                <w:rFonts w:ascii="宋体" w:hAnsi="宋体" w:eastAsia="宋体"/>
                <w:color w:val="auto"/>
                <w:sz w:val="24"/>
                <w:szCs w:val="24"/>
                <w:highlight w:val="none"/>
              </w:rPr>
            </w:pPr>
          </w:p>
        </w:tc>
        <w:tc>
          <w:tcPr>
            <w:tcW w:w="907" w:type="dxa"/>
            <w:tcBorders>
              <w:top w:val="single" w:color="auto" w:sz="4" w:space="0"/>
              <w:left w:val="nil"/>
              <w:bottom w:val="single" w:color="auto" w:sz="4" w:space="0"/>
              <w:right w:val="single" w:color="auto" w:sz="4" w:space="0"/>
            </w:tcBorders>
          </w:tcPr>
          <w:p w14:paraId="5596F452">
            <w:pPr>
              <w:spacing w:line="440" w:lineRule="exact"/>
              <w:jc w:val="center"/>
              <w:rPr>
                <w:rFonts w:ascii="宋体" w:hAnsi="宋体" w:eastAsia="宋体"/>
                <w:color w:val="auto"/>
                <w:sz w:val="24"/>
                <w:szCs w:val="24"/>
                <w:highlight w:val="none"/>
              </w:rPr>
            </w:pPr>
          </w:p>
        </w:tc>
        <w:tc>
          <w:tcPr>
            <w:tcW w:w="1359" w:type="dxa"/>
            <w:tcBorders>
              <w:top w:val="single" w:color="auto" w:sz="4" w:space="0"/>
              <w:left w:val="nil"/>
              <w:bottom w:val="single" w:color="auto" w:sz="4" w:space="0"/>
              <w:right w:val="single" w:color="auto" w:sz="4" w:space="0"/>
            </w:tcBorders>
          </w:tcPr>
          <w:p w14:paraId="229893B7">
            <w:pPr>
              <w:spacing w:line="440" w:lineRule="exact"/>
              <w:jc w:val="center"/>
              <w:rPr>
                <w:rFonts w:ascii="宋体" w:hAnsi="宋体" w:eastAsia="宋体"/>
                <w:color w:val="auto"/>
                <w:sz w:val="24"/>
                <w:szCs w:val="24"/>
                <w:highlight w:val="none"/>
              </w:rPr>
            </w:pPr>
          </w:p>
        </w:tc>
        <w:tc>
          <w:tcPr>
            <w:tcW w:w="849" w:type="dxa"/>
            <w:tcBorders>
              <w:top w:val="single" w:color="auto" w:sz="4" w:space="0"/>
              <w:left w:val="nil"/>
              <w:bottom w:val="single" w:color="auto" w:sz="4" w:space="0"/>
              <w:right w:val="single" w:color="auto" w:sz="4" w:space="0"/>
            </w:tcBorders>
          </w:tcPr>
          <w:p w14:paraId="48D8CF43">
            <w:pPr>
              <w:spacing w:line="440" w:lineRule="exact"/>
              <w:jc w:val="center"/>
              <w:rPr>
                <w:rFonts w:ascii="宋体" w:hAnsi="宋体" w:eastAsia="宋体"/>
                <w:color w:val="auto"/>
                <w:sz w:val="24"/>
                <w:szCs w:val="24"/>
                <w:highlight w:val="none"/>
              </w:rPr>
            </w:pPr>
          </w:p>
        </w:tc>
        <w:tc>
          <w:tcPr>
            <w:tcW w:w="1049" w:type="dxa"/>
            <w:tcBorders>
              <w:top w:val="single" w:color="auto" w:sz="4" w:space="0"/>
              <w:left w:val="nil"/>
              <w:bottom w:val="single" w:color="auto" w:sz="4" w:space="0"/>
              <w:right w:val="single" w:color="auto" w:sz="4" w:space="0"/>
            </w:tcBorders>
          </w:tcPr>
          <w:p w14:paraId="71B4BB24">
            <w:pPr>
              <w:spacing w:line="440" w:lineRule="exact"/>
              <w:jc w:val="center"/>
              <w:rPr>
                <w:rFonts w:ascii="宋体" w:hAnsi="宋体" w:eastAsia="宋体"/>
                <w:color w:val="auto"/>
                <w:sz w:val="24"/>
                <w:szCs w:val="24"/>
                <w:highlight w:val="none"/>
              </w:rPr>
            </w:pPr>
          </w:p>
        </w:tc>
        <w:tc>
          <w:tcPr>
            <w:tcW w:w="1355" w:type="dxa"/>
            <w:tcBorders>
              <w:top w:val="single" w:color="auto" w:sz="4" w:space="0"/>
              <w:left w:val="nil"/>
              <w:bottom w:val="single" w:color="auto" w:sz="4" w:space="0"/>
              <w:right w:val="single" w:color="auto" w:sz="4" w:space="0"/>
            </w:tcBorders>
          </w:tcPr>
          <w:p w14:paraId="4B13B869">
            <w:pPr>
              <w:spacing w:line="440" w:lineRule="exact"/>
              <w:jc w:val="center"/>
              <w:rPr>
                <w:rFonts w:ascii="宋体" w:hAnsi="宋体" w:eastAsia="宋体"/>
                <w:color w:val="auto"/>
                <w:sz w:val="24"/>
                <w:szCs w:val="24"/>
                <w:highlight w:val="none"/>
              </w:rPr>
            </w:pPr>
          </w:p>
        </w:tc>
      </w:tr>
      <w:tr w14:paraId="684B186E">
        <w:tblPrEx>
          <w:tblCellMar>
            <w:top w:w="0" w:type="dxa"/>
            <w:left w:w="108" w:type="dxa"/>
            <w:bottom w:w="0" w:type="dxa"/>
            <w:right w:w="108" w:type="dxa"/>
          </w:tblCellMar>
        </w:tblPrEx>
        <w:trPr>
          <w:jc w:val="center"/>
        </w:trPr>
        <w:tc>
          <w:tcPr>
            <w:tcW w:w="981" w:type="dxa"/>
            <w:tcBorders>
              <w:top w:val="single" w:color="auto" w:sz="4" w:space="0"/>
              <w:left w:val="single" w:color="auto" w:sz="4" w:space="0"/>
              <w:bottom w:val="single" w:color="auto" w:sz="4" w:space="0"/>
              <w:right w:val="single" w:color="auto" w:sz="4" w:space="0"/>
            </w:tcBorders>
          </w:tcPr>
          <w:p w14:paraId="46DF90A0">
            <w:pPr>
              <w:spacing w:line="440" w:lineRule="exact"/>
              <w:jc w:val="center"/>
              <w:rPr>
                <w:rFonts w:ascii="宋体" w:hAnsi="宋体" w:eastAsia="宋体"/>
                <w:color w:val="auto"/>
                <w:sz w:val="24"/>
                <w:szCs w:val="24"/>
                <w:highlight w:val="none"/>
              </w:rPr>
            </w:pPr>
          </w:p>
        </w:tc>
        <w:tc>
          <w:tcPr>
            <w:tcW w:w="1530" w:type="dxa"/>
            <w:tcBorders>
              <w:top w:val="single" w:color="auto" w:sz="4" w:space="0"/>
              <w:left w:val="nil"/>
              <w:bottom w:val="single" w:color="auto" w:sz="4" w:space="0"/>
              <w:right w:val="single" w:color="auto" w:sz="4" w:space="0"/>
            </w:tcBorders>
          </w:tcPr>
          <w:p w14:paraId="31B9A99B">
            <w:pPr>
              <w:spacing w:line="440" w:lineRule="exact"/>
              <w:jc w:val="center"/>
              <w:rPr>
                <w:rFonts w:ascii="宋体" w:hAnsi="宋体" w:eastAsia="宋体"/>
                <w:color w:val="auto"/>
                <w:sz w:val="24"/>
                <w:szCs w:val="24"/>
                <w:highlight w:val="none"/>
              </w:rPr>
            </w:pPr>
          </w:p>
        </w:tc>
        <w:tc>
          <w:tcPr>
            <w:tcW w:w="853" w:type="dxa"/>
            <w:tcBorders>
              <w:top w:val="single" w:color="auto" w:sz="4" w:space="0"/>
              <w:left w:val="nil"/>
              <w:bottom w:val="single" w:color="auto" w:sz="4" w:space="0"/>
              <w:right w:val="single" w:color="auto" w:sz="4" w:space="0"/>
            </w:tcBorders>
          </w:tcPr>
          <w:p w14:paraId="1D42BFF7">
            <w:pPr>
              <w:spacing w:line="440" w:lineRule="exact"/>
              <w:jc w:val="center"/>
              <w:rPr>
                <w:rFonts w:ascii="宋体" w:hAnsi="宋体" w:eastAsia="宋体"/>
                <w:color w:val="auto"/>
                <w:sz w:val="24"/>
                <w:szCs w:val="24"/>
                <w:highlight w:val="none"/>
              </w:rPr>
            </w:pPr>
          </w:p>
        </w:tc>
        <w:tc>
          <w:tcPr>
            <w:tcW w:w="735" w:type="dxa"/>
            <w:tcBorders>
              <w:top w:val="single" w:color="auto" w:sz="4" w:space="0"/>
              <w:left w:val="nil"/>
              <w:bottom w:val="single" w:color="auto" w:sz="4" w:space="0"/>
              <w:right w:val="single" w:color="auto" w:sz="4" w:space="0"/>
            </w:tcBorders>
          </w:tcPr>
          <w:p w14:paraId="7DE760F0">
            <w:pPr>
              <w:spacing w:line="440" w:lineRule="exact"/>
              <w:jc w:val="center"/>
              <w:rPr>
                <w:rFonts w:ascii="宋体" w:hAnsi="宋体" w:eastAsia="宋体"/>
                <w:color w:val="auto"/>
                <w:sz w:val="24"/>
                <w:szCs w:val="24"/>
                <w:highlight w:val="none"/>
              </w:rPr>
            </w:pPr>
          </w:p>
        </w:tc>
        <w:tc>
          <w:tcPr>
            <w:tcW w:w="907" w:type="dxa"/>
            <w:tcBorders>
              <w:top w:val="single" w:color="auto" w:sz="4" w:space="0"/>
              <w:left w:val="nil"/>
              <w:bottom w:val="single" w:color="auto" w:sz="4" w:space="0"/>
              <w:right w:val="single" w:color="auto" w:sz="4" w:space="0"/>
            </w:tcBorders>
          </w:tcPr>
          <w:p w14:paraId="2AE51730">
            <w:pPr>
              <w:spacing w:line="440" w:lineRule="exact"/>
              <w:jc w:val="center"/>
              <w:rPr>
                <w:rFonts w:ascii="宋体" w:hAnsi="宋体" w:eastAsia="宋体"/>
                <w:color w:val="auto"/>
                <w:sz w:val="24"/>
                <w:szCs w:val="24"/>
                <w:highlight w:val="none"/>
              </w:rPr>
            </w:pPr>
          </w:p>
        </w:tc>
        <w:tc>
          <w:tcPr>
            <w:tcW w:w="1359" w:type="dxa"/>
            <w:tcBorders>
              <w:top w:val="single" w:color="auto" w:sz="4" w:space="0"/>
              <w:left w:val="nil"/>
              <w:bottom w:val="single" w:color="auto" w:sz="4" w:space="0"/>
              <w:right w:val="single" w:color="auto" w:sz="4" w:space="0"/>
            </w:tcBorders>
          </w:tcPr>
          <w:p w14:paraId="7B617AE4">
            <w:pPr>
              <w:spacing w:line="440" w:lineRule="exact"/>
              <w:jc w:val="center"/>
              <w:rPr>
                <w:rFonts w:ascii="宋体" w:hAnsi="宋体" w:eastAsia="宋体"/>
                <w:color w:val="auto"/>
                <w:sz w:val="24"/>
                <w:szCs w:val="24"/>
                <w:highlight w:val="none"/>
              </w:rPr>
            </w:pPr>
          </w:p>
        </w:tc>
        <w:tc>
          <w:tcPr>
            <w:tcW w:w="849" w:type="dxa"/>
            <w:tcBorders>
              <w:top w:val="single" w:color="auto" w:sz="4" w:space="0"/>
              <w:left w:val="nil"/>
              <w:bottom w:val="single" w:color="auto" w:sz="4" w:space="0"/>
              <w:right w:val="single" w:color="auto" w:sz="4" w:space="0"/>
            </w:tcBorders>
          </w:tcPr>
          <w:p w14:paraId="323334DF">
            <w:pPr>
              <w:spacing w:line="440" w:lineRule="exact"/>
              <w:jc w:val="center"/>
              <w:rPr>
                <w:rFonts w:ascii="宋体" w:hAnsi="宋体" w:eastAsia="宋体"/>
                <w:color w:val="auto"/>
                <w:sz w:val="24"/>
                <w:szCs w:val="24"/>
                <w:highlight w:val="none"/>
              </w:rPr>
            </w:pPr>
          </w:p>
        </w:tc>
        <w:tc>
          <w:tcPr>
            <w:tcW w:w="1049" w:type="dxa"/>
            <w:tcBorders>
              <w:top w:val="single" w:color="auto" w:sz="4" w:space="0"/>
              <w:left w:val="nil"/>
              <w:bottom w:val="single" w:color="auto" w:sz="4" w:space="0"/>
              <w:right w:val="single" w:color="auto" w:sz="4" w:space="0"/>
            </w:tcBorders>
          </w:tcPr>
          <w:p w14:paraId="6A566481">
            <w:pPr>
              <w:spacing w:line="440" w:lineRule="exact"/>
              <w:jc w:val="center"/>
              <w:rPr>
                <w:rFonts w:ascii="宋体" w:hAnsi="宋体" w:eastAsia="宋体"/>
                <w:color w:val="auto"/>
                <w:sz w:val="24"/>
                <w:szCs w:val="24"/>
                <w:highlight w:val="none"/>
              </w:rPr>
            </w:pPr>
          </w:p>
        </w:tc>
        <w:tc>
          <w:tcPr>
            <w:tcW w:w="1355" w:type="dxa"/>
            <w:tcBorders>
              <w:top w:val="single" w:color="auto" w:sz="4" w:space="0"/>
              <w:left w:val="nil"/>
              <w:bottom w:val="single" w:color="auto" w:sz="4" w:space="0"/>
              <w:right w:val="single" w:color="auto" w:sz="4" w:space="0"/>
            </w:tcBorders>
          </w:tcPr>
          <w:p w14:paraId="69DB860D">
            <w:pPr>
              <w:spacing w:line="440" w:lineRule="exact"/>
              <w:jc w:val="center"/>
              <w:rPr>
                <w:rFonts w:ascii="宋体" w:hAnsi="宋体" w:eastAsia="宋体"/>
                <w:color w:val="auto"/>
                <w:sz w:val="24"/>
                <w:szCs w:val="24"/>
                <w:highlight w:val="none"/>
              </w:rPr>
            </w:pPr>
          </w:p>
        </w:tc>
      </w:tr>
      <w:tr w14:paraId="2FF53B8D">
        <w:tblPrEx>
          <w:tblCellMar>
            <w:top w:w="0" w:type="dxa"/>
            <w:left w:w="108" w:type="dxa"/>
            <w:bottom w:w="0" w:type="dxa"/>
            <w:right w:w="108" w:type="dxa"/>
          </w:tblCellMar>
        </w:tblPrEx>
        <w:trPr>
          <w:jc w:val="center"/>
        </w:trPr>
        <w:tc>
          <w:tcPr>
            <w:tcW w:w="981" w:type="dxa"/>
            <w:tcBorders>
              <w:top w:val="single" w:color="auto" w:sz="4" w:space="0"/>
              <w:left w:val="single" w:color="auto" w:sz="4" w:space="0"/>
              <w:bottom w:val="single" w:color="auto" w:sz="4" w:space="0"/>
              <w:right w:val="single" w:color="auto" w:sz="4" w:space="0"/>
            </w:tcBorders>
          </w:tcPr>
          <w:p w14:paraId="09C31DBF">
            <w:pPr>
              <w:spacing w:line="440" w:lineRule="exact"/>
              <w:jc w:val="center"/>
              <w:rPr>
                <w:rFonts w:ascii="宋体" w:hAnsi="宋体" w:eastAsia="宋体"/>
                <w:color w:val="auto"/>
                <w:sz w:val="24"/>
                <w:szCs w:val="24"/>
                <w:highlight w:val="none"/>
              </w:rPr>
            </w:pPr>
          </w:p>
        </w:tc>
        <w:tc>
          <w:tcPr>
            <w:tcW w:w="1530" w:type="dxa"/>
            <w:tcBorders>
              <w:top w:val="single" w:color="auto" w:sz="4" w:space="0"/>
              <w:left w:val="nil"/>
              <w:bottom w:val="single" w:color="auto" w:sz="4" w:space="0"/>
              <w:right w:val="single" w:color="auto" w:sz="4" w:space="0"/>
            </w:tcBorders>
          </w:tcPr>
          <w:p w14:paraId="58ED1EA7">
            <w:pPr>
              <w:spacing w:line="440" w:lineRule="exact"/>
              <w:jc w:val="center"/>
              <w:rPr>
                <w:rFonts w:ascii="宋体" w:hAnsi="宋体" w:eastAsia="宋体"/>
                <w:color w:val="auto"/>
                <w:sz w:val="24"/>
                <w:szCs w:val="24"/>
                <w:highlight w:val="none"/>
              </w:rPr>
            </w:pPr>
          </w:p>
        </w:tc>
        <w:tc>
          <w:tcPr>
            <w:tcW w:w="853" w:type="dxa"/>
            <w:tcBorders>
              <w:top w:val="single" w:color="auto" w:sz="4" w:space="0"/>
              <w:left w:val="nil"/>
              <w:bottom w:val="single" w:color="auto" w:sz="4" w:space="0"/>
              <w:right w:val="single" w:color="auto" w:sz="4" w:space="0"/>
            </w:tcBorders>
          </w:tcPr>
          <w:p w14:paraId="0973F781">
            <w:pPr>
              <w:spacing w:line="440" w:lineRule="exact"/>
              <w:jc w:val="center"/>
              <w:rPr>
                <w:rFonts w:ascii="宋体" w:hAnsi="宋体" w:eastAsia="宋体"/>
                <w:color w:val="auto"/>
                <w:sz w:val="24"/>
                <w:szCs w:val="24"/>
                <w:highlight w:val="none"/>
              </w:rPr>
            </w:pPr>
          </w:p>
        </w:tc>
        <w:tc>
          <w:tcPr>
            <w:tcW w:w="735" w:type="dxa"/>
            <w:tcBorders>
              <w:top w:val="single" w:color="auto" w:sz="4" w:space="0"/>
              <w:left w:val="nil"/>
              <w:bottom w:val="single" w:color="auto" w:sz="4" w:space="0"/>
              <w:right w:val="single" w:color="auto" w:sz="4" w:space="0"/>
            </w:tcBorders>
          </w:tcPr>
          <w:p w14:paraId="0490115A">
            <w:pPr>
              <w:spacing w:line="440" w:lineRule="exact"/>
              <w:jc w:val="center"/>
              <w:rPr>
                <w:rFonts w:ascii="宋体" w:hAnsi="宋体" w:eastAsia="宋体"/>
                <w:color w:val="auto"/>
                <w:sz w:val="24"/>
                <w:szCs w:val="24"/>
                <w:highlight w:val="none"/>
              </w:rPr>
            </w:pPr>
          </w:p>
        </w:tc>
        <w:tc>
          <w:tcPr>
            <w:tcW w:w="907" w:type="dxa"/>
            <w:tcBorders>
              <w:top w:val="single" w:color="auto" w:sz="4" w:space="0"/>
              <w:left w:val="nil"/>
              <w:bottom w:val="single" w:color="auto" w:sz="4" w:space="0"/>
              <w:right w:val="single" w:color="auto" w:sz="4" w:space="0"/>
            </w:tcBorders>
          </w:tcPr>
          <w:p w14:paraId="3E2A58B9">
            <w:pPr>
              <w:spacing w:line="440" w:lineRule="exact"/>
              <w:jc w:val="center"/>
              <w:rPr>
                <w:rFonts w:ascii="宋体" w:hAnsi="宋体" w:eastAsia="宋体"/>
                <w:color w:val="auto"/>
                <w:sz w:val="24"/>
                <w:szCs w:val="24"/>
                <w:highlight w:val="none"/>
              </w:rPr>
            </w:pPr>
          </w:p>
        </w:tc>
        <w:tc>
          <w:tcPr>
            <w:tcW w:w="1359" w:type="dxa"/>
            <w:tcBorders>
              <w:top w:val="single" w:color="auto" w:sz="4" w:space="0"/>
              <w:left w:val="nil"/>
              <w:bottom w:val="single" w:color="auto" w:sz="4" w:space="0"/>
              <w:right w:val="single" w:color="auto" w:sz="4" w:space="0"/>
            </w:tcBorders>
          </w:tcPr>
          <w:p w14:paraId="7CDEB713">
            <w:pPr>
              <w:spacing w:line="440" w:lineRule="exact"/>
              <w:jc w:val="center"/>
              <w:rPr>
                <w:rFonts w:ascii="宋体" w:hAnsi="宋体" w:eastAsia="宋体"/>
                <w:color w:val="auto"/>
                <w:sz w:val="24"/>
                <w:szCs w:val="24"/>
                <w:highlight w:val="none"/>
              </w:rPr>
            </w:pPr>
          </w:p>
        </w:tc>
        <w:tc>
          <w:tcPr>
            <w:tcW w:w="849" w:type="dxa"/>
            <w:tcBorders>
              <w:top w:val="single" w:color="auto" w:sz="4" w:space="0"/>
              <w:left w:val="nil"/>
              <w:bottom w:val="single" w:color="auto" w:sz="4" w:space="0"/>
              <w:right w:val="single" w:color="auto" w:sz="4" w:space="0"/>
            </w:tcBorders>
          </w:tcPr>
          <w:p w14:paraId="1C2C82BF">
            <w:pPr>
              <w:spacing w:line="440" w:lineRule="exact"/>
              <w:jc w:val="center"/>
              <w:rPr>
                <w:rFonts w:ascii="宋体" w:hAnsi="宋体" w:eastAsia="宋体"/>
                <w:color w:val="auto"/>
                <w:sz w:val="24"/>
                <w:szCs w:val="24"/>
                <w:highlight w:val="none"/>
              </w:rPr>
            </w:pPr>
          </w:p>
        </w:tc>
        <w:tc>
          <w:tcPr>
            <w:tcW w:w="1049" w:type="dxa"/>
            <w:tcBorders>
              <w:top w:val="single" w:color="auto" w:sz="4" w:space="0"/>
              <w:left w:val="nil"/>
              <w:bottom w:val="single" w:color="auto" w:sz="4" w:space="0"/>
              <w:right w:val="single" w:color="auto" w:sz="4" w:space="0"/>
            </w:tcBorders>
          </w:tcPr>
          <w:p w14:paraId="38F9305D">
            <w:pPr>
              <w:spacing w:line="440" w:lineRule="exact"/>
              <w:jc w:val="center"/>
              <w:rPr>
                <w:rFonts w:ascii="宋体" w:hAnsi="宋体" w:eastAsia="宋体"/>
                <w:color w:val="auto"/>
                <w:sz w:val="24"/>
                <w:szCs w:val="24"/>
                <w:highlight w:val="none"/>
              </w:rPr>
            </w:pPr>
          </w:p>
        </w:tc>
        <w:tc>
          <w:tcPr>
            <w:tcW w:w="1355" w:type="dxa"/>
            <w:tcBorders>
              <w:top w:val="single" w:color="auto" w:sz="4" w:space="0"/>
              <w:left w:val="nil"/>
              <w:bottom w:val="single" w:color="auto" w:sz="4" w:space="0"/>
              <w:right w:val="single" w:color="auto" w:sz="4" w:space="0"/>
            </w:tcBorders>
          </w:tcPr>
          <w:p w14:paraId="01411708">
            <w:pPr>
              <w:spacing w:line="440" w:lineRule="exact"/>
              <w:jc w:val="center"/>
              <w:rPr>
                <w:rFonts w:ascii="宋体" w:hAnsi="宋体" w:eastAsia="宋体"/>
                <w:color w:val="auto"/>
                <w:sz w:val="24"/>
                <w:szCs w:val="24"/>
                <w:highlight w:val="none"/>
              </w:rPr>
            </w:pPr>
          </w:p>
        </w:tc>
      </w:tr>
      <w:tr w14:paraId="43111D19">
        <w:tblPrEx>
          <w:tblCellMar>
            <w:top w:w="0" w:type="dxa"/>
            <w:left w:w="108" w:type="dxa"/>
            <w:bottom w:w="0" w:type="dxa"/>
            <w:right w:w="108" w:type="dxa"/>
          </w:tblCellMar>
        </w:tblPrEx>
        <w:trPr>
          <w:jc w:val="center"/>
        </w:trPr>
        <w:tc>
          <w:tcPr>
            <w:tcW w:w="981" w:type="dxa"/>
            <w:tcBorders>
              <w:top w:val="single" w:color="auto" w:sz="4" w:space="0"/>
              <w:left w:val="single" w:color="auto" w:sz="4" w:space="0"/>
              <w:bottom w:val="single" w:color="auto" w:sz="4" w:space="0"/>
              <w:right w:val="single" w:color="auto" w:sz="4" w:space="0"/>
            </w:tcBorders>
          </w:tcPr>
          <w:p w14:paraId="5CCDE700">
            <w:pPr>
              <w:spacing w:line="440" w:lineRule="exact"/>
              <w:jc w:val="center"/>
              <w:rPr>
                <w:rFonts w:ascii="宋体" w:hAnsi="宋体" w:eastAsia="宋体"/>
                <w:color w:val="auto"/>
                <w:sz w:val="24"/>
                <w:szCs w:val="24"/>
                <w:highlight w:val="none"/>
              </w:rPr>
            </w:pPr>
          </w:p>
        </w:tc>
        <w:tc>
          <w:tcPr>
            <w:tcW w:w="1530" w:type="dxa"/>
            <w:tcBorders>
              <w:top w:val="single" w:color="auto" w:sz="4" w:space="0"/>
              <w:left w:val="nil"/>
              <w:bottom w:val="single" w:color="auto" w:sz="4" w:space="0"/>
              <w:right w:val="single" w:color="auto" w:sz="4" w:space="0"/>
            </w:tcBorders>
          </w:tcPr>
          <w:p w14:paraId="08086BB8">
            <w:pPr>
              <w:spacing w:line="440" w:lineRule="exact"/>
              <w:jc w:val="center"/>
              <w:rPr>
                <w:rFonts w:ascii="宋体" w:hAnsi="宋体" w:eastAsia="宋体"/>
                <w:color w:val="auto"/>
                <w:sz w:val="24"/>
                <w:szCs w:val="24"/>
                <w:highlight w:val="none"/>
              </w:rPr>
            </w:pPr>
          </w:p>
        </w:tc>
        <w:tc>
          <w:tcPr>
            <w:tcW w:w="853" w:type="dxa"/>
            <w:tcBorders>
              <w:top w:val="single" w:color="auto" w:sz="4" w:space="0"/>
              <w:left w:val="nil"/>
              <w:bottom w:val="single" w:color="auto" w:sz="4" w:space="0"/>
              <w:right w:val="single" w:color="auto" w:sz="4" w:space="0"/>
            </w:tcBorders>
          </w:tcPr>
          <w:p w14:paraId="47C03579">
            <w:pPr>
              <w:spacing w:line="440" w:lineRule="exact"/>
              <w:jc w:val="center"/>
              <w:rPr>
                <w:rFonts w:ascii="宋体" w:hAnsi="宋体" w:eastAsia="宋体"/>
                <w:color w:val="auto"/>
                <w:sz w:val="24"/>
                <w:szCs w:val="24"/>
                <w:highlight w:val="none"/>
              </w:rPr>
            </w:pPr>
          </w:p>
        </w:tc>
        <w:tc>
          <w:tcPr>
            <w:tcW w:w="735" w:type="dxa"/>
            <w:tcBorders>
              <w:top w:val="single" w:color="auto" w:sz="4" w:space="0"/>
              <w:left w:val="nil"/>
              <w:bottom w:val="single" w:color="auto" w:sz="4" w:space="0"/>
              <w:right w:val="single" w:color="auto" w:sz="4" w:space="0"/>
            </w:tcBorders>
          </w:tcPr>
          <w:p w14:paraId="3842A71A">
            <w:pPr>
              <w:spacing w:line="440" w:lineRule="exact"/>
              <w:jc w:val="center"/>
              <w:rPr>
                <w:rFonts w:ascii="宋体" w:hAnsi="宋体" w:eastAsia="宋体"/>
                <w:color w:val="auto"/>
                <w:sz w:val="24"/>
                <w:szCs w:val="24"/>
                <w:highlight w:val="none"/>
              </w:rPr>
            </w:pPr>
          </w:p>
        </w:tc>
        <w:tc>
          <w:tcPr>
            <w:tcW w:w="907" w:type="dxa"/>
            <w:tcBorders>
              <w:top w:val="single" w:color="auto" w:sz="4" w:space="0"/>
              <w:left w:val="nil"/>
              <w:bottom w:val="single" w:color="auto" w:sz="4" w:space="0"/>
              <w:right w:val="single" w:color="auto" w:sz="4" w:space="0"/>
            </w:tcBorders>
          </w:tcPr>
          <w:p w14:paraId="05B2D874">
            <w:pPr>
              <w:spacing w:line="440" w:lineRule="exact"/>
              <w:jc w:val="center"/>
              <w:rPr>
                <w:rFonts w:ascii="宋体" w:hAnsi="宋体" w:eastAsia="宋体"/>
                <w:color w:val="auto"/>
                <w:sz w:val="24"/>
                <w:szCs w:val="24"/>
                <w:highlight w:val="none"/>
              </w:rPr>
            </w:pPr>
          </w:p>
        </w:tc>
        <w:tc>
          <w:tcPr>
            <w:tcW w:w="1359" w:type="dxa"/>
            <w:tcBorders>
              <w:top w:val="single" w:color="auto" w:sz="4" w:space="0"/>
              <w:left w:val="nil"/>
              <w:bottom w:val="single" w:color="auto" w:sz="4" w:space="0"/>
              <w:right w:val="single" w:color="auto" w:sz="4" w:space="0"/>
            </w:tcBorders>
          </w:tcPr>
          <w:p w14:paraId="5A74A1B4">
            <w:pPr>
              <w:spacing w:line="440" w:lineRule="exact"/>
              <w:jc w:val="center"/>
              <w:rPr>
                <w:rFonts w:ascii="宋体" w:hAnsi="宋体" w:eastAsia="宋体"/>
                <w:color w:val="auto"/>
                <w:sz w:val="24"/>
                <w:szCs w:val="24"/>
                <w:highlight w:val="none"/>
              </w:rPr>
            </w:pPr>
          </w:p>
        </w:tc>
        <w:tc>
          <w:tcPr>
            <w:tcW w:w="849" w:type="dxa"/>
            <w:tcBorders>
              <w:top w:val="single" w:color="auto" w:sz="4" w:space="0"/>
              <w:left w:val="nil"/>
              <w:bottom w:val="single" w:color="auto" w:sz="4" w:space="0"/>
              <w:right w:val="single" w:color="auto" w:sz="4" w:space="0"/>
            </w:tcBorders>
          </w:tcPr>
          <w:p w14:paraId="36826994">
            <w:pPr>
              <w:spacing w:line="440" w:lineRule="exact"/>
              <w:jc w:val="center"/>
              <w:rPr>
                <w:rFonts w:ascii="宋体" w:hAnsi="宋体" w:eastAsia="宋体"/>
                <w:color w:val="auto"/>
                <w:sz w:val="24"/>
                <w:szCs w:val="24"/>
                <w:highlight w:val="none"/>
              </w:rPr>
            </w:pPr>
          </w:p>
        </w:tc>
        <w:tc>
          <w:tcPr>
            <w:tcW w:w="1049" w:type="dxa"/>
            <w:tcBorders>
              <w:top w:val="single" w:color="auto" w:sz="4" w:space="0"/>
              <w:left w:val="nil"/>
              <w:bottom w:val="single" w:color="auto" w:sz="4" w:space="0"/>
              <w:right w:val="single" w:color="auto" w:sz="4" w:space="0"/>
            </w:tcBorders>
          </w:tcPr>
          <w:p w14:paraId="6BAA5672">
            <w:pPr>
              <w:spacing w:line="440" w:lineRule="exact"/>
              <w:jc w:val="center"/>
              <w:rPr>
                <w:rFonts w:ascii="宋体" w:hAnsi="宋体" w:eastAsia="宋体"/>
                <w:color w:val="auto"/>
                <w:sz w:val="24"/>
                <w:szCs w:val="24"/>
                <w:highlight w:val="none"/>
              </w:rPr>
            </w:pPr>
          </w:p>
        </w:tc>
        <w:tc>
          <w:tcPr>
            <w:tcW w:w="1355" w:type="dxa"/>
            <w:tcBorders>
              <w:top w:val="single" w:color="auto" w:sz="4" w:space="0"/>
              <w:left w:val="nil"/>
              <w:bottom w:val="single" w:color="auto" w:sz="4" w:space="0"/>
              <w:right w:val="single" w:color="auto" w:sz="4" w:space="0"/>
            </w:tcBorders>
          </w:tcPr>
          <w:p w14:paraId="5A19500F">
            <w:pPr>
              <w:spacing w:line="440" w:lineRule="exact"/>
              <w:jc w:val="center"/>
              <w:rPr>
                <w:rFonts w:ascii="宋体" w:hAnsi="宋体" w:eastAsia="宋体"/>
                <w:color w:val="auto"/>
                <w:sz w:val="24"/>
                <w:szCs w:val="24"/>
                <w:highlight w:val="none"/>
              </w:rPr>
            </w:pPr>
          </w:p>
        </w:tc>
      </w:tr>
      <w:tr w14:paraId="72535C91">
        <w:tblPrEx>
          <w:tblCellMar>
            <w:top w:w="0" w:type="dxa"/>
            <w:left w:w="108" w:type="dxa"/>
            <w:bottom w:w="0" w:type="dxa"/>
            <w:right w:w="108" w:type="dxa"/>
          </w:tblCellMar>
        </w:tblPrEx>
        <w:trPr>
          <w:jc w:val="center"/>
        </w:trPr>
        <w:tc>
          <w:tcPr>
            <w:tcW w:w="981" w:type="dxa"/>
            <w:tcBorders>
              <w:top w:val="single" w:color="auto" w:sz="4" w:space="0"/>
              <w:left w:val="single" w:color="auto" w:sz="4" w:space="0"/>
              <w:bottom w:val="single" w:color="auto" w:sz="4" w:space="0"/>
              <w:right w:val="single" w:color="auto" w:sz="4" w:space="0"/>
            </w:tcBorders>
          </w:tcPr>
          <w:p w14:paraId="44A19114">
            <w:pPr>
              <w:spacing w:line="440" w:lineRule="exact"/>
              <w:jc w:val="center"/>
              <w:rPr>
                <w:rFonts w:ascii="宋体" w:hAnsi="宋体" w:eastAsia="宋体"/>
                <w:color w:val="auto"/>
                <w:sz w:val="24"/>
                <w:szCs w:val="24"/>
                <w:highlight w:val="none"/>
              </w:rPr>
            </w:pPr>
          </w:p>
        </w:tc>
        <w:tc>
          <w:tcPr>
            <w:tcW w:w="1530" w:type="dxa"/>
            <w:tcBorders>
              <w:top w:val="single" w:color="auto" w:sz="4" w:space="0"/>
              <w:left w:val="nil"/>
              <w:bottom w:val="single" w:color="auto" w:sz="4" w:space="0"/>
              <w:right w:val="single" w:color="auto" w:sz="4" w:space="0"/>
            </w:tcBorders>
          </w:tcPr>
          <w:p w14:paraId="11DA0D86">
            <w:pPr>
              <w:spacing w:line="440" w:lineRule="exact"/>
              <w:jc w:val="center"/>
              <w:rPr>
                <w:rFonts w:ascii="宋体" w:hAnsi="宋体" w:eastAsia="宋体"/>
                <w:color w:val="auto"/>
                <w:sz w:val="24"/>
                <w:szCs w:val="24"/>
                <w:highlight w:val="none"/>
              </w:rPr>
            </w:pPr>
          </w:p>
        </w:tc>
        <w:tc>
          <w:tcPr>
            <w:tcW w:w="853" w:type="dxa"/>
            <w:tcBorders>
              <w:top w:val="single" w:color="auto" w:sz="4" w:space="0"/>
              <w:left w:val="nil"/>
              <w:bottom w:val="single" w:color="auto" w:sz="4" w:space="0"/>
              <w:right w:val="single" w:color="auto" w:sz="4" w:space="0"/>
            </w:tcBorders>
          </w:tcPr>
          <w:p w14:paraId="5BA02E08">
            <w:pPr>
              <w:spacing w:line="440" w:lineRule="exact"/>
              <w:jc w:val="center"/>
              <w:rPr>
                <w:rFonts w:ascii="宋体" w:hAnsi="宋体" w:eastAsia="宋体"/>
                <w:color w:val="auto"/>
                <w:sz w:val="24"/>
                <w:szCs w:val="24"/>
                <w:highlight w:val="none"/>
              </w:rPr>
            </w:pPr>
          </w:p>
        </w:tc>
        <w:tc>
          <w:tcPr>
            <w:tcW w:w="735" w:type="dxa"/>
            <w:tcBorders>
              <w:top w:val="single" w:color="auto" w:sz="4" w:space="0"/>
              <w:left w:val="nil"/>
              <w:bottom w:val="single" w:color="auto" w:sz="4" w:space="0"/>
              <w:right w:val="single" w:color="auto" w:sz="4" w:space="0"/>
            </w:tcBorders>
          </w:tcPr>
          <w:p w14:paraId="06BFA6A2">
            <w:pPr>
              <w:spacing w:line="440" w:lineRule="exact"/>
              <w:jc w:val="center"/>
              <w:rPr>
                <w:rFonts w:ascii="宋体" w:hAnsi="宋体" w:eastAsia="宋体"/>
                <w:color w:val="auto"/>
                <w:sz w:val="24"/>
                <w:szCs w:val="24"/>
                <w:highlight w:val="none"/>
              </w:rPr>
            </w:pPr>
          </w:p>
        </w:tc>
        <w:tc>
          <w:tcPr>
            <w:tcW w:w="907" w:type="dxa"/>
            <w:tcBorders>
              <w:top w:val="single" w:color="auto" w:sz="4" w:space="0"/>
              <w:left w:val="nil"/>
              <w:bottom w:val="single" w:color="auto" w:sz="4" w:space="0"/>
              <w:right w:val="single" w:color="auto" w:sz="4" w:space="0"/>
            </w:tcBorders>
          </w:tcPr>
          <w:p w14:paraId="622A0A6A">
            <w:pPr>
              <w:spacing w:line="440" w:lineRule="exact"/>
              <w:jc w:val="center"/>
              <w:rPr>
                <w:rFonts w:ascii="宋体" w:hAnsi="宋体" w:eastAsia="宋体"/>
                <w:color w:val="auto"/>
                <w:sz w:val="24"/>
                <w:szCs w:val="24"/>
                <w:highlight w:val="none"/>
              </w:rPr>
            </w:pPr>
          </w:p>
        </w:tc>
        <w:tc>
          <w:tcPr>
            <w:tcW w:w="1359" w:type="dxa"/>
            <w:tcBorders>
              <w:top w:val="single" w:color="auto" w:sz="4" w:space="0"/>
              <w:left w:val="nil"/>
              <w:bottom w:val="single" w:color="auto" w:sz="4" w:space="0"/>
              <w:right w:val="single" w:color="auto" w:sz="4" w:space="0"/>
            </w:tcBorders>
          </w:tcPr>
          <w:p w14:paraId="532D6214">
            <w:pPr>
              <w:spacing w:line="440" w:lineRule="exact"/>
              <w:jc w:val="center"/>
              <w:rPr>
                <w:rFonts w:ascii="宋体" w:hAnsi="宋体" w:eastAsia="宋体"/>
                <w:color w:val="auto"/>
                <w:sz w:val="24"/>
                <w:szCs w:val="24"/>
                <w:highlight w:val="none"/>
              </w:rPr>
            </w:pPr>
          </w:p>
        </w:tc>
        <w:tc>
          <w:tcPr>
            <w:tcW w:w="849" w:type="dxa"/>
            <w:tcBorders>
              <w:top w:val="single" w:color="auto" w:sz="4" w:space="0"/>
              <w:left w:val="nil"/>
              <w:bottom w:val="single" w:color="auto" w:sz="4" w:space="0"/>
              <w:right w:val="single" w:color="auto" w:sz="4" w:space="0"/>
            </w:tcBorders>
          </w:tcPr>
          <w:p w14:paraId="4CDC0CB2">
            <w:pPr>
              <w:spacing w:line="440" w:lineRule="exact"/>
              <w:jc w:val="center"/>
              <w:rPr>
                <w:rFonts w:ascii="宋体" w:hAnsi="宋体" w:eastAsia="宋体"/>
                <w:color w:val="auto"/>
                <w:sz w:val="24"/>
                <w:szCs w:val="24"/>
                <w:highlight w:val="none"/>
              </w:rPr>
            </w:pPr>
          </w:p>
        </w:tc>
        <w:tc>
          <w:tcPr>
            <w:tcW w:w="1049" w:type="dxa"/>
            <w:tcBorders>
              <w:top w:val="single" w:color="auto" w:sz="4" w:space="0"/>
              <w:left w:val="nil"/>
              <w:bottom w:val="single" w:color="auto" w:sz="4" w:space="0"/>
              <w:right w:val="single" w:color="auto" w:sz="4" w:space="0"/>
            </w:tcBorders>
          </w:tcPr>
          <w:p w14:paraId="3DFE3587">
            <w:pPr>
              <w:spacing w:line="440" w:lineRule="exact"/>
              <w:jc w:val="center"/>
              <w:rPr>
                <w:rFonts w:ascii="宋体" w:hAnsi="宋体" w:eastAsia="宋体"/>
                <w:color w:val="auto"/>
                <w:sz w:val="24"/>
                <w:szCs w:val="24"/>
                <w:highlight w:val="none"/>
              </w:rPr>
            </w:pPr>
          </w:p>
        </w:tc>
        <w:tc>
          <w:tcPr>
            <w:tcW w:w="1355" w:type="dxa"/>
            <w:tcBorders>
              <w:top w:val="single" w:color="auto" w:sz="4" w:space="0"/>
              <w:left w:val="nil"/>
              <w:bottom w:val="single" w:color="auto" w:sz="4" w:space="0"/>
              <w:right w:val="single" w:color="auto" w:sz="4" w:space="0"/>
            </w:tcBorders>
          </w:tcPr>
          <w:p w14:paraId="5AEFD4E5">
            <w:pPr>
              <w:spacing w:line="440" w:lineRule="exact"/>
              <w:jc w:val="center"/>
              <w:rPr>
                <w:rFonts w:ascii="宋体" w:hAnsi="宋体" w:eastAsia="宋体"/>
                <w:color w:val="auto"/>
                <w:sz w:val="24"/>
                <w:szCs w:val="24"/>
                <w:highlight w:val="none"/>
              </w:rPr>
            </w:pPr>
          </w:p>
        </w:tc>
      </w:tr>
      <w:tr w14:paraId="01312141">
        <w:tblPrEx>
          <w:tblCellMar>
            <w:top w:w="0" w:type="dxa"/>
            <w:left w:w="108" w:type="dxa"/>
            <w:bottom w:w="0" w:type="dxa"/>
            <w:right w:w="108" w:type="dxa"/>
          </w:tblCellMar>
        </w:tblPrEx>
        <w:trPr>
          <w:jc w:val="center"/>
        </w:trPr>
        <w:tc>
          <w:tcPr>
            <w:tcW w:w="981" w:type="dxa"/>
            <w:tcBorders>
              <w:top w:val="single" w:color="auto" w:sz="4" w:space="0"/>
              <w:left w:val="single" w:color="auto" w:sz="4" w:space="0"/>
              <w:bottom w:val="single" w:color="auto" w:sz="4" w:space="0"/>
              <w:right w:val="single" w:color="auto" w:sz="4" w:space="0"/>
            </w:tcBorders>
          </w:tcPr>
          <w:p w14:paraId="3E58E26C">
            <w:pPr>
              <w:spacing w:line="440" w:lineRule="exact"/>
              <w:jc w:val="center"/>
              <w:rPr>
                <w:rFonts w:ascii="宋体" w:hAnsi="宋体" w:eastAsia="宋体"/>
                <w:color w:val="auto"/>
                <w:sz w:val="24"/>
                <w:szCs w:val="24"/>
                <w:highlight w:val="none"/>
              </w:rPr>
            </w:pPr>
          </w:p>
        </w:tc>
        <w:tc>
          <w:tcPr>
            <w:tcW w:w="1530" w:type="dxa"/>
            <w:tcBorders>
              <w:top w:val="single" w:color="auto" w:sz="4" w:space="0"/>
              <w:left w:val="nil"/>
              <w:bottom w:val="single" w:color="auto" w:sz="4" w:space="0"/>
              <w:right w:val="single" w:color="auto" w:sz="4" w:space="0"/>
            </w:tcBorders>
          </w:tcPr>
          <w:p w14:paraId="66B69812">
            <w:pPr>
              <w:spacing w:line="440" w:lineRule="exact"/>
              <w:jc w:val="center"/>
              <w:rPr>
                <w:rFonts w:ascii="宋体" w:hAnsi="宋体" w:eastAsia="宋体"/>
                <w:color w:val="auto"/>
                <w:sz w:val="24"/>
                <w:szCs w:val="24"/>
                <w:highlight w:val="none"/>
              </w:rPr>
            </w:pPr>
          </w:p>
        </w:tc>
        <w:tc>
          <w:tcPr>
            <w:tcW w:w="853" w:type="dxa"/>
            <w:tcBorders>
              <w:top w:val="single" w:color="auto" w:sz="4" w:space="0"/>
              <w:left w:val="nil"/>
              <w:bottom w:val="single" w:color="auto" w:sz="4" w:space="0"/>
              <w:right w:val="single" w:color="auto" w:sz="4" w:space="0"/>
            </w:tcBorders>
          </w:tcPr>
          <w:p w14:paraId="2CE3A418">
            <w:pPr>
              <w:spacing w:line="440" w:lineRule="exact"/>
              <w:jc w:val="center"/>
              <w:rPr>
                <w:rFonts w:ascii="宋体" w:hAnsi="宋体" w:eastAsia="宋体"/>
                <w:color w:val="auto"/>
                <w:sz w:val="24"/>
                <w:szCs w:val="24"/>
                <w:highlight w:val="none"/>
              </w:rPr>
            </w:pPr>
          </w:p>
        </w:tc>
        <w:tc>
          <w:tcPr>
            <w:tcW w:w="735" w:type="dxa"/>
            <w:tcBorders>
              <w:top w:val="single" w:color="auto" w:sz="4" w:space="0"/>
              <w:left w:val="nil"/>
              <w:bottom w:val="single" w:color="auto" w:sz="4" w:space="0"/>
              <w:right w:val="single" w:color="auto" w:sz="4" w:space="0"/>
            </w:tcBorders>
          </w:tcPr>
          <w:p w14:paraId="0978F770">
            <w:pPr>
              <w:spacing w:line="440" w:lineRule="exact"/>
              <w:jc w:val="center"/>
              <w:rPr>
                <w:rFonts w:ascii="宋体" w:hAnsi="宋体" w:eastAsia="宋体"/>
                <w:color w:val="auto"/>
                <w:sz w:val="24"/>
                <w:szCs w:val="24"/>
                <w:highlight w:val="none"/>
              </w:rPr>
            </w:pPr>
          </w:p>
        </w:tc>
        <w:tc>
          <w:tcPr>
            <w:tcW w:w="907" w:type="dxa"/>
            <w:tcBorders>
              <w:top w:val="single" w:color="auto" w:sz="4" w:space="0"/>
              <w:left w:val="nil"/>
              <w:bottom w:val="single" w:color="auto" w:sz="4" w:space="0"/>
              <w:right w:val="single" w:color="auto" w:sz="4" w:space="0"/>
            </w:tcBorders>
          </w:tcPr>
          <w:p w14:paraId="1FF14219">
            <w:pPr>
              <w:spacing w:line="440" w:lineRule="exact"/>
              <w:jc w:val="center"/>
              <w:rPr>
                <w:rFonts w:ascii="宋体" w:hAnsi="宋体" w:eastAsia="宋体"/>
                <w:color w:val="auto"/>
                <w:sz w:val="24"/>
                <w:szCs w:val="24"/>
                <w:highlight w:val="none"/>
              </w:rPr>
            </w:pPr>
          </w:p>
        </w:tc>
        <w:tc>
          <w:tcPr>
            <w:tcW w:w="1359" w:type="dxa"/>
            <w:tcBorders>
              <w:top w:val="single" w:color="auto" w:sz="4" w:space="0"/>
              <w:left w:val="nil"/>
              <w:bottom w:val="single" w:color="auto" w:sz="4" w:space="0"/>
              <w:right w:val="single" w:color="auto" w:sz="4" w:space="0"/>
            </w:tcBorders>
          </w:tcPr>
          <w:p w14:paraId="0C6FAACD">
            <w:pPr>
              <w:spacing w:line="440" w:lineRule="exact"/>
              <w:jc w:val="center"/>
              <w:rPr>
                <w:rFonts w:ascii="宋体" w:hAnsi="宋体" w:eastAsia="宋体"/>
                <w:color w:val="auto"/>
                <w:sz w:val="24"/>
                <w:szCs w:val="24"/>
                <w:highlight w:val="none"/>
              </w:rPr>
            </w:pPr>
          </w:p>
        </w:tc>
        <w:tc>
          <w:tcPr>
            <w:tcW w:w="849" w:type="dxa"/>
            <w:tcBorders>
              <w:top w:val="single" w:color="auto" w:sz="4" w:space="0"/>
              <w:left w:val="nil"/>
              <w:bottom w:val="single" w:color="auto" w:sz="4" w:space="0"/>
              <w:right w:val="single" w:color="auto" w:sz="4" w:space="0"/>
            </w:tcBorders>
          </w:tcPr>
          <w:p w14:paraId="34CCB653">
            <w:pPr>
              <w:spacing w:line="440" w:lineRule="exact"/>
              <w:jc w:val="center"/>
              <w:rPr>
                <w:rFonts w:ascii="宋体" w:hAnsi="宋体" w:eastAsia="宋体"/>
                <w:color w:val="auto"/>
                <w:sz w:val="24"/>
                <w:szCs w:val="24"/>
                <w:highlight w:val="none"/>
              </w:rPr>
            </w:pPr>
          </w:p>
        </w:tc>
        <w:tc>
          <w:tcPr>
            <w:tcW w:w="1049" w:type="dxa"/>
            <w:tcBorders>
              <w:top w:val="single" w:color="auto" w:sz="4" w:space="0"/>
              <w:left w:val="nil"/>
              <w:bottom w:val="single" w:color="auto" w:sz="4" w:space="0"/>
              <w:right w:val="single" w:color="auto" w:sz="4" w:space="0"/>
            </w:tcBorders>
          </w:tcPr>
          <w:p w14:paraId="493FA932">
            <w:pPr>
              <w:spacing w:line="440" w:lineRule="exact"/>
              <w:jc w:val="center"/>
              <w:rPr>
                <w:rFonts w:ascii="宋体" w:hAnsi="宋体" w:eastAsia="宋体"/>
                <w:color w:val="auto"/>
                <w:sz w:val="24"/>
                <w:szCs w:val="24"/>
                <w:highlight w:val="none"/>
              </w:rPr>
            </w:pPr>
          </w:p>
        </w:tc>
        <w:tc>
          <w:tcPr>
            <w:tcW w:w="1355" w:type="dxa"/>
            <w:tcBorders>
              <w:top w:val="single" w:color="auto" w:sz="4" w:space="0"/>
              <w:left w:val="nil"/>
              <w:bottom w:val="single" w:color="auto" w:sz="4" w:space="0"/>
              <w:right w:val="single" w:color="auto" w:sz="4" w:space="0"/>
            </w:tcBorders>
          </w:tcPr>
          <w:p w14:paraId="4C8A2696">
            <w:pPr>
              <w:spacing w:line="440" w:lineRule="exact"/>
              <w:jc w:val="center"/>
              <w:rPr>
                <w:rFonts w:ascii="宋体" w:hAnsi="宋体" w:eastAsia="宋体"/>
                <w:color w:val="auto"/>
                <w:sz w:val="24"/>
                <w:szCs w:val="24"/>
                <w:highlight w:val="none"/>
              </w:rPr>
            </w:pPr>
          </w:p>
        </w:tc>
      </w:tr>
      <w:tr w14:paraId="68EC6AAF">
        <w:tblPrEx>
          <w:tblCellMar>
            <w:top w:w="0" w:type="dxa"/>
            <w:left w:w="108" w:type="dxa"/>
            <w:bottom w:w="0" w:type="dxa"/>
            <w:right w:w="108" w:type="dxa"/>
          </w:tblCellMar>
        </w:tblPrEx>
        <w:trPr>
          <w:jc w:val="center"/>
        </w:trPr>
        <w:tc>
          <w:tcPr>
            <w:tcW w:w="981" w:type="dxa"/>
            <w:tcBorders>
              <w:top w:val="single" w:color="auto" w:sz="4" w:space="0"/>
              <w:left w:val="single" w:color="auto" w:sz="4" w:space="0"/>
              <w:bottom w:val="single" w:color="auto" w:sz="4" w:space="0"/>
              <w:right w:val="single" w:color="auto" w:sz="4" w:space="0"/>
            </w:tcBorders>
          </w:tcPr>
          <w:p w14:paraId="32C3A05C">
            <w:pPr>
              <w:spacing w:line="440" w:lineRule="exact"/>
              <w:jc w:val="center"/>
              <w:rPr>
                <w:rFonts w:ascii="宋体" w:hAnsi="宋体" w:eastAsia="宋体"/>
                <w:color w:val="auto"/>
                <w:sz w:val="24"/>
                <w:szCs w:val="24"/>
                <w:highlight w:val="none"/>
              </w:rPr>
            </w:pPr>
          </w:p>
        </w:tc>
        <w:tc>
          <w:tcPr>
            <w:tcW w:w="1530" w:type="dxa"/>
            <w:tcBorders>
              <w:top w:val="single" w:color="auto" w:sz="4" w:space="0"/>
              <w:left w:val="nil"/>
              <w:bottom w:val="single" w:color="auto" w:sz="4" w:space="0"/>
              <w:right w:val="single" w:color="auto" w:sz="4" w:space="0"/>
            </w:tcBorders>
          </w:tcPr>
          <w:p w14:paraId="3CA50410">
            <w:pPr>
              <w:spacing w:line="440" w:lineRule="exact"/>
              <w:jc w:val="center"/>
              <w:rPr>
                <w:rFonts w:ascii="宋体" w:hAnsi="宋体" w:eastAsia="宋体"/>
                <w:color w:val="auto"/>
                <w:sz w:val="24"/>
                <w:szCs w:val="24"/>
                <w:highlight w:val="none"/>
              </w:rPr>
            </w:pPr>
          </w:p>
        </w:tc>
        <w:tc>
          <w:tcPr>
            <w:tcW w:w="853" w:type="dxa"/>
            <w:tcBorders>
              <w:top w:val="single" w:color="auto" w:sz="4" w:space="0"/>
              <w:left w:val="nil"/>
              <w:bottom w:val="single" w:color="auto" w:sz="4" w:space="0"/>
              <w:right w:val="single" w:color="auto" w:sz="4" w:space="0"/>
            </w:tcBorders>
          </w:tcPr>
          <w:p w14:paraId="3552AED9">
            <w:pPr>
              <w:spacing w:line="440" w:lineRule="exact"/>
              <w:jc w:val="center"/>
              <w:rPr>
                <w:rFonts w:ascii="宋体" w:hAnsi="宋体" w:eastAsia="宋体"/>
                <w:color w:val="auto"/>
                <w:sz w:val="24"/>
                <w:szCs w:val="24"/>
                <w:highlight w:val="none"/>
              </w:rPr>
            </w:pPr>
          </w:p>
        </w:tc>
        <w:tc>
          <w:tcPr>
            <w:tcW w:w="735" w:type="dxa"/>
            <w:tcBorders>
              <w:top w:val="single" w:color="auto" w:sz="4" w:space="0"/>
              <w:left w:val="nil"/>
              <w:bottom w:val="single" w:color="auto" w:sz="4" w:space="0"/>
              <w:right w:val="single" w:color="auto" w:sz="4" w:space="0"/>
            </w:tcBorders>
          </w:tcPr>
          <w:p w14:paraId="0D3B42EB">
            <w:pPr>
              <w:spacing w:line="440" w:lineRule="exact"/>
              <w:jc w:val="center"/>
              <w:rPr>
                <w:rFonts w:ascii="宋体" w:hAnsi="宋体" w:eastAsia="宋体"/>
                <w:color w:val="auto"/>
                <w:sz w:val="24"/>
                <w:szCs w:val="24"/>
                <w:highlight w:val="none"/>
              </w:rPr>
            </w:pPr>
          </w:p>
        </w:tc>
        <w:tc>
          <w:tcPr>
            <w:tcW w:w="907" w:type="dxa"/>
            <w:tcBorders>
              <w:top w:val="single" w:color="auto" w:sz="4" w:space="0"/>
              <w:left w:val="nil"/>
              <w:bottom w:val="single" w:color="auto" w:sz="4" w:space="0"/>
              <w:right w:val="single" w:color="auto" w:sz="4" w:space="0"/>
            </w:tcBorders>
          </w:tcPr>
          <w:p w14:paraId="4945DA59">
            <w:pPr>
              <w:spacing w:line="440" w:lineRule="exact"/>
              <w:jc w:val="center"/>
              <w:rPr>
                <w:rFonts w:ascii="宋体" w:hAnsi="宋体" w:eastAsia="宋体"/>
                <w:color w:val="auto"/>
                <w:sz w:val="24"/>
                <w:szCs w:val="24"/>
                <w:highlight w:val="none"/>
              </w:rPr>
            </w:pPr>
          </w:p>
        </w:tc>
        <w:tc>
          <w:tcPr>
            <w:tcW w:w="1359" w:type="dxa"/>
            <w:tcBorders>
              <w:top w:val="single" w:color="auto" w:sz="4" w:space="0"/>
              <w:left w:val="nil"/>
              <w:bottom w:val="single" w:color="auto" w:sz="4" w:space="0"/>
              <w:right w:val="single" w:color="auto" w:sz="4" w:space="0"/>
            </w:tcBorders>
          </w:tcPr>
          <w:p w14:paraId="6976292B">
            <w:pPr>
              <w:spacing w:line="440" w:lineRule="exact"/>
              <w:jc w:val="center"/>
              <w:rPr>
                <w:rFonts w:ascii="宋体" w:hAnsi="宋体" w:eastAsia="宋体"/>
                <w:color w:val="auto"/>
                <w:sz w:val="24"/>
                <w:szCs w:val="24"/>
                <w:highlight w:val="none"/>
              </w:rPr>
            </w:pPr>
          </w:p>
        </w:tc>
        <w:tc>
          <w:tcPr>
            <w:tcW w:w="849" w:type="dxa"/>
            <w:tcBorders>
              <w:top w:val="single" w:color="auto" w:sz="4" w:space="0"/>
              <w:left w:val="nil"/>
              <w:bottom w:val="single" w:color="auto" w:sz="4" w:space="0"/>
              <w:right w:val="single" w:color="auto" w:sz="4" w:space="0"/>
            </w:tcBorders>
          </w:tcPr>
          <w:p w14:paraId="75B63603">
            <w:pPr>
              <w:spacing w:line="440" w:lineRule="exact"/>
              <w:jc w:val="center"/>
              <w:rPr>
                <w:rFonts w:ascii="宋体" w:hAnsi="宋体" w:eastAsia="宋体"/>
                <w:color w:val="auto"/>
                <w:sz w:val="24"/>
                <w:szCs w:val="24"/>
                <w:highlight w:val="none"/>
              </w:rPr>
            </w:pPr>
          </w:p>
        </w:tc>
        <w:tc>
          <w:tcPr>
            <w:tcW w:w="1049" w:type="dxa"/>
            <w:tcBorders>
              <w:top w:val="single" w:color="auto" w:sz="4" w:space="0"/>
              <w:left w:val="nil"/>
              <w:bottom w:val="single" w:color="auto" w:sz="4" w:space="0"/>
              <w:right w:val="single" w:color="auto" w:sz="4" w:space="0"/>
            </w:tcBorders>
          </w:tcPr>
          <w:p w14:paraId="0EA2603C">
            <w:pPr>
              <w:spacing w:line="440" w:lineRule="exact"/>
              <w:jc w:val="center"/>
              <w:rPr>
                <w:rFonts w:ascii="宋体" w:hAnsi="宋体" w:eastAsia="宋体"/>
                <w:color w:val="auto"/>
                <w:sz w:val="24"/>
                <w:szCs w:val="24"/>
                <w:highlight w:val="none"/>
              </w:rPr>
            </w:pPr>
          </w:p>
        </w:tc>
        <w:tc>
          <w:tcPr>
            <w:tcW w:w="1355" w:type="dxa"/>
            <w:tcBorders>
              <w:top w:val="single" w:color="auto" w:sz="4" w:space="0"/>
              <w:left w:val="nil"/>
              <w:bottom w:val="single" w:color="auto" w:sz="4" w:space="0"/>
              <w:right w:val="single" w:color="auto" w:sz="4" w:space="0"/>
            </w:tcBorders>
          </w:tcPr>
          <w:p w14:paraId="5830A56A">
            <w:pPr>
              <w:spacing w:line="440" w:lineRule="exact"/>
              <w:jc w:val="center"/>
              <w:rPr>
                <w:rFonts w:ascii="宋体" w:hAnsi="宋体" w:eastAsia="宋体"/>
                <w:color w:val="auto"/>
                <w:sz w:val="24"/>
                <w:szCs w:val="24"/>
                <w:highlight w:val="none"/>
              </w:rPr>
            </w:pPr>
          </w:p>
        </w:tc>
      </w:tr>
      <w:tr w14:paraId="01CEE216">
        <w:tblPrEx>
          <w:tblCellMar>
            <w:top w:w="0" w:type="dxa"/>
            <w:left w:w="108" w:type="dxa"/>
            <w:bottom w:w="0" w:type="dxa"/>
            <w:right w:w="108" w:type="dxa"/>
          </w:tblCellMar>
        </w:tblPrEx>
        <w:trPr>
          <w:jc w:val="center"/>
        </w:trPr>
        <w:tc>
          <w:tcPr>
            <w:tcW w:w="981" w:type="dxa"/>
            <w:tcBorders>
              <w:top w:val="single" w:color="auto" w:sz="4" w:space="0"/>
              <w:left w:val="single" w:color="auto" w:sz="4" w:space="0"/>
              <w:bottom w:val="single" w:color="auto" w:sz="4" w:space="0"/>
              <w:right w:val="single" w:color="auto" w:sz="4" w:space="0"/>
            </w:tcBorders>
          </w:tcPr>
          <w:p w14:paraId="4F0AD203">
            <w:pPr>
              <w:spacing w:line="440" w:lineRule="exact"/>
              <w:jc w:val="center"/>
              <w:rPr>
                <w:rFonts w:ascii="宋体" w:hAnsi="宋体" w:eastAsia="宋体"/>
                <w:color w:val="auto"/>
                <w:sz w:val="24"/>
                <w:szCs w:val="24"/>
                <w:highlight w:val="none"/>
              </w:rPr>
            </w:pPr>
          </w:p>
        </w:tc>
        <w:tc>
          <w:tcPr>
            <w:tcW w:w="1530" w:type="dxa"/>
            <w:tcBorders>
              <w:top w:val="single" w:color="auto" w:sz="4" w:space="0"/>
              <w:left w:val="nil"/>
              <w:bottom w:val="single" w:color="auto" w:sz="4" w:space="0"/>
              <w:right w:val="single" w:color="auto" w:sz="4" w:space="0"/>
            </w:tcBorders>
          </w:tcPr>
          <w:p w14:paraId="76D02F0E">
            <w:pPr>
              <w:spacing w:line="440" w:lineRule="exact"/>
              <w:jc w:val="center"/>
              <w:rPr>
                <w:rFonts w:ascii="宋体" w:hAnsi="宋体" w:eastAsia="宋体"/>
                <w:color w:val="auto"/>
                <w:sz w:val="24"/>
                <w:szCs w:val="24"/>
                <w:highlight w:val="none"/>
              </w:rPr>
            </w:pPr>
          </w:p>
        </w:tc>
        <w:tc>
          <w:tcPr>
            <w:tcW w:w="853" w:type="dxa"/>
            <w:tcBorders>
              <w:top w:val="single" w:color="auto" w:sz="4" w:space="0"/>
              <w:left w:val="nil"/>
              <w:bottom w:val="single" w:color="auto" w:sz="4" w:space="0"/>
              <w:right w:val="single" w:color="auto" w:sz="4" w:space="0"/>
            </w:tcBorders>
          </w:tcPr>
          <w:p w14:paraId="258A78CB">
            <w:pPr>
              <w:spacing w:line="440" w:lineRule="exact"/>
              <w:jc w:val="center"/>
              <w:rPr>
                <w:rFonts w:ascii="宋体" w:hAnsi="宋体" w:eastAsia="宋体"/>
                <w:color w:val="auto"/>
                <w:sz w:val="24"/>
                <w:szCs w:val="24"/>
                <w:highlight w:val="none"/>
              </w:rPr>
            </w:pPr>
          </w:p>
        </w:tc>
        <w:tc>
          <w:tcPr>
            <w:tcW w:w="735" w:type="dxa"/>
            <w:tcBorders>
              <w:top w:val="single" w:color="auto" w:sz="4" w:space="0"/>
              <w:left w:val="nil"/>
              <w:bottom w:val="single" w:color="auto" w:sz="4" w:space="0"/>
              <w:right w:val="single" w:color="auto" w:sz="4" w:space="0"/>
            </w:tcBorders>
          </w:tcPr>
          <w:p w14:paraId="0476DF5D">
            <w:pPr>
              <w:spacing w:line="440" w:lineRule="exact"/>
              <w:jc w:val="center"/>
              <w:rPr>
                <w:rFonts w:ascii="宋体" w:hAnsi="宋体" w:eastAsia="宋体"/>
                <w:color w:val="auto"/>
                <w:sz w:val="24"/>
                <w:szCs w:val="24"/>
                <w:highlight w:val="none"/>
              </w:rPr>
            </w:pPr>
          </w:p>
        </w:tc>
        <w:tc>
          <w:tcPr>
            <w:tcW w:w="907" w:type="dxa"/>
            <w:tcBorders>
              <w:top w:val="single" w:color="auto" w:sz="4" w:space="0"/>
              <w:left w:val="nil"/>
              <w:bottom w:val="single" w:color="auto" w:sz="4" w:space="0"/>
              <w:right w:val="single" w:color="auto" w:sz="4" w:space="0"/>
            </w:tcBorders>
          </w:tcPr>
          <w:p w14:paraId="3E1CC66E">
            <w:pPr>
              <w:spacing w:line="440" w:lineRule="exact"/>
              <w:jc w:val="center"/>
              <w:rPr>
                <w:rFonts w:ascii="宋体" w:hAnsi="宋体" w:eastAsia="宋体"/>
                <w:color w:val="auto"/>
                <w:sz w:val="24"/>
                <w:szCs w:val="24"/>
                <w:highlight w:val="none"/>
              </w:rPr>
            </w:pPr>
          </w:p>
        </w:tc>
        <w:tc>
          <w:tcPr>
            <w:tcW w:w="1359" w:type="dxa"/>
            <w:tcBorders>
              <w:top w:val="single" w:color="auto" w:sz="4" w:space="0"/>
              <w:left w:val="nil"/>
              <w:bottom w:val="single" w:color="auto" w:sz="4" w:space="0"/>
              <w:right w:val="single" w:color="auto" w:sz="4" w:space="0"/>
            </w:tcBorders>
          </w:tcPr>
          <w:p w14:paraId="6E2D72C2">
            <w:pPr>
              <w:spacing w:line="440" w:lineRule="exact"/>
              <w:jc w:val="center"/>
              <w:rPr>
                <w:rFonts w:ascii="宋体" w:hAnsi="宋体" w:eastAsia="宋体"/>
                <w:color w:val="auto"/>
                <w:sz w:val="24"/>
                <w:szCs w:val="24"/>
                <w:highlight w:val="none"/>
              </w:rPr>
            </w:pPr>
          </w:p>
        </w:tc>
        <w:tc>
          <w:tcPr>
            <w:tcW w:w="849" w:type="dxa"/>
            <w:tcBorders>
              <w:top w:val="single" w:color="auto" w:sz="4" w:space="0"/>
              <w:left w:val="nil"/>
              <w:bottom w:val="single" w:color="auto" w:sz="4" w:space="0"/>
              <w:right w:val="single" w:color="auto" w:sz="4" w:space="0"/>
            </w:tcBorders>
          </w:tcPr>
          <w:p w14:paraId="4E4BA315">
            <w:pPr>
              <w:spacing w:line="440" w:lineRule="exact"/>
              <w:jc w:val="center"/>
              <w:rPr>
                <w:rFonts w:ascii="宋体" w:hAnsi="宋体" w:eastAsia="宋体"/>
                <w:color w:val="auto"/>
                <w:sz w:val="24"/>
                <w:szCs w:val="24"/>
                <w:highlight w:val="none"/>
              </w:rPr>
            </w:pPr>
          </w:p>
        </w:tc>
        <w:tc>
          <w:tcPr>
            <w:tcW w:w="1049" w:type="dxa"/>
            <w:tcBorders>
              <w:top w:val="single" w:color="auto" w:sz="4" w:space="0"/>
              <w:left w:val="nil"/>
              <w:bottom w:val="single" w:color="auto" w:sz="4" w:space="0"/>
              <w:right w:val="single" w:color="auto" w:sz="4" w:space="0"/>
            </w:tcBorders>
          </w:tcPr>
          <w:p w14:paraId="6FD352F9">
            <w:pPr>
              <w:spacing w:line="440" w:lineRule="exact"/>
              <w:jc w:val="center"/>
              <w:rPr>
                <w:rFonts w:ascii="宋体" w:hAnsi="宋体" w:eastAsia="宋体"/>
                <w:color w:val="auto"/>
                <w:sz w:val="24"/>
                <w:szCs w:val="24"/>
                <w:highlight w:val="none"/>
              </w:rPr>
            </w:pPr>
          </w:p>
        </w:tc>
        <w:tc>
          <w:tcPr>
            <w:tcW w:w="1355" w:type="dxa"/>
            <w:tcBorders>
              <w:top w:val="single" w:color="auto" w:sz="4" w:space="0"/>
              <w:left w:val="nil"/>
              <w:bottom w:val="single" w:color="auto" w:sz="4" w:space="0"/>
              <w:right w:val="single" w:color="auto" w:sz="4" w:space="0"/>
            </w:tcBorders>
          </w:tcPr>
          <w:p w14:paraId="0FB33AAB">
            <w:pPr>
              <w:spacing w:line="440" w:lineRule="exact"/>
              <w:jc w:val="center"/>
              <w:rPr>
                <w:rFonts w:ascii="宋体" w:hAnsi="宋体" w:eastAsia="宋体"/>
                <w:color w:val="auto"/>
                <w:sz w:val="24"/>
                <w:szCs w:val="24"/>
                <w:highlight w:val="none"/>
              </w:rPr>
            </w:pPr>
          </w:p>
        </w:tc>
      </w:tr>
      <w:tr w14:paraId="2CD7EE5F">
        <w:tblPrEx>
          <w:tblCellMar>
            <w:top w:w="0" w:type="dxa"/>
            <w:left w:w="108" w:type="dxa"/>
            <w:bottom w:w="0" w:type="dxa"/>
            <w:right w:w="108" w:type="dxa"/>
          </w:tblCellMar>
        </w:tblPrEx>
        <w:trPr>
          <w:jc w:val="center"/>
        </w:trPr>
        <w:tc>
          <w:tcPr>
            <w:tcW w:w="981" w:type="dxa"/>
            <w:tcBorders>
              <w:top w:val="single" w:color="auto" w:sz="4" w:space="0"/>
              <w:left w:val="single" w:color="auto" w:sz="4" w:space="0"/>
              <w:bottom w:val="single" w:color="auto" w:sz="4" w:space="0"/>
              <w:right w:val="single" w:color="auto" w:sz="4" w:space="0"/>
            </w:tcBorders>
          </w:tcPr>
          <w:p w14:paraId="2196FA40">
            <w:pPr>
              <w:spacing w:line="440" w:lineRule="exact"/>
              <w:jc w:val="center"/>
              <w:rPr>
                <w:rFonts w:ascii="宋体" w:hAnsi="宋体" w:eastAsia="宋体"/>
                <w:color w:val="auto"/>
                <w:sz w:val="24"/>
                <w:szCs w:val="24"/>
                <w:highlight w:val="none"/>
              </w:rPr>
            </w:pPr>
          </w:p>
        </w:tc>
        <w:tc>
          <w:tcPr>
            <w:tcW w:w="1530" w:type="dxa"/>
            <w:tcBorders>
              <w:top w:val="single" w:color="auto" w:sz="4" w:space="0"/>
              <w:left w:val="nil"/>
              <w:bottom w:val="single" w:color="auto" w:sz="4" w:space="0"/>
              <w:right w:val="single" w:color="auto" w:sz="4" w:space="0"/>
            </w:tcBorders>
          </w:tcPr>
          <w:p w14:paraId="616D0B38">
            <w:pPr>
              <w:spacing w:line="440" w:lineRule="exact"/>
              <w:jc w:val="center"/>
              <w:rPr>
                <w:rFonts w:ascii="宋体" w:hAnsi="宋体" w:eastAsia="宋体"/>
                <w:color w:val="auto"/>
                <w:sz w:val="24"/>
                <w:szCs w:val="24"/>
                <w:highlight w:val="none"/>
              </w:rPr>
            </w:pPr>
          </w:p>
        </w:tc>
        <w:tc>
          <w:tcPr>
            <w:tcW w:w="853" w:type="dxa"/>
            <w:tcBorders>
              <w:top w:val="single" w:color="auto" w:sz="4" w:space="0"/>
              <w:left w:val="nil"/>
              <w:bottom w:val="single" w:color="auto" w:sz="4" w:space="0"/>
              <w:right w:val="single" w:color="auto" w:sz="4" w:space="0"/>
            </w:tcBorders>
          </w:tcPr>
          <w:p w14:paraId="51F52E8B">
            <w:pPr>
              <w:spacing w:line="440" w:lineRule="exact"/>
              <w:jc w:val="center"/>
              <w:rPr>
                <w:rFonts w:ascii="宋体" w:hAnsi="宋体" w:eastAsia="宋体"/>
                <w:color w:val="auto"/>
                <w:sz w:val="24"/>
                <w:szCs w:val="24"/>
                <w:highlight w:val="none"/>
              </w:rPr>
            </w:pPr>
          </w:p>
        </w:tc>
        <w:tc>
          <w:tcPr>
            <w:tcW w:w="735" w:type="dxa"/>
            <w:tcBorders>
              <w:top w:val="single" w:color="auto" w:sz="4" w:space="0"/>
              <w:left w:val="nil"/>
              <w:bottom w:val="single" w:color="auto" w:sz="4" w:space="0"/>
              <w:right w:val="single" w:color="auto" w:sz="4" w:space="0"/>
            </w:tcBorders>
          </w:tcPr>
          <w:p w14:paraId="5FD49B0E">
            <w:pPr>
              <w:spacing w:line="440" w:lineRule="exact"/>
              <w:jc w:val="center"/>
              <w:rPr>
                <w:rFonts w:ascii="宋体" w:hAnsi="宋体" w:eastAsia="宋体"/>
                <w:color w:val="auto"/>
                <w:sz w:val="24"/>
                <w:szCs w:val="24"/>
                <w:highlight w:val="none"/>
              </w:rPr>
            </w:pPr>
          </w:p>
        </w:tc>
        <w:tc>
          <w:tcPr>
            <w:tcW w:w="907" w:type="dxa"/>
            <w:tcBorders>
              <w:top w:val="single" w:color="auto" w:sz="4" w:space="0"/>
              <w:left w:val="nil"/>
              <w:bottom w:val="single" w:color="auto" w:sz="4" w:space="0"/>
              <w:right w:val="single" w:color="auto" w:sz="4" w:space="0"/>
            </w:tcBorders>
          </w:tcPr>
          <w:p w14:paraId="6B42347B">
            <w:pPr>
              <w:spacing w:line="440" w:lineRule="exact"/>
              <w:jc w:val="center"/>
              <w:rPr>
                <w:rFonts w:ascii="宋体" w:hAnsi="宋体" w:eastAsia="宋体"/>
                <w:color w:val="auto"/>
                <w:sz w:val="24"/>
                <w:szCs w:val="24"/>
                <w:highlight w:val="none"/>
              </w:rPr>
            </w:pPr>
          </w:p>
        </w:tc>
        <w:tc>
          <w:tcPr>
            <w:tcW w:w="1359" w:type="dxa"/>
            <w:tcBorders>
              <w:top w:val="single" w:color="auto" w:sz="4" w:space="0"/>
              <w:left w:val="nil"/>
              <w:bottom w:val="single" w:color="auto" w:sz="4" w:space="0"/>
              <w:right w:val="single" w:color="auto" w:sz="4" w:space="0"/>
            </w:tcBorders>
          </w:tcPr>
          <w:p w14:paraId="13C8EB91">
            <w:pPr>
              <w:spacing w:line="440" w:lineRule="exact"/>
              <w:jc w:val="center"/>
              <w:rPr>
                <w:rFonts w:ascii="宋体" w:hAnsi="宋体" w:eastAsia="宋体"/>
                <w:color w:val="auto"/>
                <w:sz w:val="24"/>
                <w:szCs w:val="24"/>
                <w:highlight w:val="none"/>
              </w:rPr>
            </w:pPr>
          </w:p>
        </w:tc>
        <w:tc>
          <w:tcPr>
            <w:tcW w:w="849" w:type="dxa"/>
            <w:tcBorders>
              <w:top w:val="single" w:color="auto" w:sz="4" w:space="0"/>
              <w:left w:val="nil"/>
              <w:bottom w:val="single" w:color="auto" w:sz="4" w:space="0"/>
              <w:right w:val="single" w:color="auto" w:sz="4" w:space="0"/>
            </w:tcBorders>
          </w:tcPr>
          <w:p w14:paraId="1DC070BB">
            <w:pPr>
              <w:spacing w:line="440" w:lineRule="exact"/>
              <w:jc w:val="center"/>
              <w:rPr>
                <w:rFonts w:ascii="宋体" w:hAnsi="宋体" w:eastAsia="宋体"/>
                <w:color w:val="auto"/>
                <w:sz w:val="24"/>
                <w:szCs w:val="24"/>
                <w:highlight w:val="none"/>
              </w:rPr>
            </w:pPr>
          </w:p>
        </w:tc>
        <w:tc>
          <w:tcPr>
            <w:tcW w:w="1049" w:type="dxa"/>
            <w:tcBorders>
              <w:top w:val="single" w:color="auto" w:sz="4" w:space="0"/>
              <w:left w:val="nil"/>
              <w:bottom w:val="single" w:color="auto" w:sz="4" w:space="0"/>
              <w:right w:val="single" w:color="auto" w:sz="4" w:space="0"/>
            </w:tcBorders>
          </w:tcPr>
          <w:p w14:paraId="47916612">
            <w:pPr>
              <w:spacing w:line="440" w:lineRule="exact"/>
              <w:jc w:val="center"/>
              <w:rPr>
                <w:rFonts w:ascii="宋体" w:hAnsi="宋体" w:eastAsia="宋体"/>
                <w:color w:val="auto"/>
                <w:sz w:val="24"/>
                <w:szCs w:val="24"/>
                <w:highlight w:val="none"/>
              </w:rPr>
            </w:pPr>
          </w:p>
        </w:tc>
        <w:tc>
          <w:tcPr>
            <w:tcW w:w="1355" w:type="dxa"/>
            <w:tcBorders>
              <w:top w:val="single" w:color="auto" w:sz="4" w:space="0"/>
              <w:left w:val="nil"/>
              <w:bottom w:val="single" w:color="auto" w:sz="4" w:space="0"/>
              <w:right w:val="single" w:color="auto" w:sz="4" w:space="0"/>
            </w:tcBorders>
          </w:tcPr>
          <w:p w14:paraId="0F32761A">
            <w:pPr>
              <w:spacing w:line="440" w:lineRule="exact"/>
              <w:jc w:val="center"/>
              <w:rPr>
                <w:rFonts w:ascii="宋体" w:hAnsi="宋体" w:eastAsia="宋体"/>
                <w:color w:val="auto"/>
                <w:sz w:val="24"/>
                <w:szCs w:val="24"/>
                <w:highlight w:val="none"/>
              </w:rPr>
            </w:pPr>
          </w:p>
        </w:tc>
      </w:tr>
      <w:tr w14:paraId="4BB58628">
        <w:tblPrEx>
          <w:tblCellMar>
            <w:top w:w="0" w:type="dxa"/>
            <w:left w:w="108" w:type="dxa"/>
            <w:bottom w:w="0" w:type="dxa"/>
            <w:right w:w="108" w:type="dxa"/>
          </w:tblCellMar>
        </w:tblPrEx>
        <w:trPr>
          <w:jc w:val="center"/>
        </w:trPr>
        <w:tc>
          <w:tcPr>
            <w:tcW w:w="981" w:type="dxa"/>
            <w:tcBorders>
              <w:top w:val="single" w:color="auto" w:sz="4" w:space="0"/>
              <w:left w:val="single" w:color="auto" w:sz="4" w:space="0"/>
              <w:bottom w:val="single" w:color="auto" w:sz="4" w:space="0"/>
              <w:right w:val="single" w:color="auto" w:sz="4" w:space="0"/>
            </w:tcBorders>
          </w:tcPr>
          <w:p w14:paraId="533DE6A3">
            <w:pPr>
              <w:spacing w:line="440" w:lineRule="exact"/>
              <w:jc w:val="center"/>
              <w:rPr>
                <w:rFonts w:ascii="宋体" w:hAnsi="宋体" w:eastAsia="宋体"/>
                <w:color w:val="auto"/>
                <w:sz w:val="24"/>
                <w:szCs w:val="24"/>
                <w:highlight w:val="none"/>
              </w:rPr>
            </w:pPr>
          </w:p>
        </w:tc>
        <w:tc>
          <w:tcPr>
            <w:tcW w:w="1530" w:type="dxa"/>
            <w:tcBorders>
              <w:top w:val="single" w:color="auto" w:sz="4" w:space="0"/>
              <w:left w:val="nil"/>
              <w:bottom w:val="single" w:color="auto" w:sz="4" w:space="0"/>
              <w:right w:val="single" w:color="auto" w:sz="4" w:space="0"/>
            </w:tcBorders>
          </w:tcPr>
          <w:p w14:paraId="0F32CFE6">
            <w:pPr>
              <w:spacing w:line="440" w:lineRule="exact"/>
              <w:jc w:val="center"/>
              <w:rPr>
                <w:rFonts w:ascii="宋体" w:hAnsi="宋体" w:eastAsia="宋体"/>
                <w:color w:val="auto"/>
                <w:sz w:val="24"/>
                <w:szCs w:val="24"/>
                <w:highlight w:val="none"/>
              </w:rPr>
            </w:pPr>
          </w:p>
        </w:tc>
        <w:tc>
          <w:tcPr>
            <w:tcW w:w="853" w:type="dxa"/>
            <w:tcBorders>
              <w:top w:val="single" w:color="auto" w:sz="4" w:space="0"/>
              <w:left w:val="nil"/>
              <w:bottom w:val="single" w:color="auto" w:sz="4" w:space="0"/>
              <w:right w:val="single" w:color="auto" w:sz="4" w:space="0"/>
            </w:tcBorders>
          </w:tcPr>
          <w:p w14:paraId="3030905D">
            <w:pPr>
              <w:spacing w:line="440" w:lineRule="exact"/>
              <w:jc w:val="center"/>
              <w:rPr>
                <w:rFonts w:ascii="宋体" w:hAnsi="宋体" w:eastAsia="宋体"/>
                <w:color w:val="auto"/>
                <w:sz w:val="24"/>
                <w:szCs w:val="24"/>
                <w:highlight w:val="none"/>
              </w:rPr>
            </w:pPr>
          </w:p>
        </w:tc>
        <w:tc>
          <w:tcPr>
            <w:tcW w:w="735" w:type="dxa"/>
            <w:tcBorders>
              <w:top w:val="single" w:color="auto" w:sz="4" w:space="0"/>
              <w:left w:val="nil"/>
              <w:bottom w:val="single" w:color="auto" w:sz="4" w:space="0"/>
              <w:right w:val="single" w:color="auto" w:sz="4" w:space="0"/>
            </w:tcBorders>
          </w:tcPr>
          <w:p w14:paraId="7A027E4D">
            <w:pPr>
              <w:spacing w:line="440" w:lineRule="exact"/>
              <w:jc w:val="center"/>
              <w:rPr>
                <w:rFonts w:ascii="宋体" w:hAnsi="宋体" w:eastAsia="宋体"/>
                <w:color w:val="auto"/>
                <w:sz w:val="24"/>
                <w:szCs w:val="24"/>
                <w:highlight w:val="none"/>
              </w:rPr>
            </w:pPr>
          </w:p>
        </w:tc>
        <w:tc>
          <w:tcPr>
            <w:tcW w:w="907" w:type="dxa"/>
            <w:tcBorders>
              <w:top w:val="single" w:color="auto" w:sz="4" w:space="0"/>
              <w:left w:val="nil"/>
              <w:bottom w:val="single" w:color="auto" w:sz="4" w:space="0"/>
              <w:right w:val="single" w:color="auto" w:sz="4" w:space="0"/>
            </w:tcBorders>
          </w:tcPr>
          <w:p w14:paraId="3CD52432">
            <w:pPr>
              <w:spacing w:line="440" w:lineRule="exact"/>
              <w:jc w:val="center"/>
              <w:rPr>
                <w:rFonts w:ascii="宋体" w:hAnsi="宋体" w:eastAsia="宋体"/>
                <w:color w:val="auto"/>
                <w:sz w:val="24"/>
                <w:szCs w:val="24"/>
                <w:highlight w:val="none"/>
              </w:rPr>
            </w:pPr>
          </w:p>
        </w:tc>
        <w:tc>
          <w:tcPr>
            <w:tcW w:w="1359" w:type="dxa"/>
            <w:tcBorders>
              <w:top w:val="single" w:color="auto" w:sz="4" w:space="0"/>
              <w:left w:val="nil"/>
              <w:bottom w:val="single" w:color="auto" w:sz="4" w:space="0"/>
              <w:right w:val="single" w:color="auto" w:sz="4" w:space="0"/>
            </w:tcBorders>
          </w:tcPr>
          <w:p w14:paraId="6E8DF481">
            <w:pPr>
              <w:spacing w:line="440" w:lineRule="exact"/>
              <w:jc w:val="center"/>
              <w:rPr>
                <w:rFonts w:ascii="宋体" w:hAnsi="宋体" w:eastAsia="宋体"/>
                <w:color w:val="auto"/>
                <w:sz w:val="24"/>
                <w:szCs w:val="24"/>
                <w:highlight w:val="none"/>
              </w:rPr>
            </w:pPr>
          </w:p>
        </w:tc>
        <w:tc>
          <w:tcPr>
            <w:tcW w:w="849" w:type="dxa"/>
            <w:tcBorders>
              <w:top w:val="single" w:color="auto" w:sz="4" w:space="0"/>
              <w:left w:val="nil"/>
              <w:bottom w:val="single" w:color="auto" w:sz="4" w:space="0"/>
              <w:right w:val="single" w:color="auto" w:sz="4" w:space="0"/>
            </w:tcBorders>
          </w:tcPr>
          <w:p w14:paraId="439972B4">
            <w:pPr>
              <w:spacing w:line="440" w:lineRule="exact"/>
              <w:jc w:val="center"/>
              <w:rPr>
                <w:rFonts w:ascii="宋体" w:hAnsi="宋体" w:eastAsia="宋体"/>
                <w:color w:val="auto"/>
                <w:sz w:val="24"/>
                <w:szCs w:val="24"/>
                <w:highlight w:val="none"/>
              </w:rPr>
            </w:pPr>
          </w:p>
        </w:tc>
        <w:tc>
          <w:tcPr>
            <w:tcW w:w="1049" w:type="dxa"/>
            <w:tcBorders>
              <w:top w:val="single" w:color="auto" w:sz="4" w:space="0"/>
              <w:left w:val="nil"/>
              <w:bottom w:val="single" w:color="auto" w:sz="4" w:space="0"/>
              <w:right w:val="single" w:color="auto" w:sz="4" w:space="0"/>
            </w:tcBorders>
          </w:tcPr>
          <w:p w14:paraId="4DD26EB5">
            <w:pPr>
              <w:spacing w:line="440" w:lineRule="exact"/>
              <w:jc w:val="center"/>
              <w:rPr>
                <w:rFonts w:ascii="宋体" w:hAnsi="宋体" w:eastAsia="宋体"/>
                <w:color w:val="auto"/>
                <w:sz w:val="24"/>
                <w:szCs w:val="24"/>
                <w:highlight w:val="none"/>
              </w:rPr>
            </w:pPr>
          </w:p>
        </w:tc>
        <w:tc>
          <w:tcPr>
            <w:tcW w:w="1355" w:type="dxa"/>
            <w:tcBorders>
              <w:top w:val="single" w:color="auto" w:sz="4" w:space="0"/>
              <w:left w:val="nil"/>
              <w:bottom w:val="single" w:color="auto" w:sz="4" w:space="0"/>
              <w:right w:val="single" w:color="auto" w:sz="4" w:space="0"/>
            </w:tcBorders>
          </w:tcPr>
          <w:p w14:paraId="2DD78054">
            <w:pPr>
              <w:spacing w:line="440" w:lineRule="exact"/>
              <w:jc w:val="center"/>
              <w:rPr>
                <w:rFonts w:ascii="宋体" w:hAnsi="宋体" w:eastAsia="宋体"/>
                <w:color w:val="auto"/>
                <w:sz w:val="24"/>
                <w:szCs w:val="24"/>
                <w:highlight w:val="none"/>
              </w:rPr>
            </w:pPr>
          </w:p>
        </w:tc>
      </w:tr>
      <w:tr w14:paraId="1BDBE549">
        <w:tblPrEx>
          <w:tblCellMar>
            <w:top w:w="0" w:type="dxa"/>
            <w:left w:w="108" w:type="dxa"/>
            <w:bottom w:w="0" w:type="dxa"/>
            <w:right w:w="108" w:type="dxa"/>
          </w:tblCellMar>
        </w:tblPrEx>
        <w:trPr>
          <w:jc w:val="center"/>
        </w:trPr>
        <w:tc>
          <w:tcPr>
            <w:tcW w:w="981" w:type="dxa"/>
            <w:tcBorders>
              <w:top w:val="single" w:color="auto" w:sz="4" w:space="0"/>
              <w:left w:val="single" w:color="auto" w:sz="4" w:space="0"/>
              <w:bottom w:val="single" w:color="auto" w:sz="4" w:space="0"/>
              <w:right w:val="single" w:color="auto" w:sz="4" w:space="0"/>
            </w:tcBorders>
          </w:tcPr>
          <w:p w14:paraId="02DB65A3">
            <w:pPr>
              <w:spacing w:line="440" w:lineRule="exact"/>
              <w:jc w:val="center"/>
              <w:rPr>
                <w:rFonts w:ascii="宋体" w:hAnsi="宋体" w:eastAsia="宋体"/>
                <w:color w:val="auto"/>
                <w:sz w:val="24"/>
                <w:szCs w:val="24"/>
                <w:highlight w:val="none"/>
              </w:rPr>
            </w:pPr>
          </w:p>
        </w:tc>
        <w:tc>
          <w:tcPr>
            <w:tcW w:w="1530" w:type="dxa"/>
            <w:tcBorders>
              <w:top w:val="single" w:color="auto" w:sz="4" w:space="0"/>
              <w:left w:val="nil"/>
              <w:bottom w:val="single" w:color="auto" w:sz="4" w:space="0"/>
              <w:right w:val="single" w:color="auto" w:sz="4" w:space="0"/>
            </w:tcBorders>
          </w:tcPr>
          <w:p w14:paraId="1D3552C7">
            <w:pPr>
              <w:spacing w:line="440" w:lineRule="exact"/>
              <w:jc w:val="center"/>
              <w:rPr>
                <w:rFonts w:ascii="宋体" w:hAnsi="宋体" w:eastAsia="宋体"/>
                <w:color w:val="auto"/>
                <w:sz w:val="24"/>
                <w:szCs w:val="24"/>
                <w:highlight w:val="none"/>
              </w:rPr>
            </w:pPr>
          </w:p>
        </w:tc>
        <w:tc>
          <w:tcPr>
            <w:tcW w:w="853" w:type="dxa"/>
            <w:tcBorders>
              <w:top w:val="single" w:color="auto" w:sz="4" w:space="0"/>
              <w:left w:val="nil"/>
              <w:bottom w:val="single" w:color="auto" w:sz="4" w:space="0"/>
              <w:right w:val="single" w:color="auto" w:sz="4" w:space="0"/>
            </w:tcBorders>
          </w:tcPr>
          <w:p w14:paraId="3F87C015">
            <w:pPr>
              <w:spacing w:line="440" w:lineRule="exact"/>
              <w:jc w:val="center"/>
              <w:rPr>
                <w:rFonts w:ascii="宋体" w:hAnsi="宋体" w:eastAsia="宋体"/>
                <w:color w:val="auto"/>
                <w:sz w:val="24"/>
                <w:szCs w:val="24"/>
                <w:highlight w:val="none"/>
              </w:rPr>
            </w:pPr>
          </w:p>
        </w:tc>
        <w:tc>
          <w:tcPr>
            <w:tcW w:w="735" w:type="dxa"/>
            <w:tcBorders>
              <w:top w:val="single" w:color="auto" w:sz="4" w:space="0"/>
              <w:left w:val="nil"/>
              <w:bottom w:val="single" w:color="auto" w:sz="4" w:space="0"/>
              <w:right w:val="single" w:color="auto" w:sz="4" w:space="0"/>
            </w:tcBorders>
          </w:tcPr>
          <w:p w14:paraId="1C340F38">
            <w:pPr>
              <w:spacing w:line="440" w:lineRule="exact"/>
              <w:jc w:val="center"/>
              <w:rPr>
                <w:rFonts w:ascii="宋体" w:hAnsi="宋体" w:eastAsia="宋体"/>
                <w:color w:val="auto"/>
                <w:sz w:val="24"/>
                <w:szCs w:val="24"/>
                <w:highlight w:val="none"/>
              </w:rPr>
            </w:pPr>
          </w:p>
        </w:tc>
        <w:tc>
          <w:tcPr>
            <w:tcW w:w="907" w:type="dxa"/>
            <w:tcBorders>
              <w:top w:val="single" w:color="auto" w:sz="4" w:space="0"/>
              <w:left w:val="nil"/>
              <w:bottom w:val="single" w:color="auto" w:sz="4" w:space="0"/>
              <w:right w:val="single" w:color="auto" w:sz="4" w:space="0"/>
            </w:tcBorders>
          </w:tcPr>
          <w:p w14:paraId="5C254655">
            <w:pPr>
              <w:spacing w:line="440" w:lineRule="exact"/>
              <w:jc w:val="center"/>
              <w:rPr>
                <w:rFonts w:ascii="宋体" w:hAnsi="宋体" w:eastAsia="宋体"/>
                <w:color w:val="auto"/>
                <w:sz w:val="24"/>
                <w:szCs w:val="24"/>
                <w:highlight w:val="none"/>
              </w:rPr>
            </w:pPr>
          </w:p>
        </w:tc>
        <w:tc>
          <w:tcPr>
            <w:tcW w:w="1359" w:type="dxa"/>
            <w:tcBorders>
              <w:top w:val="single" w:color="auto" w:sz="4" w:space="0"/>
              <w:left w:val="nil"/>
              <w:bottom w:val="single" w:color="auto" w:sz="4" w:space="0"/>
              <w:right w:val="single" w:color="auto" w:sz="4" w:space="0"/>
            </w:tcBorders>
          </w:tcPr>
          <w:p w14:paraId="329B0301">
            <w:pPr>
              <w:spacing w:line="440" w:lineRule="exact"/>
              <w:jc w:val="center"/>
              <w:rPr>
                <w:rFonts w:ascii="宋体" w:hAnsi="宋体" w:eastAsia="宋体"/>
                <w:color w:val="auto"/>
                <w:sz w:val="24"/>
                <w:szCs w:val="24"/>
                <w:highlight w:val="none"/>
              </w:rPr>
            </w:pPr>
          </w:p>
        </w:tc>
        <w:tc>
          <w:tcPr>
            <w:tcW w:w="849" w:type="dxa"/>
            <w:tcBorders>
              <w:top w:val="single" w:color="auto" w:sz="4" w:space="0"/>
              <w:left w:val="nil"/>
              <w:bottom w:val="single" w:color="auto" w:sz="4" w:space="0"/>
              <w:right w:val="single" w:color="auto" w:sz="4" w:space="0"/>
            </w:tcBorders>
          </w:tcPr>
          <w:p w14:paraId="3F55990B">
            <w:pPr>
              <w:spacing w:line="440" w:lineRule="exact"/>
              <w:jc w:val="center"/>
              <w:rPr>
                <w:rFonts w:ascii="宋体" w:hAnsi="宋体" w:eastAsia="宋体"/>
                <w:color w:val="auto"/>
                <w:sz w:val="24"/>
                <w:szCs w:val="24"/>
                <w:highlight w:val="none"/>
              </w:rPr>
            </w:pPr>
          </w:p>
        </w:tc>
        <w:tc>
          <w:tcPr>
            <w:tcW w:w="1049" w:type="dxa"/>
            <w:tcBorders>
              <w:top w:val="single" w:color="auto" w:sz="4" w:space="0"/>
              <w:left w:val="nil"/>
              <w:bottom w:val="single" w:color="auto" w:sz="4" w:space="0"/>
              <w:right w:val="single" w:color="auto" w:sz="4" w:space="0"/>
            </w:tcBorders>
          </w:tcPr>
          <w:p w14:paraId="1EDE041C">
            <w:pPr>
              <w:spacing w:line="440" w:lineRule="exact"/>
              <w:jc w:val="center"/>
              <w:rPr>
                <w:rFonts w:ascii="宋体" w:hAnsi="宋体" w:eastAsia="宋体"/>
                <w:color w:val="auto"/>
                <w:sz w:val="24"/>
                <w:szCs w:val="24"/>
                <w:highlight w:val="none"/>
              </w:rPr>
            </w:pPr>
          </w:p>
        </w:tc>
        <w:tc>
          <w:tcPr>
            <w:tcW w:w="1355" w:type="dxa"/>
            <w:tcBorders>
              <w:top w:val="single" w:color="auto" w:sz="4" w:space="0"/>
              <w:left w:val="nil"/>
              <w:bottom w:val="single" w:color="auto" w:sz="4" w:space="0"/>
              <w:right w:val="single" w:color="auto" w:sz="4" w:space="0"/>
            </w:tcBorders>
          </w:tcPr>
          <w:p w14:paraId="0FCC4A51">
            <w:pPr>
              <w:spacing w:line="440" w:lineRule="exact"/>
              <w:jc w:val="center"/>
              <w:rPr>
                <w:rFonts w:ascii="宋体" w:hAnsi="宋体" w:eastAsia="宋体"/>
                <w:color w:val="auto"/>
                <w:sz w:val="24"/>
                <w:szCs w:val="24"/>
                <w:highlight w:val="none"/>
              </w:rPr>
            </w:pPr>
          </w:p>
        </w:tc>
      </w:tr>
      <w:tr w14:paraId="3FCC1533">
        <w:tblPrEx>
          <w:tblCellMar>
            <w:top w:w="0" w:type="dxa"/>
            <w:left w:w="108" w:type="dxa"/>
            <w:bottom w:w="0" w:type="dxa"/>
            <w:right w:w="108" w:type="dxa"/>
          </w:tblCellMar>
        </w:tblPrEx>
        <w:trPr>
          <w:jc w:val="center"/>
        </w:trPr>
        <w:tc>
          <w:tcPr>
            <w:tcW w:w="981" w:type="dxa"/>
            <w:tcBorders>
              <w:top w:val="single" w:color="auto" w:sz="4" w:space="0"/>
              <w:left w:val="single" w:color="auto" w:sz="4" w:space="0"/>
              <w:bottom w:val="single" w:color="auto" w:sz="4" w:space="0"/>
              <w:right w:val="single" w:color="auto" w:sz="4" w:space="0"/>
            </w:tcBorders>
          </w:tcPr>
          <w:p w14:paraId="4B743AFC">
            <w:pPr>
              <w:spacing w:line="440" w:lineRule="exact"/>
              <w:jc w:val="center"/>
              <w:rPr>
                <w:rFonts w:ascii="宋体" w:hAnsi="宋体" w:eastAsia="宋体"/>
                <w:color w:val="auto"/>
                <w:sz w:val="24"/>
                <w:szCs w:val="24"/>
                <w:highlight w:val="none"/>
              </w:rPr>
            </w:pPr>
          </w:p>
        </w:tc>
        <w:tc>
          <w:tcPr>
            <w:tcW w:w="1530" w:type="dxa"/>
            <w:tcBorders>
              <w:top w:val="single" w:color="auto" w:sz="4" w:space="0"/>
              <w:left w:val="nil"/>
              <w:bottom w:val="single" w:color="auto" w:sz="4" w:space="0"/>
              <w:right w:val="single" w:color="auto" w:sz="4" w:space="0"/>
            </w:tcBorders>
          </w:tcPr>
          <w:p w14:paraId="3CF50E86">
            <w:pPr>
              <w:spacing w:line="440" w:lineRule="exact"/>
              <w:jc w:val="center"/>
              <w:rPr>
                <w:rFonts w:ascii="宋体" w:hAnsi="宋体" w:eastAsia="宋体"/>
                <w:color w:val="auto"/>
                <w:sz w:val="24"/>
                <w:szCs w:val="24"/>
                <w:highlight w:val="none"/>
              </w:rPr>
            </w:pPr>
          </w:p>
        </w:tc>
        <w:tc>
          <w:tcPr>
            <w:tcW w:w="853" w:type="dxa"/>
            <w:tcBorders>
              <w:top w:val="single" w:color="auto" w:sz="4" w:space="0"/>
              <w:left w:val="nil"/>
              <w:bottom w:val="single" w:color="auto" w:sz="4" w:space="0"/>
              <w:right w:val="single" w:color="auto" w:sz="4" w:space="0"/>
            </w:tcBorders>
          </w:tcPr>
          <w:p w14:paraId="782E20F4">
            <w:pPr>
              <w:spacing w:line="440" w:lineRule="exact"/>
              <w:jc w:val="center"/>
              <w:rPr>
                <w:rFonts w:ascii="宋体" w:hAnsi="宋体" w:eastAsia="宋体"/>
                <w:color w:val="auto"/>
                <w:sz w:val="24"/>
                <w:szCs w:val="24"/>
                <w:highlight w:val="none"/>
              </w:rPr>
            </w:pPr>
          </w:p>
        </w:tc>
        <w:tc>
          <w:tcPr>
            <w:tcW w:w="735" w:type="dxa"/>
            <w:tcBorders>
              <w:top w:val="single" w:color="auto" w:sz="4" w:space="0"/>
              <w:left w:val="nil"/>
              <w:bottom w:val="single" w:color="auto" w:sz="4" w:space="0"/>
              <w:right w:val="single" w:color="auto" w:sz="4" w:space="0"/>
            </w:tcBorders>
          </w:tcPr>
          <w:p w14:paraId="34417B6F">
            <w:pPr>
              <w:spacing w:line="440" w:lineRule="exact"/>
              <w:jc w:val="center"/>
              <w:rPr>
                <w:rFonts w:ascii="宋体" w:hAnsi="宋体" w:eastAsia="宋体"/>
                <w:color w:val="auto"/>
                <w:sz w:val="24"/>
                <w:szCs w:val="24"/>
                <w:highlight w:val="none"/>
              </w:rPr>
            </w:pPr>
          </w:p>
        </w:tc>
        <w:tc>
          <w:tcPr>
            <w:tcW w:w="907" w:type="dxa"/>
            <w:tcBorders>
              <w:top w:val="single" w:color="auto" w:sz="4" w:space="0"/>
              <w:left w:val="nil"/>
              <w:bottom w:val="single" w:color="auto" w:sz="4" w:space="0"/>
              <w:right w:val="single" w:color="auto" w:sz="4" w:space="0"/>
            </w:tcBorders>
          </w:tcPr>
          <w:p w14:paraId="39C5C893">
            <w:pPr>
              <w:spacing w:line="440" w:lineRule="exact"/>
              <w:jc w:val="center"/>
              <w:rPr>
                <w:rFonts w:ascii="宋体" w:hAnsi="宋体" w:eastAsia="宋体"/>
                <w:color w:val="auto"/>
                <w:sz w:val="24"/>
                <w:szCs w:val="24"/>
                <w:highlight w:val="none"/>
              </w:rPr>
            </w:pPr>
          </w:p>
        </w:tc>
        <w:tc>
          <w:tcPr>
            <w:tcW w:w="1359" w:type="dxa"/>
            <w:tcBorders>
              <w:top w:val="single" w:color="auto" w:sz="4" w:space="0"/>
              <w:left w:val="nil"/>
              <w:bottom w:val="single" w:color="auto" w:sz="4" w:space="0"/>
              <w:right w:val="single" w:color="auto" w:sz="4" w:space="0"/>
            </w:tcBorders>
          </w:tcPr>
          <w:p w14:paraId="05EC2FA5">
            <w:pPr>
              <w:spacing w:line="440" w:lineRule="exact"/>
              <w:jc w:val="center"/>
              <w:rPr>
                <w:rFonts w:ascii="宋体" w:hAnsi="宋体" w:eastAsia="宋体"/>
                <w:color w:val="auto"/>
                <w:sz w:val="24"/>
                <w:szCs w:val="24"/>
                <w:highlight w:val="none"/>
              </w:rPr>
            </w:pPr>
          </w:p>
        </w:tc>
        <w:tc>
          <w:tcPr>
            <w:tcW w:w="849" w:type="dxa"/>
            <w:tcBorders>
              <w:top w:val="single" w:color="auto" w:sz="4" w:space="0"/>
              <w:left w:val="nil"/>
              <w:bottom w:val="single" w:color="auto" w:sz="4" w:space="0"/>
              <w:right w:val="single" w:color="auto" w:sz="4" w:space="0"/>
            </w:tcBorders>
          </w:tcPr>
          <w:p w14:paraId="1CD8D7FE">
            <w:pPr>
              <w:spacing w:line="440" w:lineRule="exact"/>
              <w:jc w:val="center"/>
              <w:rPr>
                <w:rFonts w:ascii="宋体" w:hAnsi="宋体" w:eastAsia="宋体"/>
                <w:color w:val="auto"/>
                <w:sz w:val="24"/>
                <w:szCs w:val="24"/>
                <w:highlight w:val="none"/>
              </w:rPr>
            </w:pPr>
          </w:p>
        </w:tc>
        <w:tc>
          <w:tcPr>
            <w:tcW w:w="1049" w:type="dxa"/>
            <w:tcBorders>
              <w:top w:val="single" w:color="auto" w:sz="4" w:space="0"/>
              <w:left w:val="nil"/>
              <w:bottom w:val="single" w:color="auto" w:sz="4" w:space="0"/>
              <w:right w:val="single" w:color="auto" w:sz="4" w:space="0"/>
            </w:tcBorders>
          </w:tcPr>
          <w:p w14:paraId="1C8881C5">
            <w:pPr>
              <w:spacing w:line="440" w:lineRule="exact"/>
              <w:jc w:val="center"/>
              <w:rPr>
                <w:rFonts w:ascii="宋体" w:hAnsi="宋体" w:eastAsia="宋体"/>
                <w:color w:val="auto"/>
                <w:sz w:val="24"/>
                <w:szCs w:val="24"/>
                <w:highlight w:val="none"/>
              </w:rPr>
            </w:pPr>
          </w:p>
        </w:tc>
        <w:tc>
          <w:tcPr>
            <w:tcW w:w="1355" w:type="dxa"/>
            <w:tcBorders>
              <w:top w:val="single" w:color="auto" w:sz="4" w:space="0"/>
              <w:left w:val="nil"/>
              <w:bottom w:val="single" w:color="auto" w:sz="4" w:space="0"/>
              <w:right w:val="single" w:color="auto" w:sz="4" w:space="0"/>
            </w:tcBorders>
          </w:tcPr>
          <w:p w14:paraId="14EE0EC7">
            <w:pPr>
              <w:spacing w:line="440" w:lineRule="exact"/>
              <w:jc w:val="center"/>
              <w:rPr>
                <w:rFonts w:ascii="宋体" w:hAnsi="宋体" w:eastAsia="宋体"/>
                <w:color w:val="auto"/>
                <w:sz w:val="24"/>
                <w:szCs w:val="24"/>
                <w:highlight w:val="none"/>
              </w:rPr>
            </w:pPr>
          </w:p>
        </w:tc>
      </w:tr>
      <w:tr w14:paraId="2500FC88">
        <w:tblPrEx>
          <w:tblCellMar>
            <w:top w:w="0" w:type="dxa"/>
            <w:left w:w="108" w:type="dxa"/>
            <w:bottom w:w="0" w:type="dxa"/>
            <w:right w:w="108" w:type="dxa"/>
          </w:tblCellMar>
        </w:tblPrEx>
        <w:trPr>
          <w:jc w:val="center"/>
        </w:trPr>
        <w:tc>
          <w:tcPr>
            <w:tcW w:w="981" w:type="dxa"/>
            <w:tcBorders>
              <w:top w:val="single" w:color="auto" w:sz="4" w:space="0"/>
              <w:left w:val="single" w:color="auto" w:sz="4" w:space="0"/>
              <w:bottom w:val="single" w:color="auto" w:sz="4" w:space="0"/>
              <w:right w:val="single" w:color="auto" w:sz="4" w:space="0"/>
            </w:tcBorders>
          </w:tcPr>
          <w:p w14:paraId="577FBD61">
            <w:pPr>
              <w:spacing w:line="440" w:lineRule="exact"/>
              <w:jc w:val="center"/>
              <w:rPr>
                <w:rFonts w:ascii="宋体" w:hAnsi="宋体" w:eastAsia="宋体"/>
                <w:color w:val="auto"/>
                <w:sz w:val="24"/>
                <w:szCs w:val="24"/>
                <w:highlight w:val="none"/>
              </w:rPr>
            </w:pPr>
          </w:p>
        </w:tc>
        <w:tc>
          <w:tcPr>
            <w:tcW w:w="1530" w:type="dxa"/>
            <w:tcBorders>
              <w:top w:val="single" w:color="auto" w:sz="4" w:space="0"/>
              <w:left w:val="nil"/>
              <w:bottom w:val="single" w:color="auto" w:sz="4" w:space="0"/>
              <w:right w:val="single" w:color="auto" w:sz="4" w:space="0"/>
            </w:tcBorders>
          </w:tcPr>
          <w:p w14:paraId="309F1756">
            <w:pPr>
              <w:spacing w:line="440" w:lineRule="exact"/>
              <w:jc w:val="center"/>
              <w:rPr>
                <w:rFonts w:ascii="宋体" w:hAnsi="宋体" w:eastAsia="宋体"/>
                <w:color w:val="auto"/>
                <w:sz w:val="24"/>
                <w:szCs w:val="24"/>
                <w:highlight w:val="none"/>
              </w:rPr>
            </w:pPr>
          </w:p>
        </w:tc>
        <w:tc>
          <w:tcPr>
            <w:tcW w:w="853" w:type="dxa"/>
            <w:tcBorders>
              <w:top w:val="single" w:color="auto" w:sz="4" w:space="0"/>
              <w:left w:val="nil"/>
              <w:bottom w:val="single" w:color="auto" w:sz="4" w:space="0"/>
              <w:right w:val="single" w:color="auto" w:sz="4" w:space="0"/>
            </w:tcBorders>
          </w:tcPr>
          <w:p w14:paraId="318DD881">
            <w:pPr>
              <w:spacing w:line="440" w:lineRule="exact"/>
              <w:jc w:val="center"/>
              <w:rPr>
                <w:rFonts w:ascii="宋体" w:hAnsi="宋体" w:eastAsia="宋体"/>
                <w:color w:val="auto"/>
                <w:sz w:val="24"/>
                <w:szCs w:val="24"/>
                <w:highlight w:val="none"/>
              </w:rPr>
            </w:pPr>
          </w:p>
        </w:tc>
        <w:tc>
          <w:tcPr>
            <w:tcW w:w="735" w:type="dxa"/>
            <w:tcBorders>
              <w:top w:val="single" w:color="auto" w:sz="4" w:space="0"/>
              <w:left w:val="nil"/>
              <w:bottom w:val="single" w:color="auto" w:sz="4" w:space="0"/>
              <w:right w:val="single" w:color="auto" w:sz="4" w:space="0"/>
            </w:tcBorders>
          </w:tcPr>
          <w:p w14:paraId="7B471963">
            <w:pPr>
              <w:spacing w:line="440" w:lineRule="exact"/>
              <w:jc w:val="center"/>
              <w:rPr>
                <w:rFonts w:ascii="宋体" w:hAnsi="宋体" w:eastAsia="宋体"/>
                <w:color w:val="auto"/>
                <w:sz w:val="24"/>
                <w:szCs w:val="24"/>
                <w:highlight w:val="none"/>
              </w:rPr>
            </w:pPr>
          </w:p>
        </w:tc>
        <w:tc>
          <w:tcPr>
            <w:tcW w:w="907" w:type="dxa"/>
            <w:tcBorders>
              <w:top w:val="single" w:color="auto" w:sz="4" w:space="0"/>
              <w:left w:val="nil"/>
              <w:bottom w:val="single" w:color="auto" w:sz="4" w:space="0"/>
              <w:right w:val="single" w:color="auto" w:sz="4" w:space="0"/>
            </w:tcBorders>
          </w:tcPr>
          <w:p w14:paraId="1E0B0B2A">
            <w:pPr>
              <w:spacing w:line="440" w:lineRule="exact"/>
              <w:jc w:val="center"/>
              <w:rPr>
                <w:rFonts w:ascii="宋体" w:hAnsi="宋体" w:eastAsia="宋体"/>
                <w:color w:val="auto"/>
                <w:sz w:val="24"/>
                <w:szCs w:val="24"/>
                <w:highlight w:val="none"/>
              </w:rPr>
            </w:pPr>
          </w:p>
        </w:tc>
        <w:tc>
          <w:tcPr>
            <w:tcW w:w="1359" w:type="dxa"/>
            <w:tcBorders>
              <w:top w:val="single" w:color="auto" w:sz="4" w:space="0"/>
              <w:left w:val="nil"/>
              <w:bottom w:val="single" w:color="auto" w:sz="4" w:space="0"/>
              <w:right w:val="single" w:color="auto" w:sz="4" w:space="0"/>
            </w:tcBorders>
          </w:tcPr>
          <w:p w14:paraId="2752E655">
            <w:pPr>
              <w:spacing w:line="440" w:lineRule="exact"/>
              <w:jc w:val="center"/>
              <w:rPr>
                <w:rFonts w:ascii="宋体" w:hAnsi="宋体" w:eastAsia="宋体"/>
                <w:color w:val="auto"/>
                <w:sz w:val="24"/>
                <w:szCs w:val="24"/>
                <w:highlight w:val="none"/>
              </w:rPr>
            </w:pPr>
          </w:p>
        </w:tc>
        <w:tc>
          <w:tcPr>
            <w:tcW w:w="849" w:type="dxa"/>
            <w:tcBorders>
              <w:top w:val="single" w:color="auto" w:sz="4" w:space="0"/>
              <w:left w:val="nil"/>
              <w:bottom w:val="single" w:color="auto" w:sz="4" w:space="0"/>
              <w:right w:val="single" w:color="auto" w:sz="4" w:space="0"/>
            </w:tcBorders>
          </w:tcPr>
          <w:p w14:paraId="307B8919">
            <w:pPr>
              <w:spacing w:line="440" w:lineRule="exact"/>
              <w:jc w:val="center"/>
              <w:rPr>
                <w:rFonts w:ascii="宋体" w:hAnsi="宋体" w:eastAsia="宋体"/>
                <w:color w:val="auto"/>
                <w:sz w:val="24"/>
                <w:szCs w:val="24"/>
                <w:highlight w:val="none"/>
              </w:rPr>
            </w:pPr>
          </w:p>
        </w:tc>
        <w:tc>
          <w:tcPr>
            <w:tcW w:w="1049" w:type="dxa"/>
            <w:tcBorders>
              <w:top w:val="single" w:color="auto" w:sz="4" w:space="0"/>
              <w:left w:val="nil"/>
              <w:bottom w:val="single" w:color="auto" w:sz="4" w:space="0"/>
              <w:right w:val="single" w:color="auto" w:sz="4" w:space="0"/>
            </w:tcBorders>
          </w:tcPr>
          <w:p w14:paraId="2A60EECD">
            <w:pPr>
              <w:spacing w:line="440" w:lineRule="exact"/>
              <w:jc w:val="center"/>
              <w:rPr>
                <w:rFonts w:ascii="宋体" w:hAnsi="宋体" w:eastAsia="宋体"/>
                <w:color w:val="auto"/>
                <w:sz w:val="24"/>
                <w:szCs w:val="24"/>
                <w:highlight w:val="none"/>
              </w:rPr>
            </w:pPr>
          </w:p>
        </w:tc>
        <w:tc>
          <w:tcPr>
            <w:tcW w:w="1355" w:type="dxa"/>
            <w:tcBorders>
              <w:top w:val="single" w:color="auto" w:sz="4" w:space="0"/>
              <w:left w:val="nil"/>
              <w:bottom w:val="single" w:color="auto" w:sz="4" w:space="0"/>
              <w:right w:val="single" w:color="auto" w:sz="4" w:space="0"/>
            </w:tcBorders>
          </w:tcPr>
          <w:p w14:paraId="51FDB04D">
            <w:pPr>
              <w:spacing w:line="440" w:lineRule="exact"/>
              <w:jc w:val="center"/>
              <w:rPr>
                <w:rFonts w:ascii="宋体" w:hAnsi="宋体" w:eastAsia="宋体"/>
                <w:color w:val="auto"/>
                <w:sz w:val="24"/>
                <w:szCs w:val="24"/>
                <w:highlight w:val="none"/>
              </w:rPr>
            </w:pPr>
          </w:p>
        </w:tc>
      </w:tr>
      <w:tr w14:paraId="3C73ED7D">
        <w:tblPrEx>
          <w:tblCellMar>
            <w:top w:w="0" w:type="dxa"/>
            <w:left w:w="108" w:type="dxa"/>
            <w:bottom w:w="0" w:type="dxa"/>
            <w:right w:w="108" w:type="dxa"/>
          </w:tblCellMar>
        </w:tblPrEx>
        <w:trPr>
          <w:jc w:val="center"/>
        </w:trPr>
        <w:tc>
          <w:tcPr>
            <w:tcW w:w="981" w:type="dxa"/>
            <w:tcBorders>
              <w:top w:val="single" w:color="auto" w:sz="4" w:space="0"/>
              <w:left w:val="single" w:color="auto" w:sz="4" w:space="0"/>
              <w:bottom w:val="single" w:color="auto" w:sz="4" w:space="0"/>
              <w:right w:val="single" w:color="auto" w:sz="4" w:space="0"/>
            </w:tcBorders>
          </w:tcPr>
          <w:p w14:paraId="24D99F45">
            <w:pPr>
              <w:spacing w:line="440" w:lineRule="exact"/>
              <w:jc w:val="center"/>
              <w:rPr>
                <w:rFonts w:ascii="宋体" w:hAnsi="宋体" w:eastAsia="宋体"/>
                <w:color w:val="auto"/>
                <w:sz w:val="24"/>
                <w:szCs w:val="24"/>
                <w:highlight w:val="none"/>
              </w:rPr>
            </w:pPr>
          </w:p>
        </w:tc>
        <w:tc>
          <w:tcPr>
            <w:tcW w:w="1530" w:type="dxa"/>
            <w:tcBorders>
              <w:top w:val="single" w:color="auto" w:sz="4" w:space="0"/>
              <w:left w:val="nil"/>
              <w:bottom w:val="single" w:color="auto" w:sz="4" w:space="0"/>
              <w:right w:val="single" w:color="auto" w:sz="4" w:space="0"/>
            </w:tcBorders>
          </w:tcPr>
          <w:p w14:paraId="31B4E2DF">
            <w:pPr>
              <w:spacing w:line="440" w:lineRule="exact"/>
              <w:jc w:val="center"/>
              <w:rPr>
                <w:rFonts w:ascii="宋体" w:hAnsi="宋体" w:eastAsia="宋体"/>
                <w:color w:val="auto"/>
                <w:sz w:val="24"/>
                <w:szCs w:val="24"/>
                <w:highlight w:val="none"/>
              </w:rPr>
            </w:pPr>
          </w:p>
        </w:tc>
        <w:tc>
          <w:tcPr>
            <w:tcW w:w="853" w:type="dxa"/>
            <w:tcBorders>
              <w:top w:val="single" w:color="auto" w:sz="4" w:space="0"/>
              <w:left w:val="nil"/>
              <w:bottom w:val="single" w:color="auto" w:sz="4" w:space="0"/>
              <w:right w:val="single" w:color="auto" w:sz="4" w:space="0"/>
            </w:tcBorders>
          </w:tcPr>
          <w:p w14:paraId="124B8C0F">
            <w:pPr>
              <w:spacing w:line="440" w:lineRule="exact"/>
              <w:jc w:val="center"/>
              <w:rPr>
                <w:rFonts w:ascii="宋体" w:hAnsi="宋体" w:eastAsia="宋体"/>
                <w:color w:val="auto"/>
                <w:sz w:val="24"/>
                <w:szCs w:val="24"/>
                <w:highlight w:val="none"/>
              </w:rPr>
            </w:pPr>
          </w:p>
        </w:tc>
        <w:tc>
          <w:tcPr>
            <w:tcW w:w="735" w:type="dxa"/>
            <w:tcBorders>
              <w:top w:val="single" w:color="auto" w:sz="4" w:space="0"/>
              <w:left w:val="nil"/>
              <w:bottom w:val="single" w:color="auto" w:sz="4" w:space="0"/>
              <w:right w:val="single" w:color="auto" w:sz="4" w:space="0"/>
            </w:tcBorders>
          </w:tcPr>
          <w:p w14:paraId="388CE0D2">
            <w:pPr>
              <w:spacing w:line="440" w:lineRule="exact"/>
              <w:jc w:val="center"/>
              <w:rPr>
                <w:rFonts w:ascii="宋体" w:hAnsi="宋体" w:eastAsia="宋体"/>
                <w:color w:val="auto"/>
                <w:sz w:val="24"/>
                <w:szCs w:val="24"/>
                <w:highlight w:val="none"/>
              </w:rPr>
            </w:pPr>
          </w:p>
        </w:tc>
        <w:tc>
          <w:tcPr>
            <w:tcW w:w="907" w:type="dxa"/>
            <w:tcBorders>
              <w:top w:val="single" w:color="auto" w:sz="4" w:space="0"/>
              <w:left w:val="nil"/>
              <w:bottom w:val="single" w:color="auto" w:sz="4" w:space="0"/>
              <w:right w:val="single" w:color="auto" w:sz="4" w:space="0"/>
            </w:tcBorders>
          </w:tcPr>
          <w:p w14:paraId="45B92C56">
            <w:pPr>
              <w:spacing w:line="440" w:lineRule="exact"/>
              <w:jc w:val="center"/>
              <w:rPr>
                <w:rFonts w:ascii="宋体" w:hAnsi="宋体" w:eastAsia="宋体"/>
                <w:color w:val="auto"/>
                <w:sz w:val="24"/>
                <w:szCs w:val="24"/>
                <w:highlight w:val="none"/>
              </w:rPr>
            </w:pPr>
          </w:p>
        </w:tc>
        <w:tc>
          <w:tcPr>
            <w:tcW w:w="1359" w:type="dxa"/>
            <w:tcBorders>
              <w:top w:val="single" w:color="auto" w:sz="4" w:space="0"/>
              <w:left w:val="nil"/>
              <w:bottom w:val="single" w:color="auto" w:sz="4" w:space="0"/>
              <w:right w:val="single" w:color="auto" w:sz="4" w:space="0"/>
            </w:tcBorders>
          </w:tcPr>
          <w:p w14:paraId="7FADD36B">
            <w:pPr>
              <w:spacing w:line="440" w:lineRule="exact"/>
              <w:jc w:val="center"/>
              <w:rPr>
                <w:rFonts w:ascii="宋体" w:hAnsi="宋体" w:eastAsia="宋体"/>
                <w:color w:val="auto"/>
                <w:sz w:val="24"/>
                <w:szCs w:val="24"/>
                <w:highlight w:val="none"/>
              </w:rPr>
            </w:pPr>
          </w:p>
        </w:tc>
        <w:tc>
          <w:tcPr>
            <w:tcW w:w="849" w:type="dxa"/>
            <w:tcBorders>
              <w:top w:val="single" w:color="auto" w:sz="4" w:space="0"/>
              <w:left w:val="nil"/>
              <w:bottom w:val="single" w:color="auto" w:sz="4" w:space="0"/>
              <w:right w:val="single" w:color="auto" w:sz="4" w:space="0"/>
            </w:tcBorders>
          </w:tcPr>
          <w:p w14:paraId="5CCE21B9">
            <w:pPr>
              <w:spacing w:line="440" w:lineRule="exact"/>
              <w:jc w:val="center"/>
              <w:rPr>
                <w:rFonts w:ascii="宋体" w:hAnsi="宋体" w:eastAsia="宋体"/>
                <w:color w:val="auto"/>
                <w:sz w:val="24"/>
                <w:szCs w:val="24"/>
                <w:highlight w:val="none"/>
              </w:rPr>
            </w:pPr>
          </w:p>
        </w:tc>
        <w:tc>
          <w:tcPr>
            <w:tcW w:w="1049" w:type="dxa"/>
            <w:tcBorders>
              <w:top w:val="single" w:color="auto" w:sz="4" w:space="0"/>
              <w:left w:val="nil"/>
              <w:bottom w:val="single" w:color="auto" w:sz="4" w:space="0"/>
              <w:right w:val="single" w:color="auto" w:sz="4" w:space="0"/>
            </w:tcBorders>
          </w:tcPr>
          <w:p w14:paraId="6FE720B0">
            <w:pPr>
              <w:spacing w:line="440" w:lineRule="exact"/>
              <w:jc w:val="center"/>
              <w:rPr>
                <w:rFonts w:ascii="宋体" w:hAnsi="宋体" w:eastAsia="宋体"/>
                <w:color w:val="auto"/>
                <w:sz w:val="24"/>
                <w:szCs w:val="24"/>
                <w:highlight w:val="none"/>
              </w:rPr>
            </w:pPr>
          </w:p>
        </w:tc>
        <w:tc>
          <w:tcPr>
            <w:tcW w:w="1355" w:type="dxa"/>
            <w:tcBorders>
              <w:top w:val="single" w:color="auto" w:sz="4" w:space="0"/>
              <w:left w:val="nil"/>
              <w:bottom w:val="single" w:color="auto" w:sz="4" w:space="0"/>
              <w:right w:val="single" w:color="auto" w:sz="4" w:space="0"/>
            </w:tcBorders>
          </w:tcPr>
          <w:p w14:paraId="7FBE8A94">
            <w:pPr>
              <w:spacing w:line="440" w:lineRule="exact"/>
              <w:jc w:val="center"/>
              <w:rPr>
                <w:rFonts w:ascii="宋体" w:hAnsi="宋体" w:eastAsia="宋体"/>
                <w:color w:val="auto"/>
                <w:sz w:val="24"/>
                <w:szCs w:val="24"/>
                <w:highlight w:val="none"/>
              </w:rPr>
            </w:pPr>
          </w:p>
        </w:tc>
      </w:tr>
      <w:tr w14:paraId="0A4FA221">
        <w:tblPrEx>
          <w:tblCellMar>
            <w:top w:w="0" w:type="dxa"/>
            <w:left w:w="108" w:type="dxa"/>
            <w:bottom w:w="0" w:type="dxa"/>
            <w:right w:w="108" w:type="dxa"/>
          </w:tblCellMar>
        </w:tblPrEx>
        <w:trPr>
          <w:jc w:val="center"/>
        </w:trPr>
        <w:tc>
          <w:tcPr>
            <w:tcW w:w="981" w:type="dxa"/>
            <w:tcBorders>
              <w:top w:val="single" w:color="auto" w:sz="4" w:space="0"/>
              <w:left w:val="single" w:color="auto" w:sz="4" w:space="0"/>
              <w:bottom w:val="single" w:color="auto" w:sz="4" w:space="0"/>
              <w:right w:val="single" w:color="auto" w:sz="4" w:space="0"/>
            </w:tcBorders>
          </w:tcPr>
          <w:p w14:paraId="54BD5CA9">
            <w:pPr>
              <w:spacing w:line="440" w:lineRule="exact"/>
              <w:jc w:val="center"/>
              <w:rPr>
                <w:rFonts w:ascii="宋体" w:hAnsi="宋体" w:eastAsia="宋体"/>
                <w:color w:val="auto"/>
                <w:sz w:val="24"/>
                <w:szCs w:val="24"/>
                <w:highlight w:val="none"/>
              </w:rPr>
            </w:pPr>
          </w:p>
        </w:tc>
        <w:tc>
          <w:tcPr>
            <w:tcW w:w="1530" w:type="dxa"/>
            <w:tcBorders>
              <w:top w:val="single" w:color="auto" w:sz="4" w:space="0"/>
              <w:left w:val="nil"/>
              <w:bottom w:val="single" w:color="auto" w:sz="4" w:space="0"/>
              <w:right w:val="single" w:color="auto" w:sz="4" w:space="0"/>
            </w:tcBorders>
          </w:tcPr>
          <w:p w14:paraId="278D35CF">
            <w:pPr>
              <w:spacing w:line="440" w:lineRule="exact"/>
              <w:jc w:val="center"/>
              <w:rPr>
                <w:rFonts w:ascii="宋体" w:hAnsi="宋体" w:eastAsia="宋体"/>
                <w:color w:val="auto"/>
                <w:sz w:val="24"/>
                <w:szCs w:val="24"/>
                <w:highlight w:val="none"/>
              </w:rPr>
            </w:pPr>
          </w:p>
        </w:tc>
        <w:tc>
          <w:tcPr>
            <w:tcW w:w="853" w:type="dxa"/>
            <w:tcBorders>
              <w:top w:val="single" w:color="auto" w:sz="4" w:space="0"/>
              <w:left w:val="nil"/>
              <w:bottom w:val="single" w:color="auto" w:sz="4" w:space="0"/>
              <w:right w:val="single" w:color="auto" w:sz="4" w:space="0"/>
            </w:tcBorders>
          </w:tcPr>
          <w:p w14:paraId="36F38F9A">
            <w:pPr>
              <w:spacing w:line="440" w:lineRule="exact"/>
              <w:jc w:val="center"/>
              <w:rPr>
                <w:rFonts w:ascii="宋体" w:hAnsi="宋体" w:eastAsia="宋体"/>
                <w:color w:val="auto"/>
                <w:sz w:val="24"/>
                <w:szCs w:val="24"/>
                <w:highlight w:val="none"/>
              </w:rPr>
            </w:pPr>
          </w:p>
        </w:tc>
        <w:tc>
          <w:tcPr>
            <w:tcW w:w="735" w:type="dxa"/>
            <w:tcBorders>
              <w:top w:val="single" w:color="auto" w:sz="4" w:space="0"/>
              <w:left w:val="nil"/>
              <w:bottom w:val="single" w:color="auto" w:sz="4" w:space="0"/>
              <w:right w:val="single" w:color="auto" w:sz="4" w:space="0"/>
            </w:tcBorders>
          </w:tcPr>
          <w:p w14:paraId="5D9BA3F7">
            <w:pPr>
              <w:spacing w:line="440" w:lineRule="exact"/>
              <w:jc w:val="center"/>
              <w:rPr>
                <w:rFonts w:ascii="宋体" w:hAnsi="宋体" w:eastAsia="宋体"/>
                <w:color w:val="auto"/>
                <w:sz w:val="24"/>
                <w:szCs w:val="24"/>
                <w:highlight w:val="none"/>
              </w:rPr>
            </w:pPr>
          </w:p>
        </w:tc>
        <w:tc>
          <w:tcPr>
            <w:tcW w:w="907" w:type="dxa"/>
            <w:tcBorders>
              <w:top w:val="single" w:color="auto" w:sz="4" w:space="0"/>
              <w:left w:val="nil"/>
              <w:bottom w:val="single" w:color="auto" w:sz="4" w:space="0"/>
              <w:right w:val="single" w:color="auto" w:sz="4" w:space="0"/>
            </w:tcBorders>
          </w:tcPr>
          <w:p w14:paraId="10197330">
            <w:pPr>
              <w:spacing w:line="440" w:lineRule="exact"/>
              <w:jc w:val="center"/>
              <w:rPr>
                <w:rFonts w:ascii="宋体" w:hAnsi="宋体" w:eastAsia="宋体"/>
                <w:color w:val="auto"/>
                <w:sz w:val="24"/>
                <w:szCs w:val="24"/>
                <w:highlight w:val="none"/>
              </w:rPr>
            </w:pPr>
          </w:p>
        </w:tc>
        <w:tc>
          <w:tcPr>
            <w:tcW w:w="1359" w:type="dxa"/>
            <w:tcBorders>
              <w:top w:val="single" w:color="auto" w:sz="4" w:space="0"/>
              <w:left w:val="nil"/>
              <w:bottom w:val="single" w:color="auto" w:sz="4" w:space="0"/>
              <w:right w:val="single" w:color="auto" w:sz="4" w:space="0"/>
            </w:tcBorders>
          </w:tcPr>
          <w:p w14:paraId="177AE2C8">
            <w:pPr>
              <w:spacing w:line="440" w:lineRule="exact"/>
              <w:jc w:val="center"/>
              <w:rPr>
                <w:rFonts w:ascii="宋体" w:hAnsi="宋体" w:eastAsia="宋体"/>
                <w:color w:val="auto"/>
                <w:sz w:val="24"/>
                <w:szCs w:val="24"/>
                <w:highlight w:val="none"/>
              </w:rPr>
            </w:pPr>
          </w:p>
        </w:tc>
        <w:tc>
          <w:tcPr>
            <w:tcW w:w="849" w:type="dxa"/>
            <w:tcBorders>
              <w:top w:val="single" w:color="auto" w:sz="4" w:space="0"/>
              <w:left w:val="nil"/>
              <w:bottom w:val="single" w:color="auto" w:sz="4" w:space="0"/>
              <w:right w:val="single" w:color="auto" w:sz="4" w:space="0"/>
            </w:tcBorders>
          </w:tcPr>
          <w:p w14:paraId="49BF11DB">
            <w:pPr>
              <w:spacing w:line="440" w:lineRule="exact"/>
              <w:jc w:val="center"/>
              <w:rPr>
                <w:rFonts w:ascii="宋体" w:hAnsi="宋体" w:eastAsia="宋体"/>
                <w:color w:val="auto"/>
                <w:sz w:val="24"/>
                <w:szCs w:val="24"/>
                <w:highlight w:val="none"/>
              </w:rPr>
            </w:pPr>
          </w:p>
        </w:tc>
        <w:tc>
          <w:tcPr>
            <w:tcW w:w="1049" w:type="dxa"/>
            <w:tcBorders>
              <w:top w:val="single" w:color="auto" w:sz="4" w:space="0"/>
              <w:left w:val="nil"/>
              <w:bottom w:val="single" w:color="auto" w:sz="4" w:space="0"/>
              <w:right w:val="single" w:color="auto" w:sz="4" w:space="0"/>
            </w:tcBorders>
          </w:tcPr>
          <w:p w14:paraId="21F871C9">
            <w:pPr>
              <w:spacing w:line="440" w:lineRule="exact"/>
              <w:jc w:val="center"/>
              <w:rPr>
                <w:rFonts w:ascii="宋体" w:hAnsi="宋体" w:eastAsia="宋体"/>
                <w:color w:val="auto"/>
                <w:sz w:val="24"/>
                <w:szCs w:val="24"/>
                <w:highlight w:val="none"/>
              </w:rPr>
            </w:pPr>
          </w:p>
        </w:tc>
        <w:tc>
          <w:tcPr>
            <w:tcW w:w="1355" w:type="dxa"/>
            <w:tcBorders>
              <w:top w:val="single" w:color="auto" w:sz="4" w:space="0"/>
              <w:left w:val="nil"/>
              <w:bottom w:val="single" w:color="auto" w:sz="4" w:space="0"/>
              <w:right w:val="single" w:color="auto" w:sz="4" w:space="0"/>
            </w:tcBorders>
          </w:tcPr>
          <w:p w14:paraId="1C95C5B3">
            <w:pPr>
              <w:spacing w:line="440" w:lineRule="exact"/>
              <w:jc w:val="center"/>
              <w:rPr>
                <w:rFonts w:ascii="宋体" w:hAnsi="宋体" w:eastAsia="宋体"/>
                <w:color w:val="auto"/>
                <w:sz w:val="24"/>
                <w:szCs w:val="24"/>
                <w:highlight w:val="none"/>
              </w:rPr>
            </w:pPr>
          </w:p>
        </w:tc>
      </w:tr>
    </w:tbl>
    <w:p w14:paraId="0339C1A5">
      <w:pPr>
        <w:spacing w:line="44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注：投标人应根据</w:t>
      </w:r>
      <w:r>
        <w:rPr>
          <w:rFonts w:hint="eastAsia" w:ascii="宋体" w:hAnsi="宋体" w:eastAsia="宋体"/>
          <w:color w:val="auto"/>
          <w:sz w:val="24"/>
          <w:szCs w:val="24"/>
          <w:highlight w:val="none"/>
          <w:lang w:val="en-US" w:eastAsia="zh-CN"/>
        </w:rPr>
        <w:t xml:space="preserve">第三章 评标办法前附表 </w:t>
      </w:r>
      <w:r>
        <w:rPr>
          <w:rFonts w:hint="eastAsia" w:ascii="宋体" w:hAnsi="宋体" w:eastAsia="宋体"/>
          <w:color w:val="auto"/>
          <w:sz w:val="24"/>
          <w:szCs w:val="24"/>
          <w:highlight w:val="none"/>
        </w:rPr>
        <w:t>第</w:t>
      </w:r>
      <w:r>
        <w:rPr>
          <w:rFonts w:hint="eastAsia" w:ascii="宋体" w:hAnsi="宋体" w:eastAsia="宋体"/>
          <w:color w:val="auto"/>
          <w:sz w:val="24"/>
          <w:szCs w:val="24"/>
          <w:highlight w:val="none"/>
          <w:lang w:val="en-US" w:eastAsia="zh-CN"/>
        </w:rPr>
        <w:t>2.2.4（1）</w:t>
      </w:r>
      <w:r>
        <w:rPr>
          <w:rFonts w:hint="eastAsia" w:ascii="宋体" w:hAnsi="宋体" w:eastAsia="宋体"/>
          <w:color w:val="auto"/>
          <w:sz w:val="24"/>
          <w:szCs w:val="24"/>
          <w:highlight w:val="none"/>
        </w:rPr>
        <w:t>项的要求在本表后附相关证明材料。</w:t>
      </w:r>
    </w:p>
    <w:p w14:paraId="50FAC0A2">
      <w:pPr>
        <w:rPr>
          <w:rFonts w:hint="eastAsia" w:ascii="宋体" w:hAnsi="宋体" w:eastAsia="宋体"/>
          <w:b/>
          <w:bCs/>
          <w:color w:val="auto"/>
          <w:sz w:val="28"/>
          <w:szCs w:val="32"/>
          <w:highlight w:val="none"/>
        </w:rPr>
      </w:pPr>
    </w:p>
    <w:p w14:paraId="1E05BF40">
      <w:pPr>
        <w:spacing w:line="240" w:lineRule="auto"/>
        <w:outlineLvl w:val="9"/>
        <w:rPr>
          <w:rFonts w:hint="eastAsia" w:ascii="宋体" w:hAnsi="宋体" w:eastAsia="宋体"/>
          <w:color w:val="auto"/>
          <w:sz w:val="28"/>
          <w:szCs w:val="28"/>
          <w:highlight w:val="none"/>
        </w:rPr>
      </w:pPr>
      <w:r>
        <w:rPr>
          <w:rFonts w:hint="eastAsia" w:ascii="宋体" w:hAnsi="宋体" w:eastAsia="宋体"/>
          <w:color w:val="auto"/>
          <w:sz w:val="28"/>
          <w:szCs w:val="28"/>
          <w:highlight w:val="none"/>
        </w:rPr>
        <w:br w:type="page"/>
      </w:r>
    </w:p>
    <w:p w14:paraId="346CB0A8">
      <w:pPr>
        <w:spacing w:before="0" w:line="360" w:lineRule="auto"/>
        <w:ind w:firstLine="136"/>
        <w:jc w:val="center"/>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8"/>
          <w:szCs w:val="28"/>
          <w:highlight w:val="none"/>
          <w:lang w:val="en-US" w:eastAsia="zh-CN"/>
        </w:rPr>
        <w:t>（3）设备投入承诺书</w:t>
      </w:r>
    </w:p>
    <w:p w14:paraId="5E95226D">
      <w:pPr>
        <w:numPr>
          <w:ilvl w:val="-1"/>
          <w:numId w:val="0"/>
        </w:numPr>
        <w:spacing w:line="240" w:lineRule="auto"/>
        <w:jc w:val="center"/>
        <w:rPr>
          <w:rFonts w:hint="eastAsia" w:ascii="宋体" w:hAnsi="宋体" w:eastAsia="宋体" w:cs="宋体"/>
          <w:b/>
          <w:bCs/>
          <w:color w:val="auto"/>
          <w:sz w:val="24"/>
          <w:szCs w:val="24"/>
          <w:highlight w:val="none"/>
        </w:rPr>
      </w:pPr>
    </w:p>
    <w:p w14:paraId="0FF4490A">
      <w:pPr>
        <w:spacing w:line="360" w:lineRule="auto"/>
        <w:rPr>
          <w:rFonts w:hint="eastAsia" w:ascii="宋体" w:hAnsi="宋体" w:eastAsia="宋体" w:cs="宋体"/>
          <w:b/>
          <w:color w:val="auto"/>
          <w:sz w:val="24"/>
          <w:szCs w:val="24"/>
          <w:highlight w:val="none"/>
          <w:u w:val="single"/>
        </w:rPr>
      </w:pPr>
      <w:r>
        <w:rPr>
          <w:rFonts w:hint="eastAsia" w:ascii="宋体" w:hAnsi="宋体" w:eastAsia="宋体" w:cs="宋体"/>
          <w:b/>
          <w:bCs/>
          <w:color w:val="auto"/>
          <w:sz w:val="24"/>
          <w:szCs w:val="24"/>
          <w:highlight w:val="none"/>
        </w:rPr>
        <w:t>致：</w:t>
      </w:r>
      <w:r>
        <w:rPr>
          <w:rFonts w:hint="eastAsia" w:ascii="宋体" w:hAnsi="宋体" w:eastAsia="宋体" w:cs="宋体"/>
          <w:color w:val="auto"/>
          <w:sz w:val="24"/>
          <w:szCs w:val="24"/>
          <w:highlight w:val="none"/>
          <w:u w:val="single"/>
        </w:rPr>
        <w:t>广州燃气集团有限公司</w:t>
      </w:r>
    </w:p>
    <w:p w14:paraId="56F91783">
      <w:pPr>
        <w:spacing w:line="360" w:lineRule="auto"/>
        <w:ind w:firstLine="435"/>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我方在</w:t>
      </w:r>
      <w:r>
        <w:rPr>
          <w:rFonts w:hint="eastAsia" w:ascii="宋体" w:hAnsi="宋体" w:eastAsia="宋体" w:cs="宋体"/>
          <w:b/>
          <w:color w:val="auto"/>
          <w:sz w:val="24"/>
          <w:szCs w:val="24"/>
          <w:highlight w:val="none"/>
          <w:u w:val="single"/>
        </w:rPr>
        <w:t xml:space="preserve">    [项目名称]    </w:t>
      </w:r>
      <w:r>
        <w:rPr>
          <w:rFonts w:hint="eastAsia" w:ascii="宋体" w:hAnsi="宋体" w:eastAsia="宋体" w:cs="宋体"/>
          <w:color w:val="auto"/>
          <w:sz w:val="24"/>
          <w:szCs w:val="24"/>
          <w:highlight w:val="none"/>
        </w:rPr>
        <w:t>工程招标中，如有幸中标，在此郑重承诺：</w:t>
      </w:r>
    </w:p>
    <w:p w14:paraId="7C711BC0">
      <w:pPr>
        <w:spacing w:line="360" w:lineRule="auto"/>
        <w:ind w:firstLine="435"/>
        <w:rPr>
          <w:rFonts w:hint="eastAsia" w:ascii="宋体" w:hAnsi="宋体" w:eastAsia="宋体"/>
          <w:color w:val="auto"/>
          <w:sz w:val="24"/>
          <w:szCs w:val="24"/>
          <w:highlight w:val="none"/>
          <w:lang w:eastAsia="zh-CN"/>
        </w:rPr>
      </w:pPr>
      <w:r>
        <w:rPr>
          <w:rFonts w:hint="eastAsia" w:ascii="宋体" w:hAnsi="宋体" w:eastAsia="宋体"/>
          <w:b w:val="0"/>
          <w:bCs w:val="0"/>
          <w:color w:val="auto"/>
          <w:sz w:val="24"/>
          <w:szCs w:val="24"/>
          <w:highlight w:val="none"/>
          <w:lang w:val="en-US" w:eastAsia="zh-CN"/>
        </w:rPr>
        <w:t>我司已充分了解项目建设的需求。我司承诺</w:t>
      </w:r>
      <w:r>
        <w:rPr>
          <w:rFonts w:hint="eastAsia" w:ascii="宋体" w:hAnsi="宋体" w:eastAsia="宋体"/>
          <w:color w:val="auto"/>
          <w:sz w:val="24"/>
          <w:szCs w:val="24"/>
          <w:highlight w:val="none"/>
        </w:rPr>
        <w:t>投入的检测设备及交通工具至少包括：埋地管道防腐检测仪（1台）、电火花检测仪（1台）、测厚仪（1台）、焊缝检测尺（1台）、露点仪（1台）、气体检测仪（1台）、接地电阻测量仪（1台）、专用于本工程的汽车（1部）</w:t>
      </w:r>
      <w:r>
        <w:rPr>
          <w:rFonts w:hint="eastAsia" w:ascii="宋体" w:hAnsi="宋体" w:eastAsia="宋体"/>
          <w:color w:val="auto"/>
          <w:sz w:val="24"/>
          <w:szCs w:val="24"/>
          <w:highlight w:val="none"/>
          <w:lang w:eastAsia="zh-CN"/>
        </w:rPr>
        <w:t>。</w:t>
      </w:r>
    </w:p>
    <w:p w14:paraId="673AA493">
      <w:pPr>
        <w:spacing w:line="360" w:lineRule="auto"/>
        <w:ind w:firstLine="43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若我公司违背上述承诺，若合同已有具体违约措施的，我公司接受按合同对我公司进行处罚；若合同没有具体处罚措施的，我公司接受招标人（发包人）取消我公司中标资格、或没收保证金、或没收履约担保、或停止支付工程款、或</w:t>
      </w:r>
      <w:r>
        <w:rPr>
          <w:rFonts w:hint="eastAsia" w:ascii="宋体" w:hAnsi="宋体" w:eastAsia="宋体"/>
          <w:color w:val="auto"/>
          <w:sz w:val="24"/>
          <w:szCs w:val="24"/>
          <w:highlight w:val="none"/>
          <w:lang w:val="en-US" w:eastAsia="zh-CN"/>
        </w:rPr>
        <w:t>扣除违约金</w:t>
      </w:r>
      <w:r>
        <w:rPr>
          <w:rFonts w:hint="eastAsia" w:ascii="宋体" w:hAnsi="宋体" w:eastAsia="宋体"/>
          <w:color w:val="auto"/>
          <w:sz w:val="24"/>
          <w:szCs w:val="24"/>
          <w:highlight w:val="none"/>
        </w:rPr>
        <w:t>、或通报批评、或终止合同等处罚，并承担由此造成的一切经济损失。</w:t>
      </w:r>
    </w:p>
    <w:p w14:paraId="474D4FAD">
      <w:pPr>
        <w:spacing w:line="360" w:lineRule="auto"/>
        <w:ind w:firstLine="435"/>
        <w:rPr>
          <w:rFonts w:hint="eastAsia" w:ascii="宋体" w:hAnsi="宋体" w:eastAsia="宋体"/>
          <w:color w:val="auto"/>
          <w:highlight w:val="none"/>
        </w:rPr>
      </w:pPr>
    </w:p>
    <w:p w14:paraId="1B00E87E">
      <w:pPr>
        <w:spacing w:line="360" w:lineRule="auto"/>
        <w:ind w:firstLine="435"/>
        <w:rPr>
          <w:rFonts w:hint="eastAsia" w:ascii="宋体" w:hAnsi="宋体" w:eastAsia="宋体"/>
          <w:color w:val="auto"/>
          <w:highlight w:val="none"/>
        </w:rPr>
      </w:pPr>
    </w:p>
    <w:p w14:paraId="28F557D5">
      <w:pPr>
        <w:spacing w:line="360" w:lineRule="auto"/>
        <w:ind w:firstLine="3120" w:firstLineChars="1300"/>
        <w:jc w:val="left"/>
        <w:rPr>
          <w:rFonts w:ascii="宋体" w:hAnsi="宋体" w:eastAsia="宋体"/>
          <w:color w:val="auto"/>
          <w:sz w:val="24"/>
          <w:highlight w:val="none"/>
        </w:rPr>
      </w:pPr>
      <w:r>
        <w:rPr>
          <w:rFonts w:hint="eastAsia" w:ascii="宋体" w:hAnsi="宋体" w:eastAsia="宋体"/>
          <w:color w:val="auto"/>
          <w:sz w:val="24"/>
          <w:highlight w:val="none"/>
        </w:rPr>
        <w:t>投标人：</w:t>
      </w:r>
      <w:r>
        <w:rPr>
          <w:rFonts w:hint="eastAsia" w:ascii="宋体" w:hAnsi="宋体" w:eastAsia="宋体"/>
          <w:color w:val="auto"/>
          <w:sz w:val="24"/>
          <w:highlight w:val="none"/>
          <w:u w:val="single"/>
        </w:rPr>
        <w:tab/>
      </w:r>
      <w:r>
        <w:rPr>
          <w:rFonts w:hint="eastAsia" w:ascii="宋体" w:hAnsi="宋体" w:eastAsia="宋体"/>
          <w:color w:val="auto"/>
          <w:sz w:val="24"/>
          <w:highlight w:val="none"/>
          <w:u w:val="single"/>
          <w:lang w:val="en-US" w:eastAsia="zh-CN"/>
        </w:rPr>
        <w:t xml:space="preserve">        </w:t>
      </w:r>
      <w:r>
        <w:rPr>
          <w:rFonts w:hint="eastAsia" w:ascii="宋体" w:hAnsi="宋体" w:eastAsia="宋体"/>
          <w:color w:val="auto"/>
          <w:sz w:val="24"/>
          <w:highlight w:val="none"/>
        </w:rPr>
        <w:t>（盖单位章）</w:t>
      </w:r>
    </w:p>
    <w:p w14:paraId="6A3B3F23">
      <w:pPr>
        <w:spacing w:line="360" w:lineRule="auto"/>
        <w:ind w:firstLine="3120" w:firstLineChars="1300"/>
        <w:jc w:val="left"/>
        <w:rPr>
          <w:rFonts w:ascii="宋体" w:hAnsi="宋体" w:eastAsia="宋体"/>
          <w:color w:val="auto"/>
          <w:sz w:val="24"/>
          <w:highlight w:val="none"/>
        </w:rPr>
      </w:pPr>
      <w:r>
        <w:rPr>
          <w:rFonts w:hint="eastAsia" w:ascii="宋体" w:hAnsi="宋体" w:eastAsia="宋体"/>
          <w:color w:val="auto"/>
          <w:sz w:val="24"/>
          <w:highlight w:val="none"/>
        </w:rPr>
        <w:t>法定代表人或其委托代理人：</w:t>
      </w:r>
      <w:r>
        <w:rPr>
          <w:rFonts w:hint="eastAsia" w:ascii="宋体" w:hAnsi="宋体" w:eastAsia="宋体"/>
          <w:color w:val="auto"/>
          <w:sz w:val="24"/>
          <w:highlight w:val="none"/>
          <w:u w:val="single"/>
          <w:lang w:val="en-US" w:eastAsia="zh-CN"/>
        </w:rPr>
        <w:t xml:space="preserve">  </w:t>
      </w:r>
      <w:r>
        <w:rPr>
          <w:rFonts w:hint="eastAsia" w:ascii="宋体" w:hAnsi="宋体" w:eastAsia="宋体"/>
          <w:color w:val="auto"/>
          <w:sz w:val="24"/>
          <w:highlight w:val="none"/>
        </w:rPr>
        <w:t>（签字或盖章）</w:t>
      </w:r>
    </w:p>
    <w:p w14:paraId="6B230C12">
      <w:pPr>
        <w:wordWrap w:val="0"/>
        <w:spacing w:line="360" w:lineRule="auto"/>
        <w:ind w:firstLine="5400" w:firstLineChars="2250"/>
        <w:jc w:val="right"/>
        <w:rPr>
          <w:rFonts w:ascii="宋体" w:hAnsi="宋体" w:eastAsia="宋体"/>
          <w:color w:val="auto"/>
          <w:sz w:val="24"/>
          <w:highlight w:val="none"/>
        </w:rPr>
      </w:pPr>
      <w:r>
        <w:rPr>
          <w:rFonts w:hint="eastAsia" w:ascii="宋体" w:hAnsi="宋体" w:eastAsia="宋体"/>
          <w:color w:val="auto"/>
          <w:sz w:val="24"/>
          <w:highlight w:val="none"/>
        </w:rPr>
        <w:t xml:space="preserve">   年    月    日</w:t>
      </w:r>
    </w:p>
    <w:p w14:paraId="0AC60B61">
      <w:pPr>
        <w:spacing w:line="240" w:lineRule="auto"/>
        <w:rPr>
          <w:rFonts w:hint="default"/>
          <w:color w:val="auto"/>
          <w:highlight w:val="none"/>
          <w:lang w:val="en-US"/>
        </w:rPr>
      </w:pPr>
      <w:r>
        <w:rPr>
          <w:rFonts w:hint="default"/>
          <w:color w:val="auto"/>
          <w:highlight w:val="none"/>
          <w:lang w:val="en-US"/>
        </w:rPr>
        <w:br w:type="page"/>
      </w:r>
    </w:p>
    <w:p w14:paraId="161F9E47">
      <w:pPr>
        <w:numPr>
          <w:ilvl w:val="0"/>
          <w:numId w:val="0"/>
        </w:num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position w:val="0"/>
          <w:sz w:val="28"/>
          <w:szCs w:val="28"/>
          <w:highlight w:val="none"/>
          <w:lang w:eastAsia="zh-CN"/>
        </w:rPr>
        <w:t>（</w:t>
      </w:r>
      <w:r>
        <w:rPr>
          <w:rFonts w:hint="eastAsia" w:ascii="宋体" w:hAnsi="宋体" w:eastAsia="宋体" w:cs="宋体"/>
          <w:b/>
          <w:bCs/>
          <w:color w:val="auto"/>
          <w:position w:val="0"/>
          <w:sz w:val="28"/>
          <w:szCs w:val="28"/>
          <w:highlight w:val="none"/>
          <w:lang w:val="en-US" w:eastAsia="zh-CN"/>
        </w:rPr>
        <w:t>4</w:t>
      </w:r>
      <w:r>
        <w:rPr>
          <w:rFonts w:hint="eastAsia" w:ascii="宋体" w:hAnsi="宋体" w:eastAsia="宋体" w:cs="宋体"/>
          <w:b/>
          <w:bCs/>
          <w:color w:val="auto"/>
          <w:position w:val="0"/>
          <w:sz w:val="28"/>
          <w:szCs w:val="28"/>
          <w:highlight w:val="none"/>
          <w:lang w:eastAsia="zh-CN"/>
        </w:rPr>
        <w:t>）</w:t>
      </w:r>
      <w:r>
        <w:rPr>
          <w:rFonts w:hint="eastAsia" w:ascii="宋体" w:hAnsi="宋体" w:eastAsia="宋体" w:cs="宋体"/>
          <w:b/>
          <w:bCs/>
          <w:color w:val="auto"/>
          <w:position w:val="0"/>
          <w:sz w:val="28"/>
          <w:szCs w:val="28"/>
          <w:highlight w:val="none"/>
        </w:rPr>
        <w:t>拟投入本项目的办公、</w:t>
      </w:r>
      <w:r>
        <w:rPr>
          <w:rFonts w:hint="eastAsia" w:ascii="宋体" w:hAnsi="宋体" w:eastAsia="宋体" w:cs="宋体"/>
          <w:b/>
          <w:bCs/>
          <w:color w:val="auto"/>
          <w:position w:val="0"/>
          <w:sz w:val="28"/>
          <w:szCs w:val="28"/>
          <w:highlight w:val="none"/>
          <w:lang w:val="en-US" w:eastAsia="zh-CN"/>
        </w:rPr>
        <w:t>交通工具、安全设施及</w:t>
      </w:r>
      <w:r>
        <w:rPr>
          <w:rFonts w:hint="eastAsia" w:ascii="宋体" w:hAnsi="宋体" w:eastAsia="宋体" w:cs="宋体"/>
          <w:b/>
          <w:bCs/>
          <w:color w:val="auto"/>
          <w:position w:val="0"/>
          <w:sz w:val="28"/>
          <w:szCs w:val="28"/>
          <w:highlight w:val="none"/>
        </w:rPr>
        <w:t>检测设备清单</w:t>
      </w:r>
    </w:p>
    <w:tbl>
      <w:tblPr>
        <w:tblStyle w:val="40"/>
        <w:tblW w:w="96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762"/>
        <w:gridCol w:w="1410"/>
        <w:gridCol w:w="1814"/>
        <w:gridCol w:w="1632"/>
        <w:gridCol w:w="1619"/>
      </w:tblGrid>
      <w:tr w14:paraId="3E7C7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3143" w:type="dxa"/>
            <w:gridSpan w:val="2"/>
            <w:vMerge w:val="restart"/>
            <w:tcBorders>
              <w:top w:val="single" w:color="auto" w:sz="4" w:space="0"/>
              <w:left w:val="single" w:color="auto" w:sz="4" w:space="0"/>
              <w:bottom w:val="single" w:color="auto" w:sz="4" w:space="0"/>
              <w:right w:val="single" w:color="auto" w:sz="4" w:space="0"/>
            </w:tcBorders>
            <w:vAlign w:val="center"/>
          </w:tcPr>
          <w:p w14:paraId="7D05C196">
            <w:pPr>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名称及型号</w:t>
            </w:r>
          </w:p>
        </w:tc>
        <w:tc>
          <w:tcPr>
            <w:tcW w:w="6475" w:type="dxa"/>
            <w:gridSpan w:val="4"/>
            <w:tcBorders>
              <w:top w:val="single" w:color="auto" w:sz="4" w:space="0"/>
              <w:left w:val="single" w:color="auto" w:sz="4" w:space="0"/>
              <w:bottom w:val="single" w:color="auto" w:sz="4" w:space="0"/>
              <w:right w:val="single" w:color="auto" w:sz="4" w:space="0"/>
            </w:tcBorders>
            <w:vAlign w:val="center"/>
          </w:tcPr>
          <w:p w14:paraId="0C0A93D7">
            <w:pPr>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申请单位能达到的程度简述（由申请单位填写）</w:t>
            </w:r>
          </w:p>
        </w:tc>
      </w:tr>
      <w:tr w14:paraId="10423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3143" w:type="dxa"/>
            <w:gridSpan w:val="2"/>
            <w:vMerge w:val="continue"/>
            <w:tcBorders>
              <w:top w:val="single" w:color="auto" w:sz="4" w:space="0"/>
              <w:left w:val="single" w:color="auto" w:sz="4" w:space="0"/>
              <w:bottom w:val="single" w:color="auto" w:sz="4" w:space="0"/>
              <w:right w:val="single" w:color="auto" w:sz="4" w:space="0"/>
            </w:tcBorders>
            <w:vAlign w:val="center"/>
          </w:tcPr>
          <w:p w14:paraId="06C17448">
            <w:pPr>
              <w:widowControl/>
              <w:jc w:val="left"/>
              <w:rPr>
                <w:rFonts w:ascii="宋体" w:hAnsi="宋体" w:eastAsia="宋体"/>
                <w:color w:val="auto"/>
                <w:sz w:val="24"/>
                <w:szCs w:val="24"/>
                <w:highlight w:val="none"/>
              </w:rPr>
            </w:pPr>
          </w:p>
        </w:tc>
        <w:tc>
          <w:tcPr>
            <w:tcW w:w="1410" w:type="dxa"/>
            <w:vMerge w:val="restart"/>
            <w:tcBorders>
              <w:top w:val="single" w:color="auto" w:sz="4" w:space="0"/>
              <w:left w:val="single" w:color="auto" w:sz="4" w:space="0"/>
              <w:bottom w:val="single" w:color="auto" w:sz="4" w:space="0"/>
              <w:right w:val="single" w:color="auto" w:sz="4" w:space="0"/>
            </w:tcBorders>
            <w:vAlign w:val="center"/>
          </w:tcPr>
          <w:p w14:paraId="793C5EA1">
            <w:pPr>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数量（台套）</w:t>
            </w:r>
          </w:p>
        </w:tc>
        <w:tc>
          <w:tcPr>
            <w:tcW w:w="5065" w:type="dxa"/>
            <w:gridSpan w:val="3"/>
            <w:tcBorders>
              <w:top w:val="single" w:color="auto" w:sz="4" w:space="0"/>
              <w:left w:val="single" w:color="auto" w:sz="4" w:space="0"/>
              <w:bottom w:val="single" w:color="auto" w:sz="4" w:space="0"/>
              <w:right w:val="single" w:color="auto" w:sz="4" w:space="0"/>
            </w:tcBorders>
            <w:vAlign w:val="center"/>
          </w:tcPr>
          <w:p w14:paraId="32BAD402">
            <w:pPr>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拟投入本项目情况（台套）</w:t>
            </w:r>
          </w:p>
        </w:tc>
      </w:tr>
      <w:tr w14:paraId="75C5B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trPr>
        <w:tc>
          <w:tcPr>
            <w:tcW w:w="3143" w:type="dxa"/>
            <w:gridSpan w:val="2"/>
            <w:vMerge w:val="continue"/>
            <w:tcBorders>
              <w:top w:val="single" w:color="auto" w:sz="4" w:space="0"/>
              <w:left w:val="single" w:color="auto" w:sz="4" w:space="0"/>
              <w:bottom w:val="single" w:color="auto" w:sz="4" w:space="0"/>
              <w:right w:val="single" w:color="auto" w:sz="4" w:space="0"/>
            </w:tcBorders>
            <w:vAlign w:val="center"/>
          </w:tcPr>
          <w:p w14:paraId="675A74D0">
            <w:pPr>
              <w:widowControl/>
              <w:jc w:val="left"/>
              <w:rPr>
                <w:rFonts w:ascii="宋体" w:hAnsi="宋体" w:eastAsia="宋体"/>
                <w:color w:val="auto"/>
                <w:sz w:val="24"/>
                <w:szCs w:val="24"/>
                <w:highlight w:val="none"/>
              </w:rPr>
            </w:pPr>
          </w:p>
        </w:tc>
        <w:tc>
          <w:tcPr>
            <w:tcW w:w="1410" w:type="dxa"/>
            <w:vMerge w:val="continue"/>
            <w:tcBorders>
              <w:top w:val="single" w:color="auto" w:sz="4" w:space="0"/>
              <w:left w:val="single" w:color="auto" w:sz="4" w:space="0"/>
              <w:bottom w:val="single" w:color="auto" w:sz="4" w:space="0"/>
              <w:right w:val="single" w:color="auto" w:sz="4" w:space="0"/>
            </w:tcBorders>
            <w:vAlign w:val="center"/>
          </w:tcPr>
          <w:p w14:paraId="4095CDE6">
            <w:pPr>
              <w:widowControl/>
              <w:jc w:val="left"/>
              <w:rPr>
                <w:rFonts w:ascii="宋体" w:hAnsi="宋体" w:eastAsia="宋体"/>
                <w:color w:val="auto"/>
                <w:sz w:val="24"/>
                <w:szCs w:val="24"/>
                <w:highlight w:val="none"/>
              </w:rPr>
            </w:pPr>
          </w:p>
        </w:tc>
        <w:tc>
          <w:tcPr>
            <w:tcW w:w="1814" w:type="dxa"/>
            <w:tcBorders>
              <w:top w:val="single" w:color="auto" w:sz="4" w:space="0"/>
              <w:left w:val="single" w:color="auto" w:sz="4" w:space="0"/>
              <w:bottom w:val="single" w:color="auto" w:sz="4" w:space="0"/>
              <w:right w:val="single" w:color="auto" w:sz="4" w:space="0"/>
            </w:tcBorders>
            <w:vAlign w:val="center"/>
          </w:tcPr>
          <w:p w14:paraId="73EBE432">
            <w:pPr>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新购</w:t>
            </w:r>
          </w:p>
        </w:tc>
        <w:tc>
          <w:tcPr>
            <w:tcW w:w="1632" w:type="dxa"/>
            <w:tcBorders>
              <w:top w:val="single" w:color="auto" w:sz="4" w:space="0"/>
              <w:left w:val="single" w:color="auto" w:sz="4" w:space="0"/>
              <w:bottom w:val="single" w:color="auto" w:sz="4" w:space="0"/>
              <w:right w:val="single" w:color="auto" w:sz="4" w:space="0"/>
            </w:tcBorders>
            <w:vAlign w:val="center"/>
          </w:tcPr>
          <w:p w14:paraId="69E7BE7E">
            <w:pPr>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自有</w:t>
            </w:r>
          </w:p>
        </w:tc>
        <w:tc>
          <w:tcPr>
            <w:tcW w:w="1619" w:type="dxa"/>
            <w:tcBorders>
              <w:top w:val="single" w:color="auto" w:sz="4" w:space="0"/>
              <w:left w:val="single" w:color="auto" w:sz="4" w:space="0"/>
              <w:bottom w:val="single" w:color="auto" w:sz="4" w:space="0"/>
              <w:right w:val="single" w:color="auto" w:sz="4" w:space="0"/>
            </w:tcBorders>
            <w:vAlign w:val="center"/>
          </w:tcPr>
          <w:p w14:paraId="7EE0ADD6">
            <w:pPr>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租赁</w:t>
            </w:r>
          </w:p>
        </w:tc>
      </w:tr>
      <w:tr w14:paraId="70933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381" w:type="dxa"/>
            <w:vMerge w:val="restart"/>
            <w:tcBorders>
              <w:top w:val="single" w:color="auto" w:sz="4" w:space="0"/>
              <w:left w:val="single" w:color="auto" w:sz="4" w:space="0"/>
              <w:bottom w:val="single" w:color="auto" w:sz="4" w:space="0"/>
              <w:right w:val="single" w:color="auto" w:sz="4" w:space="0"/>
            </w:tcBorders>
            <w:vAlign w:val="center"/>
          </w:tcPr>
          <w:p w14:paraId="3F8ED3B7">
            <w:pPr>
              <w:jc w:val="center"/>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办公设备、现场办公设施</w:t>
            </w:r>
          </w:p>
        </w:tc>
        <w:tc>
          <w:tcPr>
            <w:tcW w:w="1762" w:type="dxa"/>
            <w:tcBorders>
              <w:top w:val="single" w:color="auto" w:sz="4" w:space="0"/>
              <w:left w:val="single" w:color="auto" w:sz="4" w:space="0"/>
              <w:bottom w:val="single" w:color="auto" w:sz="4" w:space="0"/>
              <w:right w:val="single" w:color="auto" w:sz="4" w:space="0"/>
            </w:tcBorders>
            <w:vAlign w:val="center"/>
          </w:tcPr>
          <w:p w14:paraId="65B61796">
            <w:pPr>
              <w:jc w:val="center"/>
              <w:rPr>
                <w:rFonts w:ascii="宋体" w:hAnsi="宋体" w:eastAsia="宋体"/>
                <w:color w:val="auto"/>
                <w:sz w:val="24"/>
                <w:szCs w:val="24"/>
                <w:highlight w:val="none"/>
              </w:rPr>
            </w:pPr>
          </w:p>
        </w:tc>
        <w:tc>
          <w:tcPr>
            <w:tcW w:w="1410" w:type="dxa"/>
            <w:tcBorders>
              <w:top w:val="single" w:color="auto" w:sz="4" w:space="0"/>
              <w:left w:val="single" w:color="auto" w:sz="4" w:space="0"/>
              <w:bottom w:val="single" w:color="auto" w:sz="4" w:space="0"/>
              <w:right w:val="single" w:color="auto" w:sz="4" w:space="0"/>
            </w:tcBorders>
            <w:vAlign w:val="center"/>
          </w:tcPr>
          <w:p w14:paraId="6EB14BAB">
            <w:pPr>
              <w:rPr>
                <w:rFonts w:ascii="宋体" w:hAnsi="宋体" w:eastAsia="宋体"/>
                <w:color w:val="auto"/>
                <w:sz w:val="24"/>
                <w:szCs w:val="24"/>
                <w:highlight w:val="none"/>
              </w:rPr>
            </w:pPr>
          </w:p>
        </w:tc>
        <w:tc>
          <w:tcPr>
            <w:tcW w:w="1814" w:type="dxa"/>
            <w:tcBorders>
              <w:top w:val="single" w:color="auto" w:sz="4" w:space="0"/>
              <w:left w:val="single" w:color="auto" w:sz="4" w:space="0"/>
              <w:bottom w:val="single" w:color="auto" w:sz="4" w:space="0"/>
              <w:right w:val="single" w:color="auto" w:sz="4" w:space="0"/>
            </w:tcBorders>
            <w:vAlign w:val="center"/>
          </w:tcPr>
          <w:p w14:paraId="5991AE5D">
            <w:pPr>
              <w:rPr>
                <w:rFonts w:ascii="宋体" w:hAnsi="宋体" w:eastAsia="宋体"/>
                <w:color w:val="auto"/>
                <w:sz w:val="24"/>
                <w:szCs w:val="24"/>
                <w:highlight w:val="none"/>
              </w:rPr>
            </w:pPr>
          </w:p>
        </w:tc>
        <w:tc>
          <w:tcPr>
            <w:tcW w:w="1632" w:type="dxa"/>
            <w:tcBorders>
              <w:top w:val="single" w:color="auto" w:sz="4" w:space="0"/>
              <w:left w:val="single" w:color="auto" w:sz="4" w:space="0"/>
              <w:bottom w:val="single" w:color="auto" w:sz="4" w:space="0"/>
              <w:right w:val="single" w:color="auto" w:sz="4" w:space="0"/>
            </w:tcBorders>
            <w:vAlign w:val="center"/>
          </w:tcPr>
          <w:p w14:paraId="7F3A4B92">
            <w:pPr>
              <w:rPr>
                <w:rFonts w:ascii="宋体" w:hAnsi="宋体" w:eastAsia="宋体"/>
                <w:color w:val="auto"/>
                <w:sz w:val="24"/>
                <w:szCs w:val="24"/>
                <w:highlight w:val="none"/>
              </w:rPr>
            </w:pPr>
          </w:p>
        </w:tc>
        <w:tc>
          <w:tcPr>
            <w:tcW w:w="1619" w:type="dxa"/>
            <w:tcBorders>
              <w:top w:val="single" w:color="auto" w:sz="4" w:space="0"/>
              <w:left w:val="single" w:color="auto" w:sz="4" w:space="0"/>
              <w:bottom w:val="single" w:color="auto" w:sz="4" w:space="0"/>
              <w:right w:val="single" w:color="auto" w:sz="4" w:space="0"/>
            </w:tcBorders>
            <w:vAlign w:val="center"/>
          </w:tcPr>
          <w:p w14:paraId="4DDFA8EE">
            <w:pPr>
              <w:rPr>
                <w:rFonts w:ascii="宋体" w:hAnsi="宋体" w:eastAsia="宋体"/>
                <w:color w:val="auto"/>
                <w:sz w:val="24"/>
                <w:szCs w:val="24"/>
                <w:highlight w:val="none"/>
              </w:rPr>
            </w:pPr>
          </w:p>
        </w:tc>
      </w:tr>
      <w:tr w14:paraId="47E2D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381" w:type="dxa"/>
            <w:vMerge w:val="continue"/>
            <w:tcBorders>
              <w:top w:val="single" w:color="auto" w:sz="4" w:space="0"/>
              <w:left w:val="single" w:color="auto" w:sz="4" w:space="0"/>
              <w:bottom w:val="single" w:color="auto" w:sz="4" w:space="0"/>
              <w:right w:val="single" w:color="auto" w:sz="4" w:space="0"/>
            </w:tcBorders>
            <w:vAlign w:val="center"/>
          </w:tcPr>
          <w:p w14:paraId="41C2F470">
            <w:pPr>
              <w:widowControl/>
              <w:jc w:val="left"/>
              <w:rPr>
                <w:rFonts w:ascii="宋体" w:hAnsi="宋体" w:eastAsia="宋体"/>
                <w:color w:val="auto"/>
                <w:sz w:val="24"/>
                <w:szCs w:val="24"/>
                <w:highlight w:val="none"/>
              </w:rPr>
            </w:pPr>
          </w:p>
        </w:tc>
        <w:tc>
          <w:tcPr>
            <w:tcW w:w="1762" w:type="dxa"/>
            <w:tcBorders>
              <w:top w:val="single" w:color="auto" w:sz="4" w:space="0"/>
              <w:left w:val="single" w:color="auto" w:sz="4" w:space="0"/>
              <w:bottom w:val="single" w:color="auto" w:sz="4" w:space="0"/>
              <w:right w:val="single" w:color="auto" w:sz="4" w:space="0"/>
            </w:tcBorders>
            <w:vAlign w:val="center"/>
          </w:tcPr>
          <w:p w14:paraId="6D218672">
            <w:pPr>
              <w:jc w:val="center"/>
              <w:rPr>
                <w:rFonts w:ascii="宋体" w:hAnsi="宋体" w:eastAsia="宋体"/>
                <w:color w:val="auto"/>
                <w:sz w:val="24"/>
                <w:szCs w:val="24"/>
                <w:highlight w:val="none"/>
              </w:rPr>
            </w:pPr>
          </w:p>
        </w:tc>
        <w:tc>
          <w:tcPr>
            <w:tcW w:w="1410" w:type="dxa"/>
            <w:tcBorders>
              <w:top w:val="single" w:color="auto" w:sz="4" w:space="0"/>
              <w:left w:val="single" w:color="auto" w:sz="4" w:space="0"/>
              <w:bottom w:val="single" w:color="auto" w:sz="4" w:space="0"/>
              <w:right w:val="single" w:color="auto" w:sz="4" w:space="0"/>
            </w:tcBorders>
            <w:vAlign w:val="center"/>
          </w:tcPr>
          <w:p w14:paraId="0C0A1BAC">
            <w:pPr>
              <w:rPr>
                <w:rFonts w:ascii="宋体" w:hAnsi="宋体" w:eastAsia="宋体"/>
                <w:color w:val="auto"/>
                <w:sz w:val="24"/>
                <w:szCs w:val="24"/>
                <w:highlight w:val="none"/>
              </w:rPr>
            </w:pPr>
          </w:p>
        </w:tc>
        <w:tc>
          <w:tcPr>
            <w:tcW w:w="1814" w:type="dxa"/>
            <w:tcBorders>
              <w:top w:val="single" w:color="auto" w:sz="4" w:space="0"/>
              <w:left w:val="single" w:color="auto" w:sz="4" w:space="0"/>
              <w:bottom w:val="single" w:color="auto" w:sz="4" w:space="0"/>
              <w:right w:val="single" w:color="auto" w:sz="4" w:space="0"/>
            </w:tcBorders>
            <w:vAlign w:val="center"/>
          </w:tcPr>
          <w:p w14:paraId="79CCA854">
            <w:pPr>
              <w:rPr>
                <w:rFonts w:ascii="宋体" w:hAnsi="宋体" w:eastAsia="宋体"/>
                <w:color w:val="auto"/>
                <w:sz w:val="24"/>
                <w:szCs w:val="24"/>
                <w:highlight w:val="none"/>
              </w:rPr>
            </w:pPr>
          </w:p>
        </w:tc>
        <w:tc>
          <w:tcPr>
            <w:tcW w:w="1632" w:type="dxa"/>
            <w:tcBorders>
              <w:top w:val="single" w:color="auto" w:sz="4" w:space="0"/>
              <w:left w:val="single" w:color="auto" w:sz="4" w:space="0"/>
              <w:bottom w:val="single" w:color="auto" w:sz="4" w:space="0"/>
              <w:right w:val="single" w:color="auto" w:sz="4" w:space="0"/>
            </w:tcBorders>
            <w:vAlign w:val="center"/>
          </w:tcPr>
          <w:p w14:paraId="074FC973">
            <w:pPr>
              <w:rPr>
                <w:rFonts w:ascii="宋体" w:hAnsi="宋体" w:eastAsia="宋体"/>
                <w:color w:val="auto"/>
                <w:sz w:val="24"/>
                <w:szCs w:val="24"/>
                <w:highlight w:val="none"/>
              </w:rPr>
            </w:pPr>
          </w:p>
        </w:tc>
        <w:tc>
          <w:tcPr>
            <w:tcW w:w="1619" w:type="dxa"/>
            <w:tcBorders>
              <w:top w:val="single" w:color="auto" w:sz="4" w:space="0"/>
              <w:left w:val="single" w:color="auto" w:sz="4" w:space="0"/>
              <w:bottom w:val="single" w:color="auto" w:sz="4" w:space="0"/>
              <w:right w:val="single" w:color="auto" w:sz="4" w:space="0"/>
            </w:tcBorders>
            <w:vAlign w:val="center"/>
          </w:tcPr>
          <w:p w14:paraId="342DDC8A">
            <w:pPr>
              <w:rPr>
                <w:rFonts w:ascii="宋体" w:hAnsi="宋体" w:eastAsia="宋体"/>
                <w:color w:val="auto"/>
                <w:sz w:val="24"/>
                <w:szCs w:val="24"/>
                <w:highlight w:val="none"/>
              </w:rPr>
            </w:pPr>
          </w:p>
        </w:tc>
      </w:tr>
      <w:tr w14:paraId="4E6C8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381" w:type="dxa"/>
            <w:vMerge w:val="continue"/>
            <w:tcBorders>
              <w:top w:val="single" w:color="auto" w:sz="4" w:space="0"/>
              <w:left w:val="single" w:color="auto" w:sz="4" w:space="0"/>
              <w:bottom w:val="single" w:color="auto" w:sz="4" w:space="0"/>
              <w:right w:val="single" w:color="auto" w:sz="4" w:space="0"/>
            </w:tcBorders>
            <w:vAlign w:val="center"/>
          </w:tcPr>
          <w:p w14:paraId="332C5DD7">
            <w:pPr>
              <w:widowControl/>
              <w:jc w:val="left"/>
              <w:rPr>
                <w:rFonts w:ascii="宋体" w:hAnsi="宋体" w:eastAsia="宋体"/>
                <w:color w:val="auto"/>
                <w:sz w:val="24"/>
                <w:szCs w:val="24"/>
                <w:highlight w:val="none"/>
              </w:rPr>
            </w:pPr>
          </w:p>
        </w:tc>
        <w:tc>
          <w:tcPr>
            <w:tcW w:w="1762" w:type="dxa"/>
            <w:tcBorders>
              <w:top w:val="single" w:color="auto" w:sz="4" w:space="0"/>
              <w:left w:val="single" w:color="auto" w:sz="4" w:space="0"/>
              <w:bottom w:val="single" w:color="auto" w:sz="4" w:space="0"/>
              <w:right w:val="single" w:color="auto" w:sz="4" w:space="0"/>
            </w:tcBorders>
            <w:vAlign w:val="center"/>
          </w:tcPr>
          <w:p w14:paraId="51DE2BAE">
            <w:pPr>
              <w:jc w:val="center"/>
              <w:rPr>
                <w:rFonts w:ascii="宋体" w:hAnsi="宋体" w:eastAsia="宋体"/>
                <w:color w:val="auto"/>
                <w:sz w:val="24"/>
                <w:szCs w:val="24"/>
                <w:highlight w:val="none"/>
              </w:rPr>
            </w:pPr>
          </w:p>
        </w:tc>
        <w:tc>
          <w:tcPr>
            <w:tcW w:w="1410" w:type="dxa"/>
            <w:tcBorders>
              <w:top w:val="single" w:color="auto" w:sz="4" w:space="0"/>
              <w:left w:val="single" w:color="auto" w:sz="4" w:space="0"/>
              <w:bottom w:val="single" w:color="auto" w:sz="4" w:space="0"/>
              <w:right w:val="single" w:color="auto" w:sz="4" w:space="0"/>
            </w:tcBorders>
            <w:vAlign w:val="center"/>
          </w:tcPr>
          <w:p w14:paraId="14DB724B">
            <w:pPr>
              <w:rPr>
                <w:rFonts w:ascii="宋体" w:hAnsi="宋体" w:eastAsia="宋体"/>
                <w:color w:val="auto"/>
                <w:sz w:val="24"/>
                <w:szCs w:val="24"/>
                <w:highlight w:val="none"/>
              </w:rPr>
            </w:pPr>
          </w:p>
        </w:tc>
        <w:tc>
          <w:tcPr>
            <w:tcW w:w="1814" w:type="dxa"/>
            <w:tcBorders>
              <w:top w:val="single" w:color="auto" w:sz="4" w:space="0"/>
              <w:left w:val="single" w:color="auto" w:sz="4" w:space="0"/>
              <w:bottom w:val="single" w:color="auto" w:sz="4" w:space="0"/>
              <w:right w:val="single" w:color="auto" w:sz="4" w:space="0"/>
            </w:tcBorders>
            <w:vAlign w:val="center"/>
          </w:tcPr>
          <w:p w14:paraId="250791E2">
            <w:pPr>
              <w:rPr>
                <w:rFonts w:ascii="宋体" w:hAnsi="宋体" w:eastAsia="宋体"/>
                <w:color w:val="auto"/>
                <w:sz w:val="24"/>
                <w:szCs w:val="24"/>
                <w:highlight w:val="none"/>
              </w:rPr>
            </w:pPr>
          </w:p>
        </w:tc>
        <w:tc>
          <w:tcPr>
            <w:tcW w:w="1632" w:type="dxa"/>
            <w:tcBorders>
              <w:top w:val="single" w:color="auto" w:sz="4" w:space="0"/>
              <w:left w:val="single" w:color="auto" w:sz="4" w:space="0"/>
              <w:bottom w:val="single" w:color="auto" w:sz="4" w:space="0"/>
              <w:right w:val="single" w:color="auto" w:sz="4" w:space="0"/>
            </w:tcBorders>
            <w:vAlign w:val="center"/>
          </w:tcPr>
          <w:p w14:paraId="5C7BB63E">
            <w:pPr>
              <w:rPr>
                <w:rFonts w:ascii="宋体" w:hAnsi="宋体" w:eastAsia="宋体"/>
                <w:color w:val="auto"/>
                <w:sz w:val="24"/>
                <w:szCs w:val="24"/>
                <w:highlight w:val="none"/>
              </w:rPr>
            </w:pPr>
          </w:p>
        </w:tc>
        <w:tc>
          <w:tcPr>
            <w:tcW w:w="1619" w:type="dxa"/>
            <w:tcBorders>
              <w:top w:val="single" w:color="auto" w:sz="4" w:space="0"/>
              <w:left w:val="single" w:color="auto" w:sz="4" w:space="0"/>
              <w:bottom w:val="single" w:color="auto" w:sz="4" w:space="0"/>
              <w:right w:val="single" w:color="auto" w:sz="4" w:space="0"/>
            </w:tcBorders>
            <w:vAlign w:val="center"/>
          </w:tcPr>
          <w:p w14:paraId="140AAE37">
            <w:pPr>
              <w:rPr>
                <w:rFonts w:ascii="宋体" w:hAnsi="宋体" w:eastAsia="宋体"/>
                <w:color w:val="auto"/>
                <w:sz w:val="24"/>
                <w:szCs w:val="24"/>
                <w:highlight w:val="none"/>
              </w:rPr>
            </w:pPr>
          </w:p>
        </w:tc>
      </w:tr>
      <w:tr w14:paraId="1E1D8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381" w:type="dxa"/>
            <w:vMerge w:val="continue"/>
            <w:tcBorders>
              <w:top w:val="single" w:color="auto" w:sz="4" w:space="0"/>
              <w:left w:val="single" w:color="auto" w:sz="4" w:space="0"/>
              <w:bottom w:val="single" w:color="auto" w:sz="4" w:space="0"/>
              <w:right w:val="single" w:color="auto" w:sz="4" w:space="0"/>
            </w:tcBorders>
            <w:vAlign w:val="center"/>
          </w:tcPr>
          <w:p w14:paraId="73DBC55C">
            <w:pPr>
              <w:widowControl/>
              <w:jc w:val="left"/>
              <w:rPr>
                <w:rFonts w:ascii="宋体" w:hAnsi="宋体" w:eastAsia="宋体"/>
                <w:color w:val="auto"/>
                <w:sz w:val="24"/>
                <w:szCs w:val="24"/>
                <w:highlight w:val="none"/>
              </w:rPr>
            </w:pPr>
          </w:p>
        </w:tc>
        <w:tc>
          <w:tcPr>
            <w:tcW w:w="1762" w:type="dxa"/>
            <w:tcBorders>
              <w:top w:val="single" w:color="auto" w:sz="4" w:space="0"/>
              <w:left w:val="single" w:color="auto" w:sz="4" w:space="0"/>
              <w:bottom w:val="single" w:color="auto" w:sz="4" w:space="0"/>
              <w:right w:val="single" w:color="auto" w:sz="4" w:space="0"/>
            </w:tcBorders>
            <w:vAlign w:val="center"/>
          </w:tcPr>
          <w:p w14:paraId="2D309EBC">
            <w:pPr>
              <w:jc w:val="center"/>
              <w:rPr>
                <w:rFonts w:ascii="宋体" w:hAnsi="宋体" w:eastAsia="宋体"/>
                <w:color w:val="auto"/>
                <w:sz w:val="24"/>
                <w:szCs w:val="24"/>
                <w:highlight w:val="none"/>
              </w:rPr>
            </w:pPr>
          </w:p>
        </w:tc>
        <w:tc>
          <w:tcPr>
            <w:tcW w:w="1410" w:type="dxa"/>
            <w:tcBorders>
              <w:top w:val="single" w:color="auto" w:sz="4" w:space="0"/>
              <w:left w:val="single" w:color="auto" w:sz="4" w:space="0"/>
              <w:bottom w:val="single" w:color="auto" w:sz="4" w:space="0"/>
              <w:right w:val="single" w:color="auto" w:sz="4" w:space="0"/>
            </w:tcBorders>
            <w:vAlign w:val="center"/>
          </w:tcPr>
          <w:p w14:paraId="4407E2A0">
            <w:pPr>
              <w:rPr>
                <w:rFonts w:ascii="宋体" w:hAnsi="宋体" w:eastAsia="宋体"/>
                <w:color w:val="auto"/>
                <w:sz w:val="24"/>
                <w:szCs w:val="24"/>
                <w:highlight w:val="none"/>
              </w:rPr>
            </w:pPr>
          </w:p>
        </w:tc>
        <w:tc>
          <w:tcPr>
            <w:tcW w:w="1814" w:type="dxa"/>
            <w:tcBorders>
              <w:top w:val="single" w:color="auto" w:sz="4" w:space="0"/>
              <w:left w:val="single" w:color="auto" w:sz="4" w:space="0"/>
              <w:bottom w:val="single" w:color="auto" w:sz="4" w:space="0"/>
              <w:right w:val="single" w:color="auto" w:sz="4" w:space="0"/>
            </w:tcBorders>
            <w:vAlign w:val="center"/>
          </w:tcPr>
          <w:p w14:paraId="1C060103">
            <w:pPr>
              <w:rPr>
                <w:rFonts w:ascii="宋体" w:hAnsi="宋体" w:eastAsia="宋体"/>
                <w:color w:val="auto"/>
                <w:sz w:val="24"/>
                <w:szCs w:val="24"/>
                <w:highlight w:val="none"/>
              </w:rPr>
            </w:pPr>
          </w:p>
        </w:tc>
        <w:tc>
          <w:tcPr>
            <w:tcW w:w="1632" w:type="dxa"/>
            <w:tcBorders>
              <w:top w:val="single" w:color="auto" w:sz="4" w:space="0"/>
              <w:left w:val="single" w:color="auto" w:sz="4" w:space="0"/>
              <w:bottom w:val="single" w:color="auto" w:sz="4" w:space="0"/>
              <w:right w:val="single" w:color="auto" w:sz="4" w:space="0"/>
            </w:tcBorders>
            <w:vAlign w:val="center"/>
          </w:tcPr>
          <w:p w14:paraId="2A8B0119">
            <w:pPr>
              <w:rPr>
                <w:rFonts w:ascii="宋体" w:hAnsi="宋体" w:eastAsia="宋体"/>
                <w:color w:val="auto"/>
                <w:sz w:val="24"/>
                <w:szCs w:val="24"/>
                <w:highlight w:val="none"/>
              </w:rPr>
            </w:pPr>
          </w:p>
        </w:tc>
        <w:tc>
          <w:tcPr>
            <w:tcW w:w="1619" w:type="dxa"/>
            <w:tcBorders>
              <w:top w:val="single" w:color="auto" w:sz="4" w:space="0"/>
              <w:left w:val="single" w:color="auto" w:sz="4" w:space="0"/>
              <w:bottom w:val="single" w:color="auto" w:sz="4" w:space="0"/>
              <w:right w:val="single" w:color="auto" w:sz="4" w:space="0"/>
            </w:tcBorders>
            <w:vAlign w:val="center"/>
          </w:tcPr>
          <w:p w14:paraId="629F6332">
            <w:pPr>
              <w:rPr>
                <w:rFonts w:ascii="宋体" w:hAnsi="宋体" w:eastAsia="宋体"/>
                <w:color w:val="auto"/>
                <w:sz w:val="24"/>
                <w:szCs w:val="24"/>
                <w:highlight w:val="none"/>
              </w:rPr>
            </w:pPr>
          </w:p>
        </w:tc>
      </w:tr>
      <w:tr w14:paraId="487E1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381" w:type="dxa"/>
            <w:tcBorders>
              <w:top w:val="single" w:color="auto" w:sz="4" w:space="0"/>
              <w:left w:val="single" w:color="auto" w:sz="4" w:space="0"/>
              <w:bottom w:val="single" w:color="auto" w:sz="4" w:space="0"/>
              <w:right w:val="single" w:color="auto" w:sz="4" w:space="0"/>
            </w:tcBorders>
            <w:vAlign w:val="center"/>
          </w:tcPr>
          <w:p w14:paraId="0E7E3F02">
            <w:pPr>
              <w:jc w:val="center"/>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rPr>
              <w:t>交通工具</w:t>
            </w:r>
          </w:p>
        </w:tc>
        <w:tc>
          <w:tcPr>
            <w:tcW w:w="1762" w:type="dxa"/>
            <w:tcBorders>
              <w:top w:val="single" w:color="auto" w:sz="4" w:space="0"/>
              <w:left w:val="single" w:color="auto" w:sz="4" w:space="0"/>
              <w:bottom w:val="single" w:color="auto" w:sz="4" w:space="0"/>
              <w:right w:val="single" w:color="auto" w:sz="4" w:space="0"/>
            </w:tcBorders>
            <w:vAlign w:val="center"/>
          </w:tcPr>
          <w:p w14:paraId="166E75CE">
            <w:pPr>
              <w:jc w:val="center"/>
              <w:rPr>
                <w:rFonts w:ascii="宋体" w:hAnsi="宋体" w:eastAsia="宋体"/>
                <w:color w:val="auto"/>
                <w:sz w:val="24"/>
                <w:szCs w:val="24"/>
                <w:highlight w:val="none"/>
              </w:rPr>
            </w:pPr>
          </w:p>
        </w:tc>
        <w:tc>
          <w:tcPr>
            <w:tcW w:w="1410" w:type="dxa"/>
            <w:tcBorders>
              <w:top w:val="single" w:color="auto" w:sz="4" w:space="0"/>
              <w:left w:val="single" w:color="auto" w:sz="4" w:space="0"/>
              <w:bottom w:val="single" w:color="auto" w:sz="4" w:space="0"/>
              <w:right w:val="single" w:color="auto" w:sz="4" w:space="0"/>
            </w:tcBorders>
            <w:vAlign w:val="center"/>
          </w:tcPr>
          <w:p w14:paraId="28602655">
            <w:pPr>
              <w:rPr>
                <w:rFonts w:ascii="宋体" w:hAnsi="宋体" w:eastAsia="宋体"/>
                <w:color w:val="auto"/>
                <w:sz w:val="24"/>
                <w:szCs w:val="24"/>
                <w:highlight w:val="none"/>
              </w:rPr>
            </w:pPr>
          </w:p>
        </w:tc>
        <w:tc>
          <w:tcPr>
            <w:tcW w:w="1814" w:type="dxa"/>
            <w:tcBorders>
              <w:top w:val="single" w:color="auto" w:sz="4" w:space="0"/>
              <w:left w:val="single" w:color="auto" w:sz="4" w:space="0"/>
              <w:bottom w:val="single" w:color="auto" w:sz="4" w:space="0"/>
              <w:right w:val="single" w:color="auto" w:sz="4" w:space="0"/>
            </w:tcBorders>
            <w:vAlign w:val="center"/>
          </w:tcPr>
          <w:p w14:paraId="7A81F305">
            <w:pPr>
              <w:rPr>
                <w:rFonts w:ascii="宋体" w:hAnsi="宋体" w:eastAsia="宋体"/>
                <w:color w:val="auto"/>
                <w:sz w:val="24"/>
                <w:szCs w:val="24"/>
                <w:highlight w:val="none"/>
              </w:rPr>
            </w:pPr>
          </w:p>
        </w:tc>
        <w:tc>
          <w:tcPr>
            <w:tcW w:w="1632" w:type="dxa"/>
            <w:tcBorders>
              <w:top w:val="single" w:color="auto" w:sz="4" w:space="0"/>
              <w:left w:val="single" w:color="auto" w:sz="4" w:space="0"/>
              <w:bottom w:val="single" w:color="auto" w:sz="4" w:space="0"/>
              <w:right w:val="single" w:color="auto" w:sz="4" w:space="0"/>
            </w:tcBorders>
            <w:vAlign w:val="center"/>
          </w:tcPr>
          <w:p w14:paraId="04008634">
            <w:pPr>
              <w:rPr>
                <w:rFonts w:ascii="宋体" w:hAnsi="宋体" w:eastAsia="宋体"/>
                <w:color w:val="auto"/>
                <w:sz w:val="24"/>
                <w:szCs w:val="24"/>
                <w:highlight w:val="none"/>
              </w:rPr>
            </w:pPr>
          </w:p>
        </w:tc>
        <w:tc>
          <w:tcPr>
            <w:tcW w:w="1619" w:type="dxa"/>
            <w:tcBorders>
              <w:top w:val="single" w:color="auto" w:sz="4" w:space="0"/>
              <w:left w:val="single" w:color="auto" w:sz="4" w:space="0"/>
              <w:bottom w:val="single" w:color="auto" w:sz="4" w:space="0"/>
              <w:right w:val="single" w:color="auto" w:sz="4" w:space="0"/>
            </w:tcBorders>
            <w:vAlign w:val="center"/>
          </w:tcPr>
          <w:p w14:paraId="6F993CA7">
            <w:pPr>
              <w:rPr>
                <w:rFonts w:ascii="宋体" w:hAnsi="宋体" w:eastAsia="宋体"/>
                <w:color w:val="auto"/>
                <w:sz w:val="24"/>
                <w:szCs w:val="24"/>
                <w:highlight w:val="none"/>
              </w:rPr>
            </w:pPr>
          </w:p>
        </w:tc>
      </w:tr>
      <w:tr w14:paraId="6848C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381" w:type="dxa"/>
            <w:vMerge w:val="restart"/>
            <w:tcBorders>
              <w:top w:val="single" w:color="auto" w:sz="4" w:space="0"/>
              <w:left w:val="single" w:color="auto" w:sz="4" w:space="0"/>
              <w:bottom w:val="single" w:color="auto" w:sz="4" w:space="0"/>
              <w:right w:val="single" w:color="auto" w:sz="4" w:space="0"/>
            </w:tcBorders>
            <w:vAlign w:val="center"/>
          </w:tcPr>
          <w:p w14:paraId="42A7C82B">
            <w:pPr>
              <w:jc w:val="center"/>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安全设施</w:t>
            </w:r>
          </w:p>
        </w:tc>
        <w:tc>
          <w:tcPr>
            <w:tcW w:w="1762" w:type="dxa"/>
            <w:tcBorders>
              <w:top w:val="single" w:color="auto" w:sz="4" w:space="0"/>
              <w:left w:val="single" w:color="auto" w:sz="4" w:space="0"/>
              <w:bottom w:val="single" w:color="auto" w:sz="4" w:space="0"/>
              <w:right w:val="single" w:color="auto" w:sz="4" w:space="0"/>
            </w:tcBorders>
            <w:vAlign w:val="center"/>
          </w:tcPr>
          <w:p w14:paraId="6231A5D9">
            <w:pPr>
              <w:jc w:val="center"/>
              <w:rPr>
                <w:rFonts w:ascii="宋体" w:hAnsi="宋体" w:eastAsia="宋体"/>
                <w:color w:val="auto"/>
                <w:sz w:val="24"/>
                <w:szCs w:val="24"/>
                <w:highlight w:val="none"/>
              </w:rPr>
            </w:pPr>
          </w:p>
        </w:tc>
        <w:tc>
          <w:tcPr>
            <w:tcW w:w="1410" w:type="dxa"/>
            <w:tcBorders>
              <w:top w:val="single" w:color="auto" w:sz="4" w:space="0"/>
              <w:left w:val="single" w:color="auto" w:sz="4" w:space="0"/>
              <w:bottom w:val="single" w:color="auto" w:sz="4" w:space="0"/>
              <w:right w:val="single" w:color="auto" w:sz="4" w:space="0"/>
            </w:tcBorders>
            <w:vAlign w:val="center"/>
          </w:tcPr>
          <w:p w14:paraId="05183E70">
            <w:pPr>
              <w:rPr>
                <w:rFonts w:ascii="宋体" w:hAnsi="宋体" w:eastAsia="宋体"/>
                <w:color w:val="auto"/>
                <w:sz w:val="24"/>
                <w:szCs w:val="24"/>
                <w:highlight w:val="none"/>
              </w:rPr>
            </w:pPr>
          </w:p>
        </w:tc>
        <w:tc>
          <w:tcPr>
            <w:tcW w:w="1814" w:type="dxa"/>
            <w:tcBorders>
              <w:top w:val="single" w:color="auto" w:sz="4" w:space="0"/>
              <w:left w:val="single" w:color="auto" w:sz="4" w:space="0"/>
              <w:bottom w:val="single" w:color="auto" w:sz="4" w:space="0"/>
              <w:right w:val="single" w:color="auto" w:sz="4" w:space="0"/>
            </w:tcBorders>
            <w:vAlign w:val="center"/>
          </w:tcPr>
          <w:p w14:paraId="73229F05">
            <w:pPr>
              <w:rPr>
                <w:rFonts w:ascii="宋体" w:hAnsi="宋体" w:eastAsia="宋体"/>
                <w:color w:val="auto"/>
                <w:sz w:val="24"/>
                <w:szCs w:val="24"/>
                <w:highlight w:val="none"/>
              </w:rPr>
            </w:pPr>
          </w:p>
        </w:tc>
        <w:tc>
          <w:tcPr>
            <w:tcW w:w="1632" w:type="dxa"/>
            <w:tcBorders>
              <w:top w:val="single" w:color="auto" w:sz="4" w:space="0"/>
              <w:left w:val="single" w:color="auto" w:sz="4" w:space="0"/>
              <w:bottom w:val="single" w:color="auto" w:sz="4" w:space="0"/>
              <w:right w:val="single" w:color="auto" w:sz="4" w:space="0"/>
            </w:tcBorders>
            <w:vAlign w:val="center"/>
          </w:tcPr>
          <w:p w14:paraId="01845AEE">
            <w:pPr>
              <w:rPr>
                <w:rFonts w:ascii="宋体" w:hAnsi="宋体" w:eastAsia="宋体"/>
                <w:color w:val="auto"/>
                <w:sz w:val="24"/>
                <w:szCs w:val="24"/>
                <w:highlight w:val="none"/>
              </w:rPr>
            </w:pPr>
          </w:p>
        </w:tc>
        <w:tc>
          <w:tcPr>
            <w:tcW w:w="1619" w:type="dxa"/>
            <w:tcBorders>
              <w:top w:val="single" w:color="auto" w:sz="4" w:space="0"/>
              <w:left w:val="single" w:color="auto" w:sz="4" w:space="0"/>
              <w:bottom w:val="single" w:color="auto" w:sz="4" w:space="0"/>
              <w:right w:val="single" w:color="auto" w:sz="4" w:space="0"/>
            </w:tcBorders>
            <w:vAlign w:val="center"/>
          </w:tcPr>
          <w:p w14:paraId="3145AFA7">
            <w:pPr>
              <w:rPr>
                <w:rFonts w:ascii="宋体" w:hAnsi="宋体" w:eastAsia="宋体"/>
                <w:color w:val="auto"/>
                <w:sz w:val="24"/>
                <w:szCs w:val="24"/>
                <w:highlight w:val="none"/>
              </w:rPr>
            </w:pPr>
          </w:p>
        </w:tc>
      </w:tr>
      <w:tr w14:paraId="79DFF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381" w:type="dxa"/>
            <w:vMerge w:val="continue"/>
            <w:tcBorders>
              <w:top w:val="single" w:color="auto" w:sz="4" w:space="0"/>
              <w:left w:val="single" w:color="auto" w:sz="4" w:space="0"/>
              <w:bottom w:val="single" w:color="auto" w:sz="4" w:space="0"/>
              <w:right w:val="single" w:color="auto" w:sz="4" w:space="0"/>
            </w:tcBorders>
            <w:vAlign w:val="center"/>
          </w:tcPr>
          <w:p w14:paraId="4BD14E20">
            <w:pPr>
              <w:widowControl/>
              <w:jc w:val="left"/>
              <w:rPr>
                <w:rFonts w:ascii="宋体" w:hAnsi="宋体" w:eastAsia="宋体"/>
                <w:color w:val="auto"/>
                <w:sz w:val="24"/>
                <w:szCs w:val="24"/>
                <w:highlight w:val="none"/>
              </w:rPr>
            </w:pPr>
          </w:p>
        </w:tc>
        <w:tc>
          <w:tcPr>
            <w:tcW w:w="1762" w:type="dxa"/>
            <w:tcBorders>
              <w:top w:val="single" w:color="auto" w:sz="4" w:space="0"/>
              <w:left w:val="single" w:color="auto" w:sz="4" w:space="0"/>
              <w:bottom w:val="single" w:color="auto" w:sz="4" w:space="0"/>
              <w:right w:val="single" w:color="auto" w:sz="4" w:space="0"/>
            </w:tcBorders>
            <w:vAlign w:val="center"/>
          </w:tcPr>
          <w:p w14:paraId="5D683351">
            <w:pPr>
              <w:jc w:val="center"/>
              <w:rPr>
                <w:rFonts w:ascii="宋体" w:hAnsi="宋体" w:eastAsia="宋体"/>
                <w:color w:val="auto"/>
                <w:sz w:val="24"/>
                <w:szCs w:val="24"/>
                <w:highlight w:val="none"/>
              </w:rPr>
            </w:pPr>
          </w:p>
        </w:tc>
        <w:tc>
          <w:tcPr>
            <w:tcW w:w="1410" w:type="dxa"/>
            <w:tcBorders>
              <w:top w:val="single" w:color="auto" w:sz="4" w:space="0"/>
              <w:left w:val="single" w:color="auto" w:sz="4" w:space="0"/>
              <w:bottom w:val="single" w:color="auto" w:sz="4" w:space="0"/>
              <w:right w:val="single" w:color="auto" w:sz="4" w:space="0"/>
            </w:tcBorders>
            <w:vAlign w:val="center"/>
          </w:tcPr>
          <w:p w14:paraId="564B109E">
            <w:pPr>
              <w:rPr>
                <w:rFonts w:ascii="宋体" w:hAnsi="宋体" w:eastAsia="宋体"/>
                <w:color w:val="auto"/>
                <w:sz w:val="24"/>
                <w:szCs w:val="24"/>
                <w:highlight w:val="none"/>
              </w:rPr>
            </w:pPr>
          </w:p>
        </w:tc>
        <w:tc>
          <w:tcPr>
            <w:tcW w:w="1814" w:type="dxa"/>
            <w:tcBorders>
              <w:top w:val="single" w:color="auto" w:sz="4" w:space="0"/>
              <w:left w:val="single" w:color="auto" w:sz="4" w:space="0"/>
              <w:bottom w:val="single" w:color="auto" w:sz="4" w:space="0"/>
              <w:right w:val="single" w:color="auto" w:sz="4" w:space="0"/>
            </w:tcBorders>
            <w:vAlign w:val="center"/>
          </w:tcPr>
          <w:p w14:paraId="55C7EB6B">
            <w:pPr>
              <w:rPr>
                <w:rFonts w:ascii="宋体" w:hAnsi="宋体" w:eastAsia="宋体"/>
                <w:color w:val="auto"/>
                <w:sz w:val="24"/>
                <w:szCs w:val="24"/>
                <w:highlight w:val="none"/>
              </w:rPr>
            </w:pPr>
          </w:p>
        </w:tc>
        <w:tc>
          <w:tcPr>
            <w:tcW w:w="1632" w:type="dxa"/>
            <w:tcBorders>
              <w:top w:val="single" w:color="auto" w:sz="4" w:space="0"/>
              <w:left w:val="single" w:color="auto" w:sz="4" w:space="0"/>
              <w:bottom w:val="single" w:color="auto" w:sz="4" w:space="0"/>
              <w:right w:val="single" w:color="auto" w:sz="4" w:space="0"/>
            </w:tcBorders>
            <w:vAlign w:val="center"/>
          </w:tcPr>
          <w:p w14:paraId="0B52B197">
            <w:pPr>
              <w:rPr>
                <w:rFonts w:ascii="宋体" w:hAnsi="宋体" w:eastAsia="宋体"/>
                <w:color w:val="auto"/>
                <w:sz w:val="24"/>
                <w:szCs w:val="24"/>
                <w:highlight w:val="none"/>
              </w:rPr>
            </w:pPr>
          </w:p>
        </w:tc>
        <w:tc>
          <w:tcPr>
            <w:tcW w:w="1619" w:type="dxa"/>
            <w:tcBorders>
              <w:top w:val="single" w:color="auto" w:sz="4" w:space="0"/>
              <w:left w:val="single" w:color="auto" w:sz="4" w:space="0"/>
              <w:bottom w:val="single" w:color="auto" w:sz="4" w:space="0"/>
              <w:right w:val="single" w:color="auto" w:sz="4" w:space="0"/>
            </w:tcBorders>
            <w:vAlign w:val="center"/>
          </w:tcPr>
          <w:p w14:paraId="3D064CD3">
            <w:pPr>
              <w:rPr>
                <w:rFonts w:ascii="宋体" w:hAnsi="宋体" w:eastAsia="宋体"/>
                <w:color w:val="auto"/>
                <w:sz w:val="24"/>
                <w:szCs w:val="24"/>
                <w:highlight w:val="none"/>
              </w:rPr>
            </w:pPr>
          </w:p>
        </w:tc>
      </w:tr>
      <w:tr w14:paraId="3DE4B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381" w:type="dxa"/>
            <w:vMerge w:val="continue"/>
            <w:tcBorders>
              <w:top w:val="single" w:color="auto" w:sz="4" w:space="0"/>
              <w:left w:val="single" w:color="auto" w:sz="4" w:space="0"/>
              <w:bottom w:val="single" w:color="auto" w:sz="4" w:space="0"/>
              <w:right w:val="single" w:color="auto" w:sz="4" w:space="0"/>
            </w:tcBorders>
            <w:vAlign w:val="center"/>
          </w:tcPr>
          <w:p w14:paraId="0B322B00">
            <w:pPr>
              <w:widowControl/>
              <w:jc w:val="left"/>
              <w:rPr>
                <w:rFonts w:ascii="宋体" w:hAnsi="宋体" w:eastAsia="宋体"/>
                <w:color w:val="auto"/>
                <w:sz w:val="24"/>
                <w:szCs w:val="24"/>
                <w:highlight w:val="none"/>
              </w:rPr>
            </w:pPr>
          </w:p>
        </w:tc>
        <w:tc>
          <w:tcPr>
            <w:tcW w:w="1762" w:type="dxa"/>
            <w:tcBorders>
              <w:top w:val="single" w:color="auto" w:sz="4" w:space="0"/>
              <w:left w:val="single" w:color="auto" w:sz="4" w:space="0"/>
              <w:bottom w:val="single" w:color="auto" w:sz="4" w:space="0"/>
              <w:right w:val="single" w:color="auto" w:sz="4" w:space="0"/>
            </w:tcBorders>
            <w:vAlign w:val="center"/>
          </w:tcPr>
          <w:p w14:paraId="09CFD0F2">
            <w:pPr>
              <w:jc w:val="center"/>
              <w:rPr>
                <w:rFonts w:ascii="宋体" w:hAnsi="宋体" w:eastAsia="宋体"/>
                <w:color w:val="auto"/>
                <w:sz w:val="24"/>
                <w:szCs w:val="24"/>
                <w:highlight w:val="none"/>
              </w:rPr>
            </w:pPr>
          </w:p>
        </w:tc>
        <w:tc>
          <w:tcPr>
            <w:tcW w:w="1410" w:type="dxa"/>
            <w:tcBorders>
              <w:top w:val="single" w:color="auto" w:sz="4" w:space="0"/>
              <w:left w:val="single" w:color="auto" w:sz="4" w:space="0"/>
              <w:bottom w:val="single" w:color="auto" w:sz="4" w:space="0"/>
              <w:right w:val="single" w:color="auto" w:sz="4" w:space="0"/>
            </w:tcBorders>
            <w:vAlign w:val="center"/>
          </w:tcPr>
          <w:p w14:paraId="0CD276E0">
            <w:pPr>
              <w:rPr>
                <w:rFonts w:ascii="宋体" w:hAnsi="宋体" w:eastAsia="宋体"/>
                <w:color w:val="auto"/>
                <w:sz w:val="24"/>
                <w:szCs w:val="24"/>
                <w:highlight w:val="none"/>
              </w:rPr>
            </w:pPr>
          </w:p>
        </w:tc>
        <w:tc>
          <w:tcPr>
            <w:tcW w:w="1814" w:type="dxa"/>
            <w:tcBorders>
              <w:top w:val="single" w:color="auto" w:sz="4" w:space="0"/>
              <w:left w:val="single" w:color="auto" w:sz="4" w:space="0"/>
              <w:bottom w:val="single" w:color="auto" w:sz="4" w:space="0"/>
              <w:right w:val="single" w:color="auto" w:sz="4" w:space="0"/>
            </w:tcBorders>
            <w:vAlign w:val="center"/>
          </w:tcPr>
          <w:p w14:paraId="3FA5D64D">
            <w:pPr>
              <w:rPr>
                <w:rFonts w:ascii="宋体" w:hAnsi="宋体" w:eastAsia="宋体"/>
                <w:color w:val="auto"/>
                <w:sz w:val="24"/>
                <w:szCs w:val="24"/>
                <w:highlight w:val="none"/>
              </w:rPr>
            </w:pPr>
          </w:p>
        </w:tc>
        <w:tc>
          <w:tcPr>
            <w:tcW w:w="1632" w:type="dxa"/>
            <w:tcBorders>
              <w:top w:val="single" w:color="auto" w:sz="4" w:space="0"/>
              <w:left w:val="single" w:color="auto" w:sz="4" w:space="0"/>
              <w:bottom w:val="single" w:color="auto" w:sz="4" w:space="0"/>
              <w:right w:val="single" w:color="auto" w:sz="4" w:space="0"/>
            </w:tcBorders>
            <w:vAlign w:val="center"/>
          </w:tcPr>
          <w:p w14:paraId="7152892E">
            <w:pPr>
              <w:rPr>
                <w:rFonts w:ascii="宋体" w:hAnsi="宋体" w:eastAsia="宋体"/>
                <w:color w:val="auto"/>
                <w:sz w:val="24"/>
                <w:szCs w:val="24"/>
                <w:highlight w:val="none"/>
              </w:rPr>
            </w:pPr>
          </w:p>
        </w:tc>
        <w:tc>
          <w:tcPr>
            <w:tcW w:w="1619" w:type="dxa"/>
            <w:tcBorders>
              <w:top w:val="single" w:color="auto" w:sz="4" w:space="0"/>
              <w:left w:val="single" w:color="auto" w:sz="4" w:space="0"/>
              <w:bottom w:val="single" w:color="auto" w:sz="4" w:space="0"/>
              <w:right w:val="single" w:color="auto" w:sz="4" w:space="0"/>
            </w:tcBorders>
            <w:vAlign w:val="center"/>
          </w:tcPr>
          <w:p w14:paraId="006E7FAD">
            <w:pPr>
              <w:rPr>
                <w:rFonts w:ascii="宋体" w:hAnsi="宋体" w:eastAsia="宋体"/>
                <w:color w:val="auto"/>
                <w:sz w:val="24"/>
                <w:szCs w:val="24"/>
                <w:highlight w:val="none"/>
              </w:rPr>
            </w:pPr>
          </w:p>
        </w:tc>
      </w:tr>
      <w:tr w14:paraId="578BD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381" w:type="dxa"/>
            <w:vMerge w:val="continue"/>
            <w:tcBorders>
              <w:top w:val="single" w:color="auto" w:sz="4" w:space="0"/>
              <w:left w:val="single" w:color="auto" w:sz="4" w:space="0"/>
              <w:bottom w:val="single" w:color="auto" w:sz="4" w:space="0"/>
              <w:right w:val="single" w:color="auto" w:sz="4" w:space="0"/>
            </w:tcBorders>
            <w:vAlign w:val="center"/>
          </w:tcPr>
          <w:p w14:paraId="7FA0077E">
            <w:pPr>
              <w:widowControl/>
              <w:jc w:val="left"/>
              <w:rPr>
                <w:rFonts w:ascii="宋体" w:hAnsi="宋体" w:eastAsia="宋体"/>
                <w:color w:val="auto"/>
                <w:sz w:val="24"/>
                <w:szCs w:val="24"/>
                <w:highlight w:val="none"/>
              </w:rPr>
            </w:pPr>
          </w:p>
        </w:tc>
        <w:tc>
          <w:tcPr>
            <w:tcW w:w="1762" w:type="dxa"/>
            <w:tcBorders>
              <w:top w:val="single" w:color="auto" w:sz="4" w:space="0"/>
              <w:left w:val="single" w:color="auto" w:sz="4" w:space="0"/>
              <w:bottom w:val="single" w:color="auto" w:sz="4" w:space="0"/>
              <w:right w:val="single" w:color="auto" w:sz="4" w:space="0"/>
            </w:tcBorders>
            <w:vAlign w:val="center"/>
          </w:tcPr>
          <w:p w14:paraId="7042EF44">
            <w:pPr>
              <w:jc w:val="center"/>
              <w:rPr>
                <w:rFonts w:ascii="宋体" w:hAnsi="宋体" w:eastAsia="宋体"/>
                <w:color w:val="auto"/>
                <w:sz w:val="24"/>
                <w:szCs w:val="24"/>
                <w:highlight w:val="none"/>
              </w:rPr>
            </w:pPr>
          </w:p>
        </w:tc>
        <w:tc>
          <w:tcPr>
            <w:tcW w:w="1410" w:type="dxa"/>
            <w:tcBorders>
              <w:top w:val="single" w:color="auto" w:sz="4" w:space="0"/>
              <w:left w:val="single" w:color="auto" w:sz="4" w:space="0"/>
              <w:bottom w:val="single" w:color="auto" w:sz="4" w:space="0"/>
              <w:right w:val="single" w:color="auto" w:sz="4" w:space="0"/>
            </w:tcBorders>
            <w:vAlign w:val="center"/>
          </w:tcPr>
          <w:p w14:paraId="67CAD344">
            <w:pPr>
              <w:rPr>
                <w:rFonts w:ascii="宋体" w:hAnsi="宋体" w:eastAsia="宋体"/>
                <w:color w:val="auto"/>
                <w:sz w:val="24"/>
                <w:szCs w:val="24"/>
                <w:highlight w:val="none"/>
              </w:rPr>
            </w:pPr>
          </w:p>
        </w:tc>
        <w:tc>
          <w:tcPr>
            <w:tcW w:w="1814" w:type="dxa"/>
            <w:tcBorders>
              <w:top w:val="single" w:color="auto" w:sz="4" w:space="0"/>
              <w:left w:val="single" w:color="auto" w:sz="4" w:space="0"/>
              <w:bottom w:val="single" w:color="auto" w:sz="4" w:space="0"/>
              <w:right w:val="single" w:color="auto" w:sz="4" w:space="0"/>
            </w:tcBorders>
            <w:vAlign w:val="center"/>
          </w:tcPr>
          <w:p w14:paraId="766DA3C5">
            <w:pPr>
              <w:rPr>
                <w:rFonts w:ascii="宋体" w:hAnsi="宋体" w:eastAsia="宋体"/>
                <w:color w:val="auto"/>
                <w:sz w:val="24"/>
                <w:szCs w:val="24"/>
                <w:highlight w:val="none"/>
              </w:rPr>
            </w:pPr>
          </w:p>
        </w:tc>
        <w:tc>
          <w:tcPr>
            <w:tcW w:w="1632" w:type="dxa"/>
            <w:tcBorders>
              <w:top w:val="single" w:color="auto" w:sz="4" w:space="0"/>
              <w:left w:val="single" w:color="auto" w:sz="4" w:space="0"/>
              <w:bottom w:val="single" w:color="auto" w:sz="4" w:space="0"/>
              <w:right w:val="single" w:color="auto" w:sz="4" w:space="0"/>
            </w:tcBorders>
            <w:vAlign w:val="center"/>
          </w:tcPr>
          <w:p w14:paraId="6D66F817">
            <w:pPr>
              <w:rPr>
                <w:rFonts w:ascii="宋体" w:hAnsi="宋体" w:eastAsia="宋体"/>
                <w:color w:val="auto"/>
                <w:sz w:val="24"/>
                <w:szCs w:val="24"/>
                <w:highlight w:val="none"/>
              </w:rPr>
            </w:pPr>
          </w:p>
        </w:tc>
        <w:tc>
          <w:tcPr>
            <w:tcW w:w="1619" w:type="dxa"/>
            <w:tcBorders>
              <w:top w:val="single" w:color="auto" w:sz="4" w:space="0"/>
              <w:left w:val="single" w:color="auto" w:sz="4" w:space="0"/>
              <w:bottom w:val="single" w:color="auto" w:sz="4" w:space="0"/>
              <w:right w:val="single" w:color="auto" w:sz="4" w:space="0"/>
            </w:tcBorders>
            <w:vAlign w:val="center"/>
          </w:tcPr>
          <w:p w14:paraId="23CB5A92">
            <w:pPr>
              <w:rPr>
                <w:rFonts w:ascii="宋体" w:hAnsi="宋体" w:eastAsia="宋体"/>
                <w:color w:val="auto"/>
                <w:sz w:val="24"/>
                <w:szCs w:val="24"/>
                <w:highlight w:val="none"/>
              </w:rPr>
            </w:pPr>
          </w:p>
        </w:tc>
      </w:tr>
      <w:tr w14:paraId="67417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381" w:type="dxa"/>
            <w:vMerge w:val="continue"/>
            <w:tcBorders>
              <w:top w:val="single" w:color="auto" w:sz="4" w:space="0"/>
              <w:left w:val="single" w:color="auto" w:sz="4" w:space="0"/>
              <w:bottom w:val="single" w:color="auto" w:sz="4" w:space="0"/>
              <w:right w:val="single" w:color="auto" w:sz="4" w:space="0"/>
            </w:tcBorders>
            <w:vAlign w:val="center"/>
          </w:tcPr>
          <w:p w14:paraId="19FF1D78">
            <w:pPr>
              <w:widowControl/>
              <w:jc w:val="left"/>
              <w:rPr>
                <w:rFonts w:ascii="宋体" w:hAnsi="宋体" w:eastAsia="宋体"/>
                <w:color w:val="auto"/>
                <w:sz w:val="24"/>
                <w:szCs w:val="24"/>
                <w:highlight w:val="none"/>
              </w:rPr>
            </w:pPr>
          </w:p>
        </w:tc>
        <w:tc>
          <w:tcPr>
            <w:tcW w:w="1762" w:type="dxa"/>
            <w:tcBorders>
              <w:top w:val="single" w:color="auto" w:sz="4" w:space="0"/>
              <w:left w:val="single" w:color="auto" w:sz="4" w:space="0"/>
              <w:bottom w:val="single" w:color="auto" w:sz="4" w:space="0"/>
              <w:right w:val="single" w:color="auto" w:sz="4" w:space="0"/>
            </w:tcBorders>
            <w:vAlign w:val="center"/>
          </w:tcPr>
          <w:p w14:paraId="5AADDE22">
            <w:pPr>
              <w:jc w:val="center"/>
              <w:rPr>
                <w:rFonts w:ascii="宋体" w:hAnsi="宋体" w:eastAsia="宋体"/>
                <w:color w:val="auto"/>
                <w:sz w:val="24"/>
                <w:szCs w:val="24"/>
                <w:highlight w:val="none"/>
              </w:rPr>
            </w:pPr>
          </w:p>
        </w:tc>
        <w:tc>
          <w:tcPr>
            <w:tcW w:w="1410" w:type="dxa"/>
            <w:tcBorders>
              <w:top w:val="single" w:color="auto" w:sz="4" w:space="0"/>
              <w:left w:val="single" w:color="auto" w:sz="4" w:space="0"/>
              <w:bottom w:val="single" w:color="auto" w:sz="4" w:space="0"/>
              <w:right w:val="single" w:color="auto" w:sz="4" w:space="0"/>
            </w:tcBorders>
            <w:vAlign w:val="center"/>
          </w:tcPr>
          <w:p w14:paraId="75361777">
            <w:pPr>
              <w:rPr>
                <w:rFonts w:ascii="宋体" w:hAnsi="宋体" w:eastAsia="宋体"/>
                <w:color w:val="auto"/>
                <w:sz w:val="24"/>
                <w:szCs w:val="24"/>
                <w:highlight w:val="none"/>
              </w:rPr>
            </w:pPr>
          </w:p>
        </w:tc>
        <w:tc>
          <w:tcPr>
            <w:tcW w:w="1814" w:type="dxa"/>
            <w:tcBorders>
              <w:top w:val="single" w:color="auto" w:sz="4" w:space="0"/>
              <w:left w:val="single" w:color="auto" w:sz="4" w:space="0"/>
              <w:bottom w:val="single" w:color="auto" w:sz="4" w:space="0"/>
              <w:right w:val="single" w:color="auto" w:sz="4" w:space="0"/>
            </w:tcBorders>
            <w:vAlign w:val="center"/>
          </w:tcPr>
          <w:p w14:paraId="699F0C9C">
            <w:pPr>
              <w:rPr>
                <w:rFonts w:ascii="宋体" w:hAnsi="宋体" w:eastAsia="宋体"/>
                <w:color w:val="auto"/>
                <w:sz w:val="24"/>
                <w:szCs w:val="24"/>
                <w:highlight w:val="none"/>
              </w:rPr>
            </w:pPr>
          </w:p>
        </w:tc>
        <w:tc>
          <w:tcPr>
            <w:tcW w:w="1632" w:type="dxa"/>
            <w:tcBorders>
              <w:top w:val="single" w:color="auto" w:sz="4" w:space="0"/>
              <w:left w:val="single" w:color="auto" w:sz="4" w:space="0"/>
              <w:bottom w:val="single" w:color="auto" w:sz="4" w:space="0"/>
              <w:right w:val="single" w:color="auto" w:sz="4" w:space="0"/>
            </w:tcBorders>
            <w:vAlign w:val="center"/>
          </w:tcPr>
          <w:p w14:paraId="2821BB95">
            <w:pPr>
              <w:rPr>
                <w:rFonts w:ascii="宋体" w:hAnsi="宋体" w:eastAsia="宋体"/>
                <w:color w:val="auto"/>
                <w:sz w:val="24"/>
                <w:szCs w:val="24"/>
                <w:highlight w:val="none"/>
              </w:rPr>
            </w:pPr>
          </w:p>
        </w:tc>
        <w:tc>
          <w:tcPr>
            <w:tcW w:w="1619" w:type="dxa"/>
            <w:tcBorders>
              <w:top w:val="single" w:color="auto" w:sz="4" w:space="0"/>
              <w:left w:val="single" w:color="auto" w:sz="4" w:space="0"/>
              <w:bottom w:val="single" w:color="auto" w:sz="4" w:space="0"/>
              <w:right w:val="single" w:color="auto" w:sz="4" w:space="0"/>
            </w:tcBorders>
            <w:vAlign w:val="center"/>
          </w:tcPr>
          <w:p w14:paraId="21E1FE99">
            <w:pPr>
              <w:rPr>
                <w:rFonts w:ascii="宋体" w:hAnsi="宋体" w:eastAsia="宋体"/>
                <w:color w:val="auto"/>
                <w:sz w:val="24"/>
                <w:szCs w:val="24"/>
                <w:highlight w:val="none"/>
              </w:rPr>
            </w:pPr>
          </w:p>
        </w:tc>
      </w:tr>
      <w:tr w14:paraId="5509D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381" w:type="dxa"/>
            <w:vMerge w:val="restart"/>
            <w:tcBorders>
              <w:top w:val="single" w:color="auto" w:sz="4" w:space="0"/>
              <w:left w:val="single" w:color="auto" w:sz="4" w:space="0"/>
              <w:bottom w:val="single" w:color="auto" w:sz="4" w:space="0"/>
              <w:right w:val="single" w:color="auto" w:sz="4" w:space="0"/>
            </w:tcBorders>
            <w:vAlign w:val="center"/>
          </w:tcPr>
          <w:p w14:paraId="62A22F39">
            <w:pPr>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试验检测仪器、设备、工具</w:t>
            </w:r>
          </w:p>
        </w:tc>
        <w:tc>
          <w:tcPr>
            <w:tcW w:w="1762" w:type="dxa"/>
            <w:tcBorders>
              <w:top w:val="single" w:color="auto" w:sz="4" w:space="0"/>
              <w:left w:val="single" w:color="auto" w:sz="4" w:space="0"/>
              <w:bottom w:val="single" w:color="auto" w:sz="4" w:space="0"/>
              <w:right w:val="single" w:color="auto" w:sz="4" w:space="0"/>
            </w:tcBorders>
            <w:vAlign w:val="center"/>
          </w:tcPr>
          <w:p w14:paraId="7EA57F9A">
            <w:pPr>
              <w:jc w:val="center"/>
              <w:rPr>
                <w:rFonts w:ascii="宋体" w:hAnsi="宋体" w:eastAsia="宋体"/>
                <w:color w:val="auto"/>
                <w:sz w:val="24"/>
                <w:szCs w:val="24"/>
                <w:highlight w:val="none"/>
              </w:rPr>
            </w:pPr>
          </w:p>
        </w:tc>
        <w:tc>
          <w:tcPr>
            <w:tcW w:w="1410" w:type="dxa"/>
            <w:tcBorders>
              <w:top w:val="single" w:color="auto" w:sz="4" w:space="0"/>
              <w:left w:val="single" w:color="auto" w:sz="4" w:space="0"/>
              <w:bottom w:val="single" w:color="auto" w:sz="4" w:space="0"/>
              <w:right w:val="single" w:color="auto" w:sz="4" w:space="0"/>
            </w:tcBorders>
            <w:vAlign w:val="center"/>
          </w:tcPr>
          <w:p w14:paraId="734A3F1A">
            <w:pPr>
              <w:rPr>
                <w:rFonts w:ascii="宋体" w:hAnsi="宋体" w:eastAsia="宋体"/>
                <w:color w:val="auto"/>
                <w:sz w:val="24"/>
                <w:szCs w:val="24"/>
                <w:highlight w:val="none"/>
              </w:rPr>
            </w:pPr>
          </w:p>
        </w:tc>
        <w:tc>
          <w:tcPr>
            <w:tcW w:w="1814" w:type="dxa"/>
            <w:tcBorders>
              <w:top w:val="single" w:color="auto" w:sz="4" w:space="0"/>
              <w:left w:val="single" w:color="auto" w:sz="4" w:space="0"/>
              <w:bottom w:val="single" w:color="auto" w:sz="4" w:space="0"/>
              <w:right w:val="single" w:color="auto" w:sz="4" w:space="0"/>
            </w:tcBorders>
            <w:vAlign w:val="center"/>
          </w:tcPr>
          <w:p w14:paraId="4B6EBDDE">
            <w:pPr>
              <w:rPr>
                <w:rFonts w:ascii="宋体" w:hAnsi="宋体" w:eastAsia="宋体"/>
                <w:color w:val="auto"/>
                <w:sz w:val="24"/>
                <w:szCs w:val="24"/>
                <w:highlight w:val="none"/>
              </w:rPr>
            </w:pPr>
          </w:p>
        </w:tc>
        <w:tc>
          <w:tcPr>
            <w:tcW w:w="1632" w:type="dxa"/>
            <w:tcBorders>
              <w:top w:val="single" w:color="auto" w:sz="4" w:space="0"/>
              <w:left w:val="single" w:color="auto" w:sz="4" w:space="0"/>
              <w:bottom w:val="single" w:color="auto" w:sz="4" w:space="0"/>
              <w:right w:val="single" w:color="auto" w:sz="4" w:space="0"/>
            </w:tcBorders>
            <w:vAlign w:val="center"/>
          </w:tcPr>
          <w:p w14:paraId="57D6C2CE">
            <w:pPr>
              <w:rPr>
                <w:rFonts w:ascii="宋体" w:hAnsi="宋体" w:eastAsia="宋体"/>
                <w:color w:val="auto"/>
                <w:sz w:val="24"/>
                <w:szCs w:val="24"/>
                <w:highlight w:val="none"/>
              </w:rPr>
            </w:pPr>
          </w:p>
        </w:tc>
        <w:tc>
          <w:tcPr>
            <w:tcW w:w="1619" w:type="dxa"/>
            <w:tcBorders>
              <w:top w:val="single" w:color="auto" w:sz="4" w:space="0"/>
              <w:left w:val="single" w:color="auto" w:sz="4" w:space="0"/>
              <w:bottom w:val="single" w:color="auto" w:sz="4" w:space="0"/>
              <w:right w:val="single" w:color="auto" w:sz="4" w:space="0"/>
            </w:tcBorders>
            <w:vAlign w:val="center"/>
          </w:tcPr>
          <w:p w14:paraId="56C3DC7C">
            <w:pPr>
              <w:rPr>
                <w:rFonts w:ascii="宋体" w:hAnsi="宋体" w:eastAsia="宋体"/>
                <w:color w:val="auto"/>
                <w:sz w:val="24"/>
                <w:szCs w:val="24"/>
                <w:highlight w:val="none"/>
              </w:rPr>
            </w:pPr>
          </w:p>
        </w:tc>
      </w:tr>
      <w:tr w14:paraId="4144D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381" w:type="dxa"/>
            <w:vMerge w:val="continue"/>
            <w:tcBorders>
              <w:top w:val="single" w:color="auto" w:sz="4" w:space="0"/>
              <w:left w:val="single" w:color="auto" w:sz="4" w:space="0"/>
              <w:bottom w:val="single" w:color="auto" w:sz="4" w:space="0"/>
              <w:right w:val="single" w:color="auto" w:sz="4" w:space="0"/>
            </w:tcBorders>
            <w:vAlign w:val="center"/>
          </w:tcPr>
          <w:p w14:paraId="26B4ED8D">
            <w:pPr>
              <w:widowControl/>
              <w:jc w:val="left"/>
              <w:rPr>
                <w:rFonts w:ascii="宋体" w:hAnsi="宋体" w:eastAsia="宋体"/>
                <w:color w:val="auto"/>
                <w:sz w:val="24"/>
                <w:szCs w:val="24"/>
                <w:highlight w:val="none"/>
              </w:rPr>
            </w:pPr>
          </w:p>
        </w:tc>
        <w:tc>
          <w:tcPr>
            <w:tcW w:w="1762" w:type="dxa"/>
            <w:tcBorders>
              <w:top w:val="single" w:color="auto" w:sz="4" w:space="0"/>
              <w:left w:val="single" w:color="auto" w:sz="4" w:space="0"/>
              <w:bottom w:val="single" w:color="auto" w:sz="4" w:space="0"/>
              <w:right w:val="single" w:color="auto" w:sz="4" w:space="0"/>
            </w:tcBorders>
            <w:vAlign w:val="center"/>
          </w:tcPr>
          <w:p w14:paraId="41F872D7">
            <w:pPr>
              <w:jc w:val="center"/>
              <w:rPr>
                <w:rFonts w:ascii="宋体" w:hAnsi="宋体" w:eastAsia="宋体"/>
                <w:color w:val="auto"/>
                <w:sz w:val="24"/>
                <w:szCs w:val="24"/>
                <w:highlight w:val="none"/>
              </w:rPr>
            </w:pPr>
          </w:p>
        </w:tc>
        <w:tc>
          <w:tcPr>
            <w:tcW w:w="1410" w:type="dxa"/>
            <w:tcBorders>
              <w:top w:val="single" w:color="auto" w:sz="4" w:space="0"/>
              <w:left w:val="single" w:color="auto" w:sz="4" w:space="0"/>
              <w:bottom w:val="single" w:color="auto" w:sz="4" w:space="0"/>
              <w:right w:val="single" w:color="auto" w:sz="4" w:space="0"/>
            </w:tcBorders>
            <w:vAlign w:val="center"/>
          </w:tcPr>
          <w:p w14:paraId="434752BD">
            <w:pPr>
              <w:rPr>
                <w:rFonts w:ascii="宋体" w:hAnsi="宋体" w:eastAsia="宋体"/>
                <w:color w:val="auto"/>
                <w:sz w:val="24"/>
                <w:szCs w:val="24"/>
                <w:highlight w:val="none"/>
              </w:rPr>
            </w:pPr>
          </w:p>
        </w:tc>
        <w:tc>
          <w:tcPr>
            <w:tcW w:w="1814" w:type="dxa"/>
            <w:tcBorders>
              <w:top w:val="single" w:color="auto" w:sz="4" w:space="0"/>
              <w:left w:val="single" w:color="auto" w:sz="4" w:space="0"/>
              <w:bottom w:val="single" w:color="auto" w:sz="4" w:space="0"/>
              <w:right w:val="single" w:color="auto" w:sz="4" w:space="0"/>
            </w:tcBorders>
            <w:vAlign w:val="center"/>
          </w:tcPr>
          <w:p w14:paraId="6F8D8CE4">
            <w:pPr>
              <w:rPr>
                <w:rFonts w:ascii="宋体" w:hAnsi="宋体" w:eastAsia="宋体"/>
                <w:color w:val="auto"/>
                <w:sz w:val="24"/>
                <w:szCs w:val="24"/>
                <w:highlight w:val="none"/>
              </w:rPr>
            </w:pPr>
          </w:p>
        </w:tc>
        <w:tc>
          <w:tcPr>
            <w:tcW w:w="1632" w:type="dxa"/>
            <w:tcBorders>
              <w:top w:val="single" w:color="auto" w:sz="4" w:space="0"/>
              <w:left w:val="single" w:color="auto" w:sz="4" w:space="0"/>
              <w:bottom w:val="single" w:color="auto" w:sz="4" w:space="0"/>
              <w:right w:val="single" w:color="auto" w:sz="4" w:space="0"/>
            </w:tcBorders>
            <w:vAlign w:val="center"/>
          </w:tcPr>
          <w:p w14:paraId="290C51AE">
            <w:pPr>
              <w:rPr>
                <w:rFonts w:ascii="宋体" w:hAnsi="宋体" w:eastAsia="宋体"/>
                <w:color w:val="auto"/>
                <w:sz w:val="24"/>
                <w:szCs w:val="24"/>
                <w:highlight w:val="none"/>
              </w:rPr>
            </w:pPr>
          </w:p>
        </w:tc>
        <w:tc>
          <w:tcPr>
            <w:tcW w:w="1619" w:type="dxa"/>
            <w:tcBorders>
              <w:top w:val="single" w:color="auto" w:sz="4" w:space="0"/>
              <w:left w:val="single" w:color="auto" w:sz="4" w:space="0"/>
              <w:bottom w:val="single" w:color="auto" w:sz="4" w:space="0"/>
              <w:right w:val="single" w:color="auto" w:sz="4" w:space="0"/>
            </w:tcBorders>
            <w:vAlign w:val="center"/>
          </w:tcPr>
          <w:p w14:paraId="7C5FB274">
            <w:pPr>
              <w:rPr>
                <w:rFonts w:ascii="宋体" w:hAnsi="宋体" w:eastAsia="宋体"/>
                <w:color w:val="auto"/>
                <w:sz w:val="24"/>
                <w:szCs w:val="24"/>
                <w:highlight w:val="none"/>
              </w:rPr>
            </w:pPr>
          </w:p>
        </w:tc>
      </w:tr>
      <w:tr w14:paraId="00C24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381" w:type="dxa"/>
            <w:vMerge w:val="continue"/>
            <w:tcBorders>
              <w:top w:val="single" w:color="auto" w:sz="4" w:space="0"/>
              <w:left w:val="single" w:color="auto" w:sz="4" w:space="0"/>
              <w:bottom w:val="single" w:color="auto" w:sz="4" w:space="0"/>
              <w:right w:val="single" w:color="auto" w:sz="4" w:space="0"/>
            </w:tcBorders>
            <w:vAlign w:val="center"/>
          </w:tcPr>
          <w:p w14:paraId="56616ED2">
            <w:pPr>
              <w:widowControl/>
              <w:jc w:val="left"/>
              <w:rPr>
                <w:rFonts w:ascii="宋体" w:hAnsi="宋体" w:eastAsia="宋体"/>
                <w:color w:val="auto"/>
                <w:sz w:val="24"/>
                <w:szCs w:val="24"/>
                <w:highlight w:val="none"/>
              </w:rPr>
            </w:pPr>
          </w:p>
        </w:tc>
        <w:tc>
          <w:tcPr>
            <w:tcW w:w="1762" w:type="dxa"/>
            <w:tcBorders>
              <w:top w:val="single" w:color="auto" w:sz="4" w:space="0"/>
              <w:left w:val="single" w:color="auto" w:sz="4" w:space="0"/>
              <w:bottom w:val="single" w:color="auto" w:sz="4" w:space="0"/>
              <w:right w:val="single" w:color="auto" w:sz="4" w:space="0"/>
            </w:tcBorders>
            <w:vAlign w:val="center"/>
          </w:tcPr>
          <w:p w14:paraId="2EF76B49">
            <w:pPr>
              <w:jc w:val="center"/>
              <w:rPr>
                <w:rFonts w:ascii="宋体" w:hAnsi="宋体" w:eastAsia="宋体"/>
                <w:color w:val="auto"/>
                <w:sz w:val="24"/>
                <w:szCs w:val="24"/>
                <w:highlight w:val="none"/>
              </w:rPr>
            </w:pPr>
          </w:p>
        </w:tc>
        <w:tc>
          <w:tcPr>
            <w:tcW w:w="1410" w:type="dxa"/>
            <w:tcBorders>
              <w:top w:val="single" w:color="auto" w:sz="4" w:space="0"/>
              <w:left w:val="single" w:color="auto" w:sz="4" w:space="0"/>
              <w:bottom w:val="single" w:color="auto" w:sz="4" w:space="0"/>
              <w:right w:val="single" w:color="auto" w:sz="4" w:space="0"/>
            </w:tcBorders>
            <w:vAlign w:val="center"/>
          </w:tcPr>
          <w:p w14:paraId="103B06F0">
            <w:pPr>
              <w:rPr>
                <w:rFonts w:ascii="宋体" w:hAnsi="宋体" w:eastAsia="宋体"/>
                <w:color w:val="auto"/>
                <w:sz w:val="24"/>
                <w:szCs w:val="24"/>
                <w:highlight w:val="none"/>
              </w:rPr>
            </w:pPr>
          </w:p>
        </w:tc>
        <w:tc>
          <w:tcPr>
            <w:tcW w:w="1814" w:type="dxa"/>
            <w:tcBorders>
              <w:top w:val="single" w:color="auto" w:sz="4" w:space="0"/>
              <w:left w:val="single" w:color="auto" w:sz="4" w:space="0"/>
              <w:bottom w:val="single" w:color="auto" w:sz="4" w:space="0"/>
              <w:right w:val="single" w:color="auto" w:sz="4" w:space="0"/>
            </w:tcBorders>
            <w:vAlign w:val="center"/>
          </w:tcPr>
          <w:p w14:paraId="6BFFC183">
            <w:pPr>
              <w:rPr>
                <w:rFonts w:ascii="宋体" w:hAnsi="宋体" w:eastAsia="宋体"/>
                <w:color w:val="auto"/>
                <w:sz w:val="24"/>
                <w:szCs w:val="24"/>
                <w:highlight w:val="none"/>
              </w:rPr>
            </w:pPr>
          </w:p>
        </w:tc>
        <w:tc>
          <w:tcPr>
            <w:tcW w:w="1632" w:type="dxa"/>
            <w:tcBorders>
              <w:top w:val="single" w:color="auto" w:sz="4" w:space="0"/>
              <w:left w:val="single" w:color="auto" w:sz="4" w:space="0"/>
              <w:bottom w:val="single" w:color="auto" w:sz="4" w:space="0"/>
              <w:right w:val="single" w:color="auto" w:sz="4" w:space="0"/>
            </w:tcBorders>
            <w:vAlign w:val="center"/>
          </w:tcPr>
          <w:p w14:paraId="38013E00">
            <w:pPr>
              <w:rPr>
                <w:rFonts w:ascii="宋体" w:hAnsi="宋体" w:eastAsia="宋体"/>
                <w:color w:val="auto"/>
                <w:sz w:val="24"/>
                <w:szCs w:val="24"/>
                <w:highlight w:val="none"/>
              </w:rPr>
            </w:pPr>
          </w:p>
        </w:tc>
        <w:tc>
          <w:tcPr>
            <w:tcW w:w="1619" w:type="dxa"/>
            <w:tcBorders>
              <w:top w:val="single" w:color="auto" w:sz="4" w:space="0"/>
              <w:left w:val="single" w:color="auto" w:sz="4" w:space="0"/>
              <w:bottom w:val="single" w:color="auto" w:sz="4" w:space="0"/>
              <w:right w:val="single" w:color="auto" w:sz="4" w:space="0"/>
            </w:tcBorders>
            <w:vAlign w:val="center"/>
          </w:tcPr>
          <w:p w14:paraId="3D0833B2">
            <w:pPr>
              <w:rPr>
                <w:rFonts w:ascii="宋体" w:hAnsi="宋体" w:eastAsia="宋体"/>
                <w:color w:val="auto"/>
                <w:sz w:val="24"/>
                <w:szCs w:val="24"/>
                <w:highlight w:val="none"/>
              </w:rPr>
            </w:pPr>
          </w:p>
        </w:tc>
      </w:tr>
      <w:tr w14:paraId="5207B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381" w:type="dxa"/>
            <w:vMerge w:val="continue"/>
            <w:tcBorders>
              <w:top w:val="single" w:color="auto" w:sz="4" w:space="0"/>
              <w:left w:val="single" w:color="auto" w:sz="4" w:space="0"/>
              <w:bottom w:val="single" w:color="auto" w:sz="4" w:space="0"/>
              <w:right w:val="single" w:color="auto" w:sz="4" w:space="0"/>
            </w:tcBorders>
            <w:vAlign w:val="center"/>
          </w:tcPr>
          <w:p w14:paraId="3A81E70D">
            <w:pPr>
              <w:widowControl/>
              <w:jc w:val="left"/>
              <w:rPr>
                <w:rFonts w:ascii="宋体" w:hAnsi="宋体" w:eastAsia="宋体"/>
                <w:color w:val="auto"/>
                <w:sz w:val="24"/>
                <w:szCs w:val="24"/>
                <w:highlight w:val="none"/>
              </w:rPr>
            </w:pPr>
          </w:p>
        </w:tc>
        <w:tc>
          <w:tcPr>
            <w:tcW w:w="1762" w:type="dxa"/>
            <w:tcBorders>
              <w:top w:val="single" w:color="auto" w:sz="4" w:space="0"/>
              <w:left w:val="single" w:color="auto" w:sz="4" w:space="0"/>
              <w:bottom w:val="single" w:color="auto" w:sz="4" w:space="0"/>
              <w:right w:val="single" w:color="auto" w:sz="4" w:space="0"/>
            </w:tcBorders>
            <w:vAlign w:val="center"/>
          </w:tcPr>
          <w:p w14:paraId="01FCCF16">
            <w:pPr>
              <w:jc w:val="center"/>
              <w:rPr>
                <w:rFonts w:ascii="宋体" w:hAnsi="宋体" w:eastAsia="宋体"/>
                <w:color w:val="auto"/>
                <w:sz w:val="24"/>
                <w:szCs w:val="24"/>
                <w:highlight w:val="none"/>
              </w:rPr>
            </w:pPr>
          </w:p>
        </w:tc>
        <w:tc>
          <w:tcPr>
            <w:tcW w:w="1410" w:type="dxa"/>
            <w:tcBorders>
              <w:top w:val="single" w:color="auto" w:sz="4" w:space="0"/>
              <w:left w:val="single" w:color="auto" w:sz="4" w:space="0"/>
              <w:bottom w:val="single" w:color="auto" w:sz="4" w:space="0"/>
              <w:right w:val="single" w:color="auto" w:sz="4" w:space="0"/>
            </w:tcBorders>
            <w:vAlign w:val="center"/>
          </w:tcPr>
          <w:p w14:paraId="3095882E">
            <w:pPr>
              <w:rPr>
                <w:rFonts w:ascii="宋体" w:hAnsi="宋体" w:eastAsia="宋体"/>
                <w:color w:val="auto"/>
                <w:sz w:val="24"/>
                <w:szCs w:val="24"/>
                <w:highlight w:val="none"/>
              </w:rPr>
            </w:pPr>
          </w:p>
        </w:tc>
        <w:tc>
          <w:tcPr>
            <w:tcW w:w="1814" w:type="dxa"/>
            <w:tcBorders>
              <w:top w:val="single" w:color="auto" w:sz="4" w:space="0"/>
              <w:left w:val="single" w:color="auto" w:sz="4" w:space="0"/>
              <w:bottom w:val="single" w:color="auto" w:sz="4" w:space="0"/>
              <w:right w:val="single" w:color="auto" w:sz="4" w:space="0"/>
            </w:tcBorders>
            <w:vAlign w:val="center"/>
          </w:tcPr>
          <w:p w14:paraId="32DEBE2E">
            <w:pPr>
              <w:rPr>
                <w:rFonts w:ascii="宋体" w:hAnsi="宋体" w:eastAsia="宋体"/>
                <w:color w:val="auto"/>
                <w:sz w:val="24"/>
                <w:szCs w:val="24"/>
                <w:highlight w:val="none"/>
              </w:rPr>
            </w:pPr>
          </w:p>
        </w:tc>
        <w:tc>
          <w:tcPr>
            <w:tcW w:w="1632" w:type="dxa"/>
            <w:tcBorders>
              <w:top w:val="single" w:color="auto" w:sz="4" w:space="0"/>
              <w:left w:val="single" w:color="auto" w:sz="4" w:space="0"/>
              <w:bottom w:val="single" w:color="auto" w:sz="4" w:space="0"/>
              <w:right w:val="single" w:color="auto" w:sz="4" w:space="0"/>
            </w:tcBorders>
            <w:vAlign w:val="center"/>
          </w:tcPr>
          <w:p w14:paraId="3F1F99AF">
            <w:pPr>
              <w:rPr>
                <w:rFonts w:ascii="宋体" w:hAnsi="宋体" w:eastAsia="宋体"/>
                <w:color w:val="auto"/>
                <w:sz w:val="24"/>
                <w:szCs w:val="24"/>
                <w:highlight w:val="none"/>
              </w:rPr>
            </w:pPr>
          </w:p>
        </w:tc>
        <w:tc>
          <w:tcPr>
            <w:tcW w:w="1619" w:type="dxa"/>
            <w:tcBorders>
              <w:top w:val="single" w:color="auto" w:sz="4" w:space="0"/>
              <w:left w:val="single" w:color="auto" w:sz="4" w:space="0"/>
              <w:bottom w:val="single" w:color="auto" w:sz="4" w:space="0"/>
              <w:right w:val="single" w:color="auto" w:sz="4" w:space="0"/>
            </w:tcBorders>
            <w:vAlign w:val="center"/>
          </w:tcPr>
          <w:p w14:paraId="73BFF324">
            <w:pPr>
              <w:rPr>
                <w:rFonts w:ascii="宋体" w:hAnsi="宋体" w:eastAsia="宋体"/>
                <w:color w:val="auto"/>
                <w:sz w:val="24"/>
                <w:szCs w:val="24"/>
                <w:highlight w:val="none"/>
              </w:rPr>
            </w:pPr>
          </w:p>
        </w:tc>
      </w:tr>
      <w:tr w14:paraId="145E6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381" w:type="dxa"/>
            <w:vMerge w:val="continue"/>
            <w:tcBorders>
              <w:top w:val="single" w:color="auto" w:sz="4" w:space="0"/>
              <w:left w:val="single" w:color="auto" w:sz="4" w:space="0"/>
              <w:bottom w:val="single" w:color="auto" w:sz="4" w:space="0"/>
              <w:right w:val="single" w:color="auto" w:sz="4" w:space="0"/>
            </w:tcBorders>
            <w:vAlign w:val="center"/>
          </w:tcPr>
          <w:p w14:paraId="0B3C41EA">
            <w:pPr>
              <w:widowControl/>
              <w:jc w:val="left"/>
              <w:rPr>
                <w:rFonts w:ascii="宋体" w:hAnsi="宋体" w:eastAsia="宋体"/>
                <w:color w:val="auto"/>
                <w:sz w:val="24"/>
                <w:szCs w:val="24"/>
                <w:highlight w:val="none"/>
              </w:rPr>
            </w:pPr>
          </w:p>
        </w:tc>
        <w:tc>
          <w:tcPr>
            <w:tcW w:w="1762" w:type="dxa"/>
            <w:tcBorders>
              <w:top w:val="single" w:color="auto" w:sz="4" w:space="0"/>
              <w:left w:val="single" w:color="auto" w:sz="4" w:space="0"/>
              <w:bottom w:val="single" w:color="auto" w:sz="4" w:space="0"/>
              <w:right w:val="single" w:color="auto" w:sz="4" w:space="0"/>
            </w:tcBorders>
            <w:vAlign w:val="center"/>
          </w:tcPr>
          <w:p w14:paraId="166B68B1">
            <w:pPr>
              <w:jc w:val="center"/>
              <w:rPr>
                <w:rFonts w:ascii="宋体" w:hAnsi="宋体" w:eastAsia="宋体"/>
                <w:color w:val="auto"/>
                <w:sz w:val="24"/>
                <w:szCs w:val="24"/>
                <w:highlight w:val="none"/>
              </w:rPr>
            </w:pPr>
          </w:p>
        </w:tc>
        <w:tc>
          <w:tcPr>
            <w:tcW w:w="1410" w:type="dxa"/>
            <w:tcBorders>
              <w:top w:val="single" w:color="auto" w:sz="4" w:space="0"/>
              <w:left w:val="single" w:color="auto" w:sz="4" w:space="0"/>
              <w:bottom w:val="single" w:color="auto" w:sz="4" w:space="0"/>
              <w:right w:val="single" w:color="auto" w:sz="4" w:space="0"/>
            </w:tcBorders>
            <w:vAlign w:val="center"/>
          </w:tcPr>
          <w:p w14:paraId="02B52B1F">
            <w:pPr>
              <w:rPr>
                <w:rFonts w:ascii="宋体" w:hAnsi="宋体" w:eastAsia="宋体"/>
                <w:color w:val="auto"/>
                <w:sz w:val="24"/>
                <w:szCs w:val="24"/>
                <w:highlight w:val="none"/>
              </w:rPr>
            </w:pPr>
          </w:p>
        </w:tc>
        <w:tc>
          <w:tcPr>
            <w:tcW w:w="1814" w:type="dxa"/>
            <w:tcBorders>
              <w:top w:val="single" w:color="auto" w:sz="4" w:space="0"/>
              <w:left w:val="single" w:color="auto" w:sz="4" w:space="0"/>
              <w:bottom w:val="single" w:color="auto" w:sz="4" w:space="0"/>
              <w:right w:val="single" w:color="auto" w:sz="4" w:space="0"/>
            </w:tcBorders>
            <w:vAlign w:val="center"/>
          </w:tcPr>
          <w:p w14:paraId="0CC79C10">
            <w:pPr>
              <w:rPr>
                <w:rFonts w:ascii="宋体" w:hAnsi="宋体" w:eastAsia="宋体"/>
                <w:color w:val="auto"/>
                <w:sz w:val="24"/>
                <w:szCs w:val="24"/>
                <w:highlight w:val="none"/>
              </w:rPr>
            </w:pPr>
          </w:p>
        </w:tc>
        <w:tc>
          <w:tcPr>
            <w:tcW w:w="1632" w:type="dxa"/>
            <w:tcBorders>
              <w:top w:val="single" w:color="auto" w:sz="4" w:space="0"/>
              <w:left w:val="single" w:color="auto" w:sz="4" w:space="0"/>
              <w:bottom w:val="single" w:color="auto" w:sz="4" w:space="0"/>
              <w:right w:val="single" w:color="auto" w:sz="4" w:space="0"/>
            </w:tcBorders>
            <w:vAlign w:val="center"/>
          </w:tcPr>
          <w:p w14:paraId="533D44D8">
            <w:pPr>
              <w:rPr>
                <w:rFonts w:ascii="宋体" w:hAnsi="宋体" w:eastAsia="宋体"/>
                <w:color w:val="auto"/>
                <w:sz w:val="24"/>
                <w:szCs w:val="24"/>
                <w:highlight w:val="none"/>
              </w:rPr>
            </w:pPr>
          </w:p>
        </w:tc>
        <w:tc>
          <w:tcPr>
            <w:tcW w:w="1619" w:type="dxa"/>
            <w:tcBorders>
              <w:top w:val="single" w:color="auto" w:sz="4" w:space="0"/>
              <w:left w:val="single" w:color="auto" w:sz="4" w:space="0"/>
              <w:bottom w:val="single" w:color="auto" w:sz="4" w:space="0"/>
              <w:right w:val="single" w:color="auto" w:sz="4" w:space="0"/>
            </w:tcBorders>
            <w:vAlign w:val="center"/>
          </w:tcPr>
          <w:p w14:paraId="2DD58774">
            <w:pPr>
              <w:rPr>
                <w:rFonts w:ascii="宋体" w:hAnsi="宋体" w:eastAsia="宋体"/>
                <w:color w:val="auto"/>
                <w:sz w:val="24"/>
                <w:szCs w:val="24"/>
                <w:highlight w:val="none"/>
              </w:rPr>
            </w:pPr>
          </w:p>
        </w:tc>
      </w:tr>
      <w:tr w14:paraId="48FE0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143" w:type="dxa"/>
            <w:gridSpan w:val="2"/>
            <w:tcBorders>
              <w:top w:val="single" w:color="auto" w:sz="4" w:space="0"/>
              <w:left w:val="single" w:color="auto" w:sz="4" w:space="0"/>
              <w:bottom w:val="single" w:color="auto" w:sz="4" w:space="0"/>
              <w:right w:val="single" w:color="auto" w:sz="4" w:space="0"/>
            </w:tcBorders>
            <w:vAlign w:val="center"/>
          </w:tcPr>
          <w:p w14:paraId="7A6D514A">
            <w:pPr>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其他</w:t>
            </w:r>
          </w:p>
        </w:tc>
        <w:tc>
          <w:tcPr>
            <w:tcW w:w="1410" w:type="dxa"/>
            <w:tcBorders>
              <w:top w:val="single" w:color="auto" w:sz="4" w:space="0"/>
              <w:left w:val="single" w:color="auto" w:sz="4" w:space="0"/>
              <w:bottom w:val="single" w:color="auto" w:sz="4" w:space="0"/>
              <w:right w:val="single" w:color="auto" w:sz="4" w:space="0"/>
            </w:tcBorders>
          </w:tcPr>
          <w:p w14:paraId="10727B32">
            <w:pPr>
              <w:rPr>
                <w:rFonts w:ascii="宋体" w:hAnsi="宋体" w:eastAsia="宋体"/>
                <w:color w:val="auto"/>
                <w:sz w:val="24"/>
                <w:szCs w:val="24"/>
                <w:highlight w:val="none"/>
              </w:rPr>
            </w:pPr>
          </w:p>
        </w:tc>
        <w:tc>
          <w:tcPr>
            <w:tcW w:w="1814" w:type="dxa"/>
            <w:tcBorders>
              <w:top w:val="single" w:color="auto" w:sz="4" w:space="0"/>
              <w:left w:val="single" w:color="auto" w:sz="4" w:space="0"/>
              <w:bottom w:val="single" w:color="auto" w:sz="4" w:space="0"/>
              <w:right w:val="single" w:color="auto" w:sz="4" w:space="0"/>
            </w:tcBorders>
            <w:vAlign w:val="center"/>
          </w:tcPr>
          <w:p w14:paraId="1CF79297">
            <w:pPr>
              <w:rPr>
                <w:rFonts w:ascii="宋体" w:hAnsi="宋体" w:eastAsia="宋体"/>
                <w:color w:val="auto"/>
                <w:sz w:val="24"/>
                <w:szCs w:val="24"/>
                <w:highlight w:val="none"/>
              </w:rPr>
            </w:pPr>
          </w:p>
        </w:tc>
        <w:tc>
          <w:tcPr>
            <w:tcW w:w="1632" w:type="dxa"/>
            <w:tcBorders>
              <w:top w:val="single" w:color="auto" w:sz="4" w:space="0"/>
              <w:left w:val="single" w:color="auto" w:sz="4" w:space="0"/>
              <w:bottom w:val="single" w:color="auto" w:sz="4" w:space="0"/>
              <w:right w:val="single" w:color="auto" w:sz="4" w:space="0"/>
            </w:tcBorders>
            <w:vAlign w:val="center"/>
          </w:tcPr>
          <w:p w14:paraId="423C0BF0">
            <w:pPr>
              <w:rPr>
                <w:rFonts w:ascii="宋体" w:hAnsi="宋体" w:eastAsia="宋体"/>
                <w:color w:val="auto"/>
                <w:sz w:val="24"/>
                <w:szCs w:val="24"/>
                <w:highlight w:val="none"/>
              </w:rPr>
            </w:pPr>
          </w:p>
        </w:tc>
        <w:tc>
          <w:tcPr>
            <w:tcW w:w="1619" w:type="dxa"/>
            <w:tcBorders>
              <w:top w:val="single" w:color="auto" w:sz="4" w:space="0"/>
              <w:left w:val="single" w:color="auto" w:sz="4" w:space="0"/>
              <w:bottom w:val="single" w:color="auto" w:sz="4" w:space="0"/>
              <w:right w:val="single" w:color="auto" w:sz="4" w:space="0"/>
            </w:tcBorders>
            <w:vAlign w:val="center"/>
          </w:tcPr>
          <w:p w14:paraId="6329BE68">
            <w:pPr>
              <w:rPr>
                <w:rFonts w:ascii="宋体" w:hAnsi="宋体" w:eastAsia="宋体"/>
                <w:color w:val="auto"/>
                <w:sz w:val="24"/>
                <w:szCs w:val="24"/>
                <w:highlight w:val="none"/>
              </w:rPr>
            </w:pPr>
          </w:p>
        </w:tc>
      </w:tr>
    </w:tbl>
    <w:p w14:paraId="61674453">
      <w:pPr>
        <w:topLinePunct/>
        <w:spacing w:line="271" w:lineRule="auto"/>
        <w:ind w:firstLine="496" w:firstLineChars="200"/>
        <w:rPr>
          <w:rFonts w:ascii="宋体" w:hAnsi="宋体" w:eastAsia="宋体"/>
          <w:color w:val="auto"/>
          <w:spacing w:val="4"/>
          <w:sz w:val="24"/>
          <w:szCs w:val="24"/>
          <w:highlight w:val="none"/>
        </w:rPr>
      </w:pPr>
      <w:r>
        <w:rPr>
          <w:rFonts w:hint="eastAsia" w:ascii="宋体" w:hAnsi="宋体" w:eastAsia="宋体"/>
          <w:color w:val="auto"/>
          <w:spacing w:val="4"/>
          <w:sz w:val="24"/>
          <w:szCs w:val="24"/>
          <w:highlight w:val="none"/>
        </w:rPr>
        <w:t>备注：1、如投标人中标，招标人将据此清单与中标的监理单位核查进场的监理设施。</w:t>
      </w:r>
    </w:p>
    <w:p w14:paraId="6CFC00D7">
      <w:pPr>
        <w:topLinePunct/>
        <w:spacing w:line="271" w:lineRule="auto"/>
        <w:ind w:firstLine="620" w:firstLineChars="250"/>
        <w:rPr>
          <w:rFonts w:ascii="宋体" w:hAnsi="宋体" w:eastAsia="宋体"/>
          <w:color w:val="auto"/>
          <w:spacing w:val="4"/>
          <w:sz w:val="24"/>
          <w:szCs w:val="24"/>
          <w:highlight w:val="none"/>
        </w:rPr>
      </w:pPr>
      <w:r>
        <w:rPr>
          <w:rFonts w:hint="eastAsia" w:ascii="宋体" w:hAnsi="宋体" w:eastAsia="宋体"/>
          <w:color w:val="auto"/>
          <w:spacing w:val="4"/>
          <w:sz w:val="24"/>
          <w:szCs w:val="24"/>
          <w:highlight w:val="none"/>
        </w:rPr>
        <w:t>2、投标人可自行补充其他拟投入本项目的监理设施，以及委托有关单位进行检测的协议。</w:t>
      </w:r>
    </w:p>
    <w:p w14:paraId="344C3C5E">
      <w:pPr>
        <w:topLinePunct/>
        <w:spacing w:line="360" w:lineRule="auto"/>
        <w:ind w:firstLine="496" w:firstLineChars="200"/>
        <w:rPr>
          <w:rFonts w:ascii="宋体" w:hAnsi="宋体" w:eastAsia="宋体"/>
          <w:color w:val="auto"/>
          <w:spacing w:val="4"/>
          <w:sz w:val="24"/>
          <w:szCs w:val="24"/>
          <w:highlight w:val="none"/>
        </w:rPr>
      </w:pPr>
    </w:p>
    <w:p w14:paraId="77ECBB5F">
      <w:pPr>
        <w:spacing w:line="360" w:lineRule="auto"/>
        <w:ind w:firstLine="3120" w:firstLineChars="1300"/>
        <w:jc w:val="left"/>
        <w:rPr>
          <w:rFonts w:ascii="宋体" w:hAnsi="宋体" w:eastAsia="宋体"/>
          <w:color w:val="auto"/>
          <w:sz w:val="24"/>
          <w:highlight w:val="none"/>
        </w:rPr>
      </w:pPr>
      <w:r>
        <w:rPr>
          <w:rFonts w:hint="eastAsia" w:ascii="宋体" w:hAnsi="宋体" w:eastAsia="宋体"/>
          <w:color w:val="auto"/>
          <w:sz w:val="24"/>
          <w:highlight w:val="none"/>
        </w:rPr>
        <w:t>投标人：</w:t>
      </w:r>
      <w:r>
        <w:rPr>
          <w:rFonts w:hint="eastAsia" w:ascii="宋体" w:hAnsi="宋体" w:eastAsia="宋体"/>
          <w:color w:val="auto"/>
          <w:sz w:val="24"/>
          <w:highlight w:val="none"/>
          <w:u w:val="single"/>
        </w:rPr>
        <w:tab/>
      </w:r>
      <w:r>
        <w:rPr>
          <w:rFonts w:hint="eastAsia" w:ascii="宋体" w:hAnsi="宋体" w:eastAsia="宋体"/>
          <w:color w:val="auto"/>
          <w:sz w:val="24"/>
          <w:highlight w:val="none"/>
        </w:rPr>
        <w:t>（盖单位章）</w:t>
      </w:r>
    </w:p>
    <w:p w14:paraId="36B5719B">
      <w:pPr>
        <w:spacing w:line="360" w:lineRule="auto"/>
        <w:ind w:firstLine="3120" w:firstLineChars="1300"/>
        <w:jc w:val="left"/>
        <w:rPr>
          <w:rFonts w:ascii="宋体" w:hAnsi="宋体" w:eastAsia="宋体"/>
          <w:color w:val="auto"/>
          <w:sz w:val="24"/>
          <w:highlight w:val="none"/>
        </w:rPr>
      </w:pPr>
      <w:r>
        <w:rPr>
          <w:rFonts w:hint="eastAsia" w:ascii="宋体" w:hAnsi="宋体" w:eastAsia="宋体"/>
          <w:color w:val="auto"/>
          <w:sz w:val="24"/>
          <w:highlight w:val="none"/>
        </w:rPr>
        <w:t>法定代表人或其委托代理人：</w:t>
      </w:r>
      <w:r>
        <w:rPr>
          <w:rFonts w:hint="eastAsia" w:ascii="宋体" w:hAnsi="宋体" w:eastAsia="宋体"/>
          <w:color w:val="auto"/>
          <w:sz w:val="24"/>
          <w:highlight w:val="none"/>
          <w:u w:val="single"/>
          <w:lang w:val="en-US" w:eastAsia="zh-CN"/>
        </w:rPr>
        <w:t xml:space="preserve">  </w:t>
      </w:r>
      <w:r>
        <w:rPr>
          <w:rFonts w:hint="eastAsia" w:ascii="宋体" w:hAnsi="宋体" w:eastAsia="宋体"/>
          <w:color w:val="auto"/>
          <w:sz w:val="24"/>
          <w:highlight w:val="none"/>
        </w:rPr>
        <w:t>（签字或盖章）</w:t>
      </w:r>
    </w:p>
    <w:p w14:paraId="7B552745">
      <w:pPr>
        <w:wordWrap w:val="0"/>
        <w:spacing w:line="360" w:lineRule="auto"/>
        <w:ind w:firstLine="5400" w:firstLineChars="2250"/>
        <w:jc w:val="right"/>
        <w:rPr>
          <w:rFonts w:ascii="宋体" w:hAnsi="宋体" w:eastAsia="宋体"/>
          <w:color w:val="auto"/>
          <w:sz w:val="24"/>
          <w:highlight w:val="none"/>
        </w:rPr>
      </w:pPr>
      <w:r>
        <w:rPr>
          <w:rFonts w:hint="eastAsia" w:ascii="宋体" w:hAnsi="宋体" w:eastAsia="宋体"/>
          <w:color w:val="auto"/>
          <w:sz w:val="24"/>
          <w:highlight w:val="none"/>
        </w:rPr>
        <w:t xml:space="preserve">   年    月    日</w:t>
      </w:r>
    </w:p>
    <w:p w14:paraId="5E5BDC6B">
      <w:pPr>
        <w:spacing w:line="480" w:lineRule="auto"/>
        <w:rPr>
          <w:rFonts w:hint="default"/>
          <w:color w:val="auto"/>
          <w:highlight w:val="none"/>
          <w:lang w:val="en-US"/>
        </w:rPr>
      </w:pPr>
    </w:p>
    <w:p w14:paraId="539100FB">
      <w:pPr>
        <w:pStyle w:val="7"/>
        <w:spacing w:before="0" w:after="0" w:line="360" w:lineRule="auto"/>
        <w:jc w:val="center"/>
        <w:outlineLvl w:val="2"/>
        <w:rPr>
          <w:rFonts w:ascii="宋体" w:hAnsi="宋体" w:eastAsia="宋体"/>
          <w:color w:val="auto"/>
          <w:sz w:val="30"/>
          <w:szCs w:val="30"/>
          <w:highlight w:val="none"/>
        </w:rPr>
      </w:pPr>
      <w:r>
        <w:rPr>
          <w:rFonts w:hint="eastAsia" w:ascii="宋体" w:hAnsi="宋体" w:eastAsia="宋体"/>
          <w:color w:val="auto"/>
          <w:sz w:val="30"/>
          <w:szCs w:val="30"/>
          <w:highlight w:val="none"/>
          <w:lang w:eastAsia="zh-CN"/>
        </w:rPr>
        <w:t>（</w:t>
      </w:r>
      <w:r>
        <w:rPr>
          <w:rFonts w:hint="eastAsia" w:ascii="宋体" w:hAnsi="宋体" w:eastAsia="宋体"/>
          <w:color w:val="auto"/>
          <w:sz w:val="30"/>
          <w:szCs w:val="30"/>
          <w:highlight w:val="none"/>
          <w:lang w:val="en-US" w:eastAsia="zh-CN"/>
        </w:rPr>
        <w:t>二</w:t>
      </w:r>
      <w:r>
        <w:rPr>
          <w:rFonts w:hint="eastAsia" w:ascii="宋体" w:hAnsi="宋体" w:eastAsia="宋体"/>
          <w:color w:val="auto"/>
          <w:sz w:val="30"/>
          <w:szCs w:val="30"/>
          <w:highlight w:val="none"/>
          <w:lang w:eastAsia="zh-CN"/>
        </w:rPr>
        <w:t>）</w:t>
      </w:r>
      <w:r>
        <w:rPr>
          <w:rFonts w:hint="eastAsia" w:ascii="宋体" w:hAnsi="宋体" w:eastAsia="宋体"/>
          <w:color w:val="auto"/>
          <w:sz w:val="30"/>
          <w:szCs w:val="30"/>
          <w:highlight w:val="none"/>
        </w:rPr>
        <w:t>投标人认为需要提供的资料（如有）</w:t>
      </w:r>
    </w:p>
    <w:bookmarkEnd w:id="687"/>
    <w:bookmarkEnd w:id="688"/>
    <w:bookmarkEnd w:id="689"/>
    <w:p w14:paraId="5D0CAC3D">
      <w:pPr>
        <w:rPr>
          <w:rFonts w:ascii="宋体" w:hAnsi="宋体" w:eastAsia="宋体"/>
          <w:color w:val="auto"/>
          <w:highlight w:val="none"/>
        </w:rPr>
      </w:pPr>
    </w:p>
    <w:p w14:paraId="09033280">
      <w:pPr>
        <w:rPr>
          <w:rFonts w:ascii="宋体" w:hAnsi="宋体" w:eastAsia="宋体"/>
          <w:color w:val="auto"/>
          <w:highlight w:val="none"/>
        </w:rPr>
      </w:pPr>
    </w:p>
    <w:p w14:paraId="586D66CB">
      <w:pPr>
        <w:rPr>
          <w:rFonts w:ascii="宋体" w:hAnsi="宋体" w:eastAsia="宋体"/>
          <w:color w:val="auto"/>
          <w:highlight w:val="none"/>
        </w:rPr>
      </w:pPr>
    </w:p>
    <w:p w14:paraId="317C005E">
      <w:pPr>
        <w:rPr>
          <w:rFonts w:ascii="宋体" w:hAnsi="宋体" w:eastAsia="宋体"/>
          <w:color w:val="auto"/>
          <w:highlight w:val="none"/>
        </w:rPr>
      </w:pPr>
    </w:p>
    <w:p w14:paraId="1B68273B">
      <w:pPr>
        <w:rPr>
          <w:rFonts w:ascii="宋体" w:hAnsi="宋体" w:eastAsia="宋体"/>
          <w:color w:val="auto"/>
          <w:highlight w:val="none"/>
        </w:rPr>
      </w:pPr>
    </w:p>
    <w:sectPr>
      <w:pgSz w:w="12240" w:h="15840"/>
      <w:pgMar w:top="1304" w:right="1417" w:bottom="1304" w:left="1417" w:header="680" w:footer="680" w:gutter="0"/>
      <w:pgBorders>
        <w:top w:val="none" w:sz="0" w:space="0"/>
        <w:left w:val="none" w:sz="0" w:space="0"/>
        <w:bottom w:val="none" w:sz="0" w:space="0"/>
        <w:right w:val="none" w:sz="0" w:space="0"/>
      </w:pgBorders>
      <w:cols w:space="0" w:num="1"/>
      <w:rtlGutter w:val="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onsolas">
    <w:panose1 w:val="020B0609020204030204"/>
    <w:charset w:val="00"/>
    <w:family w:val="modern"/>
    <w:pitch w:val="default"/>
    <w:sig w:usb0="E00006FF" w:usb1="0000FCFF" w:usb2="00000001" w:usb3="00000000" w:csb0="6000019F" w:csb1="DFD70000"/>
  </w:font>
  <w:font w:name="Cambria">
    <w:panose1 w:val="02040503050406030204"/>
    <w:charset w:val="00"/>
    <w:family w:val="roman"/>
    <w:pitch w:val="default"/>
    <w:sig w:usb0="E00006FF" w:usb1="420024FF" w:usb2="0200000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华文细黑">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21762978"/>
    </w:sdtPr>
    <w:sdtContent>
      <w:p w14:paraId="0CE15A8D">
        <w:pPr>
          <w:pStyle w:val="26"/>
          <w:jc w:val="center"/>
        </w:pPr>
        <w:r>
          <w:fldChar w:fldCharType="begin"/>
        </w:r>
        <w:r>
          <w:instrText xml:space="preserve">PAGE   \* MERGEFORMAT</w:instrText>
        </w:r>
        <w:r>
          <w:fldChar w:fldCharType="separate"/>
        </w:r>
        <w:r>
          <w:rPr>
            <w:lang w:val="zh-CN"/>
          </w:rPr>
          <w:t>25</w:t>
        </w:r>
        <w:r>
          <w:fldChar w:fldCharType="end"/>
        </w:r>
      </w:p>
    </w:sdtContent>
  </w:sdt>
  <w:p w14:paraId="431BD47B">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DDA0A">
    <w:pPr>
      <w:pStyle w:val="26"/>
      <w:jc w:val="center"/>
      <w:rPr>
        <w:rFonts w:hint="eastAsia" w:ascii="宋体" w:hAnsi="宋体" w:eastAsia="宋体" w:cs="宋体"/>
        <w:sz w:val="18"/>
        <w:szCs w:val="18"/>
      </w:rPr>
    </w:pP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PAGE   \* MERGEFORMAT</w:instrText>
    </w:r>
    <w:r>
      <w:rPr>
        <w:rFonts w:hint="eastAsia" w:ascii="宋体" w:hAnsi="宋体" w:eastAsia="宋体" w:cs="宋体"/>
        <w:sz w:val="18"/>
        <w:szCs w:val="18"/>
      </w:rPr>
      <w:fldChar w:fldCharType="separate"/>
    </w:r>
    <w:r>
      <w:rPr>
        <w:rFonts w:hint="eastAsia" w:ascii="宋体" w:hAnsi="宋体" w:eastAsia="宋体" w:cs="宋体"/>
        <w:sz w:val="18"/>
        <w:szCs w:val="18"/>
        <w:lang w:val="zh-CN"/>
      </w:rPr>
      <w:t>4</w:t>
    </w:r>
    <w:r>
      <w:rPr>
        <w:rFonts w:hint="eastAsia" w:ascii="宋体" w:hAnsi="宋体" w:eastAsia="宋体" w:cs="宋体"/>
        <w:sz w:val="18"/>
        <w:szCs w:val="18"/>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53C7A">
    <w:pPr>
      <w:pStyle w:val="26"/>
      <w:framePr w:wrap="around" w:vAnchor="text" w:hAnchor="margin" w:xAlign="center" w:y="1"/>
      <w:rPr>
        <w:rStyle w:val="50"/>
      </w:rPr>
    </w:pPr>
    <w:r>
      <w:fldChar w:fldCharType="begin"/>
    </w:r>
    <w:r>
      <w:rPr>
        <w:rStyle w:val="50"/>
      </w:rPr>
      <w:instrText xml:space="preserve">PAGE  </w:instrText>
    </w:r>
    <w:r>
      <w:fldChar w:fldCharType="separate"/>
    </w:r>
    <w:r>
      <w:rPr>
        <w:rStyle w:val="50"/>
      </w:rPr>
      <w:t>1</w:t>
    </w:r>
    <w:r>
      <w:fldChar w:fldCharType="end"/>
    </w:r>
  </w:p>
  <w:p w14:paraId="4AE11892">
    <w:pPr>
      <w:pStyle w:val="2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6EBBE">
    <w:pPr>
      <w:pStyle w:val="2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DA2FF">
    <w:pPr>
      <w:pStyle w:val="28"/>
      <w:pBdr>
        <w:bottom w:val="none" w:color="auto" w:sz="0" w:space="1"/>
      </w:pBdr>
      <w:tabs>
        <w:tab w:val="left" w:pos="2880"/>
        <w:tab w:val="right" w:pos="9412"/>
        <w:tab w:val="clear" w:pos="8306"/>
      </w:tabs>
      <w:jc w:val="right"/>
      <w:rPr>
        <w:rFonts w:ascii="宋体" w:hAnsi="宋体" w:cs="楷体_GB231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13F5C">
    <w:pPr>
      <w:pStyle w:val="28"/>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0"/>
    <w:multiLevelType w:val="multilevel"/>
    <w:tmpl w:val="00000020"/>
    <w:lvl w:ilvl="0" w:tentative="0">
      <w:start w:val="1"/>
      <w:numFmt w:val="decimal"/>
      <w:lvlText w:val="%1、"/>
      <w:lvlJc w:val="left"/>
      <w:pPr>
        <w:tabs>
          <w:tab w:val="left" w:pos="930"/>
        </w:tabs>
        <w:ind w:left="930" w:hanging="360"/>
      </w:pPr>
      <w:rPr>
        <w:rFonts w:hint="default"/>
      </w:rPr>
    </w:lvl>
    <w:lvl w:ilvl="1" w:tentative="0">
      <w:start w:val="1"/>
      <w:numFmt w:val="lowerLetter"/>
      <w:lvlText w:val="%2)"/>
      <w:lvlJc w:val="left"/>
      <w:pPr>
        <w:tabs>
          <w:tab w:val="left" w:pos="1410"/>
        </w:tabs>
        <w:ind w:left="1410" w:hanging="420"/>
      </w:pPr>
    </w:lvl>
    <w:lvl w:ilvl="2" w:tentative="0">
      <w:start w:val="1"/>
      <w:numFmt w:val="lowerRoman"/>
      <w:lvlText w:val="%3."/>
      <w:lvlJc w:val="right"/>
      <w:pPr>
        <w:tabs>
          <w:tab w:val="left" w:pos="1830"/>
        </w:tabs>
        <w:ind w:left="1830" w:hanging="420"/>
      </w:pPr>
    </w:lvl>
    <w:lvl w:ilvl="3" w:tentative="0">
      <w:start w:val="1"/>
      <w:numFmt w:val="decimal"/>
      <w:lvlText w:val="%4."/>
      <w:lvlJc w:val="left"/>
      <w:pPr>
        <w:tabs>
          <w:tab w:val="left" w:pos="2250"/>
        </w:tabs>
        <w:ind w:left="2250" w:hanging="420"/>
      </w:pPr>
    </w:lvl>
    <w:lvl w:ilvl="4" w:tentative="0">
      <w:start w:val="1"/>
      <w:numFmt w:val="lowerLetter"/>
      <w:lvlText w:val="%5)"/>
      <w:lvlJc w:val="left"/>
      <w:pPr>
        <w:tabs>
          <w:tab w:val="left" w:pos="2670"/>
        </w:tabs>
        <w:ind w:left="2670" w:hanging="420"/>
      </w:pPr>
    </w:lvl>
    <w:lvl w:ilvl="5" w:tentative="0">
      <w:start w:val="1"/>
      <w:numFmt w:val="lowerRoman"/>
      <w:lvlText w:val="%6."/>
      <w:lvlJc w:val="right"/>
      <w:pPr>
        <w:tabs>
          <w:tab w:val="left" w:pos="3090"/>
        </w:tabs>
        <w:ind w:left="3090" w:hanging="420"/>
      </w:pPr>
    </w:lvl>
    <w:lvl w:ilvl="6" w:tentative="0">
      <w:start w:val="1"/>
      <w:numFmt w:val="decimal"/>
      <w:lvlText w:val="%7."/>
      <w:lvlJc w:val="left"/>
      <w:pPr>
        <w:tabs>
          <w:tab w:val="left" w:pos="3510"/>
        </w:tabs>
        <w:ind w:left="3510" w:hanging="420"/>
      </w:pPr>
    </w:lvl>
    <w:lvl w:ilvl="7" w:tentative="0">
      <w:start w:val="1"/>
      <w:numFmt w:val="lowerLetter"/>
      <w:lvlText w:val="%8)"/>
      <w:lvlJc w:val="left"/>
      <w:pPr>
        <w:tabs>
          <w:tab w:val="left" w:pos="3930"/>
        </w:tabs>
        <w:ind w:left="3930" w:hanging="420"/>
      </w:pPr>
    </w:lvl>
    <w:lvl w:ilvl="8" w:tentative="0">
      <w:start w:val="1"/>
      <w:numFmt w:val="lowerRoman"/>
      <w:lvlText w:val="%9."/>
      <w:lvlJc w:val="right"/>
      <w:pPr>
        <w:tabs>
          <w:tab w:val="left" w:pos="4350"/>
        </w:tabs>
        <w:ind w:left="4350" w:hanging="420"/>
      </w:pPr>
    </w:lvl>
  </w:abstractNum>
  <w:abstractNum w:abstractNumId="1">
    <w:nsid w:val="1DA8AB76"/>
    <w:multiLevelType w:val="singleLevel"/>
    <w:tmpl w:val="1DA8AB76"/>
    <w:lvl w:ilvl="0" w:tentative="0">
      <w:start w:val="4"/>
      <w:numFmt w:val="chineseCounting"/>
      <w:suff w:val="space"/>
      <w:lvlText w:val="第%1部分"/>
      <w:lvlJc w:val="left"/>
      <w:rPr>
        <w:rFonts w:hint="eastAsia"/>
      </w:rPr>
    </w:lvl>
  </w:abstractNum>
  <w:abstractNum w:abstractNumId="2">
    <w:nsid w:val="3CA2B473"/>
    <w:multiLevelType w:val="singleLevel"/>
    <w:tmpl w:val="3CA2B473"/>
    <w:lvl w:ilvl="0" w:tentative="0">
      <w:start w:val="1"/>
      <w:numFmt w:val="upperLetter"/>
      <w:suff w:val="nothing"/>
      <w:lvlText w:val="%1、"/>
      <w:lvlJc w:val="left"/>
    </w:lvl>
  </w:abstractNum>
  <w:abstractNum w:abstractNumId="3">
    <w:nsid w:val="4EAC5494"/>
    <w:multiLevelType w:val="multilevel"/>
    <w:tmpl w:val="4EAC5494"/>
    <w:lvl w:ilvl="0" w:tentative="0">
      <w:start w:val="1"/>
      <w:numFmt w:val="decimal"/>
      <w:lvlText w:val="%1、"/>
      <w:lvlJc w:val="left"/>
      <w:pPr>
        <w:ind w:left="400" w:hanging="360"/>
      </w:pPr>
      <w:rPr>
        <w:rFonts w:hint="default"/>
      </w:rPr>
    </w:lvl>
    <w:lvl w:ilvl="1" w:tentative="0">
      <w:start w:val="1"/>
      <w:numFmt w:val="lowerLetter"/>
      <w:lvlText w:val="%2)"/>
      <w:lvlJc w:val="left"/>
      <w:pPr>
        <w:ind w:left="880" w:hanging="420"/>
      </w:pPr>
    </w:lvl>
    <w:lvl w:ilvl="2" w:tentative="0">
      <w:start w:val="1"/>
      <w:numFmt w:val="lowerRoman"/>
      <w:lvlText w:val="%3."/>
      <w:lvlJc w:val="right"/>
      <w:pPr>
        <w:ind w:left="1300" w:hanging="420"/>
      </w:pPr>
    </w:lvl>
    <w:lvl w:ilvl="3" w:tentative="0">
      <w:start w:val="1"/>
      <w:numFmt w:val="decimal"/>
      <w:lvlText w:val="%4."/>
      <w:lvlJc w:val="left"/>
      <w:pPr>
        <w:ind w:left="1720" w:hanging="420"/>
      </w:pPr>
    </w:lvl>
    <w:lvl w:ilvl="4" w:tentative="0">
      <w:start w:val="1"/>
      <w:numFmt w:val="lowerLetter"/>
      <w:lvlText w:val="%5)"/>
      <w:lvlJc w:val="left"/>
      <w:pPr>
        <w:ind w:left="2140" w:hanging="420"/>
      </w:pPr>
    </w:lvl>
    <w:lvl w:ilvl="5" w:tentative="0">
      <w:start w:val="1"/>
      <w:numFmt w:val="lowerRoman"/>
      <w:lvlText w:val="%6."/>
      <w:lvlJc w:val="right"/>
      <w:pPr>
        <w:ind w:left="2560" w:hanging="420"/>
      </w:pPr>
    </w:lvl>
    <w:lvl w:ilvl="6" w:tentative="0">
      <w:start w:val="1"/>
      <w:numFmt w:val="decimal"/>
      <w:lvlText w:val="%7."/>
      <w:lvlJc w:val="left"/>
      <w:pPr>
        <w:ind w:left="2980" w:hanging="420"/>
      </w:pPr>
    </w:lvl>
    <w:lvl w:ilvl="7" w:tentative="0">
      <w:start w:val="1"/>
      <w:numFmt w:val="lowerLetter"/>
      <w:lvlText w:val="%8)"/>
      <w:lvlJc w:val="left"/>
      <w:pPr>
        <w:ind w:left="3400" w:hanging="420"/>
      </w:pPr>
    </w:lvl>
    <w:lvl w:ilvl="8" w:tentative="0">
      <w:start w:val="1"/>
      <w:numFmt w:val="lowerRoman"/>
      <w:lvlText w:val="%9."/>
      <w:lvlJc w:val="right"/>
      <w:pPr>
        <w:ind w:left="3820" w:hanging="420"/>
      </w:pPr>
    </w:lvl>
  </w:abstractNum>
  <w:abstractNum w:abstractNumId="4">
    <w:nsid w:val="7E9C7D28"/>
    <w:multiLevelType w:val="multilevel"/>
    <w:tmpl w:val="7E9C7D28"/>
    <w:lvl w:ilvl="0" w:tentative="0">
      <w:start w:val="1"/>
      <w:numFmt w:val="japaneseCounting"/>
      <w:lvlText w:val="第%1章"/>
      <w:lvlJc w:val="left"/>
      <w:pPr>
        <w:ind w:left="1545" w:hanging="154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trackedChanges" w:enforcement="0"/>
  <w:defaultTabStop w:val="420"/>
  <w:drawingGridHorizontalSpacing w:val="210"/>
  <w:drawingGridVerticalSpacing w:val="999999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RmMmUyMGEyNGFiYWFhNjlmY2Q0ZjI5ZmY1MWI1ZDcifQ=="/>
  </w:docVars>
  <w:rsids>
    <w:rsidRoot w:val="00075138"/>
    <w:rsid w:val="0003481F"/>
    <w:rsid w:val="00075138"/>
    <w:rsid w:val="000A4C77"/>
    <w:rsid w:val="00157FF6"/>
    <w:rsid w:val="00197EA0"/>
    <w:rsid w:val="0027159B"/>
    <w:rsid w:val="002A0576"/>
    <w:rsid w:val="002F2022"/>
    <w:rsid w:val="003969D8"/>
    <w:rsid w:val="003C71C8"/>
    <w:rsid w:val="0041046A"/>
    <w:rsid w:val="008E1175"/>
    <w:rsid w:val="00B43FF2"/>
    <w:rsid w:val="00BE0E1C"/>
    <w:rsid w:val="00C23238"/>
    <w:rsid w:val="0165156F"/>
    <w:rsid w:val="02396669"/>
    <w:rsid w:val="02882099"/>
    <w:rsid w:val="02AF79D6"/>
    <w:rsid w:val="04104A02"/>
    <w:rsid w:val="04AA3DA4"/>
    <w:rsid w:val="051C48BD"/>
    <w:rsid w:val="057817B9"/>
    <w:rsid w:val="058A4588"/>
    <w:rsid w:val="05996B20"/>
    <w:rsid w:val="069D59BE"/>
    <w:rsid w:val="07564551"/>
    <w:rsid w:val="0791223D"/>
    <w:rsid w:val="080C7996"/>
    <w:rsid w:val="083E0E8F"/>
    <w:rsid w:val="092E4DC1"/>
    <w:rsid w:val="093846A7"/>
    <w:rsid w:val="098F139D"/>
    <w:rsid w:val="099708AD"/>
    <w:rsid w:val="0A672732"/>
    <w:rsid w:val="0ABA09BB"/>
    <w:rsid w:val="0B6676A8"/>
    <w:rsid w:val="0C675732"/>
    <w:rsid w:val="0C9871F7"/>
    <w:rsid w:val="0DF748F5"/>
    <w:rsid w:val="0E8F509C"/>
    <w:rsid w:val="0EDA1591"/>
    <w:rsid w:val="0EEE2640"/>
    <w:rsid w:val="0F877364"/>
    <w:rsid w:val="0FB77593"/>
    <w:rsid w:val="0FBC42B2"/>
    <w:rsid w:val="0FD93D03"/>
    <w:rsid w:val="108C5FF3"/>
    <w:rsid w:val="10EF574B"/>
    <w:rsid w:val="11527EFA"/>
    <w:rsid w:val="11DF42EF"/>
    <w:rsid w:val="12C2742B"/>
    <w:rsid w:val="13497F17"/>
    <w:rsid w:val="145A4268"/>
    <w:rsid w:val="14FE143A"/>
    <w:rsid w:val="15A80D18"/>
    <w:rsid w:val="165256AA"/>
    <w:rsid w:val="167D4D4B"/>
    <w:rsid w:val="16CA4564"/>
    <w:rsid w:val="16E63C7C"/>
    <w:rsid w:val="173A513E"/>
    <w:rsid w:val="17854077"/>
    <w:rsid w:val="17E04A57"/>
    <w:rsid w:val="1A0B1D91"/>
    <w:rsid w:val="1D0017BF"/>
    <w:rsid w:val="1DB45D52"/>
    <w:rsid w:val="1E181914"/>
    <w:rsid w:val="1E3464EF"/>
    <w:rsid w:val="1E492F16"/>
    <w:rsid w:val="1FA82412"/>
    <w:rsid w:val="20D44AE5"/>
    <w:rsid w:val="212A4448"/>
    <w:rsid w:val="219D575D"/>
    <w:rsid w:val="220F4F71"/>
    <w:rsid w:val="23C67966"/>
    <w:rsid w:val="24561911"/>
    <w:rsid w:val="24A81277"/>
    <w:rsid w:val="252F1EE6"/>
    <w:rsid w:val="2829003C"/>
    <w:rsid w:val="284B6FA9"/>
    <w:rsid w:val="28AF344A"/>
    <w:rsid w:val="290F4C03"/>
    <w:rsid w:val="29E93CB6"/>
    <w:rsid w:val="2B08605D"/>
    <w:rsid w:val="2C3342E6"/>
    <w:rsid w:val="2D4E41BC"/>
    <w:rsid w:val="306B0306"/>
    <w:rsid w:val="308274A3"/>
    <w:rsid w:val="314F24FD"/>
    <w:rsid w:val="31FA033E"/>
    <w:rsid w:val="31FB5CA1"/>
    <w:rsid w:val="32746CF2"/>
    <w:rsid w:val="330019CA"/>
    <w:rsid w:val="332D14BD"/>
    <w:rsid w:val="34654306"/>
    <w:rsid w:val="35743968"/>
    <w:rsid w:val="36013D27"/>
    <w:rsid w:val="36916500"/>
    <w:rsid w:val="373D01CE"/>
    <w:rsid w:val="37B90861"/>
    <w:rsid w:val="38310396"/>
    <w:rsid w:val="3883457B"/>
    <w:rsid w:val="397612F6"/>
    <w:rsid w:val="3A7638F2"/>
    <w:rsid w:val="3A7A21D8"/>
    <w:rsid w:val="3AA1413F"/>
    <w:rsid w:val="3AB43F19"/>
    <w:rsid w:val="3ADB44C6"/>
    <w:rsid w:val="3B9610DE"/>
    <w:rsid w:val="3BE45040"/>
    <w:rsid w:val="3C0607D5"/>
    <w:rsid w:val="3C7E7BFE"/>
    <w:rsid w:val="3D2B867C"/>
    <w:rsid w:val="3D2E476F"/>
    <w:rsid w:val="3DEC0798"/>
    <w:rsid w:val="3E8B76CE"/>
    <w:rsid w:val="3EE62C1D"/>
    <w:rsid w:val="3F6F4027"/>
    <w:rsid w:val="3FE83E02"/>
    <w:rsid w:val="40603D72"/>
    <w:rsid w:val="41432C17"/>
    <w:rsid w:val="41950B95"/>
    <w:rsid w:val="41E90D2E"/>
    <w:rsid w:val="42C80F1A"/>
    <w:rsid w:val="42F84C1A"/>
    <w:rsid w:val="430A6175"/>
    <w:rsid w:val="43346BC1"/>
    <w:rsid w:val="438F3164"/>
    <w:rsid w:val="44872BCB"/>
    <w:rsid w:val="452D4591"/>
    <w:rsid w:val="45470921"/>
    <w:rsid w:val="45BB49F3"/>
    <w:rsid w:val="45EF524D"/>
    <w:rsid w:val="46242D06"/>
    <w:rsid w:val="46642629"/>
    <w:rsid w:val="46B502C1"/>
    <w:rsid w:val="46E5170A"/>
    <w:rsid w:val="47901D79"/>
    <w:rsid w:val="47EA653E"/>
    <w:rsid w:val="47F63472"/>
    <w:rsid w:val="48D31AD9"/>
    <w:rsid w:val="492D5DD3"/>
    <w:rsid w:val="492E62AD"/>
    <w:rsid w:val="49951CE4"/>
    <w:rsid w:val="4A7D3E68"/>
    <w:rsid w:val="4AC07235"/>
    <w:rsid w:val="4B2273CA"/>
    <w:rsid w:val="4B543F21"/>
    <w:rsid w:val="4B8277B1"/>
    <w:rsid w:val="516A4919"/>
    <w:rsid w:val="51996BF5"/>
    <w:rsid w:val="52F30C8D"/>
    <w:rsid w:val="551B53B0"/>
    <w:rsid w:val="5578154F"/>
    <w:rsid w:val="56494337"/>
    <w:rsid w:val="57B47272"/>
    <w:rsid w:val="589E78EA"/>
    <w:rsid w:val="59740263"/>
    <w:rsid w:val="5A326A85"/>
    <w:rsid w:val="5A6B1E38"/>
    <w:rsid w:val="5AB03CA1"/>
    <w:rsid w:val="5B115CB8"/>
    <w:rsid w:val="5B5419FF"/>
    <w:rsid w:val="5B9D109A"/>
    <w:rsid w:val="5C560D43"/>
    <w:rsid w:val="5CBE5489"/>
    <w:rsid w:val="5D035D92"/>
    <w:rsid w:val="5D253F35"/>
    <w:rsid w:val="5D4A529A"/>
    <w:rsid w:val="5D5C0706"/>
    <w:rsid w:val="5D835258"/>
    <w:rsid w:val="5E056FE1"/>
    <w:rsid w:val="5E137614"/>
    <w:rsid w:val="5F7E9CE8"/>
    <w:rsid w:val="600B75D0"/>
    <w:rsid w:val="60616188"/>
    <w:rsid w:val="6090342F"/>
    <w:rsid w:val="60B80789"/>
    <w:rsid w:val="614949E7"/>
    <w:rsid w:val="6161379E"/>
    <w:rsid w:val="62BB7B10"/>
    <w:rsid w:val="63252BCA"/>
    <w:rsid w:val="63E458EA"/>
    <w:rsid w:val="648604FA"/>
    <w:rsid w:val="65A43583"/>
    <w:rsid w:val="65D84E03"/>
    <w:rsid w:val="660546A4"/>
    <w:rsid w:val="675619AF"/>
    <w:rsid w:val="67EE6F14"/>
    <w:rsid w:val="67F8071E"/>
    <w:rsid w:val="68085BF7"/>
    <w:rsid w:val="681D1356"/>
    <w:rsid w:val="69410AFE"/>
    <w:rsid w:val="6A037D73"/>
    <w:rsid w:val="6A457569"/>
    <w:rsid w:val="6A510F7A"/>
    <w:rsid w:val="6A9F1EE8"/>
    <w:rsid w:val="6AAF1DB5"/>
    <w:rsid w:val="6B276EDC"/>
    <w:rsid w:val="6B590EDC"/>
    <w:rsid w:val="6BB268ED"/>
    <w:rsid w:val="6BBD1164"/>
    <w:rsid w:val="6BD40A70"/>
    <w:rsid w:val="6C171EC7"/>
    <w:rsid w:val="6D0240E7"/>
    <w:rsid w:val="6DD00D03"/>
    <w:rsid w:val="6ECD1BCD"/>
    <w:rsid w:val="6F3B6D06"/>
    <w:rsid w:val="6F3C18A3"/>
    <w:rsid w:val="6F821625"/>
    <w:rsid w:val="6FA34259"/>
    <w:rsid w:val="71B469DB"/>
    <w:rsid w:val="71D23172"/>
    <w:rsid w:val="73265FAD"/>
    <w:rsid w:val="73B2330F"/>
    <w:rsid w:val="73C91906"/>
    <w:rsid w:val="73DF80E8"/>
    <w:rsid w:val="745E71EB"/>
    <w:rsid w:val="74950353"/>
    <w:rsid w:val="760E09F5"/>
    <w:rsid w:val="77D121B2"/>
    <w:rsid w:val="77EC5F60"/>
    <w:rsid w:val="79603AB9"/>
    <w:rsid w:val="7985309E"/>
    <w:rsid w:val="7A524F55"/>
    <w:rsid w:val="7B0E58F3"/>
    <w:rsid w:val="7B8F70D2"/>
    <w:rsid w:val="7BEC4CD8"/>
    <w:rsid w:val="7BF63B4A"/>
    <w:rsid w:val="7D7E7925"/>
    <w:rsid w:val="7DBF1472"/>
    <w:rsid w:val="7E2B46C5"/>
    <w:rsid w:val="7E734104"/>
    <w:rsid w:val="CFFEB1BB"/>
    <w:rsid w:val="F5FEB685"/>
    <w:rsid w:val="FEF67990"/>
    <w:rsid w:val="FFB2CD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sdException w:qFormat="1" w:unhideWhenUsed="0" w:uiPriority="99" w:semiHidden="0"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0"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0"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0"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0"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0"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0"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61"/>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6">
    <w:name w:val="heading 2"/>
    <w:basedOn w:val="1"/>
    <w:next w:val="1"/>
    <w:link w:val="62"/>
    <w:qFormat/>
    <w:uiPriority w:val="0"/>
    <w:pPr>
      <w:jc w:val="left"/>
      <w:textAlignment w:val="center"/>
      <w:outlineLvl w:val="1"/>
    </w:pPr>
    <w:rPr>
      <w:rFonts w:ascii="Arial" w:hAnsi="Arial" w:eastAsia="黑体" w:cs="Times New Roman"/>
      <w:b/>
      <w:bCs/>
      <w:color w:val="000000"/>
      <w:kern w:val="0"/>
      <w:sz w:val="36"/>
      <w:szCs w:val="32"/>
    </w:rPr>
  </w:style>
  <w:style w:type="paragraph" w:styleId="7">
    <w:name w:val="heading 3"/>
    <w:basedOn w:val="1"/>
    <w:next w:val="1"/>
    <w:link w:val="63"/>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8">
    <w:name w:val="heading 4"/>
    <w:basedOn w:val="1"/>
    <w:next w:val="1"/>
    <w:link w:val="64"/>
    <w:qFormat/>
    <w:uiPriority w:val="0"/>
    <w:pPr>
      <w:outlineLvl w:val="3"/>
    </w:pPr>
    <w:rPr>
      <w:rFonts w:ascii="Arial" w:hAnsi="Arial" w:eastAsia="黑体" w:cs="Times New Roman"/>
      <w:b/>
      <w:bCs/>
      <w:color w:val="0000FF"/>
      <w:kern w:val="0"/>
      <w:sz w:val="24"/>
      <w:szCs w:val="24"/>
    </w:rPr>
  </w:style>
  <w:style w:type="paragraph" w:styleId="9">
    <w:name w:val="heading 5"/>
    <w:basedOn w:val="1"/>
    <w:next w:val="1"/>
    <w:link w:val="65"/>
    <w:qFormat/>
    <w:uiPriority w:val="0"/>
    <w:pPr>
      <w:outlineLvl w:val="4"/>
    </w:pPr>
    <w:rPr>
      <w:rFonts w:ascii="Times New Roman" w:hAnsi="Times New Roman" w:eastAsia="华文中宋" w:cs="Times New Roman"/>
      <w:b/>
      <w:bCs/>
      <w:color w:val="800000"/>
      <w:kern w:val="0"/>
      <w:sz w:val="24"/>
      <w:szCs w:val="24"/>
    </w:rPr>
  </w:style>
  <w:style w:type="paragraph" w:styleId="10">
    <w:name w:val="heading 6"/>
    <w:basedOn w:val="1"/>
    <w:next w:val="1"/>
    <w:link w:val="66"/>
    <w:qFormat/>
    <w:uiPriority w:val="9"/>
    <w:pPr>
      <w:keepNext/>
      <w:keepLines/>
      <w:widowControl/>
      <w:tabs>
        <w:tab w:val="left" w:pos="1440"/>
      </w:tabs>
      <w:spacing w:before="240" w:after="64" w:line="319" w:lineRule="auto"/>
      <w:ind w:left="1152" w:hanging="1152"/>
      <w:jc w:val="left"/>
      <w:outlineLvl w:val="5"/>
    </w:pPr>
    <w:rPr>
      <w:rFonts w:ascii="Arial" w:hAnsi="Arial" w:eastAsia="黑体" w:cs="Times New Roman"/>
      <w:b/>
      <w:bCs/>
      <w:kern w:val="0"/>
      <w:sz w:val="24"/>
      <w:szCs w:val="20"/>
    </w:rPr>
  </w:style>
  <w:style w:type="paragraph" w:styleId="11">
    <w:name w:val="heading 7"/>
    <w:basedOn w:val="1"/>
    <w:next w:val="12"/>
    <w:link w:val="67"/>
    <w:qFormat/>
    <w:uiPriority w:val="0"/>
    <w:pPr>
      <w:spacing w:line="300" w:lineRule="auto"/>
      <w:ind w:left="567" w:hanging="567"/>
      <w:textAlignment w:val="center"/>
      <w:outlineLvl w:val="6"/>
    </w:pPr>
    <w:rPr>
      <w:rFonts w:ascii="Times New Roman" w:hAnsi="Times New Roman" w:eastAsia="华文中宋" w:cs="Times New Roman"/>
      <w:bCs/>
      <w:kern w:val="0"/>
      <w:sz w:val="24"/>
      <w:szCs w:val="24"/>
    </w:rPr>
  </w:style>
  <w:style w:type="paragraph" w:styleId="12">
    <w:name w:val="heading 8"/>
    <w:basedOn w:val="1"/>
    <w:next w:val="1"/>
    <w:link w:val="68"/>
    <w:qFormat/>
    <w:uiPriority w:val="0"/>
    <w:pPr>
      <w:ind w:left="369" w:hanging="369"/>
      <w:outlineLvl w:val="7"/>
    </w:pPr>
    <w:rPr>
      <w:rFonts w:ascii="Times New Roman" w:hAnsi="Times New Roman" w:eastAsia="华文中宋" w:cs="Times New Roman"/>
      <w:kern w:val="0"/>
      <w:sz w:val="24"/>
      <w:szCs w:val="24"/>
    </w:rPr>
  </w:style>
  <w:style w:type="paragraph" w:styleId="13">
    <w:name w:val="heading 9"/>
    <w:basedOn w:val="1"/>
    <w:next w:val="1"/>
    <w:link w:val="69"/>
    <w:qFormat/>
    <w:uiPriority w:val="0"/>
    <w:pPr>
      <w:keepNext/>
      <w:keepLines/>
      <w:widowControl/>
      <w:tabs>
        <w:tab w:val="left" w:pos="1584"/>
      </w:tabs>
      <w:spacing w:before="240" w:after="64" w:line="319" w:lineRule="auto"/>
      <w:ind w:left="1584" w:hanging="1584"/>
      <w:jc w:val="left"/>
      <w:outlineLvl w:val="8"/>
    </w:pPr>
    <w:rPr>
      <w:rFonts w:ascii="Arial" w:hAnsi="Arial" w:eastAsia="黑体" w:cs="Times New Roman"/>
      <w:kern w:val="0"/>
      <w:szCs w:val="21"/>
    </w:rPr>
  </w:style>
  <w:style w:type="character" w:default="1" w:styleId="48">
    <w:name w:val="Default Paragraph Font"/>
    <w:unhideWhenUsed/>
    <w:qFormat/>
    <w:uiPriority w:val="1"/>
  </w:style>
  <w:style w:type="table" w:default="1" w:styleId="40">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1"/>
    <w:link w:val="81"/>
    <w:unhideWhenUsed/>
    <w:qFormat/>
    <w:uiPriority w:val="99"/>
    <w:pPr>
      <w:widowControl/>
      <w:ind w:firstLine="420" w:firstLineChars="200"/>
      <w:jc w:val="left"/>
    </w:pPr>
    <w:rPr>
      <w:rFonts w:ascii="Times New Roman" w:hAnsi="Times New Roman"/>
      <w:szCs w:val="20"/>
    </w:rPr>
  </w:style>
  <w:style w:type="paragraph" w:styleId="3">
    <w:name w:val="Body Text Indent"/>
    <w:basedOn w:val="1"/>
    <w:next w:val="4"/>
    <w:link w:val="77"/>
    <w:qFormat/>
    <w:uiPriority w:val="0"/>
    <w:pPr>
      <w:spacing w:after="120"/>
      <w:ind w:left="420" w:leftChars="200"/>
    </w:pPr>
    <w:rPr>
      <w:rFonts w:ascii="Calibri" w:hAnsi="Calibri" w:eastAsia="宋体" w:cs="Times New Roman"/>
    </w:rPr>
  </w:style>
  <w:style w:type="paragraph" w:styleId="4">
    <w:name w:val="toc 9"/>
    <w:basedOn w:val="1"/>
    <w:next w:val="1"/>
    <w:qFormat/>
    <w:uiPriority w:val="39"/>
    <w:pPr>
      <w:ind w:left="1600" w:leftChars="1600"/>
    </w:pPr>
    <w:rPr>
      <w:rFonts w:ascii="Times New Roman" w:hAnsi="Times New Roman" w:eastAsia="宋体" w:cs="Times New Roman"/>
    </w:rPr>
  </w:style>
  <w:style w:type="paragraph" w:styleId="14">
    <w:name w:val="toc 7"/>
    <w:basedOn w:val="1"/>
    <w:next w:val="1"/>
    <w:qFormat/>
    <w:uiPriority w:val="39"/>
    <w:pPr>
      <w:ind w:left="1200" w:leftChars="1200"/>
    </w:pPr>
    <w:rPr>
      <w:rFonts w:ascii="Times New Roman" w:hAnsi="Times New Roman" w:eastAsia="宋体" w:cs="Times New Roman"/>
    </w:rPr>
  </w:style>
  <w:style w:type="paragraph" w:styleId="15">
    <w:name w:val="Normal Indent"/>
    <w:basedOn w:val="1"/>
    <w:next w:val="1"/>
    <w:qFormat/>
    <w:uiPriority w:val="0"/>
    <w:pPr>
      <w:ind w:firstLine="420"/>
    </w:pPr>
    <w:rPr>
      <w:rFonts w:ascii="Times New Roman" w:hAnsi="Times New Roman" w:eastAsia="宋体" w:cs="Times New Roman"/>
    </w:rPr>
  </w:style>
  <w:style w:type="paragraph" w:styleId="16">
    <w:name w:val="Document Map"/>
    <w:basedOn w:val="1"/>
    <w:link w:val="75"/>
    <w:qFormat/>
    <w:uiPriority w:val="0"/>
    <w:pPr>
      <w:widowControl/>
      <w:jc w:val="left"/>
    </w:pPr>
    <w:rPr>
      <w:rFonts w:ascii="宋体" w:hAnsi="Calibri" w:eastAsia="宋体" w:cs="Times New Roman"/>
      <w:sz w:val="18"/>
      <w:szCs w:val="18"/>
    </w:rPr>
  </w:style>
  <w:style w:type="paragraph" w:styleId="17">
    <w:name w:val="annotation text"/>
    <w:basedOn w:val="1"/>
    <w:link w:val="71"/>
    <w:unhideWhenUsed/>
    <w:qFormat/>
    <w:uiPriority w:val="0"/>
    <w:pPr>
      <w:jc w:val="left"/>
    </w:pPr>
  </w:style>
  <w:style w:type="paragraph" w:styleId="18">
    <w:name w:val="Body Text 3"/>
    <w:basedOn w:val="1"/>
    <w:link w:val="76"/>
    <w:qFormat/>
    <w:uiPriority w:val="0"/>
    <w:pPr>
      <w:spacing w:after="120"/>
    </w:pPr>
    <w:rPr>
      <w:rFonts w:ascii="Calibri" w:hAnsi="Calibri" w:eastAsia="楷体_GB2312" w:cs="Times New Roman"/>
      <w:sz w:val="16"/>
      <w:szCs w:val="16"/>
    </w:rPr>
  </w:style>
  <w:style w:type="paragraph" w:styleId="19">
    <w:name w:val="Body Text"/>
    <w:basedOn w:val="1"/>
    <w:link w:val="73"/>
    <w:unhideWhenUsed/>
    <w:qFormat/>
    <w:uiPriority w:val="0"/>
    <w:pPr>
      <w:spacing w:after="120"/>
    </w:pPr>
  </w:style>
  <w:style w:type="paragraph" w:styleId="20">
    <w:name w:val="toc 5"/>
    <w:basedOn w:val="1"/>
    <w:next w:val="1"/>
    <w:qFormat/>
    <w:uiPriority w:val="39"/>
    <w:pPr>
      <w:ind w:left="800" w:leftChars="800"/>
    </w:pPr>
    <w:rPr>
      <w:rFonts w:ascii="Times New Roman" w:hAnsi="Times New Roman" w:eastAsia="宋体" w:cs="Times New Roman"/>
    </w:rPr>
  </w:style>
  <w:style w:type="paragraph" w:styleId="21">
    <w:name w:val="toc 3"/>
    <w:basedOn w:val="1"/>
    <w:next w:val="1"/>
    <w:qFormat/>
    <w:uiPriority w:val="39"/>
    <w:pPr>
      <w:ind w:left="400" w:leftChars="400"/>
    </w:pPr>
    <w:rPr>
      <w:rFonts w:ascii="Times New Roman" w:hAnsi="Times New Roman" w:eastAsia="宋体" w:cs="Times New Roman"/>
    </w:rPr>
  </w:style>
  <w:style w:type="paragraph" w:styleId="22">
    <w:name w:val="Plain Text"/>
    <w:basedOn w:val="1"/>
    <w:link w:val="78"/>
    <w:qFormat/>
    <w:uiPriority w:val="0"/>
    <w:rPr>
      <w:rFonts w:ascii="宋体" w:hAnsi="Calibri" w:eastAsia="宋体" w:cs="Times New Roman"/>
    </w:rPr>
  </w:style>
  <w:style w:type="paragraph" w:styleId="23">
    <w:name w:val="toc 8"/>
    <w:basedOn w:val="1"/>
    <w:next w:val="1"/>
    <w:qFormat/>
    <w:uiPriority w:val="39"/>
    <w:pPr>
      <w:ind w:left="1400" w:leftChars="1400"/>
    </w:pPr>
    <w:rPr>
      <w:rFonts w:ascii="Times New Roman" w:hAnsi="Times New Roman" w:eastAsia="宋体" w:cs="Times New Roman"/>
    </w:rPr>
  </w:style>
  <w:style w:type="paragraph" w:styleId="24">
    <w:name w:val="Date"/>
    <w:basedOn w:val="1"/>
    <w:next w:val="1"/>
    <w:link w:val="79"/>
    <w:qFormat/>
    <w:uiPriority w:val="0"/>
    <w:pPr>
      <w:ind w:left="2500" w:leftChars="2500"/>
    </w:pPr>
    <w:rPr>
      <w:rFonts w:ascii="Calibri" w:hAnsi="Calibri" w:eastAsia="宋体" w:cs="Times New Roman"/>
    </w:rPr>
  </w:style>
  <w:style w:type="paragraph" w:styleId="25">
    <w:name w:val="Balloon Text"/>
    <w:basedOn w:val="1"/>
    <w:link w:val="80"/>
    <w:qFormat/>
    <w:uiPriority w:val="99"/>
    <w:rPr>
      <w:rFonts w:ascii="Times New Roman" w:hAnsi="Times New Roman" w:eastAsia="宋体" w:cs="Times New Roman"/>
      <w:sz w:val="18"/>
      <w:szCs w:val="18"/>
    </w:rPr>
  </w:style>
  <w:style w:type="paragraph" w:styleId="26">
    <w:name w:val="footer"/>
    <w:basedOn w:val="1"/>
    <w:link w:val="60"/>
    <w:unhideWhenUsed/>
    <w:qFormat/>
    <w:uiPriority w:val="99"/>
    <w:pPr>
      <w:tabs>
        <w:tab w:val="center" w:pos="4153"/>
        <w:tab w:val="right" w:pos="8306"/>
      </w:tabs>
      <w:snapToGrid w:val="0"/>
      <w:jc w:val="left"/>
    </w:pPr>
    <w:rPr>
      <w:sz w:val="18"/>
      <w:szCs w:val="18"/>
    </w:rPr>
  </w:style>
  <w:style w:type="paragraph" w:styleId="27">
    <w:name w:val="envelope return"/>
    <w:basedOn w:val="1"/>
    <w:qFormat/>
    <w:uiPriority w:val="0"/>
    <w:pPr>
      <w:snapToGrid w:val="0"/>
    </w:pPr>
    <w:rPr>
      <w:rFonts w:ascii="Arial" w:hAnsi="Arial"/>
      <w:szCs w:val="24"/>
    </w:rPr>
  </w:style>
  <w:style w:type="paragraph" w:styleId="28">
    <w:name w:val="header"/>
    <w:basedOn w:val="1"/>
    <w:link w:val="59"/>
    <w:unhideWhenUsed/>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rPr>
      <w:rFonts w:ascii="Times New Roman" w:hAnsi="Times New Roman" w:eastAsia="宋体" w:cs="Times New Roman"/>
    </w:rPr>
  </w:style>
  <w:style w:type="paragraph" w:styleId="30">
    <w:name w:val="toc 4"/>
    <w:basedOn w:val="1"/>
    <w:next w:val="1"/>
    <w:qFormat/>
    <w:uiPriority w:val="39"/>
    <w:pPr>
      <w:ind w:left="600" w:leftChars="600"/>
    </w:pPr>
    <w:rPr>
      <w:rFonts w:ascii="Times New Roman" w:hAnsi="Times New Roman" w:eastAsia="宋体" w:cs="Times New Roman"/>
    </w:rPr>
  </w:style>
  <w:style w:type="paragraph" w:styleId="31">
    <w:name w:val="toc 6"/>
    <w:basedOn w:val="1"/>
    <w:next w:val="1"/>
    <w:qFormat/>
    <w:uiPriority w:val="39"/>
    <w:pPr>
      <w:ind w:left="1000" w:leftChars="1000"/>
    </w:pPr>
    <w:rPr>
      <w:rFonts w:ascii="Times New Roman" w:hAnsi="Times New Roman" w:eastAsia="宋体" w:cs="Times New Roman"/>
    </w:rPr>
  </w:style>
  <w:style w:type="paragraph" w:styleId="32">
    <w:name w:val="Body Text Indent 3"/>
    <w:basedOn w:val="1"/>
    <w:link w:val="82"/>
    <w:qFormat/>
    <w:uiPriority w:val="0"/>
    <w:pPr>
      <w:spacing w:after="120"/>
      <w:ind w:left="200" w:leftChars="200"/>
    </w:pPr>
    <w:rPr>
      <w:rFonts w:ascii="Calibri" w:hAnsi="Calibri" w:eastAsia="宋体" w:cs="Times New Roman"/>
      <w:sz w:val="16"/>
      <w:szCs w:val="16"/>
    </w:rPr>
  </w:style>
  <w:style w:type="paragraph" w:styleId="33">
    <w:name w:val="toc 2"/>
    <w:basedOn w:val="1"/>
    <w:next w:val="1"/>
    <w:qFormat/>
    <w:uiPriority w:val="39"/>
    <w:pPr>
      <w:ind w:left="200" w:leftChars="200"/>
    </w:pPr>
    <w:rPr>
      <w:rFonts w:ascii="Times New Roman" w:hAnsi="Times New Roman" w:eastAsia="宋体" w:cs="Times New Roman"/>
    </w:rPr>
  </w:style>
  <w:style w:type="paragraph" w:styleId="34">
    <w:name w:val="Body Text 2"/>
    <w:basedOn w:val="1"/>
    <w:link w:val="83"/>
    <w:qFormat/>
    <w:uiPriority w:val="0"/>
    <w:rPr>
      <w:rFonts w:ascii="宋体" w:hAnsi="宋体" w:eastAsia="宋体" w:cs="Times New Roman"/>
      <w:szCs w:val="24"/>
      <w:u w:val="single"/>
    </w:rPr>
  </w:style>
  <w:style w:type="paragraph" w:styleId="35">
    <w:name w:val="Normal (Web)"/>
    <w:basedOn w:val="1"/>
    <w:qFormat/>
    <w:uiPriority w:val="0"/>
    <w:pPr>
      <w:widowControl/>
      <w:spacing w:before="100" w:beforeAutospacing="1" w:after="100" w:afterAutospacing="1"/>
      <w:jc w:val="left"/>
    </w:pPr>
    <w:rPr>
      <w:rFonts w:ascii="宋体" w:hAnsi="宋体" w:eastAsia="宋体" w:cs="Calibri"/>
      <w:kern w:val="0"/>
      <w:sz w:val="24"/>
      <w:szCs w:val="24"/>
    </w:rPr>
  </w:style>
  <w:style w:type="paragraph" w:styleId="36">
    <w:name w:val="index 1"/>
    <w:basedOn w:val="1"/>
    <w:next w:val="1"/>
    <w:qFormat/>
    <w:uiPriority w:val="0"/>
    <w:pPr>
      <w:spacing w:line="220" w:lineRule="exact"/>
      <w:jc w:val="center"/>
    </w:pPr>
    <w:rPr>
      <w:rFonts w:ascii="仿宋_GB2312" w:hAnsi="Times New Roman" w:eastAsia="仿宋_GB2312" w:cs="Times New Roman"/>
      <w:szCs w:val="21"/>
    </w:rPr>
  </w:style>
  <w:style w:type="paragraph" w:styleId="37">
    <w:name w:val="Title"/>
    <w:basedOn w:val="1"/>
    <w:link w:val="84"/>
    <w:qFormat/>
    <w:uiPriority w:val="0"/>
    <w:pPr>
      <w:adjustRightInd w:val="0"/>
      <w:spacing w:before="240" w:after="60" w:line="420" w:lineRule="atLeast"/>
      <w:jc w:val="center"/>
      <w:textAlignment w:val="baseline"/>
      <w:outlineLvl w:val="0"/>
    </w:pPr>
    <w:rPr>
      <w:rFonts w:ascii="Arial" w:hAnsi="Arial" w:eastAsia="宋体" w:cs="Times New Roman"/>
      <w:b/>
      <w:sz w:val="32"/>
    </w:rPr>
  </w:style>
  <w:style w:type="paragraph" w:styleId="38">
    <w:name w:val="annotation subject"/>
    <w:basedOn w:val="17"/>
    <w:next w:val="17"/>
    <w:link w:val="88"/>
    <w:qFormat/>
    <w:uiPriority w:val="0"/>
    <w:pPr>
      <w:widowControl/>
    </w:pPr>
    <w:rPr>
      <w:rFonts w:ascii="Calibri" w:hAnsi="Calibri" w:eastAsia="宋体" w:cs="Times New Roman"/>
      <w:b/>
      <w:bCs/>
    </w:rPr>
  </w:style>
  <w:style w:type="paragraph" w:styleId="39">
    <w:name w:val="Body Text First Indent"/>
    <w:basedOn w:val="19"/>
    <w:link w:val="74"/>
    <w:qFormat/>
    <w:uiPriority w:val="0"/>
    <w:pPr>
      <w:spacing w:line="312" w:lineRule="auto"/>
      <w:ind w:firstLine="420"/>
    </w:pPr>
    <w:rPr>
      <w:rFonts w:ascii="Calibri" w:hAnsi="Calibri" w:eastAsia="宋体" w:cs="Times New Roman"/>
      <w:szCs w:val="24"/>
    </w:rPr>
  </w:style>
  <w:style w:type="table" w:styleId="41">
    <w:name w:val="Table Grid"/>
    <w:basedOn w:val="40"/>
    <w:qFormat/>
    <w:uiPriority w:val="0"/>
    <w:rPr>
      <w:rFonts w:ascii="Calibri" w:hAnsi="Calibri" w:eastAsia="宋体" w:cs="Calibri"/>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2">
    <w:name w:val="Medium Grid 3 Accent 1"/>
    <w:basedOn w:val="40"/>
    <w:qFormat/>
    <w:uiPriority w:val="0"/>
    <w:rPr>
      <w:rFonts w:ascii="Calibri" w:hAnsi="Calibri" w:eastAsia="宋体" w:cs="Times New Roman"/>
      <w:kern w:val="0"/>
      <w:sz w:val="20"/>
      <w:szCs w:val="20"/>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D3DFEE"/>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4F81BD"/>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4F81BD"/>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4F81BD"/>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4F81B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A7BFDE"/>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A7BFDE"/>
      </w:tcPr>
    </w:tblStylePr>
  </w:style>
  <w:style w:type="table" w:styleId="43">
    <w:name w:val="Medium Grid 3 Accent 2"/>
    <w:basedOn w:val="40"/>
    <w:qFormat/>
    <w:uiPriority w:val="0"/>
    <w:rPr>
      <w:rFonts w:ascii="Calibri" w:hAnsi="Calibri" w:eastAsia="宋体" w:cs="Times New Roman"/>
      <w:kern w:val="0"/>
      <w:sz w:val="20"/>
      <w:szCs w:val="20"/>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EFD3D2"/>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C0504D"/>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C0504D"/>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C0504D"/>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C0504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DFA7A6"/>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DFA7A6"/>
      </w:tcPr>
    </w:tblStylePr>
  </w:style>
  <w:style w:type="table" w:styleId="44">
    <w:name w:val="Medium Grid 3 Accent 3"/>
    <w:basedOn w:val="40"/>
    <w:qFormat/>
    <w:uiPriority w:val="0"/>
    <w:rPr>
      <w:rFonts w:ascii="Calibri" w:hAnsi="Calibri" w:eastAsia="宋体" w:cs="Times New Roman"/>
      <w:kern w:val="0"/>
      <w:sz w:val="20"/>
      <w:szCs w:val="20"/>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E6EED5"/>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9BBB59"/>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9BBB59"/>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9BBB59"/>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9BBB59"/>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CDDDAC"/>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CDDDAC"/>
      </w:tcPr>
    </w:tblStylePr>
  </w:style>
  <w:style w:type="table" w:styleId="45">
    <w:name w:val="Medium Grid 3 Accent 4"/>
    <w:basedOn w:val="40"/>
    <w:qFormat/>
    <w:uiPriority w:val="0"/>
    <w:rPr>
      <w:rFonts w:ascii="Calibri" w:hAnsi="Calibri" w:eastAsia="宋体" w:cs="Times New Roman"/>
      <w:kern w:val="0"/>
      <w:sz w:val="20"/>
      <w:szCs w:val="20"/>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DFD8E8"/>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8064A2"/>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8064A2"/>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8064A2"/>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8064A2"/>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BFB1D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BFB1D0"/>
      </w:tcPr>
    </w:tblStylePr>
  </w:style>
  <w:style w:type="table" w:styleId="46">
    <w:name w:val="Medium Grid 3 Accent 5"/>
    <w:basedOn w:val="40"/>
    <w:qFormat/>
    <w:uiPriority w:val="0"/>
    <w:rPr>
      <w:rFonts w:ascii="Calibri" w:hAnsi="Calibri" w:eastAsia="宋体" w:cs="Times New Roman"/>
      <w:kern w:val="0"/>
      <w:sz w:val="20"/>
      <w:szCs w:val="20"/>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D2EAF1"/>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4BACC6"/>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4BACC6"/>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4BACC6"/>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4BACC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A5D5E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A5D5E2"/>
      </w:tcPr>
    </w:tblStylePr>
  </w:style>
  <w:style w:type="table" w:styleId="47">
    <w:name w:val="Medium Grid 3 Accent 6"/>
    <w:basedOn w:val="40"/>
    <w:qFormat/>
    <w:uiPriority w:val="0"/>
    <w:rPr>
      <w:rFonts w:ascii="Calibri" w:hAnsi="Calibri" w:eastAsia="宋体" w:cs="Times New Roman"/>
      <w:kern w:val="0"/>
      <w:sz w:val="20"/>
      <w:szCs w:val="20"/>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FDE4D0"/>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F79646"/>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F79646"/>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F79646"/>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F7964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FBCAA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FBCAA2"/>
      </w:tcPr>
    </w:tblStylePr>
  </w:style>
  <w:style w:type="character" w:styleId="49">
    <w:name w:val="Strong"/>
    <w:qFormat/>
    <w:uiPriority w:val="0"/>
    <w:rPr>
      <w:rFonts w:ascii="Calibri" w:hAnsi="Calibri" w:eastAsia="宋体" w:cs="Times New Roman"/>
      <w:b/>
      <w:bCs/>
    </w:rPr>
  </w:style>
  <w:style w:type="character" w:styleId="50">
    <w:name w:val="page number"/>
    <w:basedOn w:val="48"/>
    <w:qFormat/>
    <w:uiPriority w:val="0"/>
    <w:rPr>
      <w:rFonts w:ascii="Calibri" w:hAnsi="Calibri" w:eastAsia="宋体" w:cs="Times New Roman"/>
    </w:rPr>
  </w:style>
  <w:style w:type="character" w:styleId="51">
    <w:name w:val="FollowedHyperlink"/>
    <w:basedOn w:val="48"/>
    <w:unhideWhenUsed/>
    <w:qFormat/>
    <w:uiPriority w:val="99"/>
    <w:rPr>
      <w:color w:val="954F72" w:themeColor="followedHyperlink"/>
      <w:u w:val="single"/>
      <w14:textFill>
        <w14:solidFill>
          <w14:schemeClr w14:val="folHlink"/>
        </w14:solidFill>
      </w14:textFill>
    </w:rPr>
  </w:style>
  <w:style w:type="character" w:styleId="52">
    <w:name w:val="HTML Definition"/>
    <w:qFormat/>
    <w:uiPriority w:val="99"/>
    <w:rPr>
      <w:rFonts w:ascii="Calibri" w:hAnsi="Calibri" w:eastAsia="宋体" w:cs="Times New Roman"/>
      <w:i/>
    </w:rPr>
  </w:style>
  <w:style w:type="character" w:styleId="53">
    <w:name w:val="Hyperlink"/>
    <w:qFormat/>
    <w:uiPriority w:val="99"/>
    <w:rPr>
      <w:rFonts w:ascii="Calibri" w:hAnsi="Calibri" w:eastAsia="宋体" w:cs="Times New Roman"/>
      <w:color w:val="0000FF"/>
      <w:u w:val="single"/>
    </w:rPr>
  </w:style>
  <w:style w:type="character" w:styleId="54">
    <w:name w:val="HTML Code"/>
    <w:qFormat/>
    <w:uiPriority w:val="99"/>
    <w:rPr>
      <w:rFonts w:ascii="Consolas" w:hAnsi="Consolas" w:eastAsia="Consolas" w:cs="Consolas"/>
      <w:color w:val="C7254E"/>
      <w:sz w:val="21"/>
      <w:szCs w:val="21"/>
      <w:bdr w:val="single" w:color="E1E1E1" w:sz="4" w:space="0"/>
      <w:shd w:val="clear" w:color="auto" w:fill="F9F2F4"/>
    </w:rPr>
  </w:style>
  <w:style w:type="character" w:styleId="55">
    <w:name w:val="annotation reference"/>
    <w:qFormat/>
    <w:uiPriority w:val="99"/>
    <w:rPr>
      <w:rFonts w:ascii="Calibri" w:hAnsi="Calibri" w:eastAsia="宋体" w:cs="Times New Roman"/>
      <w:sz w:val="21"/>
      <w:szCs w:val="21"/>
    </w:rPr>
  </w:style>
  <w:style w:type="character" w:styleId="56">
    <w:name w:val="footnote reference"/>
    <w:qFormat/>
    <w:uiPriority w:val="0"/>
    <w:rPr>
      <w:rFonts w:ascii="Calibri" w:hAnsi="Calibri" w:eastAsia="宋体" w:cs="Times New Roman"/>
      <w:vertAlign w:val="superscript"/>
    </w:rPr>
  </w:style>
  <w:style w:type="character" w:styleId="57">
    <w:name w:val="HTML Keyboard"/>
    <w:qFormat/>
    <w:uiPriority w:val="99"/>
    <w:rPr>
      <w:rFonts w:hint="default" w:ascii="Consolas" w:hAnsi="Consolas" w:eastAsia="Consolas" w:cs="Consolas"/>
      <w:color w:val="FFFFFF"/>
      <w:sz w:val="21"/>
      <w:szCs w:val="21"/>
      <w:shd w:val="clear" w:color="auto" w:fill="333333"/>
    </w:rPr>
  </w:style>
  <w:style w:type="character" w:styleId="58">
    <w:name w:val="HTML Sample"/>
    <w:qFormat/>
    <w:uiPriority w:val="99"/>
    <w:rPr>
      <w:rFonts w:hint="default" w:ascii="Consolas" w:hAnsi="Consolas" w:eastAsia="Consolas" w:cs="Consolas"/>
      <w:sz w:val="21"/>
      <w:szCs w:val="21"/>
    </w:rPr>
  </w:style>
  <w:style w:type="character" w:customStyle="1" w:styleId="59">
    <w:name w:val="页眉 字符"/>
    <w:basedOn w:val="48"/>
    <w:link w:val="28"/>
    <w:qFormat/>
    <w:uiPriority w:val="0"/>
    <w:rPr>
      <w:sz w:val="18"/>
      <w:szCs w:val="18"/>
    </w:rPr>
  </w:style>
  <w:style w:type="character" w:customStyle="1" w:styleId="60">
    <w:name w:val="页脚 字符"/>
    <w:basedOn w:val="48"/>
    <w:link w:val="26"/>
    <w:qFormat/>
    <w:uiPriority w:val="99"/>
    <w:rPr>
      <w:sz w:val="18"/>
      <w:szCs w:val="18"/>
    </w:rPr>
  </w:style>
  <w:style w:type="character" w:customStyle="1" w:styleId="61">
    <w:name w:val="标题 1 字符"/>
    <w:basedOn w:val="48"/>
    <w:link w:val="5"/>
    <w:qFormat/>
    <w:uiPriority w:val="0"/>
    <w:rPr>
      <w:rFonts w:ascii="Times New Roman" w:hAnsi="Times New Roman" w:eastAsia="宋体" w:cs="Times New Roman"/>
      <w:b/>
      <w:bCs/>
      <w:kern w:val="44"/>
      <w:sz w:val="44"/>
      <w:szCs w:val="44"/>
    </w:rPr>
  </w:style>
  <w:style w:type="character" w:customStyle="1" w:styleId="62">
    <w:name w:val="标题 2 字符"/>
    <w:basedOn w:val="48"/>
    <w:link w:val="6"/>
    <w:qFormat/>
    <w:uiPriority w:val="0"/>
    <w:rPr>
      <w:rFonts w:ascii="Arial" w:hAnsi="Arial" w:eastAsia="黑体" w:cs="Times New Roman"/>
      <w:b/>
      <w:bCs/>
      <w:color w:val="000000"/>
      <w:kern w:val="0"/>
      <w:sz w:val="36"/>
      <w:szCs w:val="32"/>
    </w:rPr>
  </w:style>
  <w:style w:type="character" w:customStyle="1" w:styleId="63">
    <w:name w:val="标题 3 字符"/>
    <w:basedOn w:val="48"/>
    <w:link w:val="7"/>
    <w:qFormat/>
    <w:uiPriority w:val="0"/>
    <w:rPr>
      <w:rFonts w:ascii="Times New Roman" w:hAnsi="Times New Roman" w:eastAsia="宋体" w:cs="Times New Roman"/>
      <w:b/>
      <w:bCs/>
      <w:sz w:val="32"/>
      <w:szCs w:val="32"/>
    </w:rPr>
  </w:style>
  <w:style w:type="character" w:customStyle="1" w:styleId="64">
    <w:name w:val="标题 4 字符"/>
    <w:basedOn w:val="48"/>
    <w:link w:val="8"/>
    <w:qFormat/>
    <w:uiPriority w:val="0"/>
    <w:rPr>
      <w:rFonts w:ascii="Arial" w:hAnsi="Arial" w:eastAsia="黑体" w:cs="Times New Roman"/>
      <w:b/>
      <w:bCs/>
      <w:color w:val="0000FF"/>
      <w:kern w:val="0"/>
      <w:sz w:val="24"/>
      <w:szCs w:val="24"/>
    </w:rPr>
  </w:style>
  <w:style w:type="character" w:customStyle="1" w:styleId="65">
    <w:name w:val="标题 5 字符"/>
    <w:basedOn w:val="48"/>
    <w:link w:val="9"/>
    <w:qFormat/>
    <w:uiPriority w:val="0"/>
    <w:rPr>
      <w:rFonts w:ascii="Times New Roman" w:hAnsi="Times New Roman" w:eastAsia="华文中宋" w:cs="Times New Roman"/>
      <w:b/>
      <w:bCs/>
      <w:color w:val="800000"/>
      <w:kern w:val="0"/>
      <w:sz w:val="24"/>
      <w:szCs w:val="24"/>
    </w:rPr>
  </w:style>
  <w:style w:type="character" w:customStyle="1" w:styleId="66">
    <w:name w:val="标题 6 字符"/>
    <w:basedOn w:val="48"/>
    <w:link w:val="10"/>
    <w:qFormat/>
    <w:uiPriority w:val="9"/>
    <w:rPr>
      <w:rFonts w:ascii="Arial" w:hAnsi="Arial" w:eastAsia="黑体" w:cs="Times New Roman"/>
      <w:b/>
      <w:bCs/>
      <w:kern w:val="0"/>
      <w:sz w:val="24"/>
      <w:szCs w:val="20"/>
    </w:rPr>
  </w:style>
  <w:style w:type="character" w:customStyle="1" w:styleId="67">
    <w:name w:val="标题 7 字符"/>
    <w:basedOn w:val="48"/>
    <w:link w:val="11"/>
    <w:qFormat/>
    <w:uiPriority w:val="0"/>
    <w:rPr>
      <w:rFonts w:ascii="Times New Roman" w:hAnsi="Times New Roman" w:eastAsia="华文中宋" w:cs="Times New Roman"/>
      <w:bCs/>
      <w:kern w:val="0"/>
      <w:sz w:val="24"/>
      <w:szCs w:val="24"/>
    </w:rPr>
  </w:style>
  <w:style w:type="character" w:customStyle="1" w:styleId="68">
    <w:name w:val="标题 8 字符"/>
    <w:basedOn w:val="48"/>
    <w:link w:val="12"/>
    <w:qFormat/>
    <w:uiPriority w:val="0"/>
    <w:rPr>
      <w:rFonts w:ascii="Times New Roman" w:hAnsi="Times New Roman" w:eastAsia="华文中宋" w:cs="Times New Roman"/>
      <w:kern w:val="0"/>
      <w:sz w:val="24"/>
      <w:szCs w:val="24"/>
    </w:rPr>
  </w:style>
  <w:style w:type="character" w:customStyle="1" w:styleId="69">
    <w:name w:val="标题 9 字符"/>
    <w:basedOn w:val="48"/>
    <w:link w:val="13"/>
    <w:qFormat/>
    <w:uiPriority w:val="0"/>
    <w:rPr>
      <w:rFonts w:ascii="Arial" w:hAnsi="Arial" w:eastAsia="黑体" w:cs="Times New Roman"/>
      <w:kern w:val="0"/>
      <w:szCs w:val="21"/>
    </w:rPr>
  </w:style>
  <w:style w:type="paragraph" w:customStyle="1" w:styleId="70">
    <w:name w:val="Default"/>
    <w:next w:val="15"/>
    <w:qFormat/>
    <w:uiPriority w:val="0"/>
    <w:pPr>
      <w:widowControl w:val="0"/>
      <w:autoSpaceDE w:val="0"/>
      <w:autoSpaceDN w:val="0"/>
      <w:adjustRightInd w:val="0"/>
    </w:pPr>
    <w:rPr>
      <w:rFonts w:ascii="仿宋_GB2312" w:hAnsi="Times New Roman" w:eastAsia="仿宋_GB2312" w:cs="仿宋_GB2312"/>
      <w:color w:val="000000"/>
      <w:kern w:val="0"/>
      <w:sz w:val="24"/>
      <w:szCs w:val="24"/>
      <w:lang w:val="en-US" w:eastAsia="zh-CN" w:bidi="ar-SA"/>
    </w:rPr>
  </w:style>
  <w:style w:type="character" w:customStyle="1" w:styleId="71">
    <w:name w:val="批注文字 字符"/>
    <w:basedOn w:val="48"/>
    <w:link w:val="17"/>
    <w:qFormat/>
    <w:uiPriority w:val="0"/>
  </w:style>
  <w:style w:type="character" w:customStyle="1" w:styleId="72">
    <w:name w:val="批注主题 字符"/>
    <w:basedOn w:val="71"/>
    <w:qFormat/>
    <w:uiPriority w:val="0"/>
    <w:rPr>
      <w:b/>
      <w:bCs/>
    </w:rPr>
  </w:style>
  <w:style w:type="character" w:customStyle="1" w:styleId="73">
    <w:name w:val="正文文本 字符"/>
    <w:basedOn w:val="48"/>
    <w:link w:val="19"/>
    <w:qFormat/>
    <w:uiPriority w:val="0"/>
  </w:style>
  <w:style w:type="character" w:customStyle="1" w:styleId="74">
    <w:name w:val="正文首行缩进 字符"/>
    <w:basedOn w:val="73"/>
    <w:link w:val="39"/>
    <w:qFormat/>
    <w:uiPriority w:val="0"/>
    <w:rPr>
      <w:rFonts w:ascii="Calibri" w:hAnsi="Calibri" w:eastAsia="宋体" w:cs="Times New Roman"/>
      <w:szCs w:val="24"/>
    </w:rPr>
  </w:style>
  <w:style w:type="character" w:customStyle="1" w:styleId="75">
    <w:name w:val="文档结构图 字符"/>
    <w:basedOn w:val="48"/>
    <w:link w:val="16"/>
    <w:qFormat/>
    <w:uiPriority w:val="0"/>
    <w:rPr>
      <w:rFonts w:ascii="宋体" w:hAnsi="Calibri" w:eastAsia="宋体" w:cs="Times New Roman"/>
      <w:sz w:val="18"/>
      <w:szCs w:val="18"/>
    </w:rPr>
  </w:style>
  <w:style w:type="character" w:customStyle="1" w:styleId="76">
    <w:name w:val="正文文本 3 字符"/>
    <w:basedOn w:val="48"/>
    <w:link w:val="18"/>
    <w:qFormat/>
    <w:uiPriority w:val="0"/>
    <w:rPr>
      <w:rFonts w:ascii="Calibri" w:hAnsi="Calibri" w:eastAsia="楷体_GB2312" w:cs="Times New Roman"/>
      <w:sz w:val="16"/>
      <w:szCs w:val="16"/>
    </w:rPr>
  </w:style>
  <w:style w:type="character" w:customStyle="1" w:styleId="77">
    <w:name w:val="正文文本缩进 字符"/>
    <w:basedOn w:val="48"/>
    <w:link w:val="3"/>
    <w:qFormat/>
    <w:uiPriority w:val="0"/>
    <w:rPr>
      <w:rFonts w:ascii="Calibri" w:hAnsi="Calibri" w:eastAsia="宋体" w:cs="Times New Roman"/>
    </w:rPr>
  </w:style>
  <w:style w:type="character" w:customStyle="1" w:styleId="78">
    <w:name w:val="纯文本 字符"/>
    <w:basedOn w:val="48"/>
    <w:link w:val="22"/>
    <w:qFormat/>
    <w:uiPriority w:val="0"/>
    <w:rPr>
      <w:rFonts w:ascii="宋体" w:hAnsi="Calibri" w:eastAsia="宋体" w:cs="Times New Roman"/>
    </w:rPr>
  </w:style>
  <w:style w:type="character" w:customStyle="1" w:styleId="79">
    <w:name w:val="日期 字符"/>
    <w:basedOn w:val="48"/>
    <w:link w:val="24"/>
    <w:qFormat/>
    <w:uiPriority w:val="0"/>
    <w:rPr>
      <w:rFonts w:ascii="Calibri" w:hAnsi="Calibri" w:eastAsia="宋体" w:cs="Times New Roman"/>
    </w:rPr>
  </w:style>
  <w:style w:type="character" w:customStyle="1" w:styleId="80">
    <w:name w:val="批注框文本 字符"/>
    <w:basedOn w:val="48"/>
    <w:link w:val="25"/>
    <w:qFormat/>
    <w:uiPriority w:val="99"/>
    <w:rPr>
      <w:rFonts w:ascii="Times New Roman" w:hAnsi="Times New Roman" w:eastAsia="宋体" w:cs="Times New Roman"/>
      <w:sz w:val="18"/>
      <w:szCs w:val="18"/>
    </w:rPr>
  </w:style>
  <w:style w:type="character" w:customStyle="1" w:styleId="81">
    <w:name w:val="正文首行缩进 2 字符"/>
    <w:basedOn w:val="77"/>
    <w:link w:val="2"/>
    <w:qFormat/>
    <w:uiPriority w:val="99"/>
    <w:rPr>
      <w:rFonts w:ascii="Times New Roman" w:hAnsi="Times New Roman" w:eastAsia="宋体" w:cs="Times New Roman"/>
      <w:szCs w:val="20"/>
    </w:rPr>
  </w:style>
  <w:style w:type="character" w:customStyle="1" w:styleId="82">
    <w:name w:val="正文文本缩进 3 字符"/>
    <w:basedOn w:val="48"/>
    <w:link w:val="32"/>
    <w:qFormat/>
    <w:uiPriority w:val="0"/>
    <w:rPr>
      <w:rFonts w:ascii="Calibri" w:hAnsi="Calibri" w:eastAsia="宋体" w:cs="Times New Roman"/>
      <w:sz w:val="16"/>
      <w:szCs w:val="16"/>
    </w:rPr>
  </w:style>
  <w:style w:type="character" w:customStyle="1" w:styleId="83">
    <w:name w:val="正文文本 2 字符"/>
    <w:basedOn w:val="48"/>
    <w:link w:val="34"/>
    <w:qFormat/>
    <w:uiPriority w:val="0"/>
    <w:rPr>
      <w:rFonts w:ascii="宋体" w:hAnsi="宋体" w:eastAsia="宋体" w:cs="Times New Roman"/>
      <w:szCs w:val="24"/>
      <w:u w:val="single"/>
    </w:rPr>
  </w:style>
  <w:style w:type="character" w:customStyle="1" w:styleId="84">
    <w:name w:val="标题 字符"/>
    <w:basedOn w:val="48"/>
    <w:link w:val="37"/>
    <w:qFormat/>
    <w:uiPriority w:val="0"/>
    <w:rPr>
      <w:rFonts w:ascii="Arial" w:hAnsi="Arial" w:eastAsia="宋体" w:cs="Times New Roman"/>
      <w:b/>
      <w:sz w:val="32"/>
    </w:rPr>
  </w:style>
  <w:style w:type="character" w:customStyle="1" w:styleId="85">
    <w:name w:val="页眉 字符1"/>
    <w:basedOn w:val="48"/>
    <w:qFormat/>
    <w:uiPriority w:val="0"/>
    <w:rPr>
      <w:sz w:val="18"/>
      <w:szCs w:val="18"/>
    </w:rPr>
  </w:style>
  <w:style w:type="character" w:customStyle="1" w:styleId="86">
    <w:name w:val="页脚 字符1"/>
    <w:basedOn w:val="48"/>
    <w:qFormat/>
    <w:uiPriority w:val="99"/>
    <w:rPr>
      <w:sz w:val="18"/>
      <w:szCs w:val="18"/>
    </w:rPr>
  </w:style>
  <w:style w:type="character" w:customStyle="1" w:styleId="87">
    <w:name w:val="批注文字 Char"/>
    <w:basedOn w:val="48"/>
    <w:qFormat/>
    <w:uiPriority w:val="0"/>
    <w:rPr>
      <w:rFonts w:ascii="Times New Roman" w:hAnsi="Times New Roman" w:eastAsia="宋体" w:cs="Times New Roman"/>
    </w:rPr>
  </w:style>
  <w:style w:type="character" w:customStyle="1" w:styleId="88">
    <w:name w:val="批注主题 字符1"/>
    <w:basedOn w:val="87"/>
    <w:link w:val="38"/>
    <w:qFormat/>
    <w:uiPriority w:val="0"/>
    <w:rPr>
      <w:rFonts w:ascii="Calibri" w:hAnsi="Calibri" w:eastAsia="宋体" w:cs="Times New Roman"/>
      <w:b/>
      <w:bCs/>
    </w:rPr>
  </w:style>
  <w:style w:type="character" w:customStyle="1" w:styleId="89">
    <w:name w:val="hover32"/>
    <w:qFormat/>
    <w:uiPriority w:val="0"/>
    <w:rPr>
      <w:rFonts w:hint="default" w:ascii="Calibri" w:hAnsi="Calibri" w:eastAsia="宋体" w:cs="Calibri"/>
    </w:rPr>
  </w:style>
  <w:style w:type="character" w:customStyle="1" w:styleId="90">
    <w:name w:val="正文文本缩进 Char2"/>
    <w:qFormat/>
    <w:uiPriority w:val="99"/>
    <w:rPr>
      <w:rFonts w:ascii="Calibri" w:hAnsi="Calibri" w:eastAsia="宋体" w:cs="Times New Roman"/>
      <w:kern w:val="2"/>
      <w:sz w:val="21"/>
      <w:szCs w:val="22"/>
    </w:rPr>
  </w:style>
  <w:style w:type="character" w:customStyle="1" w:styleId="91">
    <w:name w:val="正文文本缩进 3 Char1"/>
    <w:qFormat/>
    <w:uiPriority w:val="99"/>
    <w:rPr>
      <w:rFonts w:ascii="Calibri" w:hAnsi="Calibri" w:eastAsia="宋体" w:cs="Times New Roman"/>
      <w:sz w:val="16"/>
      <w:szCs w:val="16"/>
    </w:rPr>
  </w:style>
  <w:style w:type="character" w:customStyle="1" w:styleId="92">
    <w:name w:val="文档结构图 Char1"/>
    <w:qFormat/>
    <w:uiPriority w:val="99"/>
    <w:rPr>
      <w:rFonts w:ascii="宋体" w:hAnsi="Calibri" w:eastAsia="宋体" w:cs="Times New Roman"/>
      <w:kern w:val="2"/>
      <w:sz w:val="18"/>
      <w:szCs w:val="18"/>
    </w:rPr>
  </w:style>
  <w:style w:type="character" w:customStyle="1" w:styleId="93">
    <w:name w:val="标题 Char7"/>
    <w:qFormat/>
    <w:uiPriority w:val="10"/>
    <w:rPr>
      <w:rFonts w:ascii="Cambria" w:hAnsi="Cambria" w:eastAsia="宋体" w:cs="Times New Roman"/>
      <w:b/>
      <w:bCs/>
      <w:kern w:val="2"/>
      <w:sz w:val="32"/>
      <w:szCs w:val="32"/>
    </w:rPr>
  </w:style>
  <w:style w:type="character" w:customStyle="1" w:styleId="94">
    <w:name w:val="正文文本 2 Char4"/>
    <w:qFormat/>
    <w:uiPriority w:val="0"/>
    <w:rPr>
      <w:rFonts w:ascii="Calibri" w:hAnsi="Calibri" w:eastAsia="宋体" w:cs="Times New Roman"/>
      <w:kern w:val="2"/>
      <w:sz w:val="21"/>
      <w:szCs w:val="22"/>
    </w:rPr>
  </w:style>
  <w:style w:type="character" w:customStyle="1" w:styleId="95">
    <w:name w:val="纯文本 Char6"/>
    <w:qFormat/>
    <w:uiPriority w:val="0"/>
    <w:rPr>
      <w:rFonts w:ascii="宋体" w:hAnsi="Courier New" w:eastAsia="宋体" w:cs="Courier New"/>
      <w:szCs w:val="21"/>
    </w:rPr>
  </w:style>
  <w:style w:type="character" w:customStyle="1" w:styleId="96">
    <w:name w:val="批注文字 Char7"/>
    <w:qFormat/>
    <w:uiPriority w:val="0"/>
    <w:rPr>
      <w:rFonts w:ascii="Calibri" w:hAnsi="Calibri" w:eastAsia="宋体" w:cs="Times New Roman"/>
    </w:rPr>
  </w:style>
  <w:style w:type="character" w:customStyle="1" w:styleId="97">
    <w:name w:val="Char Char5"/>
    <w:qFormat/>
    <w:uiPriority w:val="0"/>
    <w:rPr>
      <w:rFonts w:ascii="Times New Roman" w:hAnsi="Times New Roman" w:eastAsia="长城仿宋" w:cs="Times New Roman"/>
      <w:sz w:val="18"/>
      <w:lang w:val="en-US" w:eastAsia="zh-CN" w:bidi="ar-SA"/>
    </w:rPr>
  </w:style>
  <w:style w:type="paragraph" w:customStyle="1" w:styleId="98">
    <w:name w:val="_Style 38"/>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99">
    <w:name w:val="文一 Char"/>
    <w:link w:val="100"/>
    <w:qFormat/>
    <w:uiPriority w:val="0"/>
    <w:rPr>
      <w:rFonts w:ascii="Calibri" w:hAnsi="Calibri" w:eastAsia="宋体" w:cs="Times New Roman"/>
      <w:spacing w:val="4"/>
      <w:sz w:val="24"/>
      <w:szCs w:val="24"/>
    </w:rPr>
  </w:style>
  <w:style w:type="paragraph" w:customStyle="1" w:styleId="100">
    <w:name w:val="文一"/>
    <w:basedOn w:val="1"/>
    <w:link w:val="99"/>
    <w:qFormat/>
    <w:uiPriority w:val="0"/>
    <w:pPr>
      <w:topLinePunct/>
      <w:adjustRightInd w:val="0"/>
      <w:snapToGrid w:val="0"/>
      <w:spacing w:line="360" w:lineRule="auto"/>
      <w:ind w:firstLine="200" w:firstLineChars="200"/>
    </w:pPr>
    <w:rPr>
      <w:rFonts w:ascii="Calibri" w:hAnsi="Calibri" w:eastAsia="宋体" w:cs="Times New Roman"/>
      <w:spacing w:val="4"/>
      <w:sz w:val="24"/>
      <w:szCs w:val="24"/>
    </w:rPr>
  </w:style>
  <w:style w:type="character" w:customStyle="1" w:styleId="101">
    <w:name w:val="批注框文本 Char5"/>
    <w:qFormat/>
    <w:uiPriority w:val="0"/>
    <w:rPr>
      <w:rFonts w:ascii="Calibri" w:hAnsi="Calibri" w:eastAsia="宋体" w:cs="Times New Roman"/>
      <w:kern w:val="2"/>
      <w:sz w:val="18"/>
      <w:szCs w:val="18"/>
    </w:rPr>
  </w:style>
  <w:style w:type="character" w:customStyle="1" w:styleId="102">
    <w:name w:val="批注文字 Char5"/>
    <w:qFormat/>
    <w:uiPriority w:val="99"/>
    <w:rPr>
      <w:rFonts w:ascii="Calibri" w:hAnsi="Calibri" w:eastAsia="宋体" w:cs="Times New Roman"/>
      <w:kern w:val="2"/>
      <w:sz w:val="21"/>
      <w:szCs w:val="22"/>
    </w:rPr>
  </w:style>
  <w:style w:type="character" w:customStyle="1" w:styleId="103">
    <w:name w:val="正文文本 3 Char4"/>
    <w:qFormat/>
    <w:uiPriority w:val="0"/>
    <w:rPr>
      <w:rFonts w:ascii="Calibri" w:hAnsi="Calibri" w:eastAsia="宋体" w:cs="Times New Roman"/>
      <w:kern w:val="2"/>
      <w:sz w:val="16"/>
      <w:szCs w:val="16"/>
    </w:rPr>
  </w:style>
  <w:style w:type="character" w:customStyle="1" w:styleId="104">
    <w:name w:val="正文文本 Char6"/>
    <w:qFormat/>
    <w:uiPriority w:val="0"/>
    <w:rPr>
      <w:rFonts w:ascii="Calibri" w:hAnsi="Calibri" w:eastAsia="宋体" w:cs="Times New Roman"/>
      <w:kern w:val="2"/>
      <w:sz w:val="21"/>
      <w:szCs w:val="22"/>
    </w:rPr>
  </w:style>
  <w:style w:type="character" w:customStyle="1" w:styleId="105">
    <w:name w:val="正文文本 Char4"/>
    <w:qFormat/>
    <w:uiPriority w:val="99"/>
    <w:rPr>
      <w:rFonts w:ascii="Calibri" w:hAnsi="Calibri" w:eastAsia="宋体" w:cs="Times New Roman"/>
      <w:kern w:val="2"/>
      <w:sz w:val="21"/>
      <w:szCs w:val="22"/>
    </w:rPr>
  </w:style>
  <w:style w:type="character" w:customStyle="1" w:styleId="106">
    <w:name w:val="纯文本 Char7"/>
    <w:qFormat/>
    <w:uiPriority w:val="0"/>
    <w:rPr>
      <w:rFonts w:ascii="宋体" w:hAnsi="Courier New" w:eastAsia="宋体" w:cs="Courier New"/>
      <w:kern w:val="2"/>
      <w:sz w:val="21"/>
      <w:szCs w:val="21"/>
    </w:rPr>
  </w:style>
  <w:style w:type="character" w:customStyle="1" w:styleId="107">
    <w:name w:val="标题 Char5"/>
    <w:qFormat/>
    <w:uiPriority w:val="0"/>
    <w:rPr>
      <w:rFonts w:ascii="Cambria" w:hAnsi="Cambria" w:eastAsia="宋体" w:cs="Times New Roman"/>
      <w:b/>
      <w:bCs/>
      <w:kern w:val="2"/>
      <w:sz w:val="32"/>
      <w:szCs w:val="32"/>
    </w:rPr>
  </w:style>
  <w:style w:type="character" w:customStyle="1" w:styleId="108">
    <w:name w:val="Char Char31"/>
    <w:qFormat/>
    <w:uiPriority w:val="0"/>
    <w:rPr>
      <w:rFonts w:ascii="Times New Roman" w:hAnsi="Times New Roman" w:eastAsia="宋体" w:cs="Times New Roman"/>
      <w:kern w:val="2"/>
      <w:sz w:val="18"/>
      <w:lang w:val="en-US" w:eastAsia="zh-CN" w:bidi="ar-SA"/>
    </w:rPr>
  </w:style>
  <w:style w:type="character" w:customStyle="1" w:styleId="109">
    <w:name w:val="Char Char7"/>
    <w:qFormat/>
    <w:uiPriority w:val="0"/>
    <w:rPr>
      <w:rFonts w:ascii="Times New Roman" w:hAnsi="Times New Roman" w:eastAsia="宋体" w:cs="Times New Roman"/>
      <w:kern w:val="2"/>
      <w:sz w:val="21"/>
      <w:lang w:val="en-US" w:eastAsia="zh-CN" w:bidi="ar-SA"/>
    </w:rPr>
  </w:style>
  <w:style w:type="character" w:customStyle="1" w:styleId="110">
    <w:name w:val="正文首行缩进 Char2"/>
    <w:qFormat/>
    <w:uiPriority w:val="99"/>
    <w:rPr>
      <w:rFonts w:ascii="Calibri" w:hAnsi="Calibri" w:eastAsia="宋体" w:cs="Times New Roman"/>
      <w:sz w:val="21"/>
      <w:szCs w:val="22"/>
    </w:rPr>
  </w:style>
  <w:style w:type="character" w:customStyle="1" w:styleId="111">
    <w:name w:val="页眉 Char1"/>
    <w:qFormat/>
    <w:uiPriority w:val="99"/>
    <w:rPr>
      <w:rFonts w:ascii="Calibri" w:hAnsi="Calibri" w:eastAsia="宋体" w:cs="Times New Roman"/>
      <w:sz w:val="18"/>
      <w:szCs w:val="18"/>
    </w:rPr>
  </w:style>
  <w:style w:type="character" w:customStyle="1" w:styleId="112">
    <w:name w:val="批注文字 Char4"/>
    <w:qFormat/>
    <w:uiPriority w:val="99"/>
    <w:rPr>
      <w:rFonts w:ascii="Calibri" w:hAnsi="Calibri" w:eastAsia="宋体" w:cs="Times New Roman"/>
      <w:kern w:val="2"/>
      <w:sz w:val="21"/>
      <w:szCs w:val="22"/>
    </w:rPr>
  </w:style>
  <w:style w:type="character" w:customStyle="1" w:styleId="113">
    <w:name w:val="正文文本缩进 3 Char5"/>
    <w:qFormat/>
    <w:uiPriority w:val="0"/>
    <w:rPr>
      <w:rFonts w:ascii="Calibri" w:hAnsi="Calibri" w:eastAsia="宋体" w:cs="Times New Roman"/>
      <w:kern w:val="2"/>
      <w:sz w:val="16"/>
      <w:szCs w:val="16"/>
    </w:rPr>
  </w:style>
  <w:style w:type="character" w:customStyle="1" w:styleId="114">
    <w:name w:val="文档结构图 Char3"/>
    <w:qFormat/>
    <w:uiPriority w:val="0"/>
    <w:rPr>
      <w:rFonts w:ascii="宋体" w:hAnsi="Calibri" w:eastAsia="宋体" w:cs="Times New Roman"/>
      <w:kern w:val="2"/>
      <w:sz w:val="18"/>
      <w:szCs w:val="18"/>
    </w:rPr>
  </w:style>
  <w:style w:type="character" w:customStyle="1" w:styleId="115">
    <w:name w:val="times"/>
    <w:qFormat/>
    <w:uiPriority w:val="0"/>
    <w:rPr>
      <w:rFonts w:hint="default" w:ascii="Calibri" w:hAnsi="Calibri" w:eastAsia="宋体" w:cs="Calibri"/>
      <w:color w:val="3399FF"/>
      <w:bdr w:val="single" w:color="D1EDF8" w:sz="4" w:space="0"/>
      <w:shd w:val="clear" w:color="auto" w:fill="EAF9FF"/>
    </w:rPr>
  </w:style>
  <w:style w:type="character" w:customStyle="1" w:styleId="116">
    <w:name w:val="批注主题 Char3"/>
    <w:qFormat/>
    <w:uiPriority w:val="0"/>
    <w:rPr>
      <w:rFonts w:ascii="Calibri" w:hAnsi="Calibri" w:eastAsia="宋体" w:cs="Times New Roman"/>
      <w:b/>
      <w:bCs/>
      <w:kern w:val="2"/>
      <w:sz w:val="21"/>
      <w:szCs w:val="22"/>
    </w:rPr>
  </w:style>
  <w:style w:type="character" w:customStyle="1" w:styleId="117">
    <w:name w:val="font11"/>
    <w:qFormat/>
    <w:uiPriority w:val="0"/>
    <w:rPr>
      <w:rFonts w:hint="eastAsia" w:ascii="仿宋" w:hAnsi="仿宋" w:eastAsia="仿宋" w:cs="仿宋"/>
      <w:color w:val="000000"/>
      <w:sz w:val="28"/>
      <w:szCs w:val="28"/>
      <w:u w:val="none"/>
    </w:rPr>
  </w:style>
  <w:style w:type="character" w:customStyle="1" w:styleId="118">
    <w:name w:val="批注文字 Char1"/>
    <w:qFormat/>
    <w:uiPriority w:val="0"/>
    <w:rPr>
      <w:rFonts w:ascii="Calibri" w:hAnsi="Calibri" w:eastAsia="宋体" w:cs="Times New Roman"/>
      <w:kern w:val="2"/>
      <w:sz w:val="21"/>
      <w:szCs w:val="22"/>
    </w:rPr>
  </w:style>
  <w:style w:type="character" w:customStyle="1" w:styleId="119">
    <w:name w:val="Char Char71"/>
    <w:qFormat/>
    <w:uiPriority w:val="0"/>
    <w:rPr>
      <w:rFonts w:ascii="Times New Roman" w:hAnsi="Times New Roman" w:eastAsia="宋体" w:cs="Times New Roman"/>
      <w:kern w:val="2"/>
      <w:sz w:val="21"/>
      <w:lang w:val="en-US" w:eastAsia="zh-CN" w:bidi="ar-SA"/>
    </w:rPr>
  </w:style>
  <w:style w:type="character" w:customStyle="1" w:styleId="120">
    <w:name w:val="日期 Char6"/>
    <w:qFormat/>
    <w:uiPriority w:val="0"/>
    <w:rPr>
      <w:rFonts w:ascii="Calibri" w:hAnsi="Calibri" w:eastAsia="宋体" w:cs="Times New Roman"/>
      <w:kern w:val="2"/>
      <w:sz w:val="21"/>
      <w:szCs w:val="22"/>
    </w:rPr>
  </w:style>
  <w:style w:type="character" w:customStyle="1" w:styleId="121">
    <w:name w:val="Char Char6"/>
    <w:qFormat/>
    <w:uiPriority w:val="0"/>
    <w:rPr>
      <w:rFonts w:ascii="Times New Roman" w:hAnsi="Times New Roman" w:eastAsia="楷体_GB2312" w:cs="Times New Roman"/>
      <w:b/>
      <w:bCs/>
      <w:kern w:val="2"/>
      <w:sz w:val="24"/>
      <w:szCs w:val="24"/>
    </w:rPr>
  </w:style>
  <w:style w:type="character" w:customStyle="1" w:styleId="122">
    <w:name w:val="正文首行缩进 Char4"/>
    <w:qFormat/>
    <w:uiPriority w:val="0"/>
    <w:rPr>
      <w:rFonts w:ascii="Calibri" w:hAnsi="Calibri" w:eastAsia="宋体" w:cs="Times New Roman"/>
    </w:rPr>
  </w:style>
  <w:style w:type="character" w:customStyle="1" w:styleId="123">
    <w:name w:val="页眉 Char2"/>
    <w:qFormat/>
    <w:uiPriority w:val="99"/>
    <w:rPr>
      <w:rFonts w:ascii="Calibri" w:hAnsi="Calibri" w:eastAsia="宋体" w:cs="Times New Roman"/>
      <w:sz w:val="18"/>
      <w:szCs w:val="18"/>
    </w:rPr>
  </w:style>
  <w:style w:type="character" w:customStyle="1" w:styleId="124">
    <w:name w:val="正文文本缩进 Char3"/>
    <w:qFormat/>
    <w:uiPriority w:val="0"/>
    <w:rPr>
      <w:rFonts w:ascii="Calibri" w:hAnsi="Calibri" w:eastAsia="宋体" w:cs="Times New Roman"/>
      <w:kern w:val="2"/>
      <w:sz w:val="21"/>
      <w:szCs w:val="22"/>
    </w:rPr>
  </w:style>
  <w:style w:type="character" w:customStyle="1" w:styleId="125">
    <w:name w:val="正文文本缩进 Char6"/>
    <w:qFormat/>
    <w:uiPriority w:val="0"/>
    <w:rPr>
      <w:rFonts w:ascii="Calibri" w:hAnsi="Calibri" w:eastAsia="宋体" w:cs="Times New Roman"/>
      <w:kern w:val="2"/>
      <w:sz w:val="21"/>
      <w:szCs w:val="22"/>
    </w:rPr>
  </w:style>
  <w:style w:type="character" w:customStyle="1" w:styleId="126">
    <w:name w:val="标题 Char3"/>
    <w:qFormat/>
    <w:uiPriority w:val="10"/>
    <w:rPr>
      <w:rFonts w:ascii="Cambria" w:hAnsi="Cambria" w:eastAsia="宋体" w:cs="Times New Roman"/>
      <w:b/>
      <w:bCs/>
      <w:kern w:val="2"/>
      <w:sz w:val="32"/>
      <w:szCs w:val="32"/>
    </w:rPr>
  </w:style>
  <w:style w:type="character" w:customStyle="1" w:styleId="127">
    <w:name w:val="批注框文本 Char3"/>
    <w:qFormat/>
    <w:uiPriority w:val="0"/>
    <w:rPr>
      <w:rFonts w:ascii="Calibri" w:hAnsi="Calibri" w:eastAsia="宋体" w:cs="Times New Roman"/>
      <w:kern w:val="2"/>
      <w:sz w:val="18"/>
      <w:szCs w:val="18"/>
    </w:rPr>
  </w:style>
  <w:style w:type="character" w:customStyle="1" w:styleId="128">
    <w:name w:val="Char Char3"/>
    <w:qFormat/>
    <w:uiPriority w:val="0"/>
    <w:rPr>
      <w:rFonts w:ascii="Times New Roman" w:hAnsi="Times New Roman" w:eastAsia="宋体" w:cs="Times New Roman"/>
      <w:kern w:val="2"/>
      <w:sz w:val="18"/>
      <w:lang w:val="en-US" w:eastAsia="zh-CN" w:bidi="ar-SA"/>
    </w:rPr>
  </w:style>
  <w:style w:type="character" w:customStyle="1" w:styleId="129">
    <w:name w:val="正文文本 2 Char6"/>
    <w:qFormat/>
    <w:uiPriority w:val="99"/>
    <w:rPr>
      <w:rFonts w:ascii="Calibri" w:hAnsi="Calibri" w:eastAsia="宋体" w:cs="Times New Roman"/>
      <w:kern w:val="2"/>
      <w:sz w:val="21"/>
      <w:szCs w:val="22"/>
    </w:rPr>
  </w:style>
  <w:style w:type="character" w:customStyle="1" w:styleId="130">
    <w:name w:val="正文文本 2 Char1"/>
    <w:qFormat/>
    <w:uiPriority w:val="99"/>
    <w:rPr>
      <w:rFonts w:ascii="Times New Roman" w:hAnsi="Times New Roman" w:eastAsia="宋体" w:cs="Calibri"/>
      <w:kern w:val="2"/>
      <w:sz w:val="21"/>
      <w:szCs w:val="24"/>
    </w:rPr>
  </w:style>
  <w:style w:type="character" w:customStyle="1" w:styleId="131">
    <w:name w:val="批注文字 Char3"/>
    <w:qFormat/>
    <w:uiPriority w:val="99"/>
    <w:rPr>
      <w:rFonts w:ascii="Calibri" w:hAnsi="Calibri" w:eastAsia="宋体" w:cs="Times New Roman"/>
      <w:kern w:val="2"/>
      <w:sz w:val="21"/>
      <w:szCs w:val="22"/>
    </w:rPr>
  </w:style>
  <w:style w:type="character" w:customStyle="1" w:styleId="132">
    <w:name w:val="正文首行缩进 Char6"/>
    <w:qFormat/>
    <w:uiPriority w:val="0"/>
    <w:rPr>
      <w:rFonts w:ascii="Calibri" w:hAnsi="Calibri" w:eastAsia="宋体" w:cs="Times New Roman"/>
    </w:rPr>
  </w:style>
  <w:style w:type="character" w:customStyle="1" w:styleId="133">
    <w:name w:val="正文文本 Char8"/>
    <w:qFormat/>
    <w:uiPriority w:val="0"/>
    <w:rPr>
      <w:rFonts w:ascii="Calibri" w:hAnsi="Calibri" w:eastAsia="宋体" w:cs="Times New Roman"/>
      <w:kern w:val="2"/>
      <w:sz w:val="21"/>
      <w:szCs w:val="22"/>
    </w:rPr>
  </w:style>
  <w:style w:type="character" w:customStyle="1" w:styleId="134">
    <w:name w:val="纯文本 Char2"/>
    <w:qFormat/>
    <w:uiPriority w:val="99"/>
    <w:rPr>
      <w:rFonts w:ascii="宋体" w:hAnsi="Courier New" w:eastAsia="宋体" w:cs="Courier New"/>
      <w:kern w:val="2"/>
      <w:sz w:val="21"/>
      <w:szCs w:val="21"/>
    </w:rPr>
  </w:style>
  <w:style w:type="character" w:customStyle="1" w:styleId="135">
    <w:name w:val="font21"/>
    <w:qFormat/>
    <w:uiPriority w:val="0"/>
    <w:rPr>
      <w:rFonts w:hint="eastAsia" w:ascii="仿宋" w:hAnsi="仿宋" w:eastAsia="仿宋" w:cs="仿宋"/>
      <w:b/>
      <w:color w:val="000000"/>
      <w:sz w:val="28"/>
      <w:szCs w:val="28"/>
      <w:u w:val="none"/>
    </w:rPr>
  </w:style>
  <w:style w:type="character" w:customStyle="1" w:styleId="136">
    <w:name w:val="正文首行缩进 Char5"/>
    <w:qFormat/>
    <w:uiPriority w:val="0"/>
    <w:rPr>
      <w:rFonts w:ascii="Calibri" w:hAnsi="Calibri" w:eastAsia="宋体" w:cs="Times New Roman"/>
      <w:kern w:val="2"/>
      <w:sz w:val="21"/>
      <w:szCs w:val="22"/>
    </w:rPr>
  </w:style>
  <w:style w:type="character" w:customStyle="1" w:styleId="137">
    <w:name w:val="批注文字 Char8"/>
    <w:qFormat/>
    <w:uiPriority w:val="0"/>
    <w:rPr>
      <w:rFonts w:ascii="Calibri" w:hAnsi="Calibri" w:eastAsia="宋体" w:cs="Times New Roman"/>
      <w:kern w:val="2"/>
      <w:sz w:val="21"/>
      <w:szCs w:val="22"/>
    </w:rPr>
  </w:style>
  <w:style w:type="character" w:customStyle="1" w:styleId="138">
    <w:name w:val="style_kwd"/>
    <w:qFormat/>
    <w:uiPriority w:val="0"/>
    <w:rPr>
      <w:rFonts w:ascii="Calibri" w:hAnsi="Calibri" w:eastAsia="宋体" w:cs="Times New Roman"/>
    </w:rPr>
  </w:style>
  <w:style w:type="character" w:customStyle="1" w:styleId="139">
    <w:name w:val="正文文本 Char1"/>
    <w:qFormat/>
    <w:uiPriority w:val="99"/>
    <w:rPr>
      <w:rFonts w:ascii="Calibri" w:hAnsi="Calibri" w:eastAsia="宋体" w:cs="Times New Roman"/>
      <w:sz w:val="21"/>
    </w:rPr>
  </w:style>
  <w:style w:type="character" w:customStyle="1" w:styleId="140">
    <w:name w:val="批注框文本 Char1"/>
    <w:qFormat/>
    <w:uiPriority w:val="99"/>
    <w:rPr>
      <w:rFonts w:ascii="Calibri" w:hAnsi="Calibri" w:eastAsia="宋体" w:cs="Times New Roman"/>
      <w:sz w:val="18"/>
      <w:szCs w:val="18"/>
    </w:rPr>
  </w:style>
  <w:style w:type="character" w:customStyle="1" w:styleId="141">
    <w:name w:val="正文文本 3 Char2"/>
    <w:qFormat/>
    <w:uiPriority w:val="99"/>
    <w:rPr>
      <w:rFonts w:ascii="Calibri" w:hAnsi="Calibri" w:eastAsia="宋体" w:cs="Times New Roman"/>
      <w:kern w:val="2"/>
      <w:sz w:val="16"/>
      <w:szCs w:val="16"/>
    </w:rPr>
  </w:style>
  <w:style w:type="character" w:customStyle="1" w:styleId="142">
    <w:name w:val="Char Char62"/>
    <w:qFormat/>
    <w:uiPriority w:val="0"/>
    <w:rPr>
      <w:rFonts w:ascii="Times New Roman" w:hAnsi="Times New Roman" w:eastAsia="楷体_GB2312" w:cs="Times New Roman"/>
      <w:b/>
      <w:bCs/>
      <w:kern w:val="2"/>
      <w:sz w:val="24"/>
      <w:szCs w:val="24"/>
    </w:rPr>
  </w:style>
  <w:style w:type="character" w:customStyle="1" w:styleId="143">
    <w:name w:val="批注文字 Char2"/>
    <w:qFormat/>
    <w:uiPriority w:val="99"/>
    <w:rPr>
      <w:rFonts w:ascii="Times New Roman" w:hAnsi="Times New Roman" w:eastAsia="宋体" w:cs="Times New Roman"/>
      <w:kern w:val="2"/>
      <w:sz w:val="21"/>
      <w:szCs w:val="24"/>
    </w:rPr>
  </w:style>
  <w:style w:type="character" w:customStyle="1" w:styleId="144">
    <w:name w:val="Char Char61"/>
    <w:qFormat/>
    <w:uiPriority w:val="0"/>
    <w:rPr>
      <w:rFonts w:ascii="Times New Roman" w:hAnsi="Times New Roman" w:eastAsia="楷体_GB2312" w:cs="Times New Roman"/>
      <w:b/>
      <w:bCs/>
      <w:kern w:val="2"/>
      <w:sz w:val="24"/>
      <w:szCs w:val="24"/>
    </w:rPr>
  </w:style>
  <w:style w:type="character" w:customStyle="1" w:styleId="145">
    <w:name w:val="文一 Char Char"/>
    <w:qFormat/>
    <w:uiPriority w:val="0"/>
    <w:rPr>
      <w:rFonts w:ascii="Times New Roman" w:hAnsi="Times New Roman" w:eastAsia="宋体" w:cs="Times New Roman"/>
      <w:snapToGrid/>
      <w:spacing w:val="4"/>
      <w:sz w:val="24"/>
      <w:szCs w:val="24"/>
      <w:lang w:val="en-US" w:eastAsia="zh-CN" w:bidi="ar-SA"/>
    </w:rPr>
  </w:style>
  <w:style w:type="character" w:customStyle="1" w:styleId="146">
    <w:name w:val="标题 Char1"/>
    <w:qFormat/>
    <w:uiPriority w:val="10"/>
    <w:rPr>
      <w:rFonts w:ascii="Cambria" w:hAnsi="Cambria" w:eastAsia="宋体" w:cs="Times New Roman"/>
      <w:b/>
      <w:bCs/>
      <w:sz w:val="32"/>
      <w:szCs w:val="32"/>
    </w:rPr>
  </w:style>
  <w:style w:type="character" w:customStyle="1" w:styleId="147">
    <w:name w:val="批注框文本 Char2"/>
    <w:qFormat/>
    <w:uiPriority w:val="99"/>
    <w:rPr>
      <w:rFonts w:ascii="Calibri" w:hAnsi="Calibri" w:eastAsia="宋体" w:cs="Times New Roman"/>
      <w:kern w:val="2"/>
      <w:sz w:val="18"/>
      <w:szCs w:val="18"/>
    </w:rPr>
  </w:style>
  <w:style w:type="character" w:customStyle="1" w:styleId="148">
    <w:name w:val="username"/>
    <w:qFormat/>
    <w:uiPriority w:val="0"/>
    <w:rPr>
      <w:rFonts w:ascii="Calibri" w:hAnsi="Calibri" w:eastAsia="宋体" w:cs="Times New Roman"/>
    </w:rPr>
  </w:style>
  <w:style w:type="character" w:customStyle="1" w:styleId="149">
    <w:name w:val="正文文本 3 Char6"/>
    <w:qFormat/>
    <w:uiPriority w:val="0"/>
    <w:rPr>
      <w:rFonts w:ascii="Calibri" w:hAnsi="Calibri" w:eastAsia="宋体" w:cs="Times New Roman"/>
      <w:kern w:val="2"/>
      <w:sz w:val="16"/>
      <w:szCs w:val="16"/>
    </w:rPr>
  </w:style>
  <w:style w:type="character" w:customStyle="1" w:styleId="150">
    <w:name w:val="正文文本 3 Char5"/>
    <w:qFormat/>
    <w:uiPriority w:val="0"/>
    <w:rPr>
      <w:rFonts w:ascii="Calibri" w:hAnsi="Calibri" w:eastAsia="宋体" w:cs="Times New Roman"/>
      <w:kern w:val="2"/>
      <w:sz w:val="16"/>
      <w:szCs w:val="16"/>
    </w:rPr>
  </w:style>
  <w:style w:type="character" w:customStyle="1" w:styleId="151">
    <w:name w:val="font161"/>
    <w:qFormat/>
    <w:uiPriority w:val="0"/>
    <w:rPr>
      <w:rFonts w:ascii="Calibri" w:hAnsi="Calibri" w:eastAsia="宋体" w:cs="Times New Roman"/>
      <w:b/>
      <w:bCs/>
      <w:sz w:val="32"/>
      <w:szCs w:val="32"/>
    </w:rPr>
  </w:style>
  <w:style w:type="character" w:customStyle="1" w:styleId="152">
    <w:name w:val="正文首行缩进 Char1"/>
    <w:qFormat/>
    <w:uiPriority w:val="99"/>
    <w:rPr>
      <w:rFonts w:ascii="Calibri" w:hAnsi="Calibri" w:eastAsia="宋体" w:cs="Times New Roman"/>
      <w:kern w:val="2"/>
      <w:sz w:val="21"/>
      <w:szCs w:val="22"/>
    </w:rPr>
  </w:style>
  <w:style w:type="character" w:customStyle="1" w:styleId="153">
    <w:name w:val="日期 Char4"/>
    <w:qFormat/>
    <w:uiPriority w:val="0"/>
    <w:rPr>
      <w:rFonts w:ascii="Calibri" w:hAnsi="Calibri" w:eastAsia="宋体" w:cs="Times New Roman"/>
      <w:kern w:val="2"/>
      <w:sz w:val="21"/>
      <w:szCs w:val="22"/>
    </w:rPr>
  </w:style>
  <w:style w:type="character" w:customStyle="1" w:styleId="154">
    <w:name w:val="正文文本 3 Char3"/>
    <w:qFormat/>
    <w:uiPriority w:val="0"/>
    <w:rPr>
      <w:rFonts w:ascii="Calibri" w:hAnsi="Calibri" w:eastAsia="宋体" w:cs="Times New Roman"/>
      <w:kern w:val="2"/>
      <w:sz w:val="16"/>
      <w:szCs w:val="16"/>
    </w:rPr>
  </w:style>
  <w:style w:type="character" w:customStyle="1" w:styleId="155">
    <w:name w:val="批注主题 Char4"/>
    <w:qFormat/>
    <w:uiPriority w:val="0"/>
    <w:rPr>
      <w:rFonts w:ascii="Calibri" w:hAnsi="Calibri" w:eastAsia="宋体" w:cs="Times New Roman"/>
      <w:b/>
      <w:bCs/>
      <w:kern w:val="2"/>
      <w:sz w:val="21"/>
      <w:szCs w:val="22"/>
    </w:rPr>
  </w:style>
  <w:style w:type="character" w:customStyle="1" w:styleId="156">
    <w:name w:val="正文文本缩进 3 Char2"/>
    <w:qFormat/>
    <w:uiPriority w:val="99"/>
    <w:rPr>
      <w:rFonts w:ascii="Calibri" w:hAnsi="Calibri" w:eastAsia="宋体" w:cs="Times New Roman"/>
      <w:kern w:val="2"/>
      <w:sz w:val="16"/>
      <w:szCs w:val="16"/>
    </w:rPr>
  </w:style>
  <w:style w:type="character" w:customStyle="1" w:styleId="157">
    <w:name w:val="title26"/>
    <w:qFormat/>
    <w:uiPriority w:val="0"/>
    <w:rPr>
      <w:rFonts w:ascii="Calibri" w:hAnsi="Calibri" w:eastAsia="宋体" w:cs="Times New Roman"/>
    </w:rPr>
  </w:style>
  <w:style w:type="character" w:customStyle="1" w:styleId="158">
    <w:name w:val="16"/>
    <w:qFormat/>
    <w:uiPriority w:val="0"/>
    <w:rPr>
      <w:rFonts w:hint="default" w:ascii="Times New Roman" w:hAnsi="Times New Roman" w:eastAsia="楷体_GB2312" w:cs="Times New Roman"/>
      <w:color w:val="0000FF"/>
      <w:u w:val="single"/>
    </w:rPr>
  </w:style>
  <w:style w:type="character" w:customStyle="1" w:styleId="159">
    <w:name w:val="纯文本 Char5"/>
    <w:qFormat/>
    <w:uiPriority w:val="0"/>
    <w:rPr>
      <w:rFonts w:ascii="宋体" w:hAnsi="Courier New" w:eastAsia="宋体" w:cs="Courier New"/>
      <w:kern w:val="2"/>
      <w:sz w:val="21"/>
      <w:szCs w:val="21"/>
    </w:rPr>
  </w:style>
  <w:style w:type="character" w:customStyle="1" w:styleId="160">
    <w:name w:val="页脚 Char1"/>
    <w:qFormat/>
    <w:uiPriority w:val="99"/>
    <w:rPr>
      <w:rFonts w:ascii="Calibri" w:hAnsi="Calibri" w:eastAsia="宋体" w:cs="Times New Roman"/>
      <w:sz w:val="18"/>
      <w:szCs w:val="18"/>
    </w:rPr>
  </w:style>
  <w:style w:type="character" w:customStyle="1" w:styleId="161">
    <w:name w:val="批注文字 Char6"/>
    <w:qFormat/>
    <w:uiPriority w:val="0"/>
    <w:rPr>
      <w:rFonts w:ascii="Calibri" w:hAnsi="Calibri" w:eastAsia="宋体" w:cs="Times New Roman"/>
    </w:rPr>
  </w:style>
  <w:style w:type="character" w:customStyle="1" w:styleId="162">
    <w:name w:val="标题 Char4"/>
    <w:qFormat/>
    <w:uiPriority w:val="0"/>
    <w:rPr>
      <w:rFonts w:ascii="Cambria" w:hAnsi="Cambria" w:eastAsia="宋体" w:cs="Times New Roman"/>
      <w:b/>
      <w:bCs/>
      <w:kern w:val="2"/>
      <w:sz w:val="32"/>
      <w:szCs w:val="32"/>
    </w:rPr>
  </w:style>
  <w:style w:type="character" w:customStyle="1" w:styleId="163">
    <w:name w:val="正文文本缩进 Char5"/>
    <w:qFormat/>
    <w:uiPriority w:val="0"/>
    <w:rPr>
      <w:rFonts w:ascii="Calibri" w:hAnsi="Calibri" w:eastAsia="宋体" w:cs="Times New Roman"/>
    </w:rPr>
  </w:style>
  <w:style w:type="character" w:customStyle="1" w:styleId="164">
    <w:name w:val="Char Char51"/>
    <w:qFormat/>
    <w:uiPriority w:val="0"/>
    <w:rPr>
      <w:rFonts w:ascii="Times New Roman" w:hAnsi="Times New Roman" w:eastAsia="长城仿宋" w:cs="Times New Roman"/>
      <w:sz w:val="18"/>
      <w:lang w:val="en-US" w:eastAsia="zh-CN" w:bidi="ar-SA"/>
    </w:rPr>
  </w:style>
  <w:style w:type="character" w:customStyle="1" w:styleId="165">
    <w:name w:val="批注主题 Char1"/>
    <w:qFormat/>
    <w:uiPriority w:val="99"/>
    <w:rPr>
      <w:rFonts w:ascii="Calibri" w:hAnsi="Calibri" w:eastAsia="宋体" w:cs="Times New Roman"/>
      <w:b/>
      <w:bCs/>
      <w:kern w:val="2"/>
      <w:sz w:val="21"/>
      <w:szCs w:val="22"/>
    </w:rPr>
  </w:style>
  <w:style w:type="character" w:customStyle="1" w:styleId="166">
    <w:name w:val="日期 Char3"/>
    <w:qFormat/>
    <w:uiPriority w:val="0"/>
    <w:rPr>
      <w:rFonts w:ascii="Calibri" w:hAnsi="Calibri" w:eastAsia="宋体" w:cs="Times New Roman"/>
      <w:kern w:val="2"/>
      <w:sz w:val="21"/>
      <w:szCs w:val="22"/>
    </w:rPr>
  </w:style>
  <w:style w:type="character" w:customStyle="1" w:styleId="167">
    <w:name w:val="times1"/>
    <w:qFormat/>
    <w:uiPriority w:val="0"/>
    <w:rPr>
      <w:rFonts w:hint="default" w:ascii="Calibri" w:hAnsi="Calibri" w:eastAsia="宋体" w:cs="Calibri"/>
      <w:color w:val="CDCDCD"/>
      <w:bdr w:val="single" w:color="CDCDCD" w:sz="4" w:space="0"/>
      <w:shd w:val="clear" w:color="auto" w:fill="EFEFEF"/>
    </w:rPr>
  </w:style>
  <w:style w:type="character" w:customStyle="1" w:styleId="168">
    <w:name w:val="日期 Char5"/>
    <w:qFormat/>
    <w:uiPriority w:val="0"/>
    <w:rPr>
      <w:rFonts w:ascii="Calibri" w:hAnsi="Calibri" w:eastAsia="宋体" w:cs="Times New Roman"/>
    </w:rPr>
  </w:style>
  <w:style w:type="character" w:customStyle="1" w:styleId="169">
    <w:name w:val="文档结构图 Char4"/>
    <w:qFormat/>
    <w:uiPriority w:val="0"/>
    <w:rPr>
      <w:rFonts w:ascii="宋体" w:hAnsi="Calibri" w:eastAsia="宋体" w:cs="Times New Roman"/>
      <w:kern w:val="2"/>
      <w:sz w:val="18"/>
      <w:szCs w:val="18"/>
    </w:rPr>
  </w:style>
  <w:style w:type="character" w:customStyle="1" w:styleId="170">
    <w:name w:val="纯文本 Char4"/>
    <w:qFormat/>
    <w:uiPriority w:val="0"/>
    <w:rPr>
      <w:rFonts w:ascii="宋体" w:hAnsi="Courier New" w:eastAsia="宋体" w:cs="Courier New"/>
      <w:kern w:val="2"/>
      <w:sz w:val="21"/>
      <w:szCs w:val="21"/>
    </w:rPr>
  </w:style>
  <w:style w:type="character" w:customStyle="1" w:styleId="171">
    <w:name w:val="正文文本 2 Char5"/>
    <w:qFormat/>
    <w:uiPriority w:val="0"/>
    <w:rPr>
      <w:rFonts w:ascii="Calibri" w:hAnsi="Calibri" w:eastAsia="宋体" w:cs="Times New Roman"/>
    </w:rPr>
  </w:style>
  <w:style w:type="character" w:customStyle="1" w:styleId="172">
    <w:name w:val="正文文本 Char7"/>
    <w:qFormat/>
    <w:uiPriority w:val="0"/>
    <w:rPr>
      <w:rFonts w:ascii="Calibri" w:hAnsi="Calibri" w:eastAsia="宋体" w:cs="Times New Roman"/>
    </w:rPr>
  </w:style>
  <w:style w:type="character" w:customStyle="1" w:styleId="173">
    <w:name w:val="正文文本缩进 Char1"/>
    <w:qFormat/>
    <w:uiPriority w:val="99"/>
    <w:rPr>
      <w:rFonts w:ascii="Calibri" w:hAnsi="Calibri" w:eastAsia="宋体" w:cs="Times New Roman"/>
      <w:kern w:val="2"/>
      <w:sz w:val="21"/>
      <w:szCs w:val="22"/>
    </w:rPr>
  </w:style>
  <w:style w:type="character" w:customStyle="1" w:styleId="174">
    <w:name w:val="正文文本 Char3"/>
    <w:qFormat/>
    <w:uiPriority w:val="99"/>
    <w:rPr>
      <w:rFonts w:ascii="Calibri" w:hAnsi="Calibri" w:eastAsia="宋体" w:cs="Times New Roman"/>
      <w:kern w:val="2"/>
      <w:sz w:val="21"/>
      <w:szCs w:val="22"/>
    </w:rPr>
  </w:style>
  <w:style w:type="character" w:customStyle="1" w:styleId="175">
    <w:name w:val="正文文本 2 Char3"/>
    <w:qFormat/>
    <w:uiPriority w:val="0"/>
    <w:rPr>
      <w:rFonts w:ascii="Calibri" w:hAnsi="Calibri" w:eastAsia="宋体" w:cs="Times New Roman"/>
      <w:kern w:val="2"/>
      <w:sz w:val="21"/>
      <w:szCs w:val="22"/>
    </w:rPr>
  </w:style>
  <w:style w:type="character" w:customStyle="1" w:styleId="176">
    <w:name w:val="正文文本 Char5"/>
    <w:qFormat/>
    <w:uiPriority w:val="0"/>
    <w:rPr>
      <w:rFonts w:ascii="Times New Roman" w:hAnsi="Times New Roman" w:eastAsia="宋体" w:cs="Times New Roman"/>
    </w:rPr>
  </w:style>
  <w:style w:type="character" w:customStyle="1" w:styleId="177">
    <w:name w:val="样式73 Char"/>
    <w:link w:val="178"/>
    <w:qFormat/>
    <w:uiPriority w:val="0"/>
    <w:rPr>
      <w:rFonts w:ascii="华文中宋" w:hAnsi="华文中宋" w:eastAsia="华文中宋" w:cs="Times New Roman"/>
      <w:sz w:val="28"/>
      <w:szCs w:val="28"/>
    </w:rPr>
  </w:style>
  <w:style w:type="paragraph" w:customStyle="1" w:styleId="178">
    <w:name w:val="样式73"/>
    <w:basedOn w:val="1"/>
    <w:link w:val="177"/>
    <w:qFormat/>
    <w:uiPriority w:val="0"/>
    <w:pPr>
      <w:tabs>
        <w:tab w:val="left" w:pos="2870"/>
      </w:tabs>
      <w:adjustRightInd w:val="0"/>
      <w:snapToGrid w:val="0"/>
      <w:spacing w:line="288" w:lineRule="auto"/>
      <w:ind w:firstLine="200" w:firstLineChars="200"/>
      <w:outlineLvl w:val="5"/>
    </w:pPr>
    <w:rPr>
      <w:rFonts w:ascii="华文中宋" w:hAnsi="华文中宋" w:eastAsia="华文中宋" w:cs="Times New Roman"/>
      <w:sz w:val="28"/>
      <w:szCs w:val="28"/>
    </w:rPr>
  </w:style>
  <w:style w:type="character" w:customStyle="1" w:styleId="179">
    <w:name w:val="title25"/>
    <w:basedOn w:val="48"/>
    <w:qFormat/>
    <w:uiPriority w:val="0"/>
    <w:rPr>
      <w:rFonts w:ascii="Calibri" w:hAnsi="Calibri" w:eastAsia="宋体" w:cs="Times New Roman"/>
    </w:rPr>
  </w:style>
  <w:style w:type="character" w:customStyle="1" w:styleId="180">
    <w:name w:val="fontstyle01"/>
    <w:qFormat/>
    <w:uiPriority w:val="0"/>
    <w:rPr>
      <w:rFonts w:hint="eastAsia" w:ascii="宋体" w:hAnsi="宋体" w:eastAsia="宋体" w:cs="Times New Roman"/>
      <w:color w:val="000000"/>
      <w:sz w:val="22"/>
      <w:szCs w:val="22"/>
    </w:rPr>
  </w:style>
  <w:style w:type="character" w:customStyle="1" w:styleId="181">
    <w:name w:val="文档结构图 Char2"/>
    <w:qFormat/>
    <w:uiPriority w:val="99"/>
    <w:rPr>
      <w:rFonts w:ascii="宋体" w:hAnsi="Calibri" w:eastAsia="宋体" w:cs="Times New Roman"/>
      <w:kern w:val="2"/>
      <w:sz w:val="18"/>
      <w:szCs w:val="18"/>
    </w:rPr>
  </w:style>
  <w:style w:type="character" w:customStyle="1" w:styleId="182">
    <w:name w:val="文档结构图 Char5"/>
    <w:qFormat/>
    <w:uiPriority w:val="0"/>
    <w:rPr>
      <w:rFonts w:ascii="宋体" w:hAnsi="Calibri" w:eastAsia="宋体" w:cs="Times New Roman"/>
      <w:sz w:val="18"/>
      <w:szCs w:val="18"/>
    </w:rPr>
  </w:style>
  <w:style w:type="character" w:customStyle="1" w:styleId="183">
    <w:name w:val="章节一 Char"/>
    <w:qFormat/>
    <w:uiPriority w:val="0"/>
    <w:rPr>
      <w:rFonts w:ascii="Times New Roman" w:hAnsi="Times New Roman" w:eastAsia="黑体" w:cs="Times New Roman"/>
      <w:b/>
      <w:snapToGrid/>
      <w:spacing w:val="4"/>
      <w:sz w:val="36"/>
      <w:szCs w:val="36"/>
      <w:lang w:val="en-US" w:eastAsia="zh-CN" w:bidi="ar-SA"/>
    </w:rPr>
  </w:style>
  <w:style w:type="character" w:customStyle="1" w:styleId="184">
    <w:name w:val="日期 Char1"/>
    <w:qFormat/>
    <w:uiPriority w:val="99"/>
    <w:rPr>
      <w:rFonts w:ascii="Calibri" w:hAnsi="Calibri" w:eastAsia="宋体" w:cs="Times New Roman"/>
      <w:sz w:val="21"/>
      <w:szCs w:val="22"/>
    </w:rPr>
  </w:style>
  <w:style w:type="character" w:customStyle="1" w:styleId="185">
    <w:name w:val="纯文本 Char1"/>
    <w:qFormat/>
    <w:uiPriority w:val="0"/>
    <w:rPr>
      <w:rFonts w:ascii="宋体" w:hAnsi="Courier New" w:eastAsia="宋体" w:cs="Courier New"/>
      <w:kern w:val="2"/>
      <w:sz w:val="21"/>
      <w:szCs w:val="21"/>
    </w:rPr>
  </w:style>
  <w:style w:type="character" w:customStyle="1" w:styleId="186">
    <w:name w:val="正文文本缩进 3 Char4"/>
    <w:qFormat/>
    <w:uiPriority w:val="0"/>
    <w:rPr>
      <w:rFonts w:ascii="Calibri" w:hAnsi="Calibri" w:eastAsia="宋体" w:cs="Times New Roman"/>
      <w:kern w:val="2"/>
      <w:sz w:val="16"/>
      <w:szCs w:val="16"/>
    </w:rPr>
  </w:style>
  <w:style w:type="character" w:customStyle="1" w:styleId="187">
    <w:name w:val="文档结构图 Char6"/>
    <w:qFormat/>
    <w:uiPriority w:val="0"/>
    <w:rPr>
      <w:rFonts w:ascii="宋体" w:hAnsi="Calibri" w:eastAsia="宋体" w:cs="Times New Roman"/>
      <w:kern w:val="2"/>
      <w:sz w:val="18"/>
      <w:szCs w:val="18"/>
    </w:rPr>
  </w:style>
  <w:style w:type="character" w:customStyle="1" w:styleId="188">
    <w:name w:val="title24"/>
    <w:basedOn w:val="48"/>
    <w:qFormat/>
    <w:uiPriority w:val="0"/>
    <w:rPr>
      <w:rFonts w:ascii="Calibri" w:hAnsi="Calibri" w:eastAsia="宋体" w:cs="Times New Roman"/>
    </w:rPr>
  </w:style>
  <w:style w:type="character" w:customStyle="1" w:styleId="189">
    <w:name w:val="标题 Char6"/>
    <w:qFormat/>
    <w:uiPriority w:val="0"/>
    <w:rPr>
      <w:rFonts w:ascii="Cambria" w:hAnsi="Cambria" w:eastAsia="宋体" w:cs="Times New Roman"/>
      <w:b/>
      <w:bCs/>
      <w:sz w:val="32"/>
      <w:szCs w:val="32"/>
    </w:rPr>
  </w:style>
  <w:style w:type="character" w:customStyle="1" w:styleId="190">
    <w:name w:val="批注框文本 Char4"/>
    <w:qFormat/>
    <w:uiPriority w:val="0"/>
    <w:rPr>
      <w:rFonts w:ascii="Calibri" w:hAnsi="Calibri" w:eastAsia="宋体" w:cs="Times New Roman"/>
      <w:sz w:val="18"/>
      <w:szCs w:val="18"/>
    </w:rPr>
  </w:style>
  <w:style w:type="character" w:customStyle="1" w:styleId="191">
    <w:name w:val="正文文本 3 Char1"/>
    <w:qFormat/>
    <w:uiPriority w:val="99"/>
    <w:rPr>
      <w:rFonts w:ascii="Calibri" w:hAnsi="Calibri" w:eastAsia="宋体" w:cs="Times New Roman"/>
      <w:sz w:val="16"/>
      <w:szCs w:val="16"/>
    </w:rPr>
  </w:style>
  <w:style w:type="character" w:customStyle="1" w:styleId="192">
    <w:name w:val="正文首行缩进 Char3"/>
    <w:qFormat/>
    <w:uiPriority w:val="99"/>
    <w:rPr>
      <w:rFonts w:ascii="Calibri" w:hAnsi="Calibri" w:eastAsia="宋体" w:cs="Times New Roman"/>
    </w:rPr>
  </w:style>
  <w:style w:type="character" w:customStyle="1" w:styleId="193">
    <w:name w:val="title1"/>
    <w:qFormat/>
    <w:uiPriority w:val="0"/>
    <w:rPr>
      <w:rFonts w:ascii="Times New Roman" w:hAnsi="Times New Roman" w:eastAsia="楷体_GB2312" w:cs="Times New Roman"/>
      <w:sz w:val="24"/>
      <w:szCs w:val="24"/>
    </w:rPr>
  </w:style>
  <w:style w:type="character" w:customStyle="1" w:styleId="194">
    <w:name w:val="标题 Char2"/>
    <w:qFormat/>
    <w:uiPriority w:val="10"/>
    <w:rPr>
      <w:rFonts w:ascii="Cambria" w:hAnsi="Cambria" w:eastAsia="宋体" w:cs="Times New Roman"/>
      <w:b/>
      <w:bCs/>
      <w:kern w:val="2"/>
      <w:sz w:val="32"/>
      <w:szCs w:val="32"/>
    </w:rPr>
  </w:style>
  <w:style w:type="character" w:customStyle="1" w:styleId="195">
    <w:name w:val="章节二 Char"/>
    <w:qFormat/>
    <w:uiPriority w:val="0"/>
    <w:rPr>
      <w:rFonts w:ascii="Times New Roman" w:hAnsi="Times New Roman" w:eastAsia="黑体" w:cs="Times New Roman"/>
      <w:b/>
      <w:snapToGrid/>
      <w:spacing w:val="4"/>
      <w:sz w:val="30"/>
      <w:szCs w:val="30"/>
      <w:lang w:val="en-US" w:eastAsia="zh-CN" w:bidi="ar-SA"/>
    </w:rPr>
  </w:style>
  <w:style w:type="character" w:customStyle="1" w:styleId="196">
    <w:name w:val="批注主题 Char2"/>
    <w:qFormat/>
    <w:uiPriority w:val="99"/>
    <w:rPr>
      <w:rFonts w:ascii="Calibri" w:hAnsi="Calibri" w:eastAsia="宋体" w:cs="Times New Roman"/>
      <w:b/>
      <w:bCs/>
      <w:kern w:val="2"/>
      <w:sz w:val="21"/>
      <w:szCs w:val="22"/>
    </w:rPr>
  </w:style>
  <w:style w:type="character" w:customStyle="1" w:styleId="197">
    <w:name w:val="Comment Text Char"/>
    <w:qFormat/>
    <w:uiPriority w:val="0"/>
    <w:rPr>
      <w:rFonts w:ascii="Calibri" w:hAnsi="Calibri" w:eastAsia="宋体" w:cs="Times New Roman"/>
    </w:rPr>
  </w:style>
  <w:style w:type="character" w:customStyle="1" w:styleId="198">
    <w:name w:val="正文文本缩进 Char4"/>
    <w:qFormat/>
    <w:uiPriority w:val="0"/>
    <w:rPr>
      <w:rFonts w:ascii="Calibri" w:hAnsi="Calibri" w:eastAsia="宋体" w:cs="Times New Roman"/>
      <w:kern w:val="2"/>
      <w:sz w:val="21"/>
      <w:szCs w:val="22"/>
    </w:rPr>
  </w:style>
  <w:style w:type="character" w:customStyle="1" w:styleId="199">
    <w:name w:val="Char Char4"/>
    <w:qFormat/>
    <w:uiPriority w:val="0"/>
    <w:rPr>
      <w:rFonts w:ascii="Times New Roman" w:hAnsi="Times New Roman" w:eastAsia="楷体_GB2312" w:cs="Times New Roman"/>
      <w:sz w:val="18"/>
      <w:szCs w:val="18"/>
    </w:rPr>
  </w:style>
  <w:style w:type="character" w:customStyle="1" w:styleId="200">
    <w:name w:val="正文文本缩进 3 Char3"/>
    <w:qFormat/>
    <w:uiPriority w:val="0"/>
    <w:rPr>
      <w:rFonts w:ascii="Calibri" w:hAnsi="Calibri" w:eastAsia="宋体" w:cs="Times New Roman"/>
      <w:kern w:val="2"/>
      <w:sz w:val="16"/>
      <w:szCs w:val="16"/>
    </w:rPr>
  </w:style>
  <w:style w:type="character" w:customStyle="1" w:styleId="201">
    <w:name w:val="纯文本 Char3"/>
    <w:qFormat/>
    <w:uiPriority w:val="99"/>
    <w:rPr>
      <w:rFonts w:ascii="宋体" w:hAnsi="Courier New" w:eastAsia="宋体" w:cs="Courier New"/>
      <w:kern w:val="2"/>
      <w:sz w:val="21"/>
      <w:szCs w:val="21"/>
    </w:rPr>
  </w:style>
  <w:style w:type="character" w:customStyle="1" w:styleId="202">
    <w:name w:val="批注主题 Char6"/>
    <w:qFormat/>
    <w:uiPriority w:val="0"/>
    <w:rPr>
      <w:rFonts w:ascii="Calibri" w:hAnsi="Calibri" w:eastAsia="宋体" w:cs="Times New Roman"/>
      <w:b/>
      <w:bCs/>
      <w:kern w:val="2"/>
      <w:sz w:val="21"/>
      <w:szCs w:val="22"/>
    </w:rPr>
  </w:style>
  <w:style w:type="character" w:customStyle="1" w:styleId="203">
    <w:name w:val="批注主题 Char5"/>
    <w:qFormat/>
    <w:uiPriority w:val="0"/>
    <w:rPr>
      <w:rFonts w:ascii="Calibri" w:hAnsi="Calibri" w:eastAsia="宋体" w:cs="Times New Roman"/>
      <w:b/>
      <w:bCs/>
    </w:rPr>
  </w:style>
  <w:style w:type="character" w:customStyle="1" w:styleId="204">
    <w:name w:val="正文文本 Char2"/>
    <w:qFormat/>
    <w:uiPriority w:val="99"/>
    <w:rPr>
      <w:rFonts w:ascii="Calibri" w:hAnsi="Calibri" w:eastAsia="宋体" w:cs="Times New Roman"/>
      <w:sz w:val="21"/>
      <w:szCs w:val="22"/>
    </w:rPr>
  </w:style>
  <w:style w:type="character" w:customStyle="1" w:styleId="205">
    <w:name w:val="Char Char52"/>
    <w:qFormat/>
    <w:uiPriority w:val="0"/>
    <w:rPr>
      <w:rFonts w:ascii="Times New Roman" w:hAnsi="Times New Roman" w:eastAsia="长城仿宋" w:cs="Times New Roman"/>
      <w:sz w:val="18"/>
      <w:lang w:val="en-US" w:eastAsia="zh-CN" w:bidi="ar-SA"/>
    </w:rPr>
  </w:style>
  <w:style w:type="character" w:customStyle="1" w:styleId="206">
    <w:name w:val="日期 Char2"/>
    <w:qFormat/>
    <w:uiPriority w:val="99"/>
    <w:rPr>
      <w:rFonts w:ascii="Calibri" w:hAnsi="Calibri" w:eastAsia="宋体" w:cs="Times New Roman"/>
      <w:kern w:val="2"/>
      <w:sz w:val="21"/>
      <w:szCs w:val="22"/>
    </w:rPr>
  </w:style>
  <w:style w:type="character" w:customStyle="1" w:styleId="207">
    <w:name w:val="正文文本 2 Char2"/>
    <w:qFormat/>
    <w:uiPriority w:val="99"/>
    <w:rPr>
      <w:rFonts w:ascii="Calibri" w:hAnsi="Calibri" w:eastAsia="宋体" w:cs="Times New Roman"/>
      <w:kern w:val="2"/>
      <w:sz w:val="21"/>
      <w:szCs w:val="22"/>
    </w:rPr>
  </w:style>
  <w:style w:type="character" w:customStyle="1" w:styleId="208">
    <w:name w:val="正文文本缩进 3 Char6"/>
    <w:qFormat/>
    <w:uiPriority w:val="0"/>
    <w:rPr>
      <w:rFonts w:ascii="Calibri" w:hAnsi="Calibri" w:eastAsia="宋体" w:cs="Times New Roman"/>
      <w:kern w:val="2"/>
      <w:sz w:val="16"/>
      <w:szCs w:val="16"/>
    </w:rPr>
  </w:style>
  <w:style w:type="character" w:customStyle="1" w:styleId="209">
    <w:name w:val="页脚 Char2"/>
    <w:qFormat/>
    <w:uiPriority w:val="99"/>
    <w:rPr>
      <w:rFonts w:ascii="Calibri" w:hAnsi="Calibri" w:eastAsia="宋体" w:cs="Times New Roman"/>
      <w:sz w:val="18"/>
      <w:szCs w:val="18"/>
    </w:rPr>
  </w:style>
  <w:style w:type="character" w:customStyle="1" w:styleId="210">
    <w:name w:val="正文文本 3 Char7"/>
    <w:basedOn w:val="48"/>
    <w:semiHidden/>
    <w:qFormat/>
    <w:uiPriority w:val="99"/>
    <w:rPr>
      <w:rFonts w:ascii="Times New Roman" w:hAnsi="Times New Roman" w:eastAsia="宋体" w:cs="Times New Roman"/>
      <w:sz w:val="16"/>
      <w:szCs w:val="16"/>
    </w:rPr>
  </w:style>
  <w:style w:type="character" w:customStyle="1" w:styleId="211">
    <w:name w:val="纯文本 Char8"/>
    <w:basedOn w:val="48"/>
    <w:semiHidden/>
    <w:qFormat/>
    <w:uiPriority w:val="99"/>
    <w:rPr>
      <w:rFonts w:ascii="宋体" w:hAnsi="Courier New" w:eastAsia="宋体" w:cs="Courier New"/>
      <w:szCs w:val="21"/>
    </w:rPr>
  </w:style>
  <w:style w:type="character" w:customStyle="1" w:styleId="212">
    <w:name w:val="批注文字 字符1"/>
    <w:basedOn w:val="48"/>
    <w:qFormat/>
    <w:uiPriority w:val="0"/>
    <w:rPr>
      <w:rFonts w:ascii="Times New Roman" w:hAnsi="Times New Roman" w:eastAsia="宋体" w:cs="Times New Roman"/>
    </w:rPr>
  </w:style>
  <w:style w:type="character" w:customStyle="1" w:styleId="213">
    <w:name w:val="批注主题 Char7"/>
    <w:basedOn w:val="212"/>
    <w:semiHidden/>
    <w:qFormat/>
    <w:uiPriority w:val="99"/>
    <w:rPr>
      <w:rFonts w:ascii="Times New Roman" w:hAnsi="Times New Roman" w:eastAsia="宋体" w:cs="Times New Roman"/>
      <w:b/>
      <w:bCs/>
    </w:rPr>
  </w:style>
  <w:style w:type="character" w:customStyle="1" w:styleId="214">
    <w:name w:val="日期 Char7"/>
    <w:basedOn w:val="48"/>
    <w:semiHidden/>
    <w:qFormat/>
    <w:uiPriority w:val="99"/>
    <w:rPr>
      <w:rFonts w:ascii="Times New Roman" w:hAnsi="Times New Roman" w:eastAsia="宋体" w:cs="Times New Roman"/>
    </w:rPr>
  </w:style>
  <w:style w:type="character" w:customStyle="1" w:styleId="215">
    <w:name w:val="正文文本缩进 3 Char7"/>
    <w:basedOn w:val="48"/>
    <w:semiHidden/>
    <w:qFormat/>
    <w:uiPriority w:val="99"/>
    <w:rPr>
      <w:rFonts w:ascii="Times New Roman" w:hAnsi="Times New Roman" w:eastAsia="宋体" w:cs="Times New Roman"/>
      <w:sz w:val="16"/>
      <w:szCs w:val="16"/>
    </w:rPr>
  </w:style>
  <w:style w:type="character" w:customStyle="1" w:styleId="216">
    <w:name w:val="标题 Char8"/>
    <w:basedOn w:val="48"/>
    <w:qFormat/>
    <w:uiPriority w:val="10"/>
    <w:rPr>
      <w:rFonts w:eastAsia="宋体" w:asciiTheme="majorHAnsi" w:hAnsiTheme="majorHAnsi" w:cstheme="majorBidi"/>
      <w:b/>
      <w:bCs/>
      <w:sz w:val="32"/>
      <w:szCs w:val="32"/>
    </w:rPr>
  </w:style>
  <w:style w:type="character" w:customStyle="1" w:styleId="217">
    <w:name w:val="正文文本缩进 Char7"/>
    <w:basedOn w:val="48"/>
    <w:semiHidden/>
    <w:qFormat/>
    <w:uiPriority w:val="99"/>
    <w:rPr>
      <w:rFonts w:ascii="Times New Roman" w:hAnsi="Times New Roman" w:eastAsia="宋体" w:cs="Times New Roman"/>
    </w:rPr>
  </w:style>
  <w:style w:type="character" w:customStyle="1" w:styleId="218">
    <w:name w:val="正文文本 Char9"/>
    <w:basedOn w:val="48"/>
    <w:semiHidden/>
    <w:qFormat/>
    <w:uiPriority w:val="99"/>
    <w:rPr>
      <w:rFonts w:ascii="Times New Roman" w:hAnsi="Times New Roman" w:eastAsia="宋体" w:cs="Times New Roman"/>
    </w:rPr>
  </w:style>
  <w:style w:type="character" w:customStyle="1" w:styleId="219">
    <w:name w:val="文档结构图 Char7"/>
    <w:basedOn w:val="48"/>
    <w:semiHidden/>
    <w:qFormat/>
    <w:uiPriority w:val="99"/>
    <w:rPr>
      <w:rFonts w:ascii="宋体" w:hAnsi="Times New Roman" w:eastAsia="宋体" w:cs="Times New Roman"/>
      <w:sz w:val="18"/>
      <w:szCs w:val="18"/>
    </w:rPr>
  </w:style>
  <w:style w:type="character" w:customStyle="1" w:styleId="220">
    <w:name w:val="正文文本 2 Char7"/>
    <w:basedOn w:val="48"/>
    <w:semiHidden/>
    <w:qFormat/>
    <w:uiPriority w:val="99"/>
    <w:rPr>
      <w:rFonts w:ascii="Times New Roman" w:hAnsi="Times New Roman" w:eastAsia="宋体" w:cs="Times New Roman"/>
    </w:rPr>
  </w:style>
  <w:style w:type="character" w:customStyle="1" w:styleId="221">
    <w:name w:val="批注框文本 Char6"/>
    <w:basedOn w:val="48"/>
    <w:semiHidden/>
    <w:qFormat/>
    <w:uiPriority w:val="99"/>
    <w:rPr>
      <w:rFonts w:ascii="Times New Roman" w:hAnsi="Times New Roman" w:eastAsia="宋体" w:cs="Times New Roman"/>
      <w:sz w:val="18"/>
      <w:szCs w:val="18"/>
    </w:rPr>
  </w:style>
  <w:style w:type="character" w:customStyle="1" w:styleId="222">
    <w:name w:val="正文首行缩进 Char7"/>
    <w:basedOn w:val="218"/>
    <w:semiHidden/>
    <w:qFormat/>
    <w:uiPriority w:val="99"/>
    <w:rPr>
      <w:rFonts w:ascii="Times New Roman" w:hAnsi="Times New Roman" w:eastAsia="宋体" w:cs="Times New Roman"/>
    </w:rPr>
  </w:style>
  <w:style w:type="paragraph" w:customStyle="1" w:styleId="223">
    <w:name w:val="公文正文"/>
    <w:qFormat/>
    <w:uiPriority w:val="0"/>
    <w:pPr>
      <w:widowControl w:val="0"/>
      <w:spacing w:line="360" w:lineRule="auto"/>
      <w:ind w:firstLine="629"/>
      <w:jc w:val="both"/>
    </w:pPr>
    <w:rPr>
      <w:rFonts w:ascii="仿宋_GB2312" w:hAnsi="Calisto MT" w:eastAsia="仿宋_GB2312" w:cs="Times New Roman"/>
      <w:color w:val="000000"/>
      <w:kern w:val="0"/>
      <w:sz w:val="32"/>
      <w:szCs w:val="20"/>
      <w:lang w:val="en-US" w:eastAsia="zh-CN" w:bidi="ar-SA"/>
    </w:rPr>
  </w:style>
  <w:style w:type="paragraph" w:customStyle="1" w:styleId="224">
    <w:name w:val="TOC 标题1"/>
    <w:basedOn w:val="5"/>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225">
    <w:name w:val="修订1"/>
    <w:qFormat/>
    <w:uiPriority w:val="0"/>
    <w:rPr>
      <w:rFonts w:ascii="Times New Roman" w:hAnsi="Times New Roman" w:eastAsia="宋体" w:cs="Arial"/>
      <w:kern w:val="0"/>
      <w:sz w:val="20"/>
      <w:szCs w:val="20"/>
      <w:lang w:val="en-US" w:eastAsia="zh-CN" w:bidi="ar-SA"/>
    </w:rPr>
  </w:style>
  <w:style w:type="paragraph" w:customStyle="1" w:styleId="226">
    <w:name w:val="我的正文"/>
    <w:basedOn w:val="1"/>
    <w:qFormat/>
    <w:uiPriority w:val="0"/>
    <w:rPr>
      <w:rFonts w:ascii="宋体" w:hAnsi="宋体" w:eastAsia="宋体" w:cs="Times New Roman"/>
      <w:sz w:val="24"/>
      <w:szCs w:val="24"/>
    </w:rPr>
  </w:style>
  <w:style w:type="paragraph" w:customStyle="1" w:styleId="227">
    <w:name w:val="正题"/>
    <w:basedOn w:val="100"/>
    <w:next w:val="100"/>
    <w:qFormat/>
    <w:uiPriority w:val="0"/>
    <w:pPr>
      <w:ind w:firstLine="0" w:firstLineChars="0"/>
      <w:jc w:val="center"/>
    </w:pPr>
    <w:rPr>
      <w:rFonts w:eastAsia="黑体"/>
      <w:b/>
      <w:sz w:val="36"/>
      <w:szCs w:val="36"/>
    </w:rPr>
  </w:style>
  <w:style w:type="paragraph" w:customStyle="1" w:styleId="228">
    <w:name w:val="样式1"/>
    <w:basedOn w:val="1"/>
    <w:next w:val="8"/>
    <w:qFormat/>
    <w:uiPriority w:val="0"/>
    <w:pPr>
      <w:spacing w:line="360" w:lineRule="auto"/>
      <w:ind w:firstLine="420" w:firstLineChars="200"/>
    </w:pPr>
    <w:rPr>
      <w:rFonts w:ascii="宋体" w:hAnsi="宋体" w:eastAsia="宋体" w:cs="Times New Roman"/>
      <w:szCs w:val="21"/>
    </w:rPr>
  </w:style>
  <w:style w:type="paragraph" w:customStyle="1" w:styleId="229">
    <w:name w:val="_Style 47"/>
    <w:qFormat/>
    <w:uiPriority w:val="0"/>
    <w:rPr>
      <w:rFonts w:ascii="Times New Roman" w:hAnsi="Times New Roman" w:eastAsia="宋体" w:cs="Calibri"/>
      <w:kern w:val="2"/>
      <w:sz w:val="21"/>
      <w:szCs w:val="24"/>
      <w:lang w:val="en-US" w:eastAsia="zh-CN" w:bidi="ar-SA"/>
    </w:rPr>
  </w:style>
  <w:style w:type="paragraph" w:customStyle="1" w:styleId="230">
    <w:name w:val="章节二"/>
    <w:basedOn w:val="1"/>
    <w:next w:val="1"/>
    <w:qFormat/>
    <w:uiPriority w:val="0"/>
    <w:pPr>
      <w:topLinePunct/>
      <w:adjustRightInd w:val="0"/>
      <w:snapToGrid w:val="0"/>
      <w:spacing w:beforeLines="50" w:afterLines="50"/>
      <w:jc w:val="center"/>
      <w:outlineLvl w:val="1"/>
    </w:pPr>
    <w:rPr>
      <w:rFonts w:ascii="Times New Roman" w:hAnsi="Times New Roman" w:eastAsia="黑体" w:cs="Times New Roman"/>
      <w:b/>
      <w:snapToGrid w:val="0"/>
      <w:spacing w:val="4"/>
      <w:kern w:val="0"/>
      <w:sz w:val="30"/>
      <w:szCs w:val="30"/>
    </w:rPr>
  </w:style>
  <w:style w:type="paragraph" w:customStyle="1" w:styleId="231">
    <w:name w:val="文二"/>
    <w:basedOn w:val="1"/>
    <w:qFormat/>
    <w:uiPriority w:val="0"/>
    <w:pPr>
      <w:jc w:val="left"/>
    </w:pPr>
    <w:rPr>
      <w:rFonts w:ascii="宋体" w:hAnsi="宋体" w:eastAsia="宋体" w:cs="Calibri"/>
      <w:szCs w:val="21"/>
    </w:rPr>
  </w:style>
  <w:style w:type="paragraph" w:customStyle="1" w:styleId="232">
    <w:name w:val="默认段落字体 Para Char"/>
    <w:basedOn w:val="1"/>
    <w:qFormat/>
    <w:uiPriority w:val="0"/>
    <w:rPr>
      <w:rFonts w:ascii="Times New Roman" w:hAnsi="Times New Roman" w:eastAsia="宋体" w:cs="Times New Roman"/>
      <w:sz w:val="30"/>
      <w:szCs w:val="24"/>
    </w:rPr>
  </w:style>
  <w:style w:type="paragraph" w:customStyle="1" w:styleId="233">
    <w:name w:val="结构图及表格"/>
    <w:qFormat/>
    <w:uiPriority w:val="0"/>
    <w:pPr>
      <w:widowControl w:val="0"/>
      <w:jc w:val="center"/>
    </w:pPr>
    <w:rPr>
      <w:rFonts w:ascii="Times New Roman" w:hAnsi="Times New Roman" w:eastAsia="宋体" w:cs="Times New Roman"/>
      <w:kern w:val="21"/>
      <w:sz w:val="21"/>
      <w:szCs w:val="20"/>
      <w:lang w:val="en-US" w:eastAsia="zh-CN" w:bidi="ar-SA"/>
    </w:rPr>
  </w:style>
  <w:style w:type="paragraph" w:customStyle="1" w:styleId="234">
    <w:name w:val="修订11"/>
    <w:qFormat/>
    <w:uiPriority w:val="0"/>
    <w:rPr>
      <w:rFonts w:ascii="Times New Roman" w:hAnsi="Times New Roman" w:eastAsia="宋体" w:cs="Times New Roman"/>
      <w:kern w:val="2"/>
      <w:sz w:val="21"/>
      <w:szCs w:val="24"/>
      <w:lang w:val="en-US" w:eastAsia="zh-CN" w:bidi="ar-SA"/>
    </w:rPr>
  </w:style>
  <w:style w:type="paragraph" w:customStyle="1" w:styleId="235">
    <w:name w:val="样式2"/>
    <w:basedOn w:val="7"/>
    <w:qFormat/>
    <w:uiPriority w:val="0"/>
    <w:pPr>
      <w:spacing w:line="415" w:lineRule="auto"/>
      <w:ind w:firstLine="137" w:firstLineChars="49"/>
    </w:pPr>
    <w:rPr>
      <w:rFonts w:ascii="黑体" w:hAnsi="Calibri" w:eastAsia="黑体"/>
      <w:b w:val="0"/>
      <w:i/>
      <w:kern w:val="0"/>
      <w:sz w:val="28"/>
      <w:szCs w:val="28"/>
    </w:rPr>
  </w:style>
  <w:style w:type="paragraph" w:customStyle="1" w:styleId="236">
    <w:name w:val="表格"/>
    <w:basedOn w:val="1"/>
    <w:qFormat/>
    <w:uiPriority w:val="0"/>
    <w:pPr>
      <w:jc w:val="center"/>
      <w:textAlignment w:val="center"/>
    </w:pPr>
    <w:rPr>
      <w:rFonts w:ascii="华文细黑" w:hAnsi="华文细黑" w:eastAsia="宋体" w:cs="Times New Roman"/>
      <w:kern w:val="0"/>
      <w:szCs w:val="20"/>
    </w:rPr>
  </w:style>
  <w:style w:type="paragraph" w:customStyle="1" w:styleId="237">
    <w:name w:val="列出段落1"/>
    <w:basedOn w:val="1"/>
    <w:qFormat/>
    <w:uiPriority w:val="0"/>
    <w:pPr>
      <w:ind w:firstLine="420" w:firstLineChars="200"/>
    </w:pPr>
    <w:rPr>
      <w:rFonts w:ascii="Calibri" w:hAnsi="Calibri" w:eastAsia="宋体" w:cs="Calibri"/>
      <w:szCs w:val="21"/>
    </w:rPr>
  </w:style>
  <w:style w:type="paragraph" w:customStyle="1" w:styleId="238">
    <w:name w:val="WPSOffice手动目录 1"/>
    <w:qFormat/>
    <w:uiPriority w:val="0"/>
    <w:rPr>
      <w:rFonts w:ascii="Times New Roman" w:hAnsi="Times New Roman" w:eastAsia="宋体" w:cs="Times New Roman"/>
      <w:kern w:val="0"/>
      <w:sz w:val="20"/>
      <w:szCs w:val="20"/>
      <w:lang w:val="en-US" w:eastAsia="zh-CN" w:bidi="ar-SA"/>
    </w:rPr>
  </w:style>
  <w:style w:type="paragraph" w:customStyle="1" w:styleId="239">
    <w:name w:val="6'"/>
    <w:basedOn w:val="1"/>
    <w:qFormat/>
    <w:uiPriority w:val="0"/>
    <w:pPr>
      <w:autoSpaceDE w:val="0"/>
      <w:autoSpaceDN w:val="0"/>
      <w:adjustRightInd w:val="0"/>
      <w:snapToGrid w:val="0"/>
      <w:spacing w:line="320" w:lineRule="exact"/>
      <w:jc w:val="center"/>
      <w:textAlignment w:val="baseline"/>
    </w:pPr>
    <w:rPr>
      <w:rFonts w:ascii="Times New Roman" w:hAnsi="Times New Roman" w:eastAsia="宋体" w:cs="Times New Roman"/>
      <w:spacing w:val="20"/>
      <w:kern w:val="28"/>
      <w:szCs w:val="20"/>
    </w:rPr>
  </w:style>
  <w:style w:type="paragraph" w:customStyle="1" w:styleId="240">
    <w:name w:val="图片"/>
    <w:basedOn w:val="1"/>
    <w:qFormat/>
    <w:uiPriority w:val="0"/>
    <w:pPr>
      <w:adjustRightInd w:val="0"/>
      <w:snapToGrid w:val="0"/>
      <w:spacing w:line="312" w:lineRule="atLeast"/>
      <w:ind w:firstLine="200" w:firstLineChars="200"/>
      <w:textAlignment w:val="baseline"/>
    </w:pPr>
    <w:rPr>
      <w:rFonts w:ascii="Times New Roman" w:hAnsi="Times New Roman" w:eastAsia="华文宋体" w:cs="Times New Roman"/>
      <w:kern w:val="0"/>
      <w:sz w:val="28"/>
      <w:szCs w:val="20"/>
    </w:rPr>
  </w:style>
  <w:style w:type="paragraph" w:customStyle="1" w:styleId="241">
    <w:name w:val="_Style 71"/>
    <w:qFormat/>
    <w:uiPriority w:val="99"/>
    <w:rPr>
      <w:rFonts w:ascii="Times New Roman" w:hAnsi="Times New Roman" w:eastAsia="宋体" w:cs="Calibri"/>
      <w:kern w:val="2"/>
      <w:sz w:val="21"/>
      <w:szCs w:val="24"/>
      <w:lang w:val="en-US" w:eastAsia="zh-CN" w:bidi="ar-SA"/>
    </w:rPr>
  </w:style>
  <w:style w:type="paragraph" w:customStyle="1" w:styleId="242">
    <w:name w:val="修订3"/>
    <w:qFormat/>
    <w:uiPriority w:val="0"/>
    <w:rPr>
      <w:rFonts w:ascii="Times New Roman" w:hAnsi="Times New Roman" w:eastAsia="宋体" w:cs="Times New Roman"/>
      <w:kern w:val="2"/>
      <w:sz w:val="21"/>
      <w:szCs w:val="22"/>
      <w:lang w:val="en-US" w:eastAsia="zh-CN" w:bidi="ar-SA"/>
    </w:rPr>
  </w:style>
  <w:style w:type="paragraph" w:customStyle="1" w:styleId="243">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4">
    <w:name w:val="_Style 23"/>
    <w:basedOn w:val="1"/>
    <w:qFormat/>
    <w:uiPriority w:val="0"/>
    <w:pPr>
      <w:widowControl/>
      <w:spacing w:after="160" w:line="240" w:lineRule="exact"/>
      <w:jc w:val="left"/>
    </w:pPr>
    <w:rPr>
      <w:rFonts w:ascii="Times New Roman" w:hAnsi="Times New Roman" w:eastAsia="宋体" w:cs="Times New Roman"/>
    </w:rPr>
  </w:style>
  <w:style w:type="paragraph" w:customStyle="1" w:styleId="245">
    <w:name w:val="1"/>
    <w:basedOn w:val="1"/>
    <w:qFormat/>
    <w:uiPriority w:val="0"/>
    <w:rPr>
      <w:rFonts w:ascii="Times New Roman" w:hAnsi="Times New Roman" w:eastAsia="宋体" w:cs="Times New Roman"/>
      <w:szCs w:val="20"/>
    </w:rPr>
  </w:style>
  <w:style w:type="paragraph" w:customStyle="1" w:styleId="246">
    <w:name w:val="样式 标题 1 + 黑体 三号 非加粗 居中 段前: 6 磅 段后: 6 磅 行距: 固定值 20 磅"/>
    <w:basedOn w:val="5"/>
    <w:qFormat/>
    <w:uiPriority w:val="0"/>
    <w:pPr>
      <w:spacing w:before="120" w:after="120" w:line="400" w:lineRule="exact"/>
      <w:jc w:val="center"/>
    </w:pPr>
    <w:rPr>
      <w:rFonts w:ascii="黑体" w:hAnsi="黑体" w:eastAsia="黑体" w:cs="宋体"/>
      <w:b w:val="0"/>
      <w:bCs w:val="0"/>
      <w:sz w:val="32"/>
      <w:szCs w:val="20"/>
    </w:rPr>
  </w:style>
  <w:style w:type="paragraph" w:customStyle="1" w:styleId="247">
    <w:name w:val="样式 标题 3 + (中文) 黑体 小四 非加粗 段前: 7.8 磅 段后: 0 磅 行距: 固定值 20 磅"/>
    <w:basedOn w:val="7"/>
    <w:qFormat/>
    <w:uiPriority w:val="0"/>
    <w:pPr>
      <w:spacing w:before="0" w:after="0" w:line="400" w:lineRule="exact"/>
      <w:ind w:firstLine="137" w:firstLineChars="49"/>
    </w:pPr>
    <w:rPr>
      <w:rFonts w:ascii="黑体" w:hAnsi="Calibri" w:eastAsia="黑体" w:cs="宋体"/>
      <w:b w:val="0"/>
      <w:bCs w:val="0"/>
      <w:kern w:val="0"/>
      <w:sz w:val="24"/>
      <w:szCs w:val="20"/>
    </w:rPr>
  </w:style>
  <w:style w:type="paragraph" w:customStyle="1" w:styleId="248">
    <w:name w:val="修订2"/>
    <w:qFormat/>
    <w:uiPriority w:val="0"/>
    <w:rPr>
      <w:rFonts w:ascii="Times New Roman" w:hAnsi="Times New Roman" w:eastAsia="宋体" w:cs="Times New Roman"/>
      <w:kern w:val="2"/>
      <w:sz w:val="21"/>
      <w:szCs w:val="24"/>
      <w:lang w:val="en-US" w:eastAsia="zh-CN" w:bidi="ar-SA"/>
    </w:rPr>
  </w:style>
  <w:style w:type="paragraph" w:customStyle="1" w:styleId="249">
    <w:name w:val="发文落款"/>
    <w:basedOn w:val="223"/>
    <w:qFormat/>
    <w:uiPriority w:val="0"/>
    <w:pPr>
      <w:ind w:left="4094" w:right="607" w:firstLine="0"/>
      <w:jc w:val="center"/>
    </w:pPr>
    <w:rPr>
      <w:rFonts w:ascii="Calibri" w:hAnsi="Calibri" w:eastAsia="宋体"/>
    </w:rPr>
  </w:style>
  <w:style w:type="paragraph" w:customStyle="1" w:styleId="250">
    <w:name w:val="Char1"/>
    <w:basedOn w:val="1"/>
    <w:qFormat/>
    <w:uiPriority w:val="0"/>
    <w:pPr>
      <w:tabs>
        <w:tab w:val="left" w:pos="360"/>
      </w:tabs>
    </w:pPr>
    <w:rPr>
      <w:rFonts w:ascii="Times New Roman" w:hAnsi="Times New Roman" w:eastAsia="宋体" w:cs="Times New Roman"/>
      <w:sz w:val="24"/>
      <w:szCs w:val="20"/>
    </w:rPr>
  </w:style>
  <w:style w:type="paragraph" w:customStyle="1" w:styleId="251">
    <w:name w:val="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252">
    <w:name w:val="章节三"/>
    <w:basedOn w:val="100"/>
    <w:next w:val="100"/>
    <w:qFormat/>
    <w:uiPriority w:val="0"/>
    <w:pPr>
      <w:spacing w:beforeLines="50" w:afterLines="50" w:line="240" w:lineRule="auto"/>
      <w:ind w:firstLine="0" w:firstLineChars="0"/>
      <w:jc w:val="left"/>
      <w:outlineLvl w:val="2"/>
    </w:pPr>
    <w:rPr>
      <w:rFonts w:ascii="黑体" w:hAnsi="宋体" w:eastAsia="黑体"/>
      <w:b/>
    </w:rPr>
  </w:style>
  <w:style w:type="paragraph" w:customStyle="1" w:styleId="253">
    <w:name w:val="列出段落2"/>
    <w:basedOn w:val="1"/>
    <w:qFormat/>
    <w:uiPriority w:val="34"/>
    <w:pPr>
      <w:ind w:firstLine="420" w:firstLineChars="200"/>
    </w:pPr>
    <w:rPr>
      <w:rFonts w:ascii="Times New Roman" w:hAnsi="Times New Roman" w:eastAsia="宋体" w:cs="Times New Roman"/>
    </w:rPr>
  </w:style>
  <w:style w:type="paragraph" w:customStyle="1" w:styleId="254">
    <w:name w:val="Table Paragraph"/>
    <w:basedOn w:val="1"/>
    <w:qFormat/>
    <w:uiPriority w:val="1"/>
    <w:pPr>
      <w:autoSpaceDE w:val="0"/>
      <w:autoSpaceDN w:val="0"/>
      <w:adjustRightInd w:val="0"/>
      <w:jc w:val="left"/>
    </w:pPr>
    <w:rPr>
      <w:rFonts w:ascii="Times New Roman" w:hAnsi="Times New Roman" w:eastAsia="宋体" w:cs="Times New Roman"/>
      <w:kern w:val="0"/>
      <w:sz w:val="24"/>
      <w:szCs w:val="24"/>
    </w:rPr>
  </w:style>
  <w:style w:type="paragraph" w:customStyle="1" w:styleId="255">
    <w:name w:val="表格文字"/>
    <w:basedOn w:val="1"/>
    <w:next w:val="1"/>
    <w:qFormat/>
    <w:uiPriority w:val="0"/>
    <w:pPr>
      <w:snapToGrid w:val="0"/>
      <w:spacing w:line="360" w:lineRule="atLeast"/>
      <w:jc w:val="center"/>
    </w:pPr>
    <w:rPr>
      <w:rFonts w:ascii="宋体" w:hAnsi="Times New Roman" w:eastAsia="幼圆" w:cs="Times New Roman"/>
      <w:szCs w:val="20"/>
    </w:rPr>
  </w:style>
  <w:style w:type="paragraph" w:customStyle="1" w:styleId="256">
    <w:name w:val="样式 标题 2 + Times New Roman 四号 非加粗 段前: 5 磅 段后: 0 磅 行距: 固定值 20..."/>
    <w:basedOn w:val="6"/>
    <w:qFormat/>
    <w:uiPriority w:val="0"/>
    <w:pPr>
      <w:keepNext/>
      <w:keepLines/>
      <w:spacing w:before="100" w:line="400" w:lineRule="exact"/>
      <w:jc w:val="center"/>
      <w:textAlignment w:val="auto"/>
    </w:pPr>
    <w:rPr>
      <w:rFonts w:ascii="Times New Roman" w:hAnsi="Times New Roman" w:eastAsia="宋体" w:cs="宋体"/>
      <w:b w:val="0"/>
      <w:bCs w:val="0"/>
      <w:color w:val="auto"/>
      <w:sz w:val="28"/>
      <w:szCs w:val="20"/>
    </w:rPr>
  </w:style>
  <w:style w:type="table" w:customStyle="1" w:styleId="257">
    <w:name w:val="中等深浅网格 31"/>
    <w:basedOn w:val="40"/>
    <w:qFormat/>
    <w:uiPriority w:val="0"/>
    <w:rPr>
      <w:rFonts w:ascii="Calibri" w:hAnsi="Calibri" w:eastAsia="宋体" w:cs="Times New Roman"/>
      <w:kern w:val="0"/>
      <w:sz w:val="20"/>
      <w:szCs w:val="20"/>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C0C0C0"/>
    </w:tcPr>
    <w:tblStylePr w:type="firstRow">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000000"/>
      </w:tcPr>
    </w:tblStylePr>
    <w:tblStylePr w:type="lastRow">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000000"/>
      </w:tcPr>
    </w:tblStylePr>
    <w:tblStylePr w:type="firstCol">
      <w:tcPr>
        <w:tcBorders>
          <w:top w:val="nil"/>
          <w:left w:val="single" w:color="CCE8CF" w:sz="8" w:space="0"/>
          <w:bottom w:val="nil"/>
          <w:right w:val="single" w:color="CCE8CF" w:sz="24" w:space="0"/>
          <w:insideH w:val="nil"/>
          <w:insideV w:val="nil"/>
          <w:tl2br w:val="nil"/>
          <w:tr2bl w:val="nil"/>
        </w:tcBorders>
        <w:shd w:val="clear" w:color="auto" w:fill="000000"/>
      </w:tcPr>
    </w:tblStylePr>
    <w:tblStylePr w:type="lastCol">
      <w:tcPr>
        <w:tcBorders>
          <w:top w:val="nil"/>
          <w:left w:val="single" w:color="CCE8CF" w:sz="24" w:space="0"/>
          <w:bottom w:val="nil"/>
          <w:right w:val="nil"/>
          <w:insideH w:val="nil"/>
          <w:insideV w:val="nil"/>
          <w:tl2br w:val="nil"/>
          <w:tr2bl w:val="nil"/>
        </w:tcBorders>
        <w:shd w:val="clear" w:color="auto" w:fill="000000"/>
      </w:tcPr>
    </w:tblStylePr>
    <w:tblStylePr w:type="band1Vert">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808080"/>
      </w:tcPr>
    </w:tblStylePr>
    <w:tblStylePr w:type="band1Horz">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808080"/>
      </w:tcPr>
    </w:tblStylePr>
  </w:style>
  <w:style w:type="paragraph" w:customStyle="1" w:styleId="258">
    <w:name w:val="修订4"/>
    <w:qFormat/>
    <w:uiPriority w:val="0"/>
    <w:rPr>
      <w:rFonts w:ascii="Calibri" w:hAnsi="Calibri" w:eastAsia="宋体" w:cs="Times New Roman"/>
      <w:kern w:val="2"/>
      <w:sz w:val="21"/>
      <w:szCs w:val="22"/>
      <w:lang w:val="en-US" w:eastAsia="zh-CN" w:bidi="ar-SA"/>
    </w:rPr>
  </w:style>
  <w:style w:type="character" w:customStyle="1" w:styleId="259">
    <w:name w:val="NormalCharacter"/>
    <w:qFormat/>
    <w:uiPriority w:val="0"/>
    <w:rPr>
      <w:rFonts w:ascii="Times New Roman" w:hAnsi="Times New Roman" w:eastAsia="宋体" w:cs="Times New Roman"/>
      <w:kern w:val="2"/>
      <w:sz w:val="21"/>
      <w:szCs w:val="22"/>
      <w:lang w:val="en-US" w:eastAsia="zh-CN" w:bidi="ar-SA"/>
    </w:rPr>
  </w:style>
  <w:style w:type="paragraph" w:customStyle="1" w:styleId="260">
    <w:name w:val="修订5"/>
    <w:hidden/>
    <w:semiHidden/>
    <w:qFormat/>
    <w:uiPriority w:val="99"/>
    <w:rPr>
      <w:rFonts w:ascii="Times New Roman" w:hAnsi="Times New Roman" w:eastAsia="宋体" w:cs="Times New Roman"/>
      <w:kern w:val="2"/>
      <w:sz w:val="21"/>
      <w:szCs w:val="22"/>
      <w:lang w:val="en-US" w:eastAsia="zh-CN" w:bidi="ar-SA"/>
    </w:rPr>
  </w:style>
  <w:style w:type="paragraph" w:customStyle="1" w:styleId="261">
    <w:name w:val="自定义正文"/>
    <w:basedOn w:val="1"/>
    <w:next w:val="1"/>
    <w:qFormat/>
    <w:uiPriority w:val="0"/>
    <w:pPr>
      <w:spacing w:after="0" w:line="360" w:lineRule="auto"/>
      <w:ind w:firstLine="200" w:firstLineChars="200"/>
    </w:pPr>
    <w:rPr>
      <w:rFonts w:eastAsia="宋体"/>
      <w:sz w:val="24"/>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114</Pages>
  <Words>42089</Words>
  <Characters>44395</Characters>
  <Lines>429</Lines>
  <Paragraphs>120</Paragraphs>
  <TotalTime>13</TotalTime>
  <ScaleCrop>false</ScaleCrop>
  <LinksUpToDate>false</LinksUpToDate>
  <CharactersWithSpaces>45782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2022-07-15T09:30:00Z</dcterms:created>
  <dc:creator>Admin</dc:creator>
  <cp:lastModifiedBy>郭飘飘</cp:lastModifiedBy>
  <dcterms:modified xsi:type="dcterms:W3CDTF">2025-07-28T09:30:44Z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AF0B4DC34EE744E381BAE705ACA14681_13</vt:lpwstr>
  </property>
  <property fmtid="{D5CDD505-2E9C-101B-9397-08002B2CF9AE}" pid="4" name="KSOTemplateDocerSaveRecord">
    <vt:lpwstr>eyJoZGlkIjoiMzEwNTM5NzYwMDRjMzkwZTVkZjY2ODkwMGIxNGU0OTUiLCJ1c2VySWQiOiI0NTkzMjA2OTcifQ==</vt:lpwstr>
  </property>
</Properties>
</file>