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F8E42">
      <w:pPr>
        <w:rPr>
          <w:rFonts w:hint="eastAsia" w:asciiTheme="minorEastAsia" w:hAnsiTheme="minorEastAsia" w:eastAsiaTheme="minorEastAsia" w:cstheme="minorEastAsia"/>
          <w:sz w:val="22"/>
          <w:szCs w:val="24"/>
        </w:rPr>
      </w:pPr>
    </w:p>
    <w:p w14:paraId="1ED885E0">
      <w:pPr>
        <w:jc w:val="center"/>
        <w:rPr>
          <w:rFonts w:hint="eastAsia" w:asciiTheme="minorEastAsia" w:hAnsiTheme="minorEastAsia" w:eastAsiaTheme="minorEastAsia" w:cstheme="minorEastAsia"/>
          <w:b/>
          <w:sz w:val="56"/>
          <w:szCs w:val="56"/>
        </w:rPr>
      </w:pPr>
      <w:bookmarkStart w:id="0" w:name="_Hlk509948971"/>
    </w:p>
    <w:p w14:paraId="77758DE3">
      <w:pPr>
        <w:jc w:val="center"/>
        <w:rPr>
          <w:rFonts w:hint="eastAsia" w:asciiTheme="minorEastAsia" w:hAnsiTheme="minorEastAsia" w:eastAsiaTheme="minorEastAsia" w:cstheme="minorEastAsia"/>
          <w:b/>
          <w:sz w:val="56"/>
          <w:szCs w:val="56"/>
        </w:rPr>
      </w:pPr>
    </w:p>
    <w:p w14:paraId="4C43060F">
      <w:pPr>
        <w:jc w:val="center"/>
        <w:rPr>
          <w:rFonts w:hint="eastAsia" w:asciiTheme="minorEastAsia" w:hAnsiTheme="minorEastAsia" w:eastAsiaTheme="minorEastAsia" w:cstheme="minorEastAsia"/>
          <w:b/>
          <w:sz w:val="56"/>
          <w:szCs w:val="56"/>
        </w:rPr>
      </w:pPr>
      <w:bookmarkStart w:id="1" w:name="_Hlk204336810"/>
      <w:r>
        <w:rPr>
          <w:rFonts w:hint="eastAsia" w:asciiTheme="minorEastAsia" w:hAnsiTheme="minorEastAsia" w:eastAsiaTheme="minorEastAsia" w:cstheme="minorEastAsia"/>
          <w:b/>
          <w:sz w:val="56"/>
          <w:szCs w:val="56"/>
        </w:rPr>
        <w:t>南沙区东涌镇片区内涝防治一期工程监理</w:t>
      </w:r>
      <w:bookmarkEnd w:id="1"/>
    </w:p>
    <w:p w14:paraId="695AB2C1">
      <w:pPr>
        <w:rPr>
          <w:rFonts w:hint="eastAsia" w:asciiTheme="minorEastAsia" w:hAnsiTheme="minorEastAsia" w:eastAsiaTheme="minorEastAsia" w:cstheme="minorEastAsia"/>
        </w:rPr>
      </w:pPr>
    </w:p>
    <w:p w14:paraId="1539B429">
      <w:pPr>
        <w:rPr>
          <w:rFonts w:hint="eastAsia" w:asciiTheme="minorEastAsia" w:hAnsiTheme="minorEastAsia" w:eastAsiaTheme="minorEastAsia" w:cstheme="minorEastAsia"/>
        </w:rPr>
      </w:pPr>
    </w:p>
    <w:p w14:paraId="43A54A88">
      <w:pPr>
        <w:pStyle w:val="25"/>
        <w:rPr>
          <w:rFonts w:hint="eastAsia" w:asciiTheme="minorEastAsia" w:hAnsiTheme="minorEastAsia" w:eastAsiaTheme="minorEastAsia" w:cstheme="minorEastAsia"/>
        </w:rPr>
      </w:pPr>
    </w:p>
    <w:p w14:paraId="6B69CC38">
      <w:pPr>
        <w:rPr>
          <w:rFonts w:hint="eastAsia" w:asciiTheme="minorEastAsia" w:hAnsiTheme="minorEastAsia" w:eastAsiaTheme="minorEastAsia" w:cstheme="minorEastAsia"/>
        </w:rPr>
      </w:pPr>
    </w:p>
    <w:p w14:paraId="45E98F00">
      <w:pPr>
        <w:jc w:val="center"/>
        <w:rPr>
          <w:rFonts w:hint="eastAsia"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合同文件</w:t>
      </w:r>
      <w:bookmarkEnd w:id="0"/>
    </w:p>
    <w:p w14:paraId="259D1FB5">
      <w:pPr>
        <w:adjustRightInd w:val="0"/>
        <w:snapToGrid w:val="0"/>
        <w:spacing w:line="360" w:lineRule="auto"/>
        <w:ind w:firstLine="1680" w:firstLineChars="6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合同编号：</w:t>
      </w:r>
    </w:p>
    <w:p w14:paraId="23B72EC6">
      <w:pPr>
        <w:spacing w:line="360" w:lineRule="auto"/>
        <w:jc w:val="left"/>
        <w:rPr>
          <w:rFonts w:hint="eastAsia" w:asciiTheme="minorEastAsia" w:hAnsiTheme="minorEastAsia" w:eastAsiaTheme="minorEastAsia" w:cstheme="minorEastAsia"/>
          <w:sz w:val="28"/>
          <w:szCs w:val="28"/>
        </w:rPr>
      </w:pPr>
    </w:p>
    <w:p w14:paraId="1AB3DD65">
      <w:pPr>
        <w:spacing w:line="360" w:lineRule="auto"/>
        <w:ind w:left="708" w:leftChars="337"/>
        <w:rPr>
          <w:rFonts w:hint="eastAsia" w:asciiTheme="minorEastAsia" w:hAnsiTheme="minorEastAsia" w:eastAsiaTheme="minorEastAsia" w:cstheme="minorEastAsia"/>
          <w:sz w:val="28"/>
          <w:szCs w:val="28"/>
        </w:rPr>
      </w:pPr>
    </w:p>
    <w:p w14:paraId="7F2EACF8">
      <w:pPr>
        <w:spacing w:line="360" w:lineRule="auto"/>
        <w:ind w:left="708" w:leftChars="337"/>
        <w:rPr>
          <w:rFonts w:hint="eastAsia" w:asciiTheme="minorEastAsia" w:hAnsiTheme="minorEastAsia" w:eastAsiaTheme="minorEastAsia" w:cstheme="minorEastAsia"/>
          <w:sz w:val="28"/>
          <w:szCs w:val="28"/>
        </w:rPr>
      </w:pPr>
    </w:p>
    <w:p w14:paraId="5AAA7B9B">
      <w:pPr>
        <w:spacing w:line="360" w:lineRule="auto"/>
        <w:ind w:left="708" w:leftChars="337"/>
        <w:rPr>
          <w:rFonts w:hint="eastAsia" w:asciiTheme="minorEastAsia" w:hAnsiTheme="minorEastAsia" w:eastAsiaTheme="minorEastAsia" w:cstheme="minorEastAsia"/>
          <w:sz w:val="28"/>
          <w:szCs w:val="28"/>
        </w:rPr>
      </w:pPr>
    </w:p>
    <w:p w14:paraId="53BC57E2">
      <w:pPr>
        <w:pStyle w:val="25"/>
        <w:rPr>
          <w:rFonts w:hint="eastAsia" w:asciiTheme="minorEastAsia" w:hAnsiTheme="minorEastAsia" w:eastAsiaTheme="minorEastAsia" w:cstheme="minorEastAsia"/>
        </w:rPr>
      </w:pPr>
    </w:p>
    <w:p w14:paraId="649C6516">
      <w:pPr>
        <w:pStyle w:val="25"/>
        <w:rPr>
          <w:rFonts w:hint="eastAsia" w:asciiTheme="minorEastAsia" w:hAnsiTheme="minorEastAsia" w:eastAsiaTheme="minorEastAsia" w:cstheme="minorEastAsia"/>
        </w:rPr>
      </w:pPr>
    </w:p>
    <w:p w14:paraId="4AA0FF39">
      <w:pPr>
        <w:pStyle w:val="25"/>
        <w:rPr>
          <w:rFonts w:hint="eastAsia" w:asciiTheme="minorEastAsia" w:hAnsiTheme="minorEastAsia" w:eastAsiaTheme="minorEastAsia" w:cstheme="minorEastAsia"/>
        </w:rPr>
      </w:pPr>
    </w:p>
    <w:p w14:paraId="783051AC">
      <w:pPr>
        <w:spacing w:line="360" w:lineRule="auto"/>
        <w:ind w:left="708" w:leftChars="337"/>
        <w:rPr>
          <w:rFonts w:hint="eastAsia" w:asciiTheme="minorEastAsia" w:hAnsiTheme="minorEastAsia" w:eastAsiaTheme="minorEastAsia" w:cstheme="minorEastAsia"/>
          <w:sz w:val="28"/>
          <w:szCs w:val="28"/>
        </w:rPr>
      </w:pPr>
    </w:p>
    <w:p w14:paraId="0CE35AC3">
      <w:pPr>
        <w:spacing w:line="360" w:lineRule="auto"/>
        <w:ind w:left="708" w:leftChars="337"/>
        <w:rPr>
          <w:rFonts w:hint="eastAsia" w:asciiTheme="minorEastAsia" w:hAnsiTheme="minorEastAsia" w:eastAsiaTheme="minorEastAsia" w:cstheme="minorEastAsia"/>
          <w:sz w:val="28"/>
          <w:szCs w:val="28"/>
        </w:rPr>
      </w:pPr>
    </w:p>
    <w:p w14:paraId="2DB4E134">
      <w:pPr>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 xml:space="preserve">发 包 人：广州市南沙区排水和污水处理事务中心 </w:t>
      </w:r>
      <w:r>
        <w:rPr>
          <w:rFonts w:hint="eastAsia" w:asciiTheme="minorEastAsia" w:hAnsiTheme="minorEastAsia" w:eastAsiaTheme="minorEastAsia" w:cstheme="minorEastAsia"/>
          <w:b/>
          <w:bCs/>
          <w:kern w:val="0"/>
          <w:sz w:val="28"/>
          <w:szCs w:val="28"/>
        </w:rPr>
        <w:tab/>
      </w:r>
    </w:p>
    <w:p w14:paraId="40362716">
      <w:pPr>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监 理 人：</w:t>
      </w:r>
      <w:r>
        <w:rPr>
          <w:rFonts w:hint="eastAsia" w:asciiTheme="minorEastAsia" w:hAnsiTheme="minorEastAsia" w:eastAsiaTheme="minorEastAsia" w:cstheme="minorEastAsia"/>
          <w:b/>
          <w:bCs/>
          <w:kern w:val="0"/>
          <w:sz w:val="28"/>
          <w:szCs w:val="28"/>
          <w:u w:val="single"/>
        </w:rPr>
        <w:t xml:space="preserve">                                  </w:t>
      </w:r>
    </w:p>
    <w:p w14:paraId="095AA332">
      <w:pPr>
        <w:pStyle w:val="25"/>
        <w:rPr>
          <w:rFonts w:hint="eastAsia" w:asciiTheme="minorEastAsia" w:hAnsiTheme="minorEastAsia" w:eastAsiaTheme="minorEastAsia" w:cstheme="minorEastAsia"/>
        </w:rPr>
      </w:pPr>
    </w:p>
    <w:p w14:paraId="11113ED3">
      <w:pPr>
        <w:pStyle w:val="25"/>
        <w:rPr>
          <w:rFonts w:hint="eastAsia" w:asciiTheme="minorEastAsia" w:hAnsiTheme="minorEastAsia" w:eastAsiaTheme="minorEastAsia" w:cstheme="minorEastAsia"/>
        </w:rPr>
      </w:pPr>
    </w:p>
    <w:p w14:paraId="29E41B29">
      <w:pPr>
        <w:pStyle w:val="25"/>
        <w:snapToGrid w:val="0"/>
        <w:spacing w:after="0" w:line="360" w:lineRule="auto"/>
        <w:ind w:left="1512" w:leftChars="720" w:firstLine="0"/>
        <w:jc w:val="left"/>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合同签署日期：</w:t>
      </w:r>
    </w:p>
    <w:p w14:paraId="4D0A4F6F">
      <w:pPr>
        <w:pStyle w:val="25"/>
        <w:snapToGrid w:val="0"/>
        <w:spacing w:after="0" w:line="360" w:lineRule="auto"/>
        <w:ind w:left="1512" w:leftChars="720" w:firstLine="0"/>
        <w:jc w:val="left"/>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合同签订地点：广州市南沙区</w:t>
      </w:r>
    </w:p>
    <w:p w14:paraId="7A2BE23B">
      <w:pPr>
        <w:adjustRightInd w:val="0"/>
        <w:snapToGrid w:val="0"/>
        <w:spacing w:line="48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kern w:val="0"/>
          <w:sz w:val="30"/>
          <w:szCs w:val="30"/>
        </w:rPr>
        <w:br w:type="page"/>
      </w:r>
    </w:p>
    <w:p w14:paraId="3AA8D7A4">
      <w:pPr>
        <w:adjustRightInd w:val="0"/>
        <w:snapToGrid w:val="0"/>
        <w:spacing w:line="480" w:lineRule="auto"/>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b/>
          <w:bCs/>
          <w:snapToGrid w:val="0"/>
          <w:kern w:val="0"/>
          <w:sz w:val="40"/>
          <w:szCs w:val="40"/>
        </w:rPr>
        <w:t>重要提示</w:t>
      </w:r>
    </w:p>
    <w:p w14:paraId="79543BD2">
      <w:pPr>
        <w:pStyle w:val="12"/>
        <w:adjustRightInd w:val="0"/>
        <w:snapToGrid w:val="0"/>
        <w:spacing w:line="360" w:lineRule="auto"/>
        <w:ind w:firstLine="560" w:firstLineChars="200"/>
        <w:rPr>
          <w:rFonts w:hint="eastAsia" w:asciiTheme="minorEastAsia" w:hAnsiTheme="minorEastAsia" w:eastAsiaTheme="minorEastAsia" w:cstheme="minorEastAsia"/>
          <w:snapToGrid w:val="0"/>
          <w:kern w:val="0"/>
          <w:sz w:val="28"/>
          <w:szCs w:val="28"/>
        </w:rPr>
      </w:pPr>
    </w:p>
    <w:p w14:paraId="5173AD04">
      <w:pPr>
        <w:adjustRightInd w:val="0"/>
        <w:snapToGrid w:val="0"/>
        <w:spacing w:line="360" w:lineRule="auto"/>
        <w:ind w:firstLine="560" w:firstLineChars="200"/>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使用说明：</w:t>
      </w:r>
    </w:p>
    <w:p w14:paraId="3EFA43EB">
      <w:pPr>
        <w:adjustRightInd w:val="0"/>
        <w:snapToGrid w:val="0"/>
        <w:spacing w:line="360" w:lineRule="auto"/>
        <w:ind w:firstLine="560" w:firstLineChars="200"/>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1、下划线“    ”部分为根据项目的特点和条件填充的内容,本范本已预填写的内容可根据实际修改，如无内容需填写，请填“/”；</w:t>
      </w:r>
    </w:p>
    <w:p w14:paraId="4A786FD6">
      <w:pPr>
        <w:adjustRightInd w:val="0"/>
        <w:snapToGrid w:val="0"/>
        <w:spacing w:line="360" w:lineRule="auto"/>
        <w:ind w:firstLine="560" w:firstLineChars="200"/>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2、有标明“□”的内容为可选择项，签订合同时按照项目实际进行选择，在相应的选项内打“√”，未打“√”项目则代表不在合同工作范围；</w:t>
      </w:r>
    </w:p>
    <w:p w14:paraId="733EA6C8">
      <w:pPr>
        <w:adjustRightInd w:val="0"/>
        <w:snapToGrid w:val="0"/>
        <w:spacing w:line="360" w:lineRule="auto"/>
        <w:ind w:firstLine="560" w:firstLineChars="200"/>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3、标识为“备注”的，为解释性内容，请在正式合同中删除；</w:t>
      </w:r>
    </w:p>
    <w:p w14:paraId="73D0D0DD">
      <w:pPr>
        <w:adjustRightInd w:val="0"/>
        <w:snapToGrid w:val="0"/>
        <w:spacing w:line="360" w:lineRule="auto"/>
        <w:ind w:firstLine="562" w:firstLineChars="200"/>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b/>
          <w:bCs/>
          <w:snapToGrid w:val="0"/>
          <w:kern w:val="0"/>
          <w:sz w:val="28"/>
          <w:szCs w:val="28"/>
        </w:rPr>
        <w:t>4、</w:t>
      </w:r>
      <w:r>
        <w:rPr>
          <w:rFonts w:hint="eastAsia" w:asciiTheme="minorEastAsia" w:hAnsiTheme="minorEastAsia" w:eastAsiaTheme="minorEastAsia" w:cstheme="minorEastAsia"/>
          <w:b/>
          <w:bCs/>
          <w:snapToGrid w:val="0"/>
          <w:kern w:val="0"/>
          <w:sz w:val="28"/>
          <w:szCs w:val="28"/>
          <w:u w:val="single"/>
        </w:rPr>
        <w:t>除法律规定不得修改的实质性条款外，其他条款内容可根据项目实际情况，经双方协商一致后按程序提出修改意见</w:t>
      </w:r>
      <w:r>
        <w:rPr>
          <w:rFonts w:hint="eastAsia" w:asciiTheme="minorEastAsia" w:hAnsiTheme="minorEastAsia" w:eastAsiaTheme="minorEastAsia" w:cstheme="minorEastAsia"/>
          <w:b/>
          <w:bCs/>
          <w:snapToGrid w:val="0"/>
          <w:kern w:val="0"/>
          <w:sz w:val="28"/>
          <w:szCs w:val="28"/>
        </w:rPr>
        <w:t>，</w:t>
      </w:r>
      <w:r>
        <w:rPr>
          <w:rFonts w:hint="eastAsia" w:asciiTheme="minorEastAsia" w:hAnsiTheme="minorEastAsia" w:eastAsiaTheme="minorEastAsia" w:cstheme="minorEastAsia"/>
          <w:snapToGrid w:val="0"/>
          <w:kern w:val="0"/>
          <w:sz w:val="28"/>
          <w:szCs w:val="28"/>
        </w:rPr>
        <w:t>如无修改意见，则一般按本标准版本执行。</w:t>
      </w:r>
    </w:p>
    <w:p w14:paraId="3E83B728">
      <w:pPr>
        <w:adjustRightInd w:val="0"/>
        <w:snapToGrid w:val="0"/>
        <w:spacing w:line="360" w:lineRule="auto"/>
        <w:ind w:firstLine="560" w:firstLineChars="200"/>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5、本范本涉及费率标准、税费政策等条款，签订时需按最新有效法规调整。</w:t>
      </w:r>
    </w:p>
    <w:p w14:paraId="766C70C4">
      <w:pPr>
        <w:pStyle w:val="25"/>
        <w:spacing w:line="360" w:lineRule="auto"/>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01871467">
      <w:pPr>
        <w:pStyle w:val="41"/>
        <w:spacing w:line="360" w:lineRule="auto"/>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zh-CN"/>
        </w:rPr>
        <w:t>目录</w:t>
      </w:r>
    </w:p>
    <w:p w14:paraId="1692B3AD">
      <w:pPr>
        <w:pStyle w:val="17"/>
        <w:tabs>
          <w:tab w:val="right" w:leader="dot" w:pos="8306"/>
        </w:tabs>
        <w:spacing w:before="0" w:after="0" w:line="48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TOC \o "2-2" \h \z \u \t "标题,1" </w:instrText>
      </w:r>
      <w:r>
        <w:rPr>
          <w:rFonts w:hint="eastAsia" w:asciiTheme="minorEastAsia" w:hAnsiTheme="minorEastAsia" w:eastAsiaTheme="minorEastAsia" w:cstheme="minorEastAsia"/>
          <w:sz w:val="21"/>
          <w:szCs w:val="21"/>
        </w:rPr>
        <w:fldChar w:fldCharType="separate"/>
      </w:r>
      <w:r>
        <w:fldChar w:fldCharType="begin"/>
      </w:r>
      <w:r>
        <w:instrText xml:space="preserve"> HYPERLINK \l "_Toc14639" </w:instrText>
      </w:r>
      <w:r>
        <w:fldChar w:fldCharType="separate"/>
      </w:r>
      <w:r>
        <w:rPr>
          <w:rFonts w:hint="eastAsia" w:asciiTheme="minorEastAsia" w:hAnsiTheme="minorEastAsia" w:eastAsiaTheme="minorEastAsia" w:cstheme="minorEastAsia"/>
          <w:sz w:val="21"/>
          <w:szCs w:val="21"/>
        </w:rPr>
        <w:t>第一部分 合同协议书</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_Toc14639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14:paraId="09870CB5">
      <w:pPr>
        <w:pStyle w:val="17"/>
        <w:tabs>
          <w:tab w:val="right" w:leader="dot" w:pos="8306"/>
        </w:tabs>
        <w:spacing w:before="0" w:after="0" w:line="480" w:lineRule="auto"/>
        <w:jc w:val="both"/>
        <w:rPr>
          <w:rFonts w:hint="eastAsia" w:asciiTheme="minorEastAsia" w:hAnsiTheme="minorEastAsia" w:eastAsiaTheme="minorEastAsia" w:cstheme="minorEastAsia"/>
          <w:sz w:val="21"/>
          <w:szCs w:val="21"/>
        </w:rPr>
      </w:pPr>
      <w:r>
        <w:fldChar w:fldCharType="begin"/>
      </w:r>
      <w:r>
        <w:instrText xml:space="preserve"> HYPERLINK \l "_Toc6584" </w:instrText>
      </w:r>
      <w:r>
        <w:fldChar w:fldCharType="separate"/>
      </w:r>
      <w:r>
        <w:rPr>
          <w:rFonts w:hint="eastAsia" w:asciiTheme="minorEastAsia" w:hAnsiTheme="minorEastAsia" w:eastAsiaTheme="minorEastAsia" w:cstheme="minorEastAsia"/>
          <w:sz w:val="21"/>
          <w:szCs w:val="21"/>
        </w:rPr>
        <w:t>第二部分 通用条款</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_Toc6584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14:paraId="05C51A47">
      <w:pPr>
        <w:pStyle w:val="17"/>
        <w:tabs>
          <w:tab w:val="right" w:leader="dot" w:pos="8306"/>
        </w:tabs>
        <w:spacing w:before="0" w:after="0" w:line="480" w:lineRule="auto"/>
        <w:jc w:val="both"/>
        <w:rPr>
          <w:rFonts w:hint="eastAsia" w:asciiTheme="minorEastAsia" w:hAnsiTheme="minorEastAsia" w:eastAsiaTheme="minorEastAsia" w:cstheme="minorEastAsia"/>
          <w:sz w:val="21"/>
          <w:szCs w:val="21"/>
        </w:rPr>
      </w:pPr>
      <w:r>
        <w:fldChar w:fldCharType="begin"/>
      </w:r>
      <w:r>
        <w:instrText xml:space="preserve"> HYPERLINK \l "_Toc18591" </w:instrText>
      </w:r>
      <w:r>
        <w:fldChar w:fldCharType="separate"/>
      </w:r>
      <w:r>
        <w:rPr>
          <w:rFonts w:hint="eastAsia" w:asciiTheme="minorEastAsia" w:hAnsiTheme="minorEastAsia" w:eastAsiaTheme="minorEastAsia" w:cstheme="minorEastAsia"/>
          <w:sz w:val="21"/>
          <w:szCs w:val="21"/>
        </w:rPr>
        <w:t>第三部分 专用条款</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_Toc18591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14:paraId="041B49F1">
      <w:pPr>
        <w:pStyle w:val="17"/>
        <w:tabs>
          <w:tab w:val="right" w:leader="dot" w:pos="8306"/>
        </w:tabs>
        <w:spacing w:before="0" w:after="0" w:line="480" w:lineRule="auto"/>
        <w:jc w:val="both"/>
        <w:rPr>
          <w:rFonts w:hint="eastAsia" w:asciiTheme="minorEastAsia" w:hAnsiTheme="minorEastAsia" w:eastAsiaTheme="minorEastAsia" w:cstheme="minorEastAsia"/>
          <w:sz w:val="21"/>
          <w:szCs w:val="21"/>
        </w:rPr>
      </w:pPr>
      <w:r>
        <w:fldChar w:fldCharType="begin"/>
      </w:r>
      <w:r>
        <w:instrText xml:space="preserve"> HYPERLINK \l "_Toc23121" </w:instrText>
      </w:r>
      <w:r>
        <w:fldChar w:fldCharType="separate"/>
      </w:r>
      <w:r>
        <w:rPr>
          <w:rFonts w:hint="eastAsia" w:asciiTheme="minorEastAsia" w:hAnsiTheme="minorEastAsia" w:eastAsiaTheme="minorEastAsia" w:cstheme="minorEastAsia"/>
          <w:sz w:val="21"/>
          <w:szCs w:val="21"/>
        </w:rPr>
        <w:t>第四部分 合同附件</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_Toc23121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27</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14:paraId="325210C2">
      <w:pPr>
        <w:pStyle w:val="20"/>
        <w:tabs>
          <w:tab w:val="right" w:leader="dot" w:pos="8306"/>
        </w:tabs>
        <w:spacing w:line="480" w:lineRule="auto"/>
        <w:ind w:left="0" w:firstLine="400" w:firstLineChars="200"/>
        <w:jc w:val="both"/>
        <w:rPr>
          <w:rFonts w:hint="eastAsia" w:asciiTheme="minorEastAsia" w:hAnsiTheme="minorEastAsia" w:eastAsiaTheme="minorEastAsia" w:cstheme="minorEastAsia"/>
          <w:sz w:val="21"/>
          <w:szCs w:val="21"/>
        </w:rPr>
      </w:pPr>
      <w:r>
        <w:fldChar w:fldCharType="begin"/>
      </w:r>
      <w:r>
        <w:instrText xml:space="preserve"> HYPERLINK \l "_Toc23097" </w:instrText>
      </w:r>
      <w:r>
        <w:fldChar w:fldCharType="separate"/>
      </w:r>
      <w:r>
        <w:rPr>
          <w:rFonts w:hint="eastAsia" w:asciiTheme="minorEastAsia" w:hAnsiTheme="minorEastAsia" w:eastAsiaTheme="minorEastAsia" w:cstheme="minorEastAsia"/>
          <w:sz w:val="21"/>
          <w:szCs w:val="21"/>
        </w:rPr>
        <w:t>附件1：南沙区建设工程项目廉洁责任合同</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_Toc23097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14:paraId="5F34251E">
      <w:pPr>
        <w:pStyle w:val="20"/>
        <w:tabs>
          <w:tab w:val="right" w:leader="dot" w:pos="8306"/>
        </w:tabs>
        <w:spacing w:line="480" w:lineRule="auto"/>
        <w:ind w:left="0" w:firstLine="400" w:firstLineChars="200"/>
        <w:jc w:val="both"/>
        <w:rPr>
          <w:rFonts w:hint="eastAsia" w:asciiTheme="minorEastAsia" w:hAnsiTheme="minorEastAsia" w:eastAsiaTheme="minorEastAsia" w:cstheme="minorEastAsia"/>
          <w:sz w:val="21"/>
          <w:szCs w:val="21"/>
        </w:rPr>
      </w:pPr>
      <w:r>
        <w:fldChar w:fldCharType="begin"/>
      </w:r>
      <w:r>
        <w:instrText xml:space="preserve"> HYPERLINK \l "_Toc19192" </w:instrText>
      </w:r>
      <w:r>
        <w:fldChar w:fldCharType="separate"/>
      </w:r>
      <w:r>
        <w:rPr>
          <w:rFonts w:hint="eastAsia" w:asciiTheme="minorEastAsia" w:hAnsiTheme="minorEastAsia" w:eastAsiaTheme="minorEastAsia" w:cstheme="minorEastAsia"/>
          <w:sz w:val="21"/>
          <w:szCs w:val="21"/>
        </w:rPr>
        <w:t>附件2：安全生产文明施工协议</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_Toc19192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33</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14:paraId="243033F2">
      <w:pPr>
        <w:pStyle w:val="20"/>
        <w:tabs>
          <w:tab w:val="right" w:leader="dot" w:pos="8306"/>
        </w:tabs>
        <w:spacing w:line="480" w:lineRule="auto"/>
        <w:ind w:left="0" w:firstLine="400" w:firstLineChars="200"/>
        <w:jc w:val="both"/>
        <w:rPr>
          <w:rFonts w:hint="eastAsia" w:asciiTheme="minorEastAsia" w:hAnsiTheme="minorEastAsia" w:eastAsiaTheme="minorEastAsia" w:cstheme="minorEastAsia"/>
          <w:sz w:val="21"/>
          <w:szCs w:val="21"/>
        </w:rPr>
      </w:pPr>
      <w:r>
        <w:fldChar w:fldCharType="begin"/>
      </w:r>
      <w:r>
        <w:instrText xml:space="preserve"> HYPERLINK \l "_Toc14593" </w:instrText>
      </w:r>
      <w:r>
        <w:fldChar w:fldCharType="separate"/>
      </w:r>
      <w:r>
        <w:rPr>
          <w:rFonts w:hint="eastAsia" w:asciiTheme="minorEastAsia" w:hAnsiTheme="minorEastAsia" w:eastAsiaTheme="minorEastAsia" w:cstheme="minorEastAsia"/>
          <w:sz w:val="21"/>
          <w:szCs w:val="21"/>
        </w:rPr>
        <w:t>附件3：中标通知书</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_Toc14593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36</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14:paraId="36EA606D">
      <w:pPr>
        <w:pStyle w:val="20"/>
        <w:tabs>
          <w:tab w:val="right" w:leader="dot" w:pos="8306"/>
        </w:tabs>
        <w:spacing w:line="480" w:lineRule="auto"/>
        <w:ind w:left="0" w:firstLine="400" w:firstLineChars="200"/>
        <w:jc w:val="both"/>
        <w:rPr>
          <w:rFonts w:hint="eastAsia" w:asciiTheme="minorEastAsia" w:hAnsiTheme="minorEastAsia" w:eastAsiaTheme="minorEastAsia" w:cstheme="minorEastAsia"/>
          <w:sz w:val="21"/>
          <w:szCs w:val="21"/>
        </w:rPr>
      </w:pPr>
      <w:r>
        <w:fldChar w:fldCharType="begin"/>
      </w:r>
      <w:r>
        <w:instrText xml:space="preserve"> HYPERLINK \l "_Toc14596" </w:instrText>
      </w:r>
      <w:r>
        <w:fldChar w:fldCharType="separate"/>
      </w:r>
      <w:r>
        <w:rPr>
          <w:rFonts w:hint="eastAsia" w:asciiTheme="minorEastAsia" w:hAnsiTheme="minorEastAsia" w:eastAsiaTheme="minorEastAsia" w:cstheme="minorEastAsia"/>
          <w:sz w:val="21"/>
          <w:szCs w:val="21"/>
          <w:lang w:eastAsia="zh-Hans"/>
        </w:rPr>
        <w:t>附件4：</w:t>
      </w:r>
      <w:r>
        <w:rPr>
          <w:rFonts w:hint="eastAsia" w:asciiTheme="minorEastAsia" w:hAnsiTheme="minorEastAsia" w:eastAsiaTheme="minorEastAsia" w:cstheme="minorEastAsia"/>
          <w:sz w:val="21"/>
          <w:szCs w:val="21"/>
        </w:rPr>
        <w:t>承诺函/银行履约保函</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_Toc14596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37</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14:paraId="756316DA">
      <w:pPr>
        <w:pStyle w:val="20"/>
        <w:tabs>
          <w:tab w:val="right" w:leader="dot" w:pos="8306"/>
        </w:tabs>
        <w:spacing w:line="480" w:lineRule="auto"/>
        <w:ind w:left="0" w:firstLine="400" w:firstLineChars="200"/>
        <w:jc w:val="both"/>
        <w:rPr>
          <w:rFonts w:hint="eastAsia" w:asciiTheme="minorEastAsia" w:hAnsiTheme="minorEastAsia" w:eastAsiaTheme="minorEastAsia" w:cstheme="minorEastAsia"/>
          <w:sz w:val="21"/>
          <w:szCs w:val="21"/>
        </w:rPr>
      </w:pPr>
      <w:r>
        <w:fldChar w:fldCharType="begin"/>
      </w:r>
      <w:r>
        <w:instrText xml:space="preserve"> HYPERLINK \l "_Toc31185" </w:instrText>
      </w:r>
      <w:r>
        <w:fldChar w:fldCharType="separate"/>
      </w:r>
      <w:r>
        <w:rPr>
          <w:rFonts w:hint="eastAsia" w:asciiTheme="minorEastAsia" w:hAnsiTheme="minorEastAsia" w:eastAsiaTheme="minorEastAsia" w:cstheme="minorEastAsia"/>
          <w:sz w:val="21"/>
          <w:szCs w:val="21"/>
        </w:rPr>
        <w:t>附件5：招标控制价及投标报价文件</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_Toc31185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39</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14:paraId="39153A78">
      <w:pPr>
        <w:pStyle w:val="20"/>
        <w:tabs>
          <w:tab w:val="right" w:leader="dot" w:pos="8306"/>
        </w:tabs>
        <w:spacing w:line="480" w:lineRule="auto"/>
        <w:ind w:left="0" w:firstLine="400" w:firstLineChars="200"/>
        <w:jc w:val="both"/>
        <w:rPr>
          <w:rFonts w:hint="eastAsia" w:asciiTheme="minorEastAsia" w:hAnsiTheme="minorEastAsia" w:eastAsiaTheme="minorEastAsia" w:cstheme="minorEastAsia"/>
          <w:sz w:val="21"/>
          <w:szCs w:val="21"/>
        </w:rPr>
      </w:pPr>
      <w:r>
        <w:fldChar w:fldCharType="begin"/>
      </w:r>
      <w:r>
        <w:instrText xml:space="preserve"> HYPERLINK \l "_Toc22362" </w:instrText>
      </w:r>
      <w:r>
        <w:fldChar w:fldCharType="separate"/>
      </w:r>
      <w:r>
        <w:rPr>
          <w:rFonts w:hint="eastAsia" w:asciiTheme="minorEastAsia" w:hAnsiTheme="minorEastAsia" w:eastAsiaTheme="minorEastAsia" w:cstheme="minorEastAsia"/>
          <w:sz w:val="21"/>
          <w:szCs w:val="21"/>
        </w:rPr>
        <w:t>附件6：招标文件及投标文件其他关键页</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_Toc22362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40</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14:paraId="6056CF8E">
      <w:pPr>
        <w:pStyle w:val="20"/>
        <w:tabs>
          <w:tab w:val="right" w:leader="dot" w:pos="8306"/>
        </w:tabs>
        <w:spacing w:line="480" w:lineRule="auto"/>
        <w:ind w:left="0" w:firstLine="400" w:firstLineChars="200"/>
        <w:jc w:val="both"/>
        <w:rPr>
          <w:rFonts w:hint="eastAsia" w:asciiTheme="minorEastAsia" w:hAnsiTheme="minorEastAsia" w:eastAsiaTheme="minorEastAsia" w:cstheme="minorEastAsia"/>
          <w:sz w:val="21"/>
          <w:szCs w:val="21"/>
        </w:rPr>
      </w:pPr>
      <w:r>
        <w:fldChar w:fldCharType="begin"/>
      </w:r>
      <w:r>
        <w:instrText xml:space="preserve"> HYPERLINK \l "_Toc30627" </w:instrText>
      </w:r>
      <w:r>
        <w:fldChar w:fldCharType="separate"/>
      </w:r>
      <w:r>
        <w:rPr>
          <w:rFonts w:hint="eastAsia" w:asciiTheme="minorEastAsia" w:hAnsiTheme="minorEastAsia" w:eastAsiaTheme="minorEastAsia" w:cstheme="minorEastAsia"/>
          <w:sz w:val="21"/>
          <w:szCs w:val="21"/>
        </w:rPr>
        <w:t>附件7：监理违约处罚明细表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_Toc30627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14:paraId="2C951525">
      <w:pPr>
        <w:pStyle w:val="20"/>
        <w:tabs>
          <w:tab w:val="right" w:leader="dot" w:pos="8306"/>
        </w:tabs>
        <w:spacing w:line="480" w:lineRule="auto"/>
        <w:ind w:left="0" w:firstLine="400" w:firstLineChars="200"/>
        <w:jc w:val="both"/>
        <w:rPr>
          <w:rFonts w:hint="eastAsia" w:asciiTheme="minorEastAsia" w:hAnsiTheme="minorEastAsia" w:eastAsiaTheme="minorEastAsia" w:cstheme="minorEastAsia"/>
          <w:sz w:val="21"/>
          <w:szCs w:val="21"/>
        </w:rPr>
      </w:pPr>
      <w:r>
        <w:fldChar w:fldCharType="begin"/>
      </w:r>
      <w:r>
        <w:instrText xml:space="preserve"> HYPERLINK \l "_Toc25097" </w:instrText>
      </w:r>
      <w:r>
        <w:fldChar w:fldCharType="separate"/>
      </w:r>
      <w:r>
        <w:rPr>
          <w:rFonts w:hint="eastAsia" w:asciiTheme="minorEastAsia" w:hAnsiTheme="minorEastAsia" w:eastAsiaTheme="minorEastAsia" w:cstheme="minorEastAsia"/>
          <w:sz w:val="21"/>
          <w:szCs w:val="21"/>
        </w:rPr>
        <w:t>附件8：相关会纪及立项批文</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_Toc25097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14:paraId="71DFA680">
      <w:pPr>
        <w:spacing w:line="48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fldChar w:fldCharType="end"/>
      </w:r>
    </w:p>
    <w:p w14:paraId="7D9E439F">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485B8E59">
      <w:pPr>
        <w:pStyle w:val="25"/>
        <w:ind w:firstLine="0"/>
        <w:rPr>
          <w:rFonts w:hint="eastAsia" w:asciiTheme="minorEastAsia" w:hAnsiTheme="minorEastAsia" w:eastAsiaTheme="minorEastAsia" w:cstheme="minorEastAsia"/>
        </w:rPr>
      </w:pPr>
    </w:p>
    <w:p w14:paraId="34379568">
      <w:pPr>
        <w:adjustRightInd w:val="0"/>
        <w:snapToGrid w:val="0"/>
        <w:spacing w:line="360" w:lineRule="auto"/>
        <w:jc w:val="center"/>
        <w:rPr>
          <w:rFonts w:hint="eastAsia" w:asciiTheme="minorEastAsia" w:hAnsiTheme="minorEastAsia" w:eastAsiaTheme="minorEastAsia" w:cstheme="minorEastAsia"/>
          <w:sz w:val="28"/>
          <w:szCs w:val="28"/>
        </w:rPr>
        <w:sectPr>
          <w:headerReference r:id="rId3" w:type="first"/>
          <w:pgSz w:w="11906" w:h="16838"/>
          <w:pgMar w:top="1440" w:right="1800" w:bottom="1440" w:left="1800" w:header="851" w:footer="992" w:gutter="0"/>
          <w:pgNumType w:start="1"/>
          <w:cols w:space="720" w:num="1"/>
          <w:docGrid w:linePitch="312" w:charSpace="0"/>
        </w:sectPr>
      </w:pPr>
    </w:p>
    <w:p w14:paraId="440F57C4">
      <w:pPr>
        <w:pStyle w:val="23"/>
        <w:rPr>
          <w:rFonts w:hint="eastAsia" w:asciiTheme="minorEastAsia" w:hAnsiTheme="minorEastAsia" w:eastAsiaTheme="minorEastAsia" w:cstheme="minorEastAsia"/>
        </w:rPr>
      </w:pPr>
      <w:bookmarkStart w:id="2" w:name="_Toc108175600"/>
      <w:bookmarkStart w:id="3" w:name="_Toc13414"/>
      <w:bookmarkStart w:id="4" w:name="_Toc758900160"/>
      <w:bookmarkStart w:id="5" w:name="_Toc6489"/>
      <w:bookmarkStart w:id="6" w:name="_Toc11379"/>
      <w:bookmarkStart w:id="7" w:name="_Toc10065"/>
      <w:bookmarkStart w:id="8" w:name="_Toc2891"/>
      <w:bookmarkStart w:id="9" w:name="_Toc14639"/>
      <w:bookmarkStart w:id="10" w:name="_Toc44410112"/>
      <w:bookmarkStart w:id="11" w:name="_Toc12632"/>
      <w:bookmarkStart w:id="12" w:name="_Toc22121"/>
      <w:bookmarkStart w:id="13" w:name="_Toc564"/>
      <w:bookmarkStart w:id="14" w:name="_Toc7105"/>
      <w:bookmarkStart w:id="15" w:name="_Toc8614"/>
      <w:bookmarkStart w:id="16" w:name="_Toc402"/>
      <w:bookmarkStart w:id="17" w:name="_Toc825"/>
      <w:bookmarkStart w:id="18" w:name="_Toc12304"/>
      <w:bookmarkStart w:id="19" w:name="_Toc16036"/>
      <w:bookmarkStart w:id="20" w:name="_Toc529863657"/>
      <w:bookmarkStart w:id="21" w:name="_Toc529863702"/>
      <w:bookmarkStart w:id="22" w:name="_Toc529800440"/>
      <w:bookmarkStart w:id="23" w:name="_Toc383534206"/>
      <w:r>
        <w:rPr>
          <w:rFonts w:hint="eastAsia" w:asciiTheme="minorEastAsia" w:hAnsiTheme="minorEastAsia" w:eastAsiaTheme="minorEastAsia" w:cstheme="minorEastAsia"/>
        </w:rPr>
        <w:t>第一部分 合同协议书</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74BEEDEF">
      <w:pPr>
        <w:spacing w:line="360" w:lineRule="auto"/>
        <w:ind w:firstLine="720" w:firstLineChars="300"/>
        <w:jc w:val="left"/>
        <w:rPr>
          <w:rFonts w:hint="eastAsia" w:asciiTheme="minorEastAsia" w:hAnsiTheme="minorEastAsia" w:eastAsiaTheme="minorEastAsia" w:cstheme="minorEastAsia"/>
          <w:snapToGrid w:val="0"/>
          <w:sz w:val="24"/>
        </w:rPr>
      </w:pPr>
    </w:p>
    <w:p w14:paraId="56C614C9">
      <w:pPr>
        <w:spacing w:line="360" w:lineRule="auto"/>
        <w:rPr>
          <w:rFonts w:hint="eastAsia" w:asciiTheme="minorEastAsia" w:hAnsiTheme="minorEastAsia" w:eastAsiaTheme="minorEastAsia" w:cstheme="minorEastAsia"/>
          <w:snapToGrid w:val="0"/>
          <w:sz w:val="24"/>
        </w:rPr>
      </w:pPr>
      <w:r>
        <w:rPr>
          <w:rFonts w:hint="eastAsia" w:asciiTheme="minorEastAsia" w:hAnsiTheme="minorEastAsia" w:eastAsiaTheme="minorEastAsia" w:cstheme="minorEastAsia"/>
          <w:snapToGrid w:val="0"/>
          <w:sz w:val="24"/>
        </w:rPr>
        <w:t>发包人：</w:t>
      </w:r>
      <w:r>
        <w:rPr>
          <w:rFonts w:hint="eastAsia" w:asciiTheme="minorEastAsia" w:hAnsiTheme="minorEastAsia" w:eastAsiaTheme="minorEastAsia" w:cstheme="minorEastAsia"/>
          <w:snapToGrid w:val="0"/>
          <w:sz w:val="24"/>
          <w:u w:val="single"/>
        </w:rPr>
        <w:t>广州市南沙区排水和污水处理事务中心</w:t>
      </w:r>
      <w:r>
        <w:rPr>
          <w:rFonts w:hint="eastAsia" w:asciiTheme="minorEastAsia" w:hAnsiTheme="minorEastAsia" w:eastAsiaTheme="minorEastAsia" w:cstheme="minorEastAsia"/>
          <w:snapToGrid w:val="0"/>
          <w:sz w:val="24"/>
          <w:szCs w:val="24"/>
          <w:u w:val="single"/>
        </w:rPr>
        <w:t xml:space="preserve"> </w:t>
      </w:r>
    </w:p>
    <w:p w14:paraId="198E92ED">
      <w:pPr>
        <w:spacing w:line="360" w:lineRule="auto"/>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napToGrid w:val="0"/>
          <w:sz w:val="24"/>
        </w:rPr>
        <w:t>监理人：</w:t>
      </w:r>
      <w:r>
        <w:rPr>
          <w:rFonts w:hint="eastAsia" w:asciiTheme="minorEastAsia" w:hAnsiTheme="minorEastAsia" w:eastAsiaTheme="minorEastAsia" w:cstheme="minorEastAsia"/>
          <w:snapToGrid w:val="0"/>
          <w:sz w:val="24"/>
          <w:u w:val="single"/>
        </w:rPr>
        <w:t xml:space="preserve">                                    </w:t>
      </w:r>
    </w:p>
    <w:p w14:paraId="7FC0F1BB">
      <w:pPr>
        <w:spacing w:after="156" w:afterLines="50"/>
        <w:jc w:val="left"/>
        <w:rPr>
          <w:rFonts w:hint="eastAsia" w:asciiTheme="minorEastAsia" w:hAnsiTheme="minorEastAsia" w:eastAsiaTheme="minorEastAsia" w:cstheme="minorEastAsia"/>
        </w:rPr>
      </w:pPr>
    </w:p>
    <w:bookmarkEnd w:id="20"/>
    <w:bookmarkEnd w:id="21"/>
    <w:bookmarkEnd w:id="22"/>
    <w:bookmarkEnd w:id="23"/>
    <w:p w14:paraId="0A2C4914">
      <w:pPr>
        <w:adjustRightInd w:val="0"/>
        <w:snapToGrid w:val="0"/>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经</w:t>
      </w:r>
      <w:r>
        <w:rPr>
          <w:rFonts w:hint="eastAsia" w:asciiTheme="minorEastAsia" w:hAnsiTheme="minorEastAsia" w:eastAsiaTheme="minorEastAsia" w:cstheme="minorEastAsia"/>
          <w:sz w:val="24"/>
          <w:szCs w:val="24"/>
          <w:u w:val="single"/>
        </w:rPr>
        <w:sym w:font="Wingdings 2" w:char="F0A3"/>
      </w:r>
      <w:r>
        <w:rPr>
          <w:rFonts w:hint="eastAsia" w:asciiTheme="minorEastAsia" w:hAnsiTheme="minorEastAsia" w:eastAsiaTheme="minorEastAsia" w:cstheme="minorEastAsia"/>
          <w:sz w:val="24"/>
          <w:szCs w:val="24"/>
          <w:u w:val="single"/>
        </w:rPr>
        <w:t>自主询价</w:t>
      </w:r>
      <w:r>
        <w:rPr>
          <w:rFonts w:hint="eastAsia" w:asciiTheme="minorEastAsia" w:hAnsiTheme="minorEastAsia" w:eastAsiaTheme="minorEastAsia" w:cstheme="minorEastAsia"/>
          <w:sz w:val="24"/>
          <w:szCs w:val="24"/>
          <w:u w:val="single"/>
        </w:rPr>
        <w:sym w:font="Wingdings 2" w:char="F052"/>
      </w:r>
      <w:r>
        <w:rPr>
          <w:rFonts w:hint="eastAsia" w:asciiTheme="minorEastAsia" w:hAnsiTheme="minorEastAsia" w:eastAsiaTheme="minorEastAsia" w:cstheme="minorEastAsia"/>
          <w:sz w:val="24"/>
          <w:szCs w:val="24"/>
          <w:u w:val="single"/>
        </w:rPr>
        <w:t>公开招标</w:t>
      </w:r>
      <w:r>
        <w:rPr>
          <w:rFonts w:hint="eastAsia" w:asciiTheme="minorEastAsia" w:hAnsiTheme="minorEastAsia" w:eastAsiaTheme="minorEastAsia" w:cstheme="minorEastAsia"/>
          <w:sz w:val="24"/>
          <w:szCs w:val="24"/>
          <w:u w:val="single"/>
        </w:rPr>
        <w:sym w:font="Wingdings 2" w:char="F0A3"/>
      </w:r>
      <w:r>
        <w:rPr>
          <w:rFonts w:hint="eastAsia" w:asciiTheme="minorEastAsia" w:hAnsiTheme="minorEastAsia" w:eastAsiaTheme="minorEastAsia" w:cstheme="minorEastAsia"/>
          <w:sz w:val="24"/>
          <w:szCs w:val="24"/>
          <w:u w:val="single"/>
        </w:rPr>
        <w:t>直接委托</w:t>
      </w:r>
      <w:r>
        <w:rPr>
          <w:rFonts w:hint="eastAsia" w:asciiTheme="minorEastAsia" w:hAnsiTheme="minorEastAsia" w:eastAsiaTheme="minorEastAsia" w:cstheme="minorEastAsia"/>
          <w:sz w:val="24"/>
          <w:szCs w:val="24"/>
          <w:u w:val="single"/>
        </w:rPr>
        <w:sym w:font="Wingdings 2" w:char="F0A3"/>
      </w:r>
      <w:r>
        <w:rPr>
          <w:rFonts w:hint="eastAsia" w:asciiTheme="minorEastAsia" w:hAnsiTheme="minorEastAsia" w:eastAsiaTheme="minorEastAsia" w:cstheme="minorEastAsia"/>
          <w:sz w:val="24"/>
          <w:szCs w:val="24"/>
          <w:u w:val="single"/>
        </w:rPr>
        <w:t>其他：    （备注：如为其他，请填写具体内容），发包人确定监理人为【         】监理（备注：同中标通知书/直接委托通知书/其他委托文件中载明的项目全称）的中标单位，中标通知书/直接委托通知书/其他委托文件编号为：            （备注：如无请删除）。</w:t>
      </w:r>
    </w:p>
    <w:p w14:paraId="5C26DA80">
      <w:pPr>
        <w:adjustRightInd w:val="0"/>
        <w:snapToGrid w:val="0"/>
        <w:spacing w:line="360" w:lineRule="auto"/>
        <w:ind w:firstLine="480" w:firstLineChars="200"/>
        <w:rPr>
          <w:rFonts w:hint="eastAsia" w:asciiTheme="minorEastAsia" w:hAnsiTheme="minorEastAsia" w:eastAsiaTheme="minorEastAsia" w:cstheme="minorEastAsia"/>
          <w:snapToGrid w:val="0"/>
          <w:sz w:val="24"/>
        </w:rPr>
      </w:pPr>
      <w:r>
        <w:rPr>
          <w:rFonts w:hint="eastAsia" w:asciiTheme="minorEastAsia" w:hAnsiTheme="minorEastAsia" w:eastAsiaTheme="minorEastAsia" w:cstheme="minorEastAsia"/>
          <w:sz w:val="24"/>
          <w:szCs w:val="24"/>
        </w:rPr>
        <w:t>根据《中华人民共和国民法典》等相关法律法规规定，遵循平等、自愿、公平和诚实信用的原则，双方就上述委托/中标范围监理服务事项协商一致，订立本合同。</w:t>
      </w:r>
    </w:p>
    <w:p w14:paraId="7E7A65E0">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一、发包人委托监理人监理的工程（以下简称“本工程”）概况如下：</w:t>
      </w:r>
      <w:r>
        <w:rPr>
          <w:rFonts w:hint="eastAsia" w:asciiTheme="minorEastAsia" w:hAnsiTheme="minorEastAsia" w:eastAsiaTheme="minorEastAsia" w:cstheme="minorEastAsia"/>
          <w:i/>
          <w:iCs/>
          <w:sz w:val="24"/>
        </w:rPr>
        <w:t>（备注：具体按招标文件作相应调整）</w:t>
      </w:r>
    </w:p>
    <w:p w14:paraId="433BA03E">
      <w:pPr>
        <w:adjustRightInd w:val="0"/>
        <w:snapToGrid w:val="0"/>
        <w:spacing w:line="360" w:lineRule="auto"/>
        <w:ind w:firstLine="504" w:firstLineChars="21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1、本工程名称：</w:t>
      </w:r>
      <w:r>
        <w:rPr>
          <w:rFonts w:hint="eastAsia" w:asciiTheme="minorEastAsia" w:hAnsiTheme="minorEastAsia" w:eastAsiaTheme="minorEastAsia" w:cstheme="minorEastAsia"/>
          <w:sz w:val="24"/>
          <w:u w:val="single"/>
        </w:rPr>
        <w:t>【         】</w:t>
      </w:r>
    </w:p>
    <w:p w14:paraId="4E7CE356">
      <w:pPr>
        <w:adjustRightInd w:val="0"/>
        <w:snapToGrid w:val="0"/>
        <w:spacing w:line="360" w:lineRule="auto"/>
        <w:ind w:firstLine="504" w:firstLineChars="21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2、本工程地点：</w:t>
      </w:r>
      <w:r>
        <w:rPr>
          <w:rFonts w:hint="eastAsia" w:asciiTheme="minorEastAsia" w:hAnsiTheme="minorEastAsia" w:eastAsiaTheme="minorEastAsia" w:cstheme="minorEastAsia"/>
          <w:sz w:val="24"/>
          <w:u w:val="single"/>
        </w:rPr>
        <w:t>广州市南沙区</w:t>
      </w:r>
    </w:p>
    <w:p w14:paraId="6D3B90B5">
      <w:pPr>
        <w:adjustRightInd w:val="0"/>
        <w:snapToGrid w:val="0"/>
        <w:spacing w:line="360" w:lineRule="auto"/>
        <w:ind w:firstLine="544" w:firstLineChars="227"/>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3、本工程费用：</w:t>
      </w:r>
      <w:r>
        <w:rPr>
          <w:rFonts w:hint="eastAsia" w:asciiTheme="minorEastAsia" w:hAnsiTheme="minorEastAsia" w:eastAsiaTheme="minorEastAsia" w:cstheme="minorEastAsia"/>
          <w:sz w:val="24"/>
          <w:u w:val="single"/>
        </w:rPr>
        <w:t>建安工程费        万元</w:t>
      </w:r>
    </w:p>
    <w:p w14:paraId="04D2D231">
      <w:pPr>
        <w:adjustRightInd w:val="0"/>
        <w:snapToGrid w:val="0"/>
        <w:spacing w:line="360" w:lineRule="auto"/>
        <w:ind w:firstLine="544" w:firstLineChars="22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4、本工程规模：</w:t>
      </w:r>
      <w:r>
        <w:rPr>
          <w:rFonts w:hint="eastAsia" w:asciiTheme="minorEastAsia" w:hAnsiTheme="minorEastAsia" w:eastAsiaTheme="minorEastAsia" w:cstheme="minorEastAsia"/>
          <w:sz w:val="24"/>
          <w:u w:val="single"/>
        </w:rPr>
        <w:t xml:space="preserve">                       </w:t>
      </w:r>
    </w:p>
    <w:p w14:paraId="05C7485A">
      <w:pPr>
        <w:adjustRightInd w:val="0"/>
        <w:snapToGrid w:val="0"/>
        <w:spacing w:line="360" w:lineRule="auto"/>
        <w:ind w:firstLine="544" w:firstLineChars="227"/>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具体项目以可研批复文件、初步设计审查和相关政府部门审查确定的建设项目、建设规模、建设标准等为准。</w:t>
      </w:r>
    </w:p>
    <w:p w14:paraId="49D95921">
      <w:pPr>
        <w:shd w:val="clear" w:color="auto" w:fill="FFFFFF"/>
        <w:adjustRightInd w:val="0"/>
        <w:snapToGrid w:val="0"/>
        <w:spacing w:line="360" w:lineRule="auto"/>
        <w:ind w:firstLine="482" w:firstLineChars="200"/>
        <w:rPr>
          <w:rFonts w:hint="eastAsia" w:asciiTheme="minorEastAsia" w:hAnsiTheme="minorEastAsia" w:eastAsiaTheme="minorEastAsia" w:cstheme="minorEastAsia"/>
          <w:b/>
          <w:sz w:val="24"/>
          <w:u w:val="single"/>
        </w:rPr>
      </w:pPr>
      <w:r>
        <w:rPr>
          <w:rFonts w:hint="eastAsia" w:asciiTheme="minorEastAsia" w:hAnsiTheme="minorEastAsia" w:eastAsiaTheme="minorEastAsia" w:cstheme="minorEastAsia"/>
          <w:b/>
          <w:bCs/>
          <w:sz w:val="24"/>
          <w:u w:val="single"/>
        </w:rPr>
        <w:t>根据本项目具体情况，如遇该项目的投资规模、结构形式、项目名称、平面（位置）或者造价等发生调整（或变更，或增减），也可能会新增或减少部分甚至取消全部（子）项目工程，监理人已充分理解此风险并无条件接受不得拒绝，且投标下浮率固定不变。如遇政策变化取消该全部工程，则本合同自行失效，监理人已充分知悉此风险，并且不向发包人主张索赔。</w:t>
      </w:r>
    </w:p>
    <w:p w14:paraId="06EE56A5">
      <w:pPr>
        <w:spacing w:line="360" w:lineRule="auto"/>
        <w:ind w:firstLine="544" w:firstLineChars="22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二、监理费用及服务范围</w:t>
      </w:r>
      <w:r>
        <w:rPr>
          <w:rFonts w:hint="eastAsia" w:asciiTheme="minorEastAsia" w:hAnsiTheme="minorEastAsia" w:eastAsiaTheme="minorEastAsia" w:cstheme="minorEastAsia"/>
          <w:i/>
          <w:iCs/>
          <w:sz w:val="24"/>
        </w:rPr>
        <w:t>（备注：具体按招标文件作相应调整）</w:t>
      </w:r>
    </w:p>
    <w:p w14:paraId="399DE47A">
      <w:pPr>
        <w:spacing w:line="360" w:lineRule="auto"/>
        <w:ind w:firstLine="504" w:firstLineChars="210"/>
        <w:rPr>
          <w:rFonts w:hint="eastAsia" w:asciiTheme="minorEastAsia" w:hAnsiTheme="minorEastAsia" w:eastAsiaTheme="minorEastAsia" w:cstheme="minorEastAsia"/>
          <w:sz w:val="24"/>
          <w:shd w:val="clear" w:color="auto" w:fill="0070C0"/>
        </w:rPr>
      </w:pPr>
      <w:r>
        <w:rPr>
          <w:rFonts w:hint="eastAsia" w:asciiTheme="minorEastAsia" w:hAnsiTheme="minorEastAsia" w:eastAsiaTheme="minorEastAsia" w:cstheme="minorEastAsia"/>
          <w:sz w:val="24"/>
        </w:rPr>
        <w:t>1、本工程监理服务费用（含税）暂定为：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rPr>
        <w:t>大写：</w:t>
      </w:r>
      <w:r>
        <w:rPr>
          <w:rFonts w:hint="eastAsia" w:asciiTheme="minorEastAsia" w:hAnsiTheme="minorEastAsia" w:eastAsiaTheme="minorEastAsia" w:cstheme="minorEastAsia"/>
          <w:sz w:val="24"/>
          <w:u w:val="single"/>
        </w:rPr>
        <w:t xml:space="preserve">人民币         </w:t>
      </w:r>
      <w:r>
        <w:rPr>
          <w:rFonts w:hint="eastAsia" w:asciiTheme="minorEastAsia" w:hAnsiTheme="minorEastAsia" w:eastAsiaTheme="minorEastAsia" w:cstheme="minorEastAsia"/>
          <w:sz w:val="24"/>
        </w:rPr>
        <w:t>）。结算价按本合同第三部分专用条款第三十九条约定的结算方式计算，最终结算价以有审核权限部门审定的金额为准。</w:t>
      </w:r>
    </w:p>
    <w:p w14:paraId="6A525CE7">
      <w:pPr>
        <w:adjustRightInd w:val="0"/>
        <w:snapToGrid w:val="0"/>
        <w:spacing w:line="360" w:lineRule="auto"/>
        <w:ind w:firstLine="494" w:firstLineChars="20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2、监理范围：</w:t>
      </w:r>
    </w:p>
    <w:p w14:paraId="2D6CCDEF">
      <w:pPr>
        <w:adjustRightInd w:val="0"/>
        <w:snapToGrid w:val="0"/>
        <w:spacing w:line="360" w:lineRule="auto"/>
        <w:ind w:firstLine="494" w:firstLineChars="206"/>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本工程的施工监理，包括但不限于项目实施阶段的施工前期准备、施工管理、</w:t>
      </w:r>
      <w:bookmarkStart w:id="24" w:name="_Hlk204336411"/>
      <w:r>
        <w:rPr>
          <w:rFonts w:hint="eastAsia" w:asciiTheme="minorEastAsia" w:hAnsiTheme="minorEastAsia" w:eastAsiaTheme="minorEastAsia" w:cstheme="minorEastAsia"/>
          <w:sz w:val="24"/>
          <w:u w:val="single"/>
        </w:rPr>
        <w:t>联合试运转、</w:t>
      </w:r>
      <w:bookmarkEnd w:id="24"/>
      <w:r>
        <w:rPr>
          <w:rFonts w:hint="eastAsia" w:asciiTheme="minorEastAsia" w:hAnsiTheme="minorEastAsia" w:eastAsiaTheme="minorEastAsia" w:cstheme="minorEastAsia"/>
          <w:sz w:val="24"/>
          <w:u w:val="single"/>
        </w:rPr>
        <w:t>施工图会审、进度款和变更审核、投资控制、竣工验收（质量验收或交工/完工验收）、工程结算、资产移交、质量保修等工作，并对工程项目进行质量、进度、投资、合同、信息、环保、安全文明施工等方面进行有效管理和控制，直至办理竣工验收（质量验收或交工/完工验收）手续和工程结算、缺陷责任期满等的全过程监理服务和工程相关协调工作。具体的监理工程量，以本工程的设计图纸为准。</w:t>
      </w:r>
    </w:p>
    <w:p w14:paraId="2DFCA1E9">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三、本合同中的有关词语含义与本合同第二部分《通用条款》中赋予它们的定义相同。</w:t>
      </w:r>
    </w:p>
    <w:p w14:paraId="40B88E67">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四、下列文件均为本合同的组成部分：</w:t>
      </w:r>
    </w:p>
    <w:p w14:paraId="6C9AF9E5">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1、合同实施期间双方签订的补充或修正文件（如有则附）； </w:t>
      </w:r>
    </w:p>
    <w:p w14:paraId="26471E4C">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2、合同协议书；</w:t>
      </w:r>
    </w:p>
    <w:p w14:paraId="75704966">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3、中标通知书；</w:t>
      </w:r>
    </w:p>
    <w:p w14:paraId="2ECD8549">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4、合同专用条款；</w:t>
      </w:r>
    </w:p>
    <w:p w14:paraId="576D4674">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5、合同通用条款；</w:t>
      </w:r>
    </w:p>
    <w:p w14:paraId="04ABB509">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6、本合同标准性文件（如有则附）； </w:t>
      </w:r>
    </w:p>
    <w:p w14:paraId="09B290C6">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7、标准规范及有关技术文件、图纸；</w:t>
      </w:r>
    </w:p>
    <w:p w14:paraId="174480F2">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8、招标文件及有关问题澄清（如有）；</w:t>
      </w:r>
    </w:p>
    <w:p w14:paraId="72D4353C">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9、投标文件及投标文件问题澄清（如有）；</w:t>
      </w:r>
    </w:p>
    <w:p w14:paraId="15518234">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10、合同附件及其他双方认可的文件。</w:t>
      </w:r>
    </w:p>
    <w:p w14:paraId="39E6769D">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上述文件互为补充和解释，如存在不一致之处，以先后排列次序为准。</w:t>
      </w:r>
    </w:p>
    <w:p w14:paraId="0A7445C2">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五、监理人向发包人承诺，按照本合同的规定，承担本合同专用条款、通用条款中议定范围内的监理业务，服从发包人的管理。</w:t>
      </w:r>
    </w:p>
    <w:p w14:paraId="614674E0">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六、发包人向监理人承诺按照本合同注明的期限、方式、币种，向监理人支付酬金。</w:t>
      </w:r>
    </w:p>
    <w:p w14:paraId="42E6F6B1">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七、本合同监理期限为：</w:t>
      </w:r>
      <w:r>
        <w:rPr>
          <w:rFonts w:hint="eastAsia" w:asciiTheme="minorEastAsia" w:hAnsiTheme="minorEastAsia" w:eastAsiaTheme="minorEastAsia" w:cstheme="minorEastAsia"/>
          <w:sz w:val="24"/>
          <w:szCs w:val="24"/>
          <w:u w:val="single"/>
        </w:rPr>
        <w:t>自中标通知书发出之日起至施工项目全部完工并办理竣工验收（质量验收或交工/完工验收）、竣工结算、备案管理、缺陷责任期满止。</w:t>
      </w:r>
    </w:p>
    <w:p w14:paraId="093319F2">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八、监理人收款单位、开户银行及账号在合同签订后不得任意变更。</w:t>
      </w:r>
    </w:p>
    <w:p w14:paraId="2C68BB2D">
      <w:pPr>
        <w:pStyle w:val="12"/>
        <w:adjustRightInd w:val="0"/>
        <w:snapToGrid w:val="0"/>
        <w:spacing w:line="360" w:lineRule="auto"/>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九、</w:t>
      </w:r>
      <w:r>
        <w:rPr>
          <w:rFonts w:hint="eastAsia" w:asciiTheme="minorEastAsia" w:hAnsiTheme="minorEastAsia" w:eastAsiaTheme="minorEastAsia" w:cstheme="minorEastAsia"/>
          <w:sz w:val="24"/>
          <w:lang w:val="zh-CN"/>
        </w:rPr>
        <w:t>监理人须配合发包人实现技术数字化管理及有效应用，数字化技术工作要求</w:t>
      </w:r>
      <w:r>
        <w:rPr>
          <w:rFonts w:hint="eastAsia" w:asciiTheme="minorEastAsia" w:hAnsiTheme="minorEastAsia" w:eastAsiaTheme="minorEastAsia" w:cstheme="minorEastAsia"/>
          <w:sz w:val="24"/>
        </w:rPr>
        <w:t>详见本项目可研报告“6.12 内涝在线监测方案”，具体</w:t>
      </w:r>
      <w:r>
        <w:rPr>
          <w:rFonts w:hint="eastAsia" w:asciiTheme="minorEastAsia" w:hAnsiTheme="minorEastAsia" w:eastAsiaTheme="minorEastAsia" w:cstheme="minorEastAsia"/>
          <w:sz w:val="24"/>
          <w:lang w:val="zh-CN"/>
        </w:rPr>
        <w:t>以发包人的要求为准，上述工作相关费用监理人已在投标报价中统筹考虑，发包人不另外计取。</w:t>
      </w:r>
    </w:p>
    <w:p w14:paraId="6A094860">
      <w:pPr>
        <w:pStyle w:val="12"/>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十、建设管理单位的授权</w:t>
      </w:r>
    </w:p>
    <w:p w14:paraId="19F3CD6F">
      <w:pPr>
        <w:pStyle w:val="12"/>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因项目建设管理需要，发包人有权委托建设管理单位负责本工程的建设管理，监理人应服从建设管理单位管理并配合其开展工作。发包人委托管理的权限、内容、范围等将另行签订书面合同予以明确，建设管理单位按合同约定代表发包人履行项目建设管理职责。本合同中所约定的有关承包人报发包人审核或确认等内容，均应按项目建设管理流程先由监理人报建设管理单位审核确认，再由建设管理单位报发包人批准后方可执行。</w:t>
      </w:r>
    </w:p>
    <w:p w14:paraId="58F3A008">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十一、</w:t>
      </w:r>
      <w:bookmarkStart w:id="25" w:name="_Hlk204337236"/>
      <w:r>
        <w:rPr>
          <w:rFonts w:hint="eastAsia" w:asciiTheme="minorEastAsia" w:hAnsiTheme="minorEastAsia" w:eastAsiaTheme="minorEastAsia" w:cstheme="minorEastAsia"/>
          <w:sz w:val="24"/>
          <w:szCs w:val="24"/>
        </w:rPr>
        <w:t>本合同经双方法定代表人或其授权代表签字或签章并加盖本单位印章之日起生效</w:t>
      </w:r>
      <w:r>
        <w:rPr>
          <w:rFonts w:hint="eastAsia" w:asciiTheme="minorEastAsia" w:hAnsiTheme="minorEastAsia" w:eastAsiaTheme="minorEastAsia" w:cstheme="minorEastAsia"/>
          <w:snapToGrid w:val="0"/>
          <w:kern w:val="0"/>
          <w:sz w:val="24"/>
          <w:u w:val="single"/>
        </w:rPr>
        <w:t>，</w:t>
      </w:r>
      <w:r>
        <w:rPr>
          <w:rFonts w:hint="eastAsia" w:asciiTheme="minorEastAsia" w:hAnsiTheme="minorEastAsia" w:eastAsiaTheme="minorEastAsia" w:cstheme="minorEastAsia"/>
          <w:sz w:val="24"/>
          <w:szCs w:val="24"/>
          <w:u w:val="single"/>
        </w:rPr>
        <w:t>对中标通知书发出后签订合同前，如需监理人先行开展部分监理工作，对先行开展的监理工作予以确认。</w:t>
      </w:r>
      <w:bookmarkEnd w:id="25"/>
      <w:r>
        <w:rPr>
          <w:rFonts w:hint="eastAsia" w:asciiTheme="minorEastAsia" w:hAnsiTheme="minorEastAsia" w:eastAsiaTheme="minorEastAsia" w:cstheme="minorEastAsia"/>
          <w:sz w:val="24"/>
        </w:rPr>
        <w:t>双方确认本合同中约定的联系方式真实有效，双方依此向对方发出的所有通知、文件、资料视为送达。未尽事宜、经合同当事人协商一致、签订补充协议。本合同正本一式</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份，签约方各执</w:t>
      </w:r>
      <w:r>
        <w:rPr>
          <w:rFonts w:hint="eastAsia" w:asciiTheme="minorEastAsia" w:hAnsiTheme="minorEastAsia" w:eastAsiaTheme="minorEastAsia" w:cstheme="minorEastAsia"/>
          <w:sz w:val="24"/>
          <w:u w:val="single"/>
        </w:rPr>
        <w:t>壹</w:t>
      </w:r>
      <w:r>
        <w:rPr>
          <w:rFonts w:hint="eastAsia" w:asciiTheme="minorEastAsia" w:hAnsiTheme="minorEastAsia" w:eastAsiaTheme="minorEastAsia" w:cstheme="minorEastAsia"/>
          <w:sz w:val="24"/>
        </w:rPr>
        <w:t>份，副本</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份，签约方各执</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份，与正本具有同等法律效力。合同签订日期详见本合同封面。</w:t>
      </w:r>
    </w:p>
    <w:p w14:paraId="2D04FB5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（此页无正文）</w:t>
      </w:r>
    </w:p>
    <w:p w14:paraId="6D793129">
      <w:pPr>
        <w:widowControl/>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sz w:val="24"/>
        </w:rPr>
        <w:t>（此页为签署页）</w:t>
      </w:r>
      <w:bookmarkStart w:id="26" w:name="_Toc383534207"/>
    </w:p>
    <w:p w14:paraId="5F0A8C5D">
      <w:pPr>
        <w:pStyle w:val="12"/>
        <w:adjustRightInd w:val="0"/>
        <w:snapToGrid w:val="0"/>
        <w:spacing w:line="360" w:lineRule="auto"/>
        <w:ind w:left="7918" w:leftChars="-1" w:right="-874" w:rightChars="-416" w:hanging="7920" w:hangingChars="3300"/>
        <w:rPr>
          <w:rFonts w:hint="eastAsia" w:asciiTheme="minorEastAsia" w:hAnsiTheme="minorEastAsia" w:eastAsiaTheme="minorEastAsia" w:cstheme="minorEastAsia"/>
          <w:sz w:val="24"/>
          <w:szCs w:val="24"/>
        </w:rPr>
      </w:pPr>
    </w:p>
    <w:p w14:paraId="4829C74F">
      <w:pPr>
        <w:pStyle w:val="12"/>
        <w:adjustRightInd w:val="0"/>
        <w:snapToGrid w:val="0"/>
        <w:spacing w:line="360" w:lineRule="auto"/>
        <w:ind w:left="7918" w:leftChars="-1" w:right="-874" w:rightChars="-416" w:hanging="7920" w:hangingChars="3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发包人（盖章）：广州市南沙区排水和污水处理事务中心</w:t>
      </w:r>
    </w:p>
    <w:p w14:paraId="13FF1A50">
      <w:pPr>
        <w:pStyle w:val="12"/>
        <w:adjustRightInd w:val="0"/>
        <w:snapToGrid w:val="0"/>
        <w:spacing w:line="360" w:lineRule="auto"/>
        <w:ind w:left="7918" w:leftChars="-1" w:right="-874" w:rightChars="-416" w:hanging="7920" w:hangingChars="3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p w14:paraId="05AA5CF1">
      <w:pPr>
        <w:pStyle w:val="12"/>
        <w:adjustRightInd w:val="0"/>
        <w:snapToGrid w:val="0"/>
        <w:spacing w:line="360" w:lineRule="auto"/>
        <w:ind w:left="7918" w:leftChars="-1" w:right="-874" w:rightChars="-416" w:hanging="7920" w:hangingChars="3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或委托代理人：</w:t>
      </w:r>
    </w:p>
    <w:p w14:paraId="6B60C545">
      <w:pPr>
        <w:pStyle w:val="12"/>
        <w:adjustRightInd w:val="0"/>
        <w:snapToGrid w:val="0"/>
        <w:spacing w:line="360" w:lineRule="auto"/>
        <w:ind w:left="7918" w:leftChars="-1" w:right="-874" w:rightChars="-416" w:hanging="7920" w:hangingChars="3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p w14:paraId="737082BD">
      <w:pPr>
        <w:pStyle w:val="12"/>
        <w:adjustRightInd w:val="0"/>
        <w:snapToGrid w:val="0"/>
        <w:spacing w:line="360" w:lineRule="auto"/>
        <w:ind w:left="7918" w:leftChars="-1" w:right="-874" w:rightChars="-416" w:hanging="7920" w:hangingChars="3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址：广州市南沙区黄阁镇海滨路（滨海花园对面）</w:t>
      </w:r>
    </w:p>
    <w:p w14:paraId="2A67851E">
      <w:pPr>
        <w:pStyle w:val="12"/>
        <w:adjustRightInd w:val="0"/>
        <w:snapToGrid w:val="0"/>
        <w:spacing w:line="360" w:lineRule="auto"/>
        <w:ind w:left="7918" w:leftChars="-1" w:right="-874" w:rightChars="-416" w:hanging="7920" w:hangingChars="3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话：020-34970483</w:t>
      </w:r>
    </w:p>
    <w:p w14:paraId="1ADFFF77">
      <w:pPr>
        <w:pStyle w:val="12"/>
        <w:adjustRightInd w:val="0"/>
        <w:snapToGrid w:val="0"/>
        <w:spacing w:line="360" w:lineRule="auto"/>
        <w:ind w:left="7918" w:leftChars="-1" w:right="-874" w:rightChars="-416" w:hanging="7920" w:hangingChars="3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签订时间：详见本合同封面。</w:t>
      </w:r>
    </w:p>
    <w:p w14:paraId="18D14F87">
      <w:pPr>
        <w:pStyle w:val="12"/>
        <w:adjustRightInd w:val="0"/>
        <w:snapToGrid w:val="0"/>
        <w:spacing w:line="360" w:lineRule="auto"/>
        <w:ind w:left="7918" w:leftChars="-1" w:right="-874" w:rightChars="-416" w:hanging="7920" w:hangingChars="3300"/>
        <w:rPr>
          <w:rFonts w:hint="eastAsia" w:asciiTheme="minorEastAsia" w:hAnsiTheme="minorEastAsia" w:eastAsiaTheme="minorEastAsia" w:cstheme="minorEastAsia"/>
          <w:sz w:val="24"/>
          <w:szCs w:val="24"/>
        </w:rPr>
      </w:pPr>
    </w:p>
    <w:p w14:paraId="3ADF5F40">
      <w:pPr>
        <w:pStyle w:val="12"/>
        <w:adjustRightInd w:val="0"/>
        <w:snapToGrid w:val="0"/>
        <w:spacing w:line="360" w:lineRule="auto"/>
        <w:ind w:left="7918" w:leftChars="-1" w:right="-874" w:rightChars="-416" w:hanging="7920" w:hangingChars="3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监理人（盖章）：                                      </w:t>
      </w:r>
    </w:p>
    <w:p w14:paraId="58C84D59">
      <w:pPr>
        <w:pStyle w:val="12"/>
        <w:adjustRightInd w:val="0"/>
        <w:snapToGrid w:val="0"/>
        <w:spacing w:line="360" w:lineRule="auto"/>
        <w:ind w:left="7918" w:leftChars="-1" w:right="-874" w:rightChars="-416" w:hanging="7920" w:hangingChars="3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p w14:paraId="38B04CB1">
      <w:pPr>
        <w:pStyle w:val="12"/>
        <w:adjustRightInd w:val="0"/>
        <w:snapToGrid w:val="0"/>
        <w:spacing w:line="360" w:lineRule="auto"/>
        <w:ind w:left="7918" w:leftChars="-1" w:right="-874" w:rightChars="-416" w:hanging="7920" w:hangingChars="3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或委托代理人：</w:t>
      </w:r>
    </w:p>
    <w:p w14:paraId="0891F50C">
      <w:pPr>
        <w:pStyle w:val="12"/>
        <w:adjustRightInd w:val="0"/>
        <w:snapToGrid w:val="0"/>
        <w:spacing w:line="360" w:lineRule="auto"/>
        <w:ind w:left="7918" w:leftChars="-1" w:right="-874" w:rightChars="-416" w:hanging="7920" w:hangingChars="3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p w14:paraId="693CB773">
      <w:pPr>
        <w:pStyle w:val="12"/>
        <w:adjustRightInd w:val="0"/>
        <w:snapToGrid w:val="0"/>
        <w:spacing w:line="360" w:lineRule="auto"/>
        <w:ind w:left="7918" w:leftChars="-1" w:right="-874" w:rightChars="-416" w:hanging="7920" w:hangingChars="3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p>
    <w:p w14:paraId="020A86E2">
      <w:pPr>
        <w:pStyle w:val="12"/>
        <w:adjustRightInd w:val="0"/>
        <w:snapToGrid w:val="0"/>
        <w:spacing w:line="360" w:lineRule="auto"/>
        <w:ind w:left="7918" w:leftChars="-1" w:right="-874" w:rightChars="-416" w:hanging="7920" w:hangingChars="3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w:t>
      </w:r>
    </w:p>
    <w:p w14:paraId="134CA39B">
      <w:pPr>
        <w:pStyle w:val="12"/>
        <w:adjustRightInd w:val="0"/>
        <w:snapToGrid w:val="0"/>
        <w:spacing w:line="360" w:lineRule="auto"/>
        <w:ind w:left="7918" w:leftChars="-1" w:right="-874" w:rightChars="-416" w:hanging="7920" w:hangingChars="3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p w14:paraId="3ABCB153">
      <w:pPr>
        <w:pStyle w:val="12"/>
        <w:adjustRightInd w:val="0"/>
        <w:snapToGrid w:val="0"/>
        <w:spacing w:line="360" w:lineRule="auto"/>
        <w:ind w:left="7918" w:leftChars="-1" w:right="-874" w:rightChars="-416" w:hanging="7920" w:hangingChars="3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账户名称：</w:t>
      </w:r>
    </w:p>
    <w:p w14:paraId="2779E38B">
      <w:pPr>
        <w:pStyle w:val="12"/>
        <w:adjustRightInd w:val="0"/>
        <w:snapToGrid w:val="0"/>
        <w:spacing w:line="360" w:lineRule="auto"/>
        <w:ind w:left="7918" w:leftChars="-1" w:right="-874" w:rightChars="-416" w:hanging="7920" w:hangingChars="3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银行账号：</w:t>
      </w:r>
    </w:p>
    <w:p w14:paraId="78BAEB5A">
      <w:pPr>
        <w:pStyle w:val="12"/>
        <w:adjustRightInd w:val="0"/>
        <w:snapToGrid w:val="0"/>
        <w:spacing w:line="360" w:lineRule="auto"/>
        <w:ind w:left="7918" w:leftChars="-1" w:right="-874" w:rightChars="-416" w:hanging="7920" w:hangingChars="3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签订时间：详见本合同封面。</w:t>
      </w:r>
    </w:p>
    <w:p w14:paraId="15908971">
      <w:pPr>
        <w:pStyle w:val="23"/>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br w:type="page"/>
      </w:r>
      <w:bookmarkStart w:id="27" w:name="_Toc529863658"/>
      <w:bookmarkStart w:id="28" w:name="_Toc17439"/>
      <w:bookmarkStart w:id="29" w:name="_Toc108175601"/>
      <w:bookmarkStart w:id="30" w:name="_Toc7320"/>
      <w:bookmarkStart w:id="31" w:name="_Toc25568"/>
      <w:bookmarkStart w:id="32" w:name="_Toc529800441"/>
      <w:bookmarkStart w:id="33" w:name="_Toc529863703"/>
      <w:bookmarkStart w:id="34" w:name="_Toc6584"/>
      <w:bookmarkStart w:id="35" w:name="_Toc929609587"/>
      <w:bookmarkStart w:id="36" w:name="_Toc44410113"/>
      <w:bookmarkStart w:id="37" w:name="_Toc721"/>
      <w:r>
        <w:rPr>
          <w:rStyle w:val="39"/>
          <w:rFonts w:hint="eastAsia" w:asciiTheme="minorEastAsia" w:hAnsiTheme="minorEastAsia" w:eastAsiaTheme="minorEastAsia" w:cstheme="minorEastAsia"/>
          <w:b/>
        </w:rPr>
        <w:t xml:space="preserve">第二部分 </w:t>
      </w:r>
      <w:bookmarkEnd w:id="26"/>
      <w:r>
        <w:rPr>
          <w:rStyle w:val="39"/>
          <w:rFonts w:hint="eastAsia" w:asciiTheme="minorEastAsia" w:hAnsiTheme="minorEastAsia" w:eastAsiaTheme="minorEastAsia" w:cstheme="minorEastAsia"/>
          <w:b/>
        </w:rPr>
        <w:t>通用条款</w:t>
      </w:r>
      <w:bookmarkEnd w:id="27"/>
      <w:bookmarkEnd w:id="28"/>
      <w:bookmarkEnd w:id="29"/>
      <w:bookmarkEnd w:id="30"/>
      <w:bookmarkEnd w:id="31"/>
      <w:bookmarkEnd w:id="32"/>
      <w:bookmarkEnd w:id="33"/>
      <w:bookmarkEnd w:id="34"/>
      <w:bookmarkEnd w:id="35"/>
      <w:bookmarkEnd w:id="36"/>
      <w:bookmarkEnd w:id="37"/>
    </w:p>
    <w:p w14:paraId="631E2181">
      <w:pPr>
        <w:spacing w:line="360" w:lineRule="auto"/>
        <w:ind w:firstLine="482" w:firstLineChars="200"/>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词语定义、适用范围和法规</w:t>
      </w:r>
    </w:p>
    <w:p w14:paraId="606DE4B4">
      <w:pPr>
        <w:spacing w:line="360" w:lineRule="auto"/>
        <w:ind w:firstLine="482" w:firstLineChars="200"/>
        <w:jc w:val="center"/>
        <w:rPr>
          <w:rFonts w:hint="eastAsia" w:asciiTheme="minorEastAsia" w:hAnsiTheme="minorEastAsia" w:eastAsiaTheme="minorEastAsia" w:cstheme="minorEastAsia"/>
          <w:b/>
          <w:sz w:val="24"/>
        </w:rPr>
      </w:pPr>
    </w:p>
    <w:p w14:paraId="26AFD31D">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第一条  下列名词和用语，除上下文另有规定外，有如下含义：</w:t>
      </w:r>
    </w:p>
    <w:p w14:paraId="3E5E7383">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（1）“工程”是指发包人委托实施监理的工程。</w:t>
      </w:r>
    </w:p>
    <w:p w14:paraId="3C797EA9">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（2）“发包人”是指承担直接投资责任和委托监理业务的一方以及其合法继承人。</w:t>
      </w:r>
    </w:p>
    <w:p w14:paraId="4429E829">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（3）“监理”是指监理人受发包人的委托 ，依照法律法规、工程建设标准、勘察设计文件及合同，在施工阶段对建设工程质量、安全、进度、造价进行控制，对合同、信息、工程档案资料等进行管理，对工程建设相关方的关系进行协调，并履行建设工程安全生产管理法定职责的服务活动。</w:t>
      </w:r>
    </w:p>
    <w:p w14:paraId="5B877351">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（4）“监理机构”是指监理人派驻本工程现场实施监理业务的组织。</w:t>
      </w:r>
    </w:p>
    <w:p w14:paraId="4B5CAF98">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（5）“总监理工程师”是指经发包人同意，监理人派到监理机构全面履行本合同的全权负责人。</w:t>
      </w:r>
    </w:p>
    <w:p w14:paraId="537F46D2">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（6）“承包人”是指除监理人以外，发包人就工程建设有关事宜签订合同的当事人。</w:t>
      </w:r>
    </w:p>
    <w:p w14:paraId="7CB85F78">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（7）“工程监理的正常工作”是指双方在专用条款中约定，发包人委托的监理工作范围和内容。</w:t>
      </w:r>
    </w:p>
    <w:p w14:paraId="6ACA8AD1">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（8）“工程监理的附加工作”是指：发包人委托监理范围以外，通过双方书面协议另外增加的工作内容。</w:t>
      </w:r>
    </w:p>
    <w:p w14:paraId="7D05192F">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（9）“工程监理的额外工作”是指正常工作和附加工作以外或非监理人自己的原因而暂停或终止监理业务，其善后工作及恢复监理业务的工作。</w:t>
      </w:r>
    </w:p>
    <w:p w14:paraId="470348EA">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（10）“日”是指任何一天零时至第二天零时的时间段。</w:t>
      </w:r>
    </w:p>
    <w:p w14:paraId="522B76A4">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（11）“月”是指根据公历从一个月份中任何一天开始到下一个月相应日期的前一天的时间段。</w:t>
      </w:r>
    </w:p>
    <w:p w14:paraId="4B513231">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第二条  建设工程委托监理合同适用的法律是指国家的法律、行政法规，以及专用条款中议定的部门规章或工程所在地的地方性法规、地方规章。</w:t>
      </w:r>
    </w:p>
    <w:p w14:paraId="7121A2E9">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第三条  本合同文件使用汉语语言文字书写、解释和说明。如专用条款约定使用两种以上（含两种）语言文字时，汉语应为解释和说明本合同的标准语言文字。</w:t>
      </w:r>
    </w:p>
    <w:p w14:paraId="6DAEEE89">
      <w:pPr>
        <w:pStyle w:val="12"/>
        <w:adjustRightInd w:val="0"/>
        <w:snapToGrid w:val="0"/>
        <w:spacing w:line="360" w:lineRule="auto"/>
        <w:ind w:firstLine="482" w:firstLineChars="20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监理人义务</w:t>
      </w:r>
    </w:p>
    <w:p w14:paraId="51218D48">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第四条  监理人按合同约定派出监理工作需要的监理机构及监理人员，向发包人报送委派的总监理工程师及其监理机构主要成员名单、监理规划，完成监理合同专用条款中约定的监理工程范围内的监理业务。在履行合同义务期间，应按合同约定定期向发包人报告监理工作。</w:t>
      </w:r>
    </w:p>
    <w:p w14:paraId="2B70C5E4">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联合体方式接受委托的监理人，联合体各方应订立协议书且联合体各方应为履行合同向发包人承担连带责任。监理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联合体协议经发包人确认后作为合同附件。在履行合同过程中，未经发包人同意，不得变更联合体成员和其负责的工作范围，或者修改联合体协议中与本合同履行相关的内容。</w:t>
      </w:r>
    </w:p>
    <w:p w14:paraId="05B6C51E">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第五条  监理人在履行本合同的义务期间，应认真、勤奋地工作，为发包人提供与其水平相适应的咨询意见，公正维护各方面的合法权益。</w:t>
      </w:r>
    </w:p>
    <w:p w14:paraId="6DCFE818">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第六条  监理人自行解决监理工作过程中办公、交通、通信、居住、用餐及其他办公生活设施等，监理人使用发包人提供的设施和物品属发包人的财产。在监理工作完成或中止时，应将其设施和剩余的物品按合同约定的时间和方式移交给发包人。</w:t>
      </w:r>
    </w:p>
    <w:p w14:paraId="4EE48B93">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第七条  在合同期内或合同终止后，未征得有关方同意，不得泄露与本工程、本合同业务有关的保密资料。</w:t>
      </w:r>
    </w:p>
    <w:p w14:paraId="72C255E1">
      <w:pPr>
        <w:pStyle w:val="12"/>
        <w:adjustRightInd w:val="0"/>
        <w:snapToGrid w:val="0"/>
        <w:spacing w:line="360" w:lineRule="auto"/>
        <w:ind w:firstLine="482" w:firstLineChars="20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发包人义务</w:t>
      </w:r>
    </w:p>
    <w:p w14:paraId="3AC5B0A4">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第八条  发包人在监理人开展监理业务后向监理人支付服务费。</w:t>
      </w:r>
    </w:p>
    <w:p w14:paraId="08CEDEF4">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第九条  发包人应当协助监理人协调工程建设的外部关系，为监理工作提供外部条件。根据需要，如将部分或全部协调工作委托监理人承担，则应在专用条款中明确委托的工作和相应的报酬。</w:t>
      </w:r>
    </w:p>
    <w:p w14:paraId="6E99CA8A">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第十条  发包人应当在双方约定的时间内免费向监理人提供与工程有关的为监理工作所需要的工程资料。</w:t>
      </w:r>
    </w:p>
    <w:p w14:paraId="05995A1E">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第十一条  发包人应当在专用条款约定的时间内就监理人书面提交并要求作出决定的一切事宜作出书面决定。</w:t>
      </w:r>
    </w:p>
    <w:p w14:paraId="38530088">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第十二条  发包人应当授权1-2名熟悉工程情况、能在规定时间内作出决定的常驻代表（在专用条款中约定），负责与监理人联系。更换常驻代表，要提前通知监理人。</w:t>
      </w:r>
    </w:p>
    <w:p w14:paraId="1EDEFC96">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第十三条  发包人应当将授予监理人的监理权利，以及监理人主要成员的职能分工、监理权限及时书面通知已选定的承包合同的承包人，并在与第三人签订的合同中予以明确。</w:t>
      </w:r>
    </w:p>
    <w:p w14:paraId="4D2A05FE">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第十四条  发包人应在不影响监理人开展监理工作的时间内提供如下资料：</w:t>
      </w:r>
    </w:p>
    <w:p w14:paraId="0D51BCAA">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（1）与本工程合作的原材料、构配件、设备等生产厂家名录。</w:t>
      </w:r>
    </w:p>
    <w:p w14:paraId="5ECDFEEA">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（2）提供与本工程有关的协作单位、配合单位的名录。</w:t>
      </w:r>
    </w:p>
    <w:p w14:paraId="23C28322">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第十五条  发包人不提供监理办公及生活等设施。</w:t>
      </w:r>
    </w:p>
    <w:p w14:paraId="3BDB1913">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第十六条  根据情况需要，如果双方约定，由发包人免费向监理人提供其他人员，应在监理合同专用条款中予以明确。</w:t>
      </w:r>
    </w:p>
    <w:p w14:paraId="39112DB4">
      <w:pPr>
        <w:pStyle w:val="12"/>
        <w:adjustRightInd w:val="0"/>
        <w:snapToGrid w:val="0"/>
        <w:spacing w:line="360" w:lineRule="auto"/>
        <w:ind w:firstLine="482" w:firstLineChars="200"/>
        <w:jc w:val="center"/>
        <w:rPr>
          <w:rFonts w:hint="eastAsia" w:asciiTheme="minorEastAsia" w:hAnsiTheme="minorEastAsia" w:eastAsiaTheme="minorEastAsia" w:cstheme="minorEastAsia"/>
          <w:b/>
          <w:bCs/>
          <w:sz w:val="24"/>
          <w:szCs w:val="24"/>
        </w:rPr>
      </w:pPr>
    </w:p>
    <w:p w14:paraId="7EB64EA1">
      <w:pPr>
        <w:pStyle w:val="12"/>
        <w:adjustRightInd w:val="0"/>
        <w:snapToGrid w:val="0"/>
        <w:spacing w:line="360" w:lineRule="auto"/>
        <w:ind w:firstLine="482" w:firstLineChars="20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监理人权利</w:t>
      </w:r>
    </w:p>
    <w:p w14:paraId="54AD1558">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第十七条  监理人在发包人委托的工程范围内，享有以下权利：</w:t>
      </w:r>
    </w:p>
    <w:p w14:paraId="00154E3D">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（1）选择工程总承包人的建议权。</w:t>
      </w:r>
    </w:p>
    <w:p w14:paraId="02630C1B">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（2）选择工程分包人的认可权。</w:t>
      </w:r>
    </w:p>
    <w:p w14:paraId="06890BF3">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（3）对工程建设有关事项包括工程规模、设计标准、规划设计、生产工艺设计和使用功能要求，向发包人的建议权。</w:t>
      </w:r>
    </w:p>
    <w:p w14:paraId="29DC9E58">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对工程设计中的技术问题，按照安全和优化的原则，向设计人提出建议；如果拟提出的建议可能会提高工程造价，或延长工期，应当事先征得发包人的同意。当发现工程设计不符合国家颁布的建设工程质量标准或设计合同约定的质量标准时，监理人应当书面报告发包人并要求设计人更正。</w:t>
      </w:r>
    </w:p>
    <w:p w14:paraId="669B1220">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（5）审批工程施工组织设计和技术方案，按照保质量、保工期和降低成本的原则，向承包人提出建议，并向发包人提出书面报告。</w:t>
      </w:r>
    </w:p>
    <w:p w14:paraId="39CB3799">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（6）主持工程建设有关协作单位的组织协调，重要协调事项应当事先向发包人报告。</w:t>
      </w:r>
    </w:p>
    <w:p w14:paraId="38DD72B4">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（7）征得发包人同意，监理人有权发布开工令、停工令、复工令，但应当事先向发包人报告。如在紧急情况下未能事先报告时，则应在24小时内向发包人做出书面报告。</w:t>
      </w:r>
    </w:p>
    <w:p w14:paraId="02A5D485">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14:paraId="330025E0">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（9）工程施工进度的检查、监督权，以及工程实际竣工日期提前或超过工程施工合同规定的竣工期限的签认权。</w:t>
      </w:r>
    </w:p>
    <w:p w14:paraId="6A670F1F">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（10）在工程施工合同约定的工程价格范围内，工程款支付的审核和签认权，以及工程结算的复核确认权与否决权。未经总监理工程师签字确认，发包人不支付工程款。</w:t>
      </w:r>
    </w:p>
    <w:p w14:paraId="20218838">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第十八条  监理人在发包人授权下，可对任何承包人合同规定的义务提出变更。如果由此严重影响了工程费用或质量或进度，则这种变更须经发包人事先批准。在紧急情况下未能事先报发包人批准时，监理人所做的变更也应尽快通知发包人。在监理过程中如发现工程承包人人员工作不力，监理机构可要求承包人调换有关人员。</w:t>
      </w:r>
    </w:p>
    <w:p w14:paraId="5CB97019">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第十九条  在委托的工程范围内，发包人或承包人对对方的任何意见和要求（包括索赔要求），均必须首先向监理机构提出，由监理机构研究处置意见，再同双方协商确定。当发包人和承包人发生争议时，监理机构应根据自己的职能，以独立的身份判断，公正地进行调解。当双方的争议由政府建设行政主管部门调解或仲裁机构仲裁时，应当提供佐证的事实材料。</w:t>
      </w:r>
    </w:p>
    <w:p w14:paraId="30C379A7">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5F9A14FD">
      <w:pPr>
        <w:pStyle w:val="12"/>
        <w:adjustRightInd w:val="0"/>
        <w:snapToGrid w:val="0"/>
        <w:spacing w:line="360" w:lineRule="auto"/>
        <w:ind w:firstLine="482" w:firstLineChars="20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发包人权利</w:t>
      </w:r>
    </w:p>
    <w:p w14:paraId="28FF679A">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第二十条  发包人有选定工程总承包人，以及与其订立合同的权利。</w:t>
      </w:r>
    </w:p>
    <w:p w14:paraId="59F89E08">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第二十一条  发包人有对工程规模、设计标准、规划设计、生产工艺设计和设计使用功能要求的认定权，以及对工程设计变更的审批权。</w:t>
      </w:r>
    </w:p>
    <w:p w14:paraId="5E8A1DBF">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第二十二条  监理人调换总监理工程师须事先经发包人同意。</w:t>
      </w:r>
    </w:p>
    <w:p w14:paraId="4C387C5F">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第二十三条  发包人有权要求监理人提交监理工作月报及监理业务范围内的专项报告。</w:t>
      </w:r>
    </w:p>
    <w:p w14:paraId="7C5D7845">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第二十四条  当发包人发现监理人员不按监理合同履行监理职责，或与承包人串通给发包人或工程造成损失的，发包人有权要求监理人更换监理人员，直到终止合同并要求监理人承担相应的赔偿责任或连带赔偿责任。</w:t>
      </w:r>
    </w:p>
    <w:p w14:paraId="40270BCC">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3D8E54D3">
      <w:pPr>
        <w:pStyle w:val="12"/>
        <w:adjustRightInd w:val="0"/>
        <w:snapToGrid w:val="0"/>
        <w:spacing w:line="360" w:lineRule="auto"/>
        <w:ind w:firstLine="482" w:firstLineChars="20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监理人责任</w:t>
      </w:r>
    </w:p>
    <w:p w14:paraId="218401A2">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第二十五条  监理人的责任期即委托监理合同有效期。在监理过程中，如果因工程建设进度的推迟或延误而超过书面约定的日期，双方应进一步约定相应延长的合同期。</w:t>
      </w:r>
    </w:p>
    <w:p w14:paraId="354AB732">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第二十六条  监理人在责任期内，应当履行约定的义务。如果因监理人过错而造成了发包人的经济损失，应当向发包人赔偿。</w:t>
      </w:r>
    </w:p>
    <w:p w14:paraId="661E716D">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第二十七条  因不可抗力导致委托监理合同不能全部或部分履行，监理人不承担责任。但对违反第五条规定引起的与之有关的事宜，向发包人承担赔偿责任。</w:t>
      </w:r>
    </w:p>
    <w:p w14:paraId="60B7ED33">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第二十八条  监理人向发包人提出赔偿要求不能成立时，监理人应当补偿由于该索赔所导致发包人的各种费用支出。</w:t>
      </w:r>
    </w:p>
    <w:p w14:paraId="5E59F71F">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638D7945">
      <w:pPr>
        <w:pStyle w:val="12"/>
        <w:adjustRightInd w:val="0"/>
        <w:snapToGrid w:val="0"/>
        <w:spacing w:line="360" w:lineRule="auto"/>
        <w:ind w:firstLine="482" w:firstLineChars="20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发包人责任</w:t>
      </w:r>
    </w:p>
    <w:p w14:paraId="0D5E4D27">
      <w:pPr>
        <w:pStyle w:val="12"/>
        <w:adjustRightInd w:val="0"/>
        <w:snapToGrid w:val="0"/>
        <w:spacing w:line="360" w:lineRule="auto"/>
        <w:ind w:firstLine="480" w:firstLineChars="200"/>
        <w:rPr>
          <w:rFonts w:hint="eastAsia" w:asciiTheme="minorEastAsia" w:hAnsiTheme="minorEastAsia" w:eastAsiaTheme="minorEastAsia" w:cstheme="minorEastAsia"/>
          <w:strike/>
          <w:sz w:val="24"/>
          <w:szCs w:val="24"/>
        </w:rPr>
      </w:pPr>
      <w:r>
        <w:rPr>
          <w:rFonts w:hint="eastAsia" w:asciiTheme="minorEastAsia" w:hAnsiTheme="minorEastAsia" w:eastAsiaTheme="minorEastAsia" w:cstheme="minorEastAsia"/>
          <w:sz w:val="24"/>
          <w:szCs w:val="24"/>
        </w:rPr>
        <w:t>第二十九条  发包人应当履行委托监理合同约定的义务，如有违反则应当承担违约责任，赔偿给监理人造成的经济损失。</w:t>
      </w:r>
    </w:p>
    <w:p w14:paraId="726D2660">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第三十条  发包人如果向监理人提出赔偿的要求不能成立，则应当补偿由该索赔所引起的监理人的各种费用支出。</w:t>
      </w:r>
    </w:p>
    <w:p w14:paraId="5D6C5A37">
      <w:pPr>
        <w:pStyle w:val="12"/>
        <w:adjustRightInd w:val="0"/>
        <w:snapToGrid w:val="0"/>
        <w:spacing w:line="360" w:lineRule="auto"/>
        <w:ind w:firstLine="482" w:firstLineChars="200"/>
        <w:jc w:val="center"/>
        <w:rPr>
          <w:rFonts w:hint="eastAsia" w:asciiTheme="minorEastAsia" w:hAnsiTheme="minorEastAsia" w:eastAsiaTheme="minorEastAsia" w:cstheme="minorEastAsia"/>
          <w:b/>
          <w:bCs/>
          <w:sz w:val="24"/>
          <w:szCs w:val="24"/>
        </w:rPr>
      </w:pPr>
    </w:p>
    <w:p w14:paraId="536F1089">
      <w:pPr>
        <w:pStyle w:val="12"/>
        <w:adjustRightInd w:val="0"/>
        <w:snapToGrid w:val="0"/>
        <w:spacing w:line="360" w:lineRule="auto"/>
        <w:ind w:firstLine="482" w:firstLineChars="20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合同生效、变更与终止</w:t>
      </w:r>
    </w:p>
    <w:p w14:paraId="08E05D58">
      <w:pPr>
        <w:pStyle w:val="12"/>
        <w:adjustRightInd w:val="0"/>
        <w:snapToGrid w:val="0"/>
        <w:spacing w:line="360" w:lineRule="auto"/>
        <w:ind w:firstLine="480" w:firstLineChars="200"/>
        <w:rPr>
          <w:rFonts w:hint="eastAsia" w:asciiTheme="minorEastAsia" w:hAnsiTheme="minorEastAsia" w:eastAsiaTheme="minorEastAsia" w:cstheme="minorEastAsia"/>
          <w:strike/>
          <w:sz w:val="24"/>
          <w:szCs w:val="24"/>
        </w:rPr>
      </w:pPr>
      <w:r>
        <w:rPr>
          <w:rFonts w:hint="eastAsia" w:asciiTheme="minorEastAsia" w:hAnsiTheme="minorEastAsia" w:eastAsiaTheme="minorEastAsia" w:cstheme="minorEastAsia"/>
          <w:sz w:val="24"/>
          <w:szCs w:val="24"/>
        </w:rPr>
        <w:t>第三十一条  由于发包人或承包人的原因使监理工作受到阻碍或延误，以致发生了附加工作或延长了持续时间，则监理人应当将此情况与可能产生的影响及时通知发包人。</w:t>
      </w:r>
    </w:p>
    <w:p w14:paraId="45F4AC36">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第三十二条  在委托监理合同签订后，实际情况发生变化，使得监理人不能全部或部分执行监理业务时，监理人应当立即通知发包人。该监理业务的完成时间应予延长。当恢复执行监理业务时，应当增加不超过42日的时间用于恢复执行监理业务。</w:t>
      </w:r>
    </w:p>
    <w:p w14:paraId="2A5646B1">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第三十三条  监理人向发包人办理完竣工验收（质量验收或交工/完工验收）或工程移交手续，承包人和发包人已签订工程保修责任书，且缺陷责任期满监理人收到监理报酬尾款，本合同即终止。保修期间的责任，双方在专用条款中约定。</w:t>
      </w:r>
    </w:p>
    <w:p w14:paraId="39406B40">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第三十四条  当事人一方要求变更或解除合同时，应当在42日前通知对方，因解除合同使一方遭受损失的，除依法可以免除责任外，应由责任方负责赔偿。</w:t>
      </w:r>
    </w:p>
    <w:p w14:paraId="41AEEFA0">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变更或解除合同的通知或协议必须采取书面形式，协议未达成之前，原合同仍然有效。</w:t>
      </w:r>
    </w:p>
    <w:p w14:paraId="2CE479C0">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第三十五条  监理人在应当获得监理报酬之日起30日内仍未收到支付单据，而发包人又未对监理人提出任何书面解释时，或根据第三十一条及第三十二条已暂停执行监理业务时限超过六个月的，监理人可向发包人发出终止合同的通知，发出通知后14日内仍未得到发包人答复，可进一步发出终止合同的通知，如果第二份通知发出后42日内仍未得到发包人答复，可终止合同或自行暂停或继续暂停执行全部或部分监理业务。发包人承担违约责任。</w:t>
      </w:r>
    </w:p>
    <w:p w14:paraId="3E608565">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第三十六条  当发包人认为监理人无正当理由而又未履行监理义务时，可向监理人发出指明其未履行义务的通知。若发包人发出通知后21日内没有收到答复，可在第一个通知发出后35日内发出终止委托监理合同的通知，合同即行终止。监理人承担违约责任。</w:t>
      </w:r>
    </w:p>
    <w:p w14:paraId="1B4A5FF0">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第三十七条  合同协议的终止并不影响各方应有的权利和应当承担的责任。</w:t>
      </w:r>
    </w:p>
    <w:p w14:paraId="380E0275">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1A4C1337">
      <w:pPr>
        <w:pStyle w:val="12"/>
        <w:adjustRightInd w:val="0"/>
        <w:snapToGrid w:val="0"/>
        <w:spacing w:line="360" w:lineRule="auto"/>
        <w:ind w:firstLine="482" w:firstLineChars="20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监理报酬</w:t>
      </w:r>
    </w:p>
    <w:p w14:paraId="6EFCBF8B">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第三十八条  正常的监理工作和附加工作，按照监理合同专用条款中约定的方法计算，并按约定的时间和数额支付。</w:t>
      </w:r>
    </w:p>
    <w:p w14:paraId="397224C8">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第三十九条  发包人应在规定的支付期限内支付监理报酬。</w:t>
      </w:r>
    </w:p>
    <w:p w14:paraId="186272A8">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第四十条  支付监理报酬所采取的货币币种、汇率由合同专用条款约定。</w:t>
      </w:r>
    </w:p>
    <w:p w14:paraId="4F93E857">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第四十一条  如果发包人对监理人提交的支付通知中报酬或部分报酬项目提出异议，应当在收到支付通知书2４小时内向监理人发出表示异议的通知，但发包人不得拖延其他无异议报酬项目的支付。</w:t>
      </w:r>
    </w:p>
    <w:p w14:paraId="25392014">
      <w:pPr>
        <w:pStyle w:val="12"/>
        <w:adjustRightInd w:val="0"/>
        <w:snapToGrid w:val="0"/>
        <w:spacing w:line="360" w:lineRule="auto"/>
        <w:ind w:firstLine="482" w:firstLineChars="200"/>
        <w:jc w:val="center"/>
        <w:rPr>
          <w:rFonts w:hint="eastAsia" w:asciiTheme="minorEastAsia" w:hAnsiTheme="minorEastAsia" w:eastAsiaTheme="minorEastAsia" w:cstheme="minorEastAsia"/>
          <w:b/>
          <w:bCs/>
          <w:sz w:val="24"/>
          <w:szCs w:val="24"/>
        </w:rPr>
      </w:pPr>
    </w:p>
    <w:p w14:paraId="09A837E5">
      <w:pPr>
        <w:pStyle w:val="12"/>
        <w:adjustRightInd w:val="0"/>
        <w:snapToGrid w:val="0"/>
        <w:spacing w:line="360" w:lineRule="auto"/>
        <w:ind w:firstLine="482" w:firstLineChars="200"/>
        <w:jc w:val="center"/>
        <w:rPr>
          <w:rFonts w:hint="eastAsia" w:asciiTheme="minorEastAsia" w:hAnsiTheme="minorEastAsia" w:eastAsiaTheme="minorEastAsia" w:cstheme="minorEastAsia"/>
          <w:b/>
          <w:bCs/>
          <w:sz w:val="24"/>
          <w:szCs w:val="24"/>
        </w:rPr>
      </w:pPr>
    </w:p>
    <w:p w14:paraId="795D24F5">
      <w:pPr>
        <w:pStyle w:val="12"/>
        <w:adjustRightInd w:val="0"/>
        <w:snapToGrid w:val="0"/>
        <w:spacing w:line="360" w:lineRule="auto"/>
        <w:ind w:firstLine="482" w:firstLineChars="20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其   他</w:t>
      </w:r>
    </w:p>
    <w:p w14:paraId="14BD1680">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第四十二条  委托的建设工程监理所必要的监理人员外出考察、材料、设备复试，其费用支出经发包人同意的，在预算范围内向发包人实报实销。</w:t>
      </w:r>
    </w:p>
    <w:p w14:paraId="0CDF1E7A">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第四十三条  在监理业务范围内，如需聘用专家咨询或协助，由监理人聘用的，其费用由监理人承担；由发包人聘用的，其费用由发包人承担。</w:t>
      </w:r>
    </w:p>
    <w:p w14:paraId="4AE230B5">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第四十四条  监理人在监理工作过程中提出的合理化建议，使发包人得到了经济效益，发包人应按专用条款中的约定给予经济奖励。</w:t>
      </w:r>
    </w:p>
    <w:p w14:paraId="6A0EEEBE">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第四十五条  监理人驻地监理机构及其职员不得接受监理工程项目施工承包人的任何报酬或者经济利益。</w:t>
      </w:r>
    </w:p>
    <w:p w14:paraId="75844BE0">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监理人不得参与可能与合同规定的与发包人的利益相冲突的任何活动。</w:t>
      </w:r>
    </w:p>
    <w:p w14:paraId="325B45BF">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第四十六条  监理人在监理过程中，不得泄露发包人申明的秘密，监理人亦不得泄露设计人、承包人等提供并申明的秘密。</w:t>
      </w:r>
    </w:p>
    <w:p w14:paraId="24831794">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第四十七条  监理人对于由其编制的所有文件拥有版权，发包人仅有权为本工程使用或复制此类文件。</w:t>
      </w:r>
    </w:p>
    <w:p w14:paraId="44CA7E38">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第四十八条  </w:t>
      </w:r>
      <w:r>
        <w:rPr>
          <w:rFonts w:hint="eastAsia" w:asciiTheme="minorEastAsia" w:hAnsiTheme="minorEastAsia" w:eastAsiaTheme="minorEastAsia" w:cstheme="minorEastAsia"/>
          <w:sz w:val="24"/>
          <w:szCs w:val="24"/>
          <w:u w:val="single"/>
        </w:rPr>
        <w:t>监理人对本工程使用的设备及其他投入（包括但不限于以下内容）：监理部用房按项目实际情况自行配备，办公电脑及电话，工作场地网络、打印机、复印机等设备。</w:t>
      </w:r>
    </w:p>
    <w:p w14:paraId="41A24399">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77AFB779">
      <w:pPr>
        <w:pStyle w:val="12"/>
        <w:adjustRightInd w:val="0"/>
        <w:snapToGrid w:val="0"/>
        <w:spacing w:line="360" w:lineRule="auto"/>
        <w:ind w:firstLine="482" w:firstLineChars="20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争议的解决</w:t>
      </w:r>
    </w:p>
    <w:p w14:paraId="2266DEF1">
      <w:pPr>
        <w:pStyle w:val="12"/>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第四十九条  因违反或终止合同而引起的对对方损失和损害的赔偿，双方应当协商解决，如未能达成一致，可提交主管部门协调，如仍未能达成一致时，根据双方约定向工程项目所在地有管辖权的人民法院起诉。</w:t>
      </w:r>
    </w:p>
    <w:p w14:paraId="6B88F79B">
      <w:pPr>
        <w:pStyle w:val="12"/>
        <w:adjustRightInd w:val="0"/>
        <w:snapToGrid w:val="0"/>
        <w:spacing w:line="360" w:lineRule="auto"/>
        <w:ind w:firstLine="482" w:firstLineChars="200"/>
        <w:jc w:val="center"/>
        <w:rPr>
          <w:rFonts w:hint="eastAsia" w:asciiTheme="minorEastAsia" w:hAnsiTheme="minorEastAsia" w:eastAsiaTheme="minorEastAsia" w:cstheme="minorEastAsia"/>
          <w:b/>
          <w:bCs/>
          <w:sz w:val="24"/>
          <w:szCs w:val="24"/>
        </w:rPr>
      </w:pPr>
    </w:p>
    <w:p w14:paraId="2CB50567">
      <w:pPr>
        <w:pStyle w:val="23"/>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bookmarkStart w:id="38" w:name="_Toc383534208"/>
      <w:bookmarkStart w:id="39" w:name="_Toc17348"/>
      <w:bookmarkStart w:id="40" w:name="_Toc11131"/>
      <w:bookmarkStart w:id="41" w:name="_Toc10563"/>
      <w:bookmarkStart w:id="42" w:name="_Toc21913"/>
      <w:bookmarkStart w:id="43" w:name="_Toc6388"/>
      <w:bookmarkStart w:id="44" w:name="_Toc26647"/>
      <w:bookmarkStart w:id="45" w:name="_Toc529863704"/>
      <w:bookmarkStart w:id="46" w:name="_Toc108175602"/>
      <w:bookmarkStart w:id="47" w:name="_Toc18591"/>
      <w:bookmarkStart w:id="48" w:name="_Toc529863659"/>
      <w:bookmarkStart w:id="49" w:name="_Toc3251"/>
      <w:bookmarkStart w:id="50" w:name="_Toc1004796784"/>
      <w:bookmarkStart w:id="51" w:name="_Toc31691"/>
      <w:bookmarkStart w:id="52" w:name="_Toc529800442"/>
      <w:bookmarkStart w:id="53" w:name="_Toc595"/>
      <w:bookmarkStart w:id="54" w:name="_Toc17323"/>
      <w:bookmarkStart w:id="55" w:name="_Toc7706"/>
      <w:bookmarkStart w:id="56" w:name="_Toc2091"/>
      <w:bookmarkStart w:id="57" w:name="_Toc25567"/>
      <w:bookmarkStart w:id="58" w:name="_Toc44410114"/>
      <w:bookmarkStart w:id="59" w:name="_Toc15752"/>
      <w:r>
        <w:rPr>
          <w:rFonts w:hint="eastAsia" w:asciiTheme="minorEastAsia" w:hAnsiTheme="minorEastAsia" w:eastAsiaTheme="minorEastAsia" w:cstheme="minorEastAsia"/>
        </w:rPr>
        <w:t>第三部分 专用</w:t>
      </w:r>
      <w:bookmarkEnd w:id="38"/>
      <w:r>
        <w:rPr>
          <w:rFonts w:hint="eastAsia" w:asciiTheme="minorEastAsia" w:hAnsiTheme="minorEastAsia" w:eastAsiaTheme="minorEastAsia" w:cstheme="minorEastAsia"/>
        </w:rPr>
        <w:t>条款</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4D4545E9">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专用条款对本合同通用条款中有需要进行定义、解释或具体约定的条款内容进行补充、删除或修改，其条款序号与通用条款中的一一对应，并且专用条款较通用条款具有优先解释权。专用条款中缺号的条款表示按通用条款中对应的条款执行。</w:t>
      </w:r>
    </w:p>
    <w:p w14:paraId="1E85EC2E">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第一条 下列名词和用语，除上下文另有规定外，有如下含义</w:t>
      </w:r>
    </w:p>
    <w:p w14:paraId="39E6EB1E">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增加以下两条</w:t>
      </w:r>
    </w:p>
    <w:p w14:paraId="60FE6879">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（12）“监理期限”是指施工阶段、缺陷责任期之和：自中标通知书发出之日起至施工项目全部完工并办理竣工验收（质量验收或交工/完工验收）、竣工结算、备案管理、缺陷责任期满止。</w:t>
      </w:r>
    </w:p>
    <w:p w14:paraId="7FFC58AD">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（13）“合同有效期”是指合同生效之日起至合同终止之日止。</w:t>
      </w:r>
    </w:p>
    <w:p w14:paraId="02899DA6">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（14）“缺陷责任期”指承包人按照合同约定承担缺陷修复义务，缺陷责任期为2年。本合同缺陷责任期自工程竣工验收合格之日起算，监理人需在期满前30日提交缺陷整改报告。</w:t>
      </w:r>
    </w:p>
    <w:p w14:paraId="09F9A7A3">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（15）“参建单位”指在工程范围内与发包人签订勘察、设计、施工、监测、检测、其他服务单位等有关合同的当事人，及其合法的继承人。</w:t>
      </w:r>
    </w:p>
    <w:p w14:paraId="2F5F77F0">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不可抗力”是指发包人和监理人在订立本合同时不可预见，在工程施工过程中不可避免发生并不能克服的自然灾害和社会性突发事件，如地震、海啸、瘟疫、水灾、骚乱、暴动、战争和专用条件约定的其他情形。</w:t>
      </w:r>
    </w:p>
    <w:p w14:paraId="5AF364E3">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第二条 本合同适用的法律及监理依据：</w:t>
      </w:r>
    </w:p>
    <w:p w14:paraId="44C424ED">
      <w:pPr>
        <w:adjustRightInd w:val="0"/>
        <w:snapToGrid w:val="0"/>
        <w:spacing w:line="360" w:lineRule="auto"/>
        <w:ind w:firstLine="480" w:firstLineChars="200"/>
        <w:rPr>
          <w:rFonts w:hint="eastAsia" w:asciiTheme="minorEastAsia" w:hAnsiTheme="minorEastAsia" w:eastAsiaTheme="minorEastAsia" w:cstheme="minorEastAsia"/>
          <w:sz w:val="24"/>
          <w:szCs w:val="24"/>
        </w:rPr>
      </w:pPr>
      <w:bookmarkStart w:id="60" w:name="_Toc354434576"/>
      <w:bookmarkStart w:id="61" w:name="_Toc354434417"/>
      <w:bookmarkStart w:id="62" w:name="_Toc383534209"/>
      <w:r>
        <w:rPr>
          <w:rFonts w:hint="eastAsia" w:asciiTheme="minorEastAsia" w:hAnsiTheme="minorEastAsia" w:eastAsiaTheme="minorEastAsia" w:cstheme="minorEastAsia"/>
          <w:sz w:val="24"/>
          <w:szCs w:val="24"/>
        </w:rPr>
        <w:t>一、适用法律</w:t>
      </w:r>
      <w:bookmarkEnd w:id="60"/>
      <w:bookmarkEnd w:id="61"/>
      <w:bookmarkEnd w:id="62"/>
    </w:p>
    <w:p w14:paraId="5D349830">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1、国家及地方有关工程建设的相关法律、法规和管理条例。如：《中华人民共和国建筑法》《建设工程质量管理条例》《中华人民共和国民法典》等；</w:t>
      </w:r>
    </w:p>
    <w:p w14:paraId="08B4C1BB">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2、国家、广东省、广州市、南沙区有关工程建设管理方面的规定和办法；</w:t>
      </w:r>
    </w:p>
    <w:p w14:paraId="3406CA05">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3、现行的工程建设规范和质量检验评定标准。</w:t>
      </w:r>
    </w:p>
    <w:p w14:paraId="705E8F7C">
      <w:pPr>
        <w:adjustRightInd w:val="0"/>
        <w:snapToGrid w:val="0"/>
        <w:spacing w:line="360" w:lineRule="auto"/>
        <w:ind w:firstLine="480" w:firstLineChars="200"/>
        <w:rPr>
          <w:rFonts w:hint="eastAsia" w:asciiTheme="minorEastAsia" w:hAnsiTheme="minorEastAsia" w:eastAsiaTheme="minorEastAsia" w:cstheme="minorEastAsia"/>
          <w:sz w:val="24"/>
          <w:szCs w:val="24"/>
        </w:rPr>
      </w:pPr>
      <w:bookmarkStart w:id="63" w:name="_Toc383534210"/>
      <w:bookmarkStart w:id="64" w:name="_Toc354434577"/>
      <w:bookmarkStart w:id="65" w:name="_Toc354434418"/>
      <w:r>
        <w:rPr>
          <w:rFonts w:hint="eastAsia" w:asciiTheme="minorEastAsia" w:hAnsiTheme="minorEastAsia" w:eastAsiaTheme="minorEastAsia" w:cstheme="minorEastAsia"/>
          <w:sz w:val="24"/>
          <w:szCs w:val="24"/>
        </w:rPr>
        <w:t>二、监理工作依据</w:t>
      </w:r>
      <w:bookmarkEnd w:id="63"/>
      <w:bookmarkEnd w:id="64"/>
      <w:bookmarkEnd w:id="65"/>
    </w:p>
    <w:p w14:paraId="0992BE9B">
      <w:pPr>
        <w:adjustRightInd w:val="0"/>
        <w:snapToGrid w:val="0"/>
        <w:spacing w:line="360" w:lineRule="auto"/>
        <w:ind w:firstLine="480" w:firstLineChars="200"/>
        <w:rPr>
          <w:rFonts w:hint="eastAsia" w:asciiTheme="minorEastAsia" w:hAnsiTheme="minorEastAsia" w:eastAsiaTheme="minorEastAsia" w:cstheme="minorEastAsia"/>
          <w:sz w:val="24"/>
          <w:szCs w:val="24"/>
        </w:rPr>
      </w:pPr>
      <w:bookmarkStart w:id="66" w:name="_Toc354434419"/>
      <w:bookmarkStart w:id="67" w:name="_Toc383534211"/>
      <w:bookmarkStart w:id="68" w:name="_Toc354434578"/>
      <w:r>
        <w:rPr>
          <w:rFonts w:hint="eastAsia" w:asciiTheme="minorEastAsia" w:hAnsiTheme="minorEastAsia" w:eastAsiaTheme="minorEastAsia" w:cstheme="minorEastAsia"/>
          <w:sz w:val="24"/>
          <w:szCs w:val="24"/>
        </w:rPr>
        <w:t>1、国家及地方现行的有关工程建设的操作规程、技术标准和验收规范；</w:t>
      </w:r>
      <w:bookmarkEnd w:id="66"/>
      <w:bookmarkEnd w:id="67"/>
      <w:bookmarkEnd w:id="68"/>
    </w:p>
    <w:p w14:paraId="3F87000A">
      <w:pPr>
        <w:adjustRightInd w:val="0"/>
        <w:snapToGrid w:val="0"/>
        <w:spacing w:line="360" w:lineRule="auto"/>
        <w:ind w:firstLine="480" w:firstLineChars="200"/>
        <w:rPr>
          <w:rFonts w:hint="eastAsia" w:asciiTheme="minorEastAsia" w:hAnsiTheme="minorEastAsia" w:eastAsiaTheme="minorEastAsia" w:cstheme="minorEastAsia"/>
          <w:sz w:val="24"/>
          <w:szCs w:val="24"/>
        </w:rPr>
      </w:pPr>
      <w:bookmarkStart w:id="69" w:name="_Toc354434579"/>
      <w:bookmarkStart w:id="70" w:name="_Toc354434420"/>
      <w:bookmarkStart w:id="71" w:name="_Toc383534212"/>
      <w:r>
        <w:rPr>
          <w:rFonts w:hint="eastAsia" w:asciiTheme="minorEastAsia" w:hAnsiTheme="minorEastAsia" w:eastAsiaTheme="minorEastAsia" w:cstheme="minorEastAsia"/>
          <w:sz w:val="24"/>
          <w:szCs w:val="24"/>
        </w:rPr>
        <w:t>2、建设工程监理规范（GB50319-2013）、</w:t>
      </w:r>
      <w:r>
        <w:rPr>
          <w:rFonts w:ascii="宋体" w:hAnsi="宋体" w:cs="宋体"/>
          <w:kern w:val="0"/>
          <w:sz w:val="24"/>
          <w:szCs w:val="24"/>
          <w:lang w:bidi="ar"/>
        </w:rPr>
        <w:t>《</w:t>
      </w:r>
      <w:r>
        <w:rPr>
          <w:rFonts w:hint="eastAsia" w:ascii="宋体" w:hAnsi="宋体" w:cs="宋体"/>
          <w:kern w:val="0"/>
          <w:sz w:val="24"/>
          <w:szCs w:val="24"/>
          <w:lang w:bidi="ar"/>
        </w:rPr>
        <w:t>广东省建设工程监理条例</w:t>
      </w:r>
      <w:r>
        <w:rPr>
          <w:rFonts w:ascii="宋体" w:hAnsi="宋体" w:cs="宋体"/>
          <w:kern w:val="0"/>
          <w:sz w:val="24"/>
          <w:szCs w:val="24"/>
          <w:lang w:bidi="ar"/>
        </w:rPr>
        <w:t>》等地方规范性文件</w:t>
      </w:r>
      <w:r>
        <w:rPr>
          <w:rFonts w:hint="eastAsia" w:asciiTheme="minorEastAsia" w:hAnsiTheme="minorEastAsia" w:eastAsiaTheme="minorEastAsia" w:cstheme="minorEastAsia"/>
          <w:sz w:val="24"/>
          <w:szCs w:val="24"/>
        </w:rPr>
        <w:t>；</w:t>
      </w:r>
      <w:bookmarkEnd w:id="69"/>
      <w:bookmarkEnd w:id="70"/>
      <w:bookmarkEnd w:id="71"/>
    </w:p>
    <w:p w14:paraId="21AE9A22">
      <w:pPr>
        <w:adjustRightInd w:val="0"/>
        <w:snapToGrid w:val="0"/>
        <w:spacing w:line="360" w:lineRule="auto"/>
        <w:ind w:firstLine="480" w:firstLineChars="200"/>
        <w:rPr>
          <w:rFonts w:hint="eastAsia" w:asciiTheme="minorEastAsia" w:hAnsiTheme="minorEastAsia" w:eastAsiaTheme="minorEastAsia" w:cstheme="minorEastAsia"/>
          <w:sz w:val="24"/>
          <w:szCs w:val="24"/>
        </w:rPr>
      </w:pPr>
      <w:bookmarkStart w:id="72" w:name="_Toc354434580"/>
      <w:bookmarkStart w:id="73" w:name="_Toc383534213"/>
      <w:bookmarkStart w:id="74" w:name="_Toc354434421"/>
      <w:r>
        <w:rPr>
          <w:rFonts w:hint="eastAsia" w:asciiTheme="minorEastAsia" w:hAnsiTheme="minorEastAsia" w:eastAsiaTheme="minorEastAsia" w:cstheme="minorEastAsia"/>
          <w:sz w:val="24"/>
          <w:szCs w:val="24"/>
        </w:rPr>
        <w:t>3、委托监理合同及相关补充协议；</w:t>
      </w:r>
      <w:bookmarkEnd w:id="72"/>
      <w:bookmarkEnd w:id="73"/>
      <w:bookmarkEnd w:id="74"/>
    </w:p>
    <w:p w14:paraId="72E45339">
      <w:pPr>
        <w:adjustRightInd w:val="0"/>
        <w:snapToGrid w:val="0"/>
        <w:spacing w:line="360" w:lineRule="auto"/>
        <w:ind w:firstLine="480" w:firstLineChars="200"/>
        <w:rPr>
          <w:rFonts w:hint="eastAsia" w:asciiTheme="minorEastAsia" w:hAnsiTheme="minorEastAsia" w:eastAsiaTheme="minorEastAsia" w:cstheme="minorEastAsia"/>
          <w:sz w:val="24"/>
          <w:szCs w:val="24"/>
        </w:rPr>
      </w:pPr>
      <w:bookmarkStart w:id="75" w:name="_Toc354434422"/>
      <w:bookmarkStart w:id="76" w:name="_Toc354434581"/>
      <w:bookmarkStart w:id="77" w:name="_Toc383534214"/>
      <w:r>
        <w:rPr>
          <w:rFonts w:hint="eastAsia" w:asciiTheme="minorEastAsia" w:hAnsiTheme="minorEastAsia" w:eastAsiaTheme="minorEastAsia" w:cstheme="minorEastAsia"/>
          <w:sz w:val="24"/>
          <w:szCs w:val="24"/>
        </w:rPr>
        <w:t>4、发包人与承包人签订的建设工程施工合同及相关补充协议，发包人与其他方签订的有关本工程项目的协议书、合同、备忘录等等；</w:t>
      </w:r>
      <w:bookmarkEnd w:id="75"/>
      <w:bookmarkEnd w:id="76"/>
      <w:bookmarkEnd w:id="77"/>
    </w:p>
    <w:p w14:paraId="23EB6F27">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5、发包人确认的本工程的工程地质勘察报告、施工图纸、设计说明以及施工图纸会审记录、有关工程建设的洽商记录、工程变更文件；</w:t>
      </w:r>
    </w:p>
    <w:p w14:paraId="4D1435D3">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6、监理人编制审批的经发包人确认的监理规划；</w:t>
      </w:r>
    </w:p>
    <w:p w14:paraId="11CF06DB">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7、广州地区现行的有关工程预结算定额和文件；</w:t>
      </w:r>
    </w:p>
    <w:p w14:paraId="3EF260B1">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8、发包人发出的指令。</w:t>
      </w:r>
    </w:p>
    <w:p w14:paraId="6E92A08D">
      <w:pPr>
        <w:adjustRightInd w:val="0"/>
        <w:snapToGrid w:val="0"/>
        <w:spacing w:line="360" w:lineRule="auto"/>
        <w:ind w:firstLine="480" w:firstLineChars="200"/>
        <w:rPr>
          <w:rFonts w:hint="eastAsia" w:asciiTheme="minorEastAsia" w:hAnsiTheme="minorEastAsia" w:eastAsiaTheme="minorEastAsia" w:cstheme="minorEastAsia"/>
          <w:sz w:val="24"/>
          <w:szCs w:val="24"/>
        </w:rPr>
      </w:pPr>
      <w:bookmarkStart w:id="78" w:name="_Toc354434423"/>
      <w:bookmarkStart w:id="79" w:name="_Toc354434582"/>
      <w:bookmarkStart w:id="80" w:name="_Toc383534215"/>
      <w:r>
        <w:rPr>
          <w:rFonts w:hint="eastAsia" w:asciiTheme="minorEastAsia" w:hAnsiTheme="minorEastAsia" w:eastAsiaTheme="minorEastAsia" w:cstheme="minorEastAsia"/>
          <w:sz w:val="24"/>
          <w:szCs w:val="24"/>
        </w:rPr>
        <w:t>9、本合同中所有涉及法律、法规相关部门等有关规定的，如有修订或变更，按最新规定执行，费用已包含在合同中。</w:t>
      </w:r>
    </w:p>
    <w:p w14:paraId="278B5B26">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第四条  监理人员、监理工作范围、监理工作内容、监理目标等：</w:t>
      </w:r>
      <w:bookmarkEnd w:id="78"/>
      <w:bookmarkEnd w:id="79"/>
      <w:bookmarkEnd w:id="80"/>
    </w:p>
    <w:p w14:paraId="0C800150">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一、监理人员</w:t>
      </w:r>
    </w:p>
    <w:p w14:paraId="25C70511">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监理人派驻到工程所在地履行监理服务的监理人员，必须能够适应监理合同规定的监理服务工作。并按招标文件、投标文件及本合同约定提供监理人员的资质、配额，且须经发包人审核同意，若监理人派驻的监理人员不足以依约按时保质完成本合同约定的监理工作的，监理人应按照发包人要求增加监理人员，因此产生的</w:t>
      </w:r>
      <w:r>
        <w:rPr>
          <w:rFonts w:hint="eastAsia" w:asciiTheme="minorEastAsia" w:hAnsiTheme="minorEastAsia" w:eastAsiaTheme="minorEastAsia" w:cstheme="minorEastAsia"/>
          <w:sz w:val="24"/>
          <w:lang w:val="zh-CN"/>
        </w:rPr>
        <w:t>相关费用已经包含在合同总价中，发包人无需为此另行支付任何费用</w:t>
      </w:r>
      <w:r>
        <w:rPr>
          <w:rFonts w:hint="eastAsia" w:asciiTheme="minorEastAsia" w:hAnsiTheme="minorEastAsia" w:eastAsiaTheme="minorEastAsia" w:cstheme="minorEastAsia"/>
          <w:sz w:val="24"/>
          <w:szCs w:val="24"/>
        </w:rPr>
        <w:t>。</w:t>
      </w:r>
    </w:p>
    <w:p w14:paraId="23A13F88">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监理人必须严格按照投标承诺投入监理机构和监理人员，在合同中附上监理人员总架构表，项目实施过程中，监理人可根据项目的进度情况安排监理人员到位及调离，但必须经发包人同意。全部监理人员名单和资格报发包人备案后，未经发包人书面同意，监理人不得擅自调换人员。</w:t>
      </w:r>
    </w:p>
    <w:p w14:paraId="4F7D85DD">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3、发包人有权以书面形式要求监理人更换不能按照本监理合同的规定履行监理服务的派驻人员，监理人应当在收到发包人通知之日起  日内更换其他符合招标文件、投标文件及本合同约定且发包人认可的派驻人员，因此而产生的费用由监理人承担。</w:t>
      </w:r>
    </w:p>
    <w:p w14:paraId="0308612E">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监理人应在EPC承包单位的中标通知书发布1个月内向发包人提交监理规划，经发包人书面确认后实施。为了履行监理服务，监理人应在监理规划中指定一名授权代表与发包人的授权代表建立工作联系，监理人应在本协议签署之日起3日内以书面方式向发包人通知该授权代表的具体信息（包括但不限于姓名、联系电话、身份证号码等）。</w:t>
      </w:r>
    </w:p>
    <w:p w14:paraId="6F95FA13">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5、即使是发包人要求或同意更换的监理人员，其代替人员的资质不得低于原监理人员资质，并须得到发包人的认可，因此而产生的费用由监理人承担。</w:t>
      </w:r>
    </w:p>
    <w:p w14:paraId="5328B4CA">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6、监理人派驻项目履行监理服务的总监理工程师、总监理工程师代表、安全员及专业监理工程师监理人员，必须常驻现场。</w:t>
      </w:r>
    </w:p>
    <w:p w14:paraId="77BDC606">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监理工程师在本监理合同授权范围内行使合同规定的权利，履行相应的职责。当发包人发现监理人员不按监理合同履行监理职责，或与承包人串通给发包人或工程造成损失的，发包人有权要求监理人更换监理人员，或终止合同，并要求监理人承担相当的赔偿责任或连带赔偿责任。</w:t>
      </w:r>
    </w:p>
    <w:p w14:paraId="37796D52">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kern w:val="0"/>
          <w:sz w:val="24"/>
          <w:szCs w:val="24"/>
        </w:rPr>
        <w:t>在现场工作的监理人员，应遵守发包人的安全保卫及其他有关的规章制度，承担其有关资料保密义务。监理人为履行本合同所派出之监理人员不因本合同与发包人构成代理、劳动或雇佣关系，监理人应自行妥善处理与内部员工等其他主体关系，并在提供服务过程中应采取必要的安全生产、保险、环境保护、正面舆情等措施，在监理工作期间应对派出的监理人员行为负责，确保不发生违规作业、人身伤亡、财产损失、违法犯罪等负面事件，否则在监理工作过程中监理人员发生人身安全事故或其他侵权、违法、违规等事件，均全部由监理人负责，发包人无需承担任何责任</w:t>
      </w:r>
      <w:bookmarkStart w:id="81" w:name="_Hlk145584684"/>
      <w:r>
        <w:rPr>
          <w:rFonts w:hint="eastAsia" w:asciiTheme="minorEastAsia" w:hAnsiTheme="minorEastAsia" w:eastAsiaTheme="minorEastAsia" w:cstheme="minorEastAsia"/>
          <w:sz w:val="24"/>
          <w:szCs w:val="24"/>
        </w:rPr>
        <w:t>，因此导致发包人遭受任何损失的，监理人应承担全部赔偿责任</w:t>
      </w:r>
      <w:bookmarkEnd w:id="81"/>
      <w:r>
        <w:rPr>
          <w:rFonts w:hint="eastAsia" w:asciiTheme="minorEastAsia" w:hAnsiTheme="minorEastAsia" w:eastAsiaTheme="minorEastAsia" w:cstheme="minorEastAsia"/>
          <w:kern w:val="0"/>
          <w:sz w:val="24"/>
          <w:szCs w:val="24"/>
        </w:rPr>
        <w:t>。监理人（含监理人员）进场后必须接受发包人的监督并予以积极配合。监理人</w:t>
      </w:r>
      <w:r>
        <w:rPr>
          <w:rFonts w:hint="eastAsia" w:asciiTheme="minorEastAsia" w:hAnsiTheme="minorEastAsia" w:eastAsiaTheme="minorEastAsia" w:cstheme="minorEastAsia"/>
          <w:sz w:val="24"/>
          <w:szCs w:val="24"/>
        </w:rPr>
        <w:t>承诺为其驻地监理人员</w:t>
      </w:r>
      <w:r>
        <w:rPr>
          <w:rFonts w:hint="eastAsia" w:asciiTheme="minorEastAsia" w:hAnsiTheme="minorEastAsia" w:eastAsiaTheme="minorEastAsia" w:cstheme="minorEastAsia"/>
          <w:sz w:val="24"/>
          <w:szCs w:val="24"/>
          <w:u w:val="single"/>
        </w:rPr>
        <w:t>购买100万元/人的人身意外险，</w:t>
      </w:r>
      <w:r>
        <w:rPr>
          <w:rFonts w:hint="eastAsia" w:asciiTheme="minorEastAsia" w:hAnsiTheme="minorEastAsia" w:eastAsiaTheme="minorEastAsia" w:cstheme="minorEastAsia"/>
          <w:sz w:val="24"/>
          <w:szCs w:val="24"/>
        </w:rPr>
        <w:t>该等费用由监理人自行承担，发包人不另行支付。</w:t>
      </w:r>
    </w:p>
    <w:p w14:paraId="625E8F32">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二、监理工作范围：</w:t>
      </w:r>
    </w:p>
    <w:p w14:paraId="45EC9E8B">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本工程的施工监理，包括但不限于项目实施阶段的施工前期准备、施工管理、</w:t>
      </w:r>
      <w:bookmarkStart w:id="82" w:name="_Hlk204337594"/>
      <w:r>
        <w:rPr>
          <w:rFonts w:hint="eastAsia" w:asciiTheme="minorEastAsia" w:hAnsiTheme="minorEastAsia" w:eastAsiaTheme="minorEastAsia" w:cstheme="minorEastAsia"/>
          <w:sz w:val="24"/>
          <w:szCs w:val="24"/>
        </w:rPr>
        <w:t>联合试运转、</w:t>
      </w:r>
      <w:bookmarkEnd w:id="82"/>
      <w:r>
        <w:rPr>
          <w:rFonts w:hint="eastAsia" w:asciiTheme="minorEastAsia" w:hAnsiTheme="minorEastAsia" w:eastAsiaTheme="minorEastAsia" w:cstheme="minorEastAsia"/>
          <w:sz w:val="24"/>
          <w:szCs w:val="24"/>
        </w:rPr>
        <w:t>施工图会审、进度款和变更审核、投资控制、竣工验收（质量验收或交工/完工验收）、工程结算、资产移交、质量保修等工作，并对工程项目进行质量、进度、投资、合同、信息、环保、安全文明施工等方面进行有效管理和控制，直至办理竣工验收（质量验收或交工/完工验收）手续和工程结算、缺陷责任期满等的全过程监理服务和工程相关协调工作。具体的监理工程量，以本工程的设计图纸为准。</w:t>
      </w:r>
    </w:p>
    <w:p w14:paraId="042A2DB0">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三、监理工作内容</w:t>
      </w:r>
    </w:p>
    <w:p w14:paraId="3E898D34">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1、履约担保</w:t>
      </w:r>
    </w:p>
    <w:p w14:paraId="6854D75B">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（1）监理人</w:t>
      </w:r>
      <w:r>
        <w:rPr>
          <w:rFonts w:hint="eastAsia" w:asciiTheme="minorEastAsia" w:hAnsiTheme="minorEastAsia" w:eastAsiaTheme="minorEastAsia" w:cstheme="minorEastAsia"/>
          <w:sz w:val="24"/>
          <w:szCs w:val="24"/>
          <w:lang w:val="zh-CN"/>
        </w:rPr>
        <w:t>应按中标价的</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zh-CN"/>
        </w:rPr>
        <w:t>%向发包人递交履约担保；如果</w:t>
      </w:r>
      <w:r>
        <w:rPr>
          <w:rFonts w:hint="eastAsia" w:asciiTheme="minorEastAsia" w:hAnsiTheme="minorEastAsia" w:eastAsiaTheme="minorEastAsia" w:cstheme="minorEastAsia"/>
          <w:sz w:val="24"/>
          <w:szCs w:val="24"/>
        </w:rPr>
        <w:t>监理人</w:t>
      </w:r>
      <w:r>
        <w:rPr>
          <w:rFonts w:hint="eastAsia" w:asciiTheme="minorEastAsia" w:hAnsiTheme="minorEastAsia" w:eastAsiaTheme="minorEastAsia" w:cstheme="minorEastAsia"/>
          <w:sz w:val="24"/>
          <w:szCs w:val="24"/>
          <w:lang w:val="zh-CN"/>
        </w:rPr>
        <w:t>的履约担保是以银行保函的形式提供，则该银行保函应</w:t>
      </w:r>
      <w:r>
        <w:rPr>
          <w:rFonts w:hint="eastAsia" w:asciiTheme="minorEastAsia" w:hAnsiTheme="minorEastAsia" w:eastAsiaTheme="minorEastAsia" w:cstheme="minorEastAsia"/>
          <w:sz w:val="24"/>
          <w:szCs w:val="24"/>
        </w:rPr>
        <w:t>为</w:t>
      </w:r>
      <w:r>
        <w:rPr>
          <w:rFonts w:hint="eastAsia" w:asciiTheme="minorEastAsia" w:hAnsiTheme="minorEastAsia" w:eastAsiaTheme="minorEastAsia" w:cstheme="minorEastAsia"/>
          <w:sz w:val="24"/>
          <w:szCs w:val="24"/>
          <w:lang w:val="zh-CN"/>
        </w:rPr>
        <w:t>在中国注册的国有商业银行开具的不可撤销银行保函并符合要求，如</w:t>
      </w:r>
      <w:r>
        <w:rPr>
          <w:rFonts w:hint="eastAsia" w:asciiTheme="minorEastAsia" w:hAnsiTheme="minorEastAsia" w:eastAsiaTheme="minorEastAsia" w:cstheme="minorEastAsia"/>
          <w:sz w:val="24"/>
          <w:szCs w:val="24"/>
        </w:rPr>
        <w:t>监理人</w:t>
      </w:r>
      <w:r>
        <w:rPr>
          <w:rFonts w:hint="eastAsia" w:asciiTheme="minorEastAsia" w:hAnsiTheme="minorEastAsia" w:eastAsiaTheme="minorEastAsia" w:cstheme="minorEastAsia"/>
          <w:sz w:val="24"/>
          <w:szCs w:val="24"/>
          <w:lang w:val="zh-CN"/>
        </w:rPr>
        <w:t>提供虚假银行保函或未经发包人同意的前提下不符合前述要求，发包人有权取消其中标资格，并追究其法律责任。</w:t>
      </w:r>
    </w:p>
    <w:p w14:paraId="621C8E3B">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监理人未按上款的规定递交履约担保且未经发包人同意，发包人将有权解除合同，监理人的投标担保不予退还，且依法承担相应法律责任。监理人给发包人造成的损失超过投标担保数额的，还应当对超过部分予以赔偿。监理人有异议的，可以向工程所在地人民法院起诉。</w:t>
      </w:r>
    </w:p>
    <w:p w14:paraId="31F7670C">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（3）履约担保的有效期</w:t>
      </w:r>
    </w:p>
    <w:p w14:paraId="6154C0CF">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担保的有效期限从合同签订直至项目竣工验收（质量验收或交工/完工验收，以最长的期限为准）合格之日止；如果所提交的履约担保期限不能满足前述规定，监理人须在履约担保到期前三个月提前办理续保手续，发包人不为此支付任何费用。</w:t>
      </w:r>
    </w:p>
    <w:p w14:paraId="7B5CD68C">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履约担保管理具体按照发包人及广州市南沙区有关规定执行，如有最新的规定则按照最新的规定执行。</w:t>
      </w:r>
    </w:p>
    <w:p w14:paraId="6E6006C5">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2、监理人在独立、公正、科学地提供监理服务的过程中，严格监理、热情服务，力求本工程项目目标的圆满实现；在项目施工全过程中，负责协调参建各方的工作。</w:t>
      </w:r>
    </w:p>
    <w:p w14:paraId="4562B14E">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3、审查分包人资质，并提出审查处置意见；</w:t>
      </w:r>
    </w:p>
    <w:p w14:paraId="12DA35EA">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4、监理人应在受委托的监理业务范围内向发包人负责，在执行和遵守国家有关建设法规的前提下，维护发包人的正当权益。</w:t>
      </w:r>
    </w:p>
    <w:p w14:paraId="1422A104">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5、审查承包人编制审批的施工组织设计、各专项施工方案及施工进度计划，分别提出审查意见并跟踪检查实施情况，审批各单项工程开工报告，参加设计交底和施工图纸的会审；</w:t>
      </w:r>
    </w:p>
    <w:p w14:paraId="020DA254">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6、审查承包人编制审批的安全施工技术方案及相应预案，检查承包人安全施工管理制度，督促承包人安全防护措施和设施的落实。</w:t>
      </w:r>
    </w:p>
    <w:p w14:paraId="4559804F">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7、定期主持召开工地例会，主持或者参与相关专题会议，形成会议制度，未能按制度执行的，</w:t>
      </w:r>
      <w:r>
        <w:rPr>
          <w:rFonts w:hint="eastAsia" w:asciiTheme="minorEastAsia" w:hAnsiTheme="minorEastAsia" w:eastAsiaTheme="minorEastAsia" w:cstheme="minorEastAsia"/>
          <w:bCs/>
          <w:sz w:val="24"/>
          <w:szCs w:val="24"/>
        </w:rPr>
        <w:t>则按《监理违约处罚明细表》扣减监理费。监理人应在工地例会上组织</w:t>
      </w:r>
      <w:r>
        <w:rPr>
          <w:rFonts w:hint="eastAsia" w:asciiTheme="minorEastAsia" w:hAnsiTheme="minorEastAsia" w:eastAsiaTheme="minorEastAsia" w:cstheme="minorEastAsia"/>
          <w:sz w:val="24"/>
          <w:szCs w:val="24"/>
        </w:rPr>
        <w:t>各参建单位落实ESG（环境、社会、治理）的要求，并对检查、监督。</w:t>
      </w:r>
    </w:p>
    <w:p w14:paraId="5B9D2071">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8、编写并向发包人提交监理周报、监理月报、监理工作阶段报告、专题报告和项目监理工作总结，形成报告制度，未能按制度执行的，</w:t>
      </w:r>
      <w:r>
        <w:rPr>
          <w:rFonts w:hint="eastAsia" w:asciiTheme="minorEastAsia" w:hAnsiTheme="minorEastAsia" w:eastAsiaTheme="minorEastAsia" w:cstheme="minorEastAsia"/>
          <w:bCs/>
          <w:sz w:val="24"/>
          <w:szCs w:val="24"/>
        </w:rPr>
        <w:t>则按《监理违约处罚明细表》扣减监理费</w:t>
      </w:r>
      <w:r>
        <w:rPr>
          <w:rFonts w:hint="eastAsia" w:asciiTheme="minorEastAsia" w:hAnsiTheme="minorEastAsia" w:eastAsiaTheme="minorEastAsia" w:cstheme="minorEastAsia"/>
          <w:sz w:val="24"/>
          <w:szCs w:val="24"/>
        </w:rPr>
        <w:t>。监理月报应包括各参建单位落实ESG（环境、社会、治理）的要求的情况。</w:t>
      </w:r>
    </w:p>
    <w:p w14:paraId="54BA5838">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9、根据合同的规定并经批准的工程进度计划，签收检查承包人填报的旬、月、季等报表，并随时提出监理意见，控制工程造价。</w:t>
      </w:r>
    </w:p>
    <w:p w14:paraId="4D72D6D6">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监理人应对材料、设备的进场验收负主要责任。监理人应对参建单位报送的拟进场工程材料、构配件和设备的工程材料/构配件/设备报审表及其质量证明资料进行审核，并对进场的实物按照委托监理合同约定或有关工程质量管理文件规定的比例采用平行检验或见证取样方式进行抽检。对未经监理人员验收或验收不合格的工程材料、构配件、设备，监理人员应拒绝签认，并应签发监理工程师通知单，书面通知参建单位限期将不合格的工程材料、构配件、设备撤出现场；</w:t>
      </w:r>
    </w:p>
    <w:p w14:paraId="7978B9C9">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检查本工程采用的主要设备及关键材料是否符合设计文件或招、投标文件所规定的厂家、型号、规格、数量以及质量标准，在承包人或发包人订货前，视需要并经发包人同意可对生产厂家进行了解考察，但所发生的费用由采购方负担。</w:t>
      </w:r>
    </w:p>
    <w:p w14:paraId="0E29E992">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监理人对施工质量进行全过程的监督管理，审查参建单位的质量保证体系和措施，核实质量文件；审查参建单位的实验室条件；督促承包人严格执行合同和严格按照国家技术规范、标准、地方建筑安装规程以及设计图纸文件的要求进行施工、安装，并检查其实施情况；在加强现场管理工作的前提下对重点部位、隐蔽工程和关键工序应采取旁站监理（旁站人员数量要求须符合《房屋建筑工程施工旁站监理管理办法（试行）》要求），按照有关规定，对参建单位进场的工程设备、建筑材料、建筑构配件、中间产品进行跟踪检测和平行检测，复核参建单位自评的工程质量等级；核查施工过程中的主要部位、环节以及隐蔽工程的施工验收签证，对于关键部位工序和隐蔽工程进行全过程旁站管理，控制工程质量。监理隐蔽验收工作要配合现场施工进度需要，如工期紧迫或发包人要求，监理单位人员应全天候24小时在岗配合现场施工生产。监理人员旁站应全程全天候在岗认真做好旁站监督，真实地做好旁站记录等。如有违反，结合合同附件7《监理违约处罚明细表》相关约定进行处罚。</w:t>
      </w:r>
    </w:p>
    <w:p w14:paraId="2ECAE3E5">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13、合理、公正地协调发包人与承包人的合同争议和索赔（费用、工期）事宜；</w:t>
      </w:r>
    </w:p>
    <w:p w14:paraId="424699E3">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14、严格按照监理相关程序处理工程变更事宜，并及时将工程变更对工期的影响和对费用的增减做出评估，提交发包人决策；</w:t>
      </w:r>
    </w:p>
    <w:p w14:paraId="400EB07C">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15、根据施工总承包合同以及国家、省、市、地方的计价规定，对施工图预算、工程变更价款等技术经济变更文件提出合理化建议。</w:t>
      </w:r>
    </w:p>
    <w:p w14:paraId="275173D1">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16、审查承包人的预、结算文件和进度产值报表。</w:t>
      </w:r>
    </w:p>
    <w:p w14:paraId="3E5A65BE">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17、审查承包人的中期请款申请并签署支付意见。工程竣工后，审查工程结算价款，并配合结算部门的审核工作。</w:t>
      </w:r>
    </w:p>
    <w:p w14:paraId="284E4D24">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根据承包人提出的阶段、部位、环节、各系统的分段工程检验、验收以及整体工程竣工验收申请报告，负责组织初验，签署由承包人提出的全部工程竣工验收（质量验收或交工/完工验收）报告，参加发包人组织的最终验收。</w:t>
      </w:r>
    </w:p>
    <w:p w14:paraId="6E1C5B06">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19、根据有关文件规定，督促检查承包人完成各阶段及全套竣工图的工作和整理各种必须归档的资料，交发包人归档。</w:t>
      </w:r>
    </w:p>
    <w:p w14:paraId="02561E14">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20、安全生产监理： </w:t>
      </w:r>
    </w:p>
    <w:p w14:paraId="665CA458">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1）监理单位应当审查施工组织设计中的安全技术措施或者专项施工方案是否符合工程建设强制性标准。</w:t>
      </w:r>
    </w:p>
    <w:p w14:paraId="68185AAD">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监理单位在实施监理过程中，发现存在安全事故隐患的，应当要求施工单位整改；情况严重的，应当要求施工单位暂时停止施工，并及时报告发包人。做好应急管理工作，按要求向发包人提交应急预案等相关工作文件。</w:t>
      </w:r>
    </w:p>
    <w:p w14:paraId="057F4AAA">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3）施工单位拒不整改或者不停止施工的，监理单位应当及时向有关主管部门报告。</w:t>
      </w:r>
    </w:p>
    <w:p w14:paraId="43EE00D5">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4）监理单位和监理工程师应当按照法律、法规和工程建设强制性标准实施监理，并对建设工程安全生产承担监理责任。</w:t>
      </w:r>
    </w:p>
    <w:p w14:paraId="6FA96F85">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21、协助、主持、处理工程中出现的质量事故，提出处理意见，所发生的费用由责任当事人负担。</w:t>
      </w:r>
    </w:p>
    <w:p w14:paraId="302B00FF">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22、检查工程状况，组织鉴定质量问题责任，保修期内督促承包人进行保修。</w:t>
      </w:r>
    </w:p>
    <w:p w14:paraId="6E2B501B">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23、根据有关文件规定，向发包人提交工程监理备案资料。监理人应在工程竣工验收（质量验收或交工/完工验收）后提供一套监理过程资料以及监理日记供发包人查证使用。</w:t>
      </w:r>
    </w:p>
    <w:p w14:paraId="7F5C9F9B">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24、法律、法规规定的监理人应履行的其他工程监督管理工作。</w:t>
      </w:r>
    </w:p>
    <w:p w14:paraId="28B3E9A4">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25、负责本工程检测、监测方案的编制，并报发包人审核。负责协调、监督管理工程检测、监测过程，并审查检测、检测报告。</w:t>
      </w:r>
    </w:p>
    <w:p w14:paraId="52E9DE00">
      <w:pPr>
        <w:pStyle w:val="8"/>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26、文件资料</w:t>
      </w:r>
      <w:bookmarkStart w:id="83" w:name="_Toc527558204"/>
      <w:r>
        <w:rPr>
          <w:rFonts w:hint="eastAsia" w:asciiTheme="minorEastAsia" w:hAnsiTheme="minorEastAsia" w:eastAsiaTheme="minorEastAsia" w:cstheme="minorEastAsia"/>
          <w:sz w:val="24"/>
          <w:szCs w:val="24"/>
        </w:rPr>
        <w:t>的归档整理</w:t>
      </w:r>
      <w:bookmarkEnd w:id="83"/>
    </w:p>
    <w:p w14:paraId="49A2BB93">
      <w:pPr>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在本合同履行期内，</w:t>
      </w:r>
      <w:r>
        <w:rPr>
          <w:rFonts w:hint="eastAsia" w:asciiTheme="minorEastAsia" w:hAnsiTheme="minorEastAsia" w:eastAsiaTheme="minorEastAsia" w:cstheme="minorEastAsia"/>
          <w:sz w:val="24"/>
          <w:szCs w:val="24"/>
        </w:rPr>
        <w:t>监理</w:t>
      </w:r>
      <w:r>
        <w:rPr>
          <w:rFonts w:hint="eastAsia" w:asciiTheme="minorEastAsia" w:hAnsiTheme="minorEastAsia" w:eastAsiaTheme="minorEastAsia" w:cstheme="minorEastAsia"/>
          <w:bCs/>
          <w:sz w:val="24"/>
          <w:szCs w:val="24"/>
        </w:rPr>
        <w:t>人应在现场保留工作所用的图纸、报告及记录监理工作的相关文件。工程竣工后，应当按照档案管理规定将监理有关文件归档，档案内容及其深度、分类、编号、目录编制、装订等必须符合国家有关工程监理等方面的技术规范、标准和规程、合同专用条款、地方档案馆要求。</w:t>
      </w:r>
    </w:p>
    <w:p w14:paraId="30D5B491">
      <w:pPr>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监理</w:t>
      </w:r>
      <w:r>
        <w:rPr>
          <w:rFonts w:hint="eastAsia" w:asciiTheme="minorEastAsia" w:hAnsiTheme="minorEastAsia" w:eastAsiaTheme="minorEastAsia" w:cstheme="minorEastAsia"/>
          <w:bCs/>
          <w:sz w:val="24"/>
          <w:szCs w:val="24"/>
        </w:rPr>
        <w:t>人应按照《建设工程质量管理条例》（国务院第279号令）、《城市建设档案管理规定》（建设部第90号令）、《建设工程文件归档规范》（GB/T 50328-2014）、《广州市城市建设档案管理办法》（穗府[1996]87号）、《广州市建设工程档案编制指南》（试行，2002年6月）及广州市城建档案馆的相关要求、发包人有关工程档案管理要求、本合同及相关文件的约定，在工程施工期间定期监督、检查施工单位工程项目资料档案，发现不符合上述规定及要求的情况，应及时通过书面方式要求施工单位</w:t>
      </w:r>
      <w:r>
        <w:rPr>
          <w:rFonts w:hint="eastAsia" w:asciiTheme="minorEastAsia" w:hAnsiTheme="minorEastAsia" w:eastAsiaTheme="minorEastAsia" w:cstheme="minorEastAsia"/>
          <w:sz w:val="24"/>
          <w:szCs w:val="24"/>
        </w:rPr>
        <w:t>、承包人</w:t>
      </w:r>
      <w:r>
        <w:rPr>
          <w:rFonts w:hint="eastAsia" w:asciiTheme="minorEastAsia" w:hAnsiTheme="minorEastAsia" w:eastAsiaTheme="minorEastAsia" w:cstheme="minorEastAsia"/>
          <w:bCs/>
          <w:sz w:val="24"/>
          <w:szCs w:val="24"/>
        </w:rPr>
        <w:t>进行整改，项目竣工验收时，监督施工单位完成工程项目资料的归档、验收和移交工作并验收工程项目资料档案，确保档案符合上述规定及要求。同步建立电子档案系统，符合《电子文件归档与电子档案管理规范》（GB/T 18894-2016）。应在规定竣工验收后的三个月内及时向广州市城建档案馆和发包人送交相应的工程档案。向发包人移交工程档案时应提供广州市城建档案馆的验收合格证明。</w:t>
      </w:r>
    </w:p>
    <w:p w14:paraId="2472534C">
      <w:pPr>
        <w:adjustRightInd w:val="0"/>
        <w:snapToGrid w:val="0"/>
        <w:spacing w:line="360" w:lineRule="auto"/>
        <w:ind w:firstLine="480" w:firstLineChars="200"/>
      </w:pPr>
      <w:r>
        <w:rPr>
          <w:rFonts w:hint="eastAsia" w:asciiTheme="minorEastAsia" w:hAnsiTheme="minorEastAsia" w:eastAsiaTheme="minorEastAsia" w:cstheme="minorEastAsia"/>
          <w:sz w:val="24"/>
          <w:szCs w:val="24"/>
        </w:rPr>
        <w:t>监理人</w:t>
      </w:r>
      <w:r>
        <w:rPr>
          <w:rFonts w:hint="eastAsia" w:asciiTheme="minorEastAsia" w:hAnsiTheme="minorEastAsia" w:eastAsiaTheme="minorEastAsia" w:cstheme="minorEastAsia"/>
          <w:bCs/>
          <w:sz w:val="24"/>
          <w:szCs w:val="24"/>
        </w:rPr>
        <w:t>应将工程项目资料的形成和积累纳入工程监理的各个环节和有关人员的职责范围，形成档案管理制度，指定专职档案管理人员负责上述监理档案的归档及工程项目档案的监督、检查工作，如发现未按相关档案管理制度执行，则按《监理违约处罚明细表》扣减监理费。</w:t>
      </w:r>
    </w:p>
    <w:p w14:paraId="55C86A26">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27、本项目作为南沙区排水工程落实ESG的典型案例，监理人应在工程监理过程中根据发包人要求组织各参建单位落实ESG（环境、社会、治理）的要求，包括但不限于以下：</w:t>
      </w:r>
    </w:p>
    <w:p w14:paraId="142FECD6">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环境（Environmental）方面：生态影响最小化（设计阶段纳入生态修复方案，并采用海绵城市理念优化排水系统；施工阶段预处理泥浆、减少污水排放对环境影响）；低碳技术应用（推广绿色建材，减少材料浪费）；合规与风险管理（严格执行环境影响评价及地方生态保护红线要求）。</w:t>
      </w:r>
    </w:p>
    <w:p w14:paraId="113EC6FA">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社会（Social）方面：利益相关方参与（与当地社区居民沟通，评估项目对居民生活、文化的影响，并形成总结），配合发包人完成编制新闻发布稿等宣传工作；安全与健康保障（落实安全生产标准，保护工人健康；识别危大工程，并提出相应措施；避免夜间施工对居民影响）；项目可实施性（梳理开工条件，包括借地、用地等）。</w:t>
      </w:r>
    </w:p>
    <w:p w14:paraId="392ED068">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（3）治理（Governance）方面：透明化决策机制；反腐败与合规管理（建立供应商落实ESG要求、强化内部审计、确保企业廉洁规范）。</w:t>
      </w:r>
    </w:p>
    <w:p w14:paraId="55FFA1A5">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四、监理人派驻本工程的：总监理工程师：   （身份证号：       、电话：       ）；总监理工程师代表：   （身份证号：                    、电话：          ）；安全员：   （身份证号：             、电话：         ）。</w:t>
      </w:r>
    </w:p>
    <w:p w14:paraId="6AA8BE23">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五、监理目标</w:t>
      </w:r>
    </w:p>
    <w:p w14:paraId="74C0B992">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本工程监理工作目标明确为：</w:t>
      </w:r>
    </w:p>
    <w:p w14:paraId="75DE1C2A">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1、质量标准：按国家相关规定执行的合格标准。</w:t>
      </w:r>
    </w:p>
    <w:p w14:paraId="422F9A5F">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2、质量目标：一次竣工验收合格或符合本工程对应的施工总承包合同要求的质量标准，并以标准高者为准。</w:t>
      </w:r>
    </w:p>
    <w:p w14:paraId="45AEE51C">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3、职业健康安全管理目标：杜绝安全责任事故发生，杜绝发生一般事故等级及以上的伤亡事故且工伤责任事故死亡人数为零。现场安全文明施工管理达到国家、广东省、广州市以及南沙区相关规定要求。</w:t>
      </w:r>
    </w:p>
    <w:p w14:paraId="5A36F633">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环境管理目标：严格执行《广州市建设工程现场文明施工管理办法》（穗建质[2008]937）号、《广州市建设工程文明管理规定（广州市人民政府第62号令）、《关于进一步规范建设工程施工现场围闭的通知》（穗建质[2008]1008号）等，以及按相关文件开展工地泥浆水治理，规范泥浆水排放行为，如有更新文件则执行最新文件。</w:t>
      </w:r>
    </w:p>
    <w:p w14:paraId="41F65B0B">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5、投资控制目标：所监理项目结算的建安工程费不超过本工程概算批复中对应的建安工程费。</w:t>
      </w:r>
    </w:p>
    <w:p w14:paraId="2F76470C">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6、进度控制目标：施工工期为发包人下达开工令或开工报告审批之日起按本工程对应的施工总承包合同中约定的工期进度要求控制。</w:t>
      </w:r>
    </w:p>
    <w:p w14:paraId="6FE9DCBE">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第七条  合同双方对履行合同过程中获得的对方的商业秘密或其他对方申明的秘密负有保密义务，如发生泄密，由泄密方承担责任。</w:t>
      </w:r>
    </w:p>
    <w:p w14:paraId="323DD839">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第九条  外部条件包括： /  </w:t>
      </w:r>
    </w:p>
    <w:p w14:paraId="02EBCAB7">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一、由发包人负责完善工程开工的前期条件，并办理施工许可证；</w:t>
      </w:r>
    </w:p>
    <w:p w14:paraId="145C6B6F">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二、施工阶段前期发包人应完善以下工作：</w:t>
      </w:r>
    </w:p>
    <w:p w14:paraId="36150FAE">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1、选定承包人，并签订建设工程施工合同；</w:t>
      </w:r>
    </w:p>
    <w:p w14:paraId="6A1DC1CB">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2、用书面形式通知有关外部各方，明确监理人在工程建设监理过程中的责权；</w:t>
      </w:r>
    </w:p>
    <w:p w14:paraId="220CD185">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3、向有关部门申请供水、供电等专业报装工作，并按时交纳有关费用。</w:t>
      </w:r>
    </w:p>
    <w:p w14:paraId="20A3E527">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三、及时组织工程竣工验收（质量验收或交工/完工验收）和办理工程移交；</w:t>
      </w:r>
    </w:p>
    <w:p w14:paraId="123B4FCA">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若发包人不能按合同要求完成前期条件造成工期延误或其他损失，监理人应当积极配合发包人采取有效措施予以纠正，如对关键路径、环节造成实质性影响，除合同另有约定外，发包人原则上仅以工期顺延的方式承担违约责任。</w:t>
      </w:r>
    </w:p>
    <w:p w14:paraId="22939477">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第十条  双方约定，发包人按下述时间提供工程资料：</w:t>
      </w:r>
    </w:p>
    <w:p w14:paraId="5890286D">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应在本合同签订后一周内无偿提供一份建设工程施工合同副本和一套施工图纸给监理人。如上述材料在本合同签订时发包人尚未持有，则在发包人收到资料后一周内及时向监理人提供，发包人不因此承担任何违约责任。</w:t>
      </w:r>
    </w:p>
    <w:p w14:paraId="1267FB3C">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第十一条  发包人应在合理期限（不少于10天）内对监理人书面提交并要求做出决定的事宜做出书面答复，重大事件回复时间可以适当延长。若在特殊情况下有特殊时间要求的，发包人应根据情况按监理人要求的时间及时答复。</w:t>
      </w:r>
    </w:p>
    <w:p w14:paraId="210C9847">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第十二条  发包人的业主代表为      （身份证号：            ，联系电话：       ）。</w:t>
      </w:r>
    </w:p>
    <w:p w14:paraId="22A00A9B">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第三十三条  本合同自各方签字盖章之日起生效，合同生效之后，各方就中标通知书发出次日起至合同生效之日期间按合同约定的履约行为予以追认。监理人组织办理完竣工预验收或工程移交手续，缺陷责任期满，监理人收到监理报酬尾款后，本合同即终止。</w:t>
      </w:r>
    </w:p>
    <w:p w14:paraId="20E57745">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第三十五条 经双方协商，通用条款第三十五条不适用于本项目。</w:t>
      </w:r>
    </w:p>
    <w:p w14:paraId="557F7E04">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第三十七条  违约责任</w:t>
      </w:r>
    </w:p>
    <w:p w14:paraId="6D9FF19F">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合同协议的终止并不影响各方应有的权利和应承担的责任。另外，造成违约的需承担相应的法律、经济等责任，具体违约方式、责任认定如下：</w:t>
      </w:r>
    </w:p>
    <w:p w14:paraId="1A0929C0">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一、违约责任的方式：</w:t>
      </w:r>
    </w:p>
    <w:p w14:paraId="65C7338E">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（一）监理人在责任期内如果失职而造成发包人的经济损失，同意按以下办法承担责任，赔偿损失：</w:t>
      </w:r>
    </w:p>
    <w:p w14:paraId="5377937F">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1、当施工方未按合同约定履行义务或工程出现质量缺陷时，监理人应在发现当日上报发包人，否则因此所造成的一切损失由监理人承担。</w:t>
      </w:r>
    </w:p>
    <w:p w14:paraId="0B2E7D96">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2、监理人在责任期内如果失职（包括但不限于</w:t>
      </w:r>
      <w:r>
        <w:rPr>
          <w:rFonts w:hint="eastAsia" w:asciiTheme="minorEastAsia" w:hAnsiTheme="minorEastAsia" w:eastAsiaTheme="minorEastAsia" w:cstheme="minorEastAsia"/>
          <w:sz w:val="24"/>
          <w:szCs w:val="24"/>
          <w:u w:val="single"/>
        </w:rPr>
        <w:t>未能有效履行本合同约定或未能按发包人要求严格把关）</w:t>
      </w:r>
      <w:r>
        <w:rPr>
          <w:rFonts w:hint="eastAsia" w:asciiTheme="minorEastAsia" w:hAnsiTheme="minorEastAsia" w:eastAsiaTheme="minorEastAsia" w:cstheme="minorEastAsia"/>
          <w:sz w:val="24"/>
          <w:szCs w:val="24"/>
        </w:rPr>
        <w:t>，监理人应当按发包人要求采取有效措施积极整改，并按受损工程相应监理费的1～3倍向发包人赔偿（具体违约金标准以发包人书面发出通知为准），不足以弥补发包人损失的，应继续承担相应法律责任。</w:t>
      </w:r>
    </w:p>
    <w:p w14:paraId="361D06FE">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3、监理人转包或分包本合同标的，发包人有权解除合同，并要求监理人支付违约金，违约金金额为合同暂定价的20%，还要求监理人对造成发包人的损失另行进行赔偿。</w:t>
      </w:r>
    </w:p>
    <w:p w14:paraId="1A5B3CF3">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合同签订后，发包人无故或因故提前终止合同，须按经发包人审核的监理人实际完成量支付监理费；监理人无故或因故提前终止合同，发包人有权要求监理人支付违约金，违约金金额为合同暂定价的20%，还要求监理人对造成发包人的损失另行进行赔偿。</w:t>
      </w:r>
    </w:p>
    <w:p w14:paraId="28B58F87">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监理人提供伪造、变造资料、文件的，发包人有权解除合同、不予支付任何费用、追回已支付费用，要求监理人支付违约金，违约金金额为合同暂定价的20%，并保留追究监理人行为导致工期延误等一切法律责任的权利。</w:t>
      </w:r>
    </w:p>
    <w:p w14:paraId="141C7591">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6、发现监理人或总监理工程师、副总监、总监代表、各专业监理工程师等监理人员与承包人/施工单位串通的，</w:t>
      </w:r>
      <w:r>
        <w:rPr>
          <w:rFonts w:hint="eastAsia" w:asciiTheme="minorEastAsia" w:hAnsiTheme="minorEastAsia" w:eastAsiaTheme="minorEastAsia" w:cstheme="minorEastAsia"/>
          <w:sz w:val="24"/>
          <w:szCs w:val="24"/>
          <w:u w:val="single"/>
        </w:rPr>
        <w:t>监理人应承担严重违约责任，发包人有权暂停或取消监理人一段时间内参与由发包人负责组织实施项目的投标资格、立即单方解除合同与无需支付任何监理费用或要求承包人退还发包人已支付的监理费用，并要求监理人承担合同暂定价20%</w:t>
      </w:r>
      <w:r>
        <w:rPr>
          <w:rFonts w:hint="eastAsia" w:asciiTheme="minorEastAsia" w:hAnsiTheme="minorEastAsia" w:eastAsiaTheme="minorEastAsia" w:cstheme="minorEastAsia"/>
          <w:sz w:val="24"/>
          <w:szCs w:val="24"/>
        </w:rPr>
        <w:t>的违约金，若因此造成发包人损失</w:t>
      </w:r>
      <w:r>
        <w:rPr>
          <w:rFonts w:hint="eastAsia" w:asciiTheme="minorEastAsia" w:hAnsiTheme="minorEastAsia" w:eastAsiaTheme="minorEastAsia" w:cstheme="minorEastAsia"/>
          <w:sz w:val="24"/>
          <w:szCs w:val="24"/>
          <w:u w:val="single"/>
        </w:rPr>
        <w:t>，发包人有权要求监理人另行承担全部赔偿责任</w:t>
      </w:r>
      <w:r>
        <w:rPr>
          <w:rFonts w:hint="eastAsia" w:asciiTheme="minorEastAsia" w:hAnsiTheme="minorEastAsia" w:eastAsiaTheme="minorEastAsia" w:cstheme="minorEastAsia"/>
          <w:sz w:val="24"/>
          <w:szCs w:val="24"/>
        </w:rPr>
        <w:t>。</w:t>
      </w:r>
    </w:p>
    <w:p w14:paraId="1A672791">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7、具体违约行为及处罚标准详见附件7《监理违约处罚明细表》。</w:t>
      </w:r>
    </w:p>
    <w:p w14:paraId="149AF1AA">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（二）监理人在责任期内如果违反下述任意一条款，均视为违约，接受发包人通告批评并向发包人支付违约金。</w:t>
      </w:r>
    </w:p>
    <w:p w14:paraId="69AADCEC">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经发包人书面同意更换总监理工程师，每次向发包人支付2万元违约金，且发包人有权要求3日内更换不低于原总监资格条件的合格人员。若未经发包人同意更换总监理工程师，每次支付监理费总额的5%作为违约金。</w:t>
      </w:r>
    </w:p>
    <w:p w14:paraId="535261E1">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2、总监理工程师、总监代表常驻工地。如离开工地，需向发包人的常驻代表请假，经其批准同意后才能离开。否则，结合合同附件7《监理违约处罚明细表》执行。</w:t>
      </w:r>
    </w:p>
    <w:p w14:paraId="3F7304E4">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3、监理机构的各专业监理工程师因事离场1天以内要经过总监理工程师批准，2天以上的需经过发包人代表批准。否则，结合合同附件7《监理违约处罚明细表》执行。</w:t>
      </w:r>
    </w:p>
    <w:p w14:paraId="5F774EE1">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监理人在工程全过程的旁站监理中，旁站人员数量要求须符合《房屋建筑工程施工旁站监理管理办法（试行）》要求，并应保证旁站人员及时到位，旁站人员不到位的，结合合同附件7《监理违约处罚明细表》执行。</w:t>
      </w:r>
    </w:p>
    <w:p w14:paraId="25DEAB12">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（三）其他违约责任。详见合同附件7《监理违约处罚明细表》。</w:t>
      </w:r>
    </w:p>
    <w:p w14:paraId="18DB3FB0">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第三十九条  发包人同意按以下的计算方法、支付时间与金额办理监理人的报酬的支付申请手续：</w:t>
      </w:r>
    </w:p>
    <w:p w14:paraId="329F386A">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1、本合同监理费用</w:t>
      </w:r>
    </w:p>
    <w:p w14:paraId="0076C65E">
      <w:pPr>
        <w:adjustRightInd w:val="0"/>
        <w:snapToGrid w:val="0"/>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本合同监理费用已包括监理人提供本合同监理范围服务所需的直接成本、间接成本、利税等可预见费用和不可预见服务风险等全部费用。</w:t>
      </w:r>
    </w:p>
    <w:p w14:paraId="209ECD90">
      <w:pPr>
        <w:adjustRightInd w:val="0"/>
        <w:snapToGrid w:val="0"/>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本项目实际监理酬金及结算价以审定的概算相应的建安工程费为计算基数，参照国家发展改革委、建设部《建设工程监理与相关服务收费管理规定》（发改价格〔2007〕670 号）标准计算后，并按照投标时所报下浮率（   %）下浮计算。其中：监理费调整系数（调整系数=专业调整系数×复杂程度调整系数×高程调整系数）。如合同履行过程中发生甩项，按施工合同清单甩项部分分部分项工程费占总的分部分项工程费用的比例扣酬金进行结算。最终结算总价以有审核权限部门审核意见为准。</w:t>
      </w:r>
      <w:bookmarkStart w:id="84" w:name="_Hlk9821186"/>
    </w:p>
    <w:bookmarkEnd w:id="84"/>
    <w:p w14:paraId="3A0620BE">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2、双方同意按以下方法、时间办理监理报酬支付申请手续：</w:t>
      </w:r>
    </w:p>
    <w:p w14:paraId="48CC5EA2">
      <w:pPr>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1）预付款。</w:t>
      </w:r>
    </w:p>
    <w:p w14:paraId="5F9A9164">
      <w:pPr>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双方协商一致，本条款补充如下：</w:t>
      </w:r>
    </w:p>
    <w:p w14:paraId="27274615">
      <w:pPr>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（1）预付款为监理费用中标价的10%-30%（含本数），</w:t>
      </w:r>
      <w:r>
        <w:rPr>
          <w:rFonts w:hint="eastAsia" w:ascii="仿宋" w:hAnsi="仿宋" w:eastAsia="仿宋" w:cs="仿宋"/>
          <w:color w:val="000000"/>
          <w:sz w:val="24"/>
          <w:szCs w:val="24"/>
        </w:rPr>
        <w:t>发包人在确保项目资金风险可控情况下，有权根据工作情况酌情调整预付款支付比例。</w:t>
      </w:r>
      <w:r>
        <w:rPr>
          <w:rFonts w:hint="eastAsia" w:asciiTheme="minorEastAsia" w:hAnsiTheme="minorEastAsia" w:eastAsiaTheme="minorEastAsia" w:cstheme="minorEastAsia"/>
          <w:kern w:val="0"/>
          <w:sz w:val="24"/>
          <w:szCs w:val="24"/>
        </w:rPr>
        <w:t>监理人在签订合同后第一笔监理费进度款申请前可一次性或分期办理预付款的申领手续，否则视为放弃。在监理人按招标文件及合同专用条款的要求提交履约保函后，监理人向发包人提交监理费预付款申请书，发包人批复后支付监理费第一期预付款；后续发包人在确保项目资金风险可控情况下，有权根据工程交地及施工准备工作情况酌情调整预付款支付比例。</w:t>
      </w:r>
    </w:p>
    <w:p w14:paraId="22C972B5">
      <w:pPr>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（2）扣回预付款的时间、比例：根据上级资金下达情况及使用要求，自第一笔监理费进度款支付开始起扣</w:t>
      </w:r>
      <w:r>
        <w:rPr>
          <w:rFonts w:hint="eastAsia" w:asciiTheme="minorEastAsia" w:hAnsiTheme="minorEastAsia" w:eastAsiaTheme="minorEastAsia" w:cstheme="minorEastAsia"/>
          <w:color w:val="0000FF"/>
          <w:kern w:val="0"/>
          <w:sz w:val="24"/>
          <w:szCs w:val="24"/>
        </w:rPr>
        <w:t>，每次扣除应支付进度款的60%来抵扣监理预付款，原则上监理费预付款在工程量产值完成65%前扣回。</w:t>
      </w:r>
    </w:p>
    <w:p w14:paraId="0E270437">
      <w:pPr>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2）按照南沙区和发包人制定实施的工程款支付制度，严格审核经验收符合质量要求（包括施工现场和档案资料）的工程量对应的施工进度比例，按照监理服务合同价格对应施工进度比例的80%支付进度款。</w:t>
      </w:r>
    </w:p>
    <w:p w14:paraId="07FB1475">
      <w:pPr>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3）工程单位工程验收通过后，监理服务费最多支付至该工程合同监理服务费的80%。</w:t>
      </w:r>
    </w:p>
    <w:p w14:paraId="46A9A3E4">
      <w:pPr>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4）工程结算书经财政部门审定后，监理服务费最多支付至该工程合同监理服务费的90%。</w:t>
      </w:r>
    </w:p>
    <w:p w14:paraId="6EEA9633">
      <w:pPr>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5）工程竣工验收通过后15天内，支付项目剩余应支付的监理服务费。</w:t>
      </w:r>
    </w:p>
    <w:p w14:paraId="5ED2824E">
      <w:pPr>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6）由于南沙区实行工程款集中支付，发包人不承担非发包人原因引起的支付延误责任。</w:t>
      </w:r>
    </w:p>
    <w:p w14:paraId="6A8A20CB">
      <w:pPr>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7）监理人员的人身意外伤害险和第三者责任险由监理人投保，相关费用已包含在监理服务酬金内。</w:t>
      </w:r>
    </w:p>
    <w:p w14:paraId="1BFA45B5">
      <w:pPr>
        <w:pStyle w:val="56"/>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（2）合同变更引起的监理服务酬金按以下方式调整：</w:t>
      </w:r>
    </w:p>
    <w:p w14:paraId="451E5651">
      <w:pPr>
        <w:pStyle w:val="56"/>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1）因合同变更（不含项目部分或全部施工合同内容甩项）和施工工期变化引起的监理工作量变化原则上不调整监理服务费。</w:t>
      </w:r>
    </w:p>
    <w:p w14:paraId="5BA86CCF">
      <w:pPr>
        <w:pStyle w:val="56"/>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项目部分或全部施工合同内容甩项，根据招标时依据的施工图预算书，按照甩项部分占总预算的比例相应扣减监理服务费，但发生合同外增加项目及发包人原因造成的工期延误时，被扣减的监理服务费应予以减少，但减少额最多不超过被扣减额。具体按下式计算：</w:t>
      </w:r>
    </w:p>
    <w:p w14:paraId="31CD12EA">
      <w:pPr>
        <w:pStyle w:val="56"/>
        <w:spacing w:line="360" w:lineRule="auto"/>
        <w:ind w:firstLine="482"/>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B＝A·（C－D ）/E－A·F·（H－G）/（E·G）（当B&gt;0时）或B＝0（当B&lt;0时）</w:t>
      </w:r>
    </w:p>
    <w:p w14:paraId="61865EE0">
      <w:pPr>
        <w:pStyle w:val="56"/>
        <w:numPr>
          <w:ilvl w:val="0"/>
          <w:numId w:val="1"/>
        </w:numPr>
        <w:tabs>
          <w:tab w:val="left" w:pos="900"/>
          <w:tab w:val="left" w:pos="1080"/>
          <w:tab w:val="clear" w:pos="360"/>
        </w:tabs>
        <w:spacing w:line="360" w:lineRule="auto"/>
        <w:ind w:left="0"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合同正常监理服务费（元）；</w:t>
      </w:r>
    </w:p>
    <w:p w14:paraId="248BC12E">
      <w:pPr>
        <w:pStyle w:val="56"/>
        <w:numPr>
          <w:ilvl w:val="0"/>
          <w:numId w:val="1"/>
        </w:numPr>
        <w:tabs>
          <w:tab w:val="left" w:pos="900"/>
          <w:tab w:val="clear" w:pos="360"/>
        </w:tabs>
        <w:spacing w:line="360" w:lineRule="auto"/>
        <w:ind w:left="0"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因项目部分或全部施工合同内容甩项需要扣减的监理服务费（元）；</w:t>
      </w:r>
    </w:p>
    <w:p w14:paraId="208AF436">
      <w:pPr>
        <w:pStyle w:val="56"/>
        <w:numPr>
          <w:ilvl w:val="0"/>
          <w:numId w:val="1"/>
        </w:numPr>
        <w:tabs>
          <w:tab w:val="left" w:pos="900"/>
          <w:tab w:val="left" w:pos="1080"/>
          <w:tab w:val="clear" w:pos="360"/>
        </w:tabs>
        <w:spacing w:line="360" w:lineRule="auto"/>
        <w:ind w:left="0"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招标时甩项部分施工预算（元）；</w:t>
      </w:r>
    </w:p>
    <w:p w14:paraId="58C1FBD6">
      <w:pPr>
        <w:pStyle w:val="56"/>
        <w:numPr>
          <w:ilvl w:val="0"/>
          <w:numId w:val="1"/>
        </w:numPr>
        <w:tabs>
          <w:tab w:val="left" w:pos="900"/>
          <w:tab w:val="left" w:pos="1080"/>
          <w:tab w:val="clear" w:pos="360"/>
        </w:tabs>
        <w:spacing w:line="360" w:lineRule="auto"/>
        <w:ind w:left="0"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合同外增加项目经发包人审定的变更预算（元）；</w:t>
      </w:r>
    </w:p>
    <w:p w14:paraId="2104F942">
      <w:pPr>
        <w:pStyle w:val="56"/>
        <w:numPr>
          <w:ilvl w:val="0"/>
          <w:numId w:val="1"/>
        </w:numPr>
        <w:tabs>
          <w:tab w:val="left" w:pos="900"/>
          <w:tab w:val="left" w:pos="1080"/>
          <w:tab w:val="clear" w:pos="360"/>
        </w:tabs>
        <w:spacing w:line="360" w:lineRule="auto"/>
        <w:ind w:left="0"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招标时施工图总预算（元）；</w:t>
      </w:r>
    </w:p>
    <w:p w14:paraId="49BCF255">
      <w:pPr>
        <w:pStyle w:val="56"/>
        <w:numPr>
          <w:ilvl w:val="0"/>
          <w:numId w:val="1"/>
        </w:numPr>
        <w:tabs>
          <w:tab w:val="left" w:pos="900"/>
          <w:tab w:val="left" w:pos="1080"/>
          <w:tab w:val="clear" w:pos="360"/>
        </w:tabs>
        <w:spacing w:line="360" w:lineRule="auto"/>
        <w:ind w:left="0"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项目被延误部分施工预算或经发包人审定的变更预算（元）；</w:t>
      </w:r>
    </w:p>
    <w:p w14:paraId="76A5833A">
      <w:pPr>
        <w:pStyle w:val="56"/>
        <w:numPr>
          <w:ilvl w:val="0"/>
          <w:numId w:val="1"/>
        </w:numPr>
        <w:tabs>
          <w:tab w:val="left" w:pos="900"/>
          <w:tab w:val="left" w:pos="1080"/>
          <w:tab w:val="clear" w:pos="360"/>
        </w:tabs>
        <w:spacing w:line="360" w:lineRule="auto"/>
        <w:ind w:left="0"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项目被延误部分按投标文件确定的工期（天）；</w:t>
      </w:r>
    </w:p>
    <w:p w14:paraId="600355CD">
      <w:pPr>
        <w:pStyle w:val="56"/>
        <w:numPr>
          <w:ilvl w:val="0"/>
          <w:numId w:val="1"/>
        </w:numPr>
        <w:tabs>
          <w:tab w:val="left" w:pos="900"/>
          <w:tab w:val="left" w:pos="1080"/>
          <w:tab w:val="clear" w:pos="360"/>
        </w:tabs>
        <w:spacing w:line="360" w:lineRule="auto"/>
        <w:ind w:left="0"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项目被延误部分实际工期（天）；</w:t>
      </w:r>
    </w:p>
    <w:p w14:paraId="38004CC5">
      <w:pPr>
        <w:pStyle w:val="56"/>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合同非正常终止时，最终结算应支付的监理服务酬金按以下方式计算：</w:t>
      </w:r>
    </w:p>
    <w:p w14:paraId="0C1504AF">
      <w:pPr>
        <w:pStyle w:val="56"/>
        <w:spacing w:line="360" w:lineRule="auto"/>
        <w:ind w:firstLine="482"/>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A＝B·D/C－E+F</w:t>
      </w:r>
    </w:p>
    <w:p w14:paraId="69441C13">
      <w:pPr>
        <w:pStyle w:val="56"/>
        <w:numPr>
          <w:ilvl w:val="0"/>
          <w:numId w:val="2"/>
        </w:numPr>
        <w:tabs>
          <w:tab w:val="left" w:pos="900"/>
          <w:tab w:val="clear" w:pos="360"/>
        </w:tabs>
        <w:spacing w:line="360" w:lineRule="auto"/>
        <w:ind w:left="0"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最终结算应支付的监理服务费（元）；</w:t>
      </w:r>
    </w:p>
    <w:p w14:paraId="3A416CF9">
      <w:pPr>
        <w:pStyle w:val="56"/>
        <w:numPr>
          <w:ilvl w:val="0"/>
          <w:numId w:val="2"/>
        </w:numPr>
        <w:tabs>
          <w:tab w:val="left" w:pos="900"/>
          <w:tab w:val="clear" w:pos="360"/>
        </w:tabs>
        <w:spacing w:line="360" w:lineRule="auto"/>
        <w:ind w:left="0"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合同终止前已经完工并经验收合格的工程投资（元）；</w:t>
      </w:r>
    </w:p>
    <w:p w14:paraId="57B641D4">
      <w:pPr>
        <w:pStyle w:val="56"/>
        <w:numPr>
          <w:ilvl w:val="0"/>
          <w:numId w:val="2"/>
        </w:numPr>
        <w:tabs>
          <w:tab w:val="left" w:pos="900"/>
          <w:tab w:val="clear" w:pos="360"/>
        </w:tabs>
        <w:spacing w:line="360" w:lineRule="auto"/>
        <w:ind w:left="0"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工程总投资（元）；</w:t>
      </w:r>
    </w:p>
    <w:p w14:paraId="0617A619">
      <w:pPr>
        <w:pStyle w:val="56"/>
        <w:numPr>
          <w:ilvl w:val="0"/>
          <w:numId w:val="2"/>
        </w:numPr>
        <w:tabs>
          <w:tab w:val="left" w:pos="900"/>
          <w:tab w:val="clear" w:pos="360"/>
        </w:tabs>
        <w:spacing w:line="360" w:lineRule="auto"/>
        <w:ind w:left="0"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合同正常监理服务费（元）；</w:t>
      </w:r>
    </w:p>
    <w:p w14:paraId="0BE5EF8B">
      <w:pPr>
        <w:pStyle w:val="56"/>
        <w:numPr>
          <w:ilvl w:val="0"/>
          <w:numId w:val="2"/>
        </w:numPr>
        <w:tabs>
          <w:tab w:val="left" w:pos="900"/>
          <w:tab w:val="clear" w:pos="360"/>
        </w:tabs>
        <w:spacing w:line="360" w:lineRule="auto"/>
        <w:ind w:left="0"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按合同约定监理人应向发包人支付的违约金或赔偿金（元）；</w:t>
      </w:r>
    </w:p>
    <w:p w14:paraId="537A859B">
      <w:pPr>
        <w:pStyle w:val="56"/>
        <w:numPr>
          <w:ilvl w:val="0"/>
          <w:numId w:val="2"/>
        </w:numPr>
        <w:tabs>
          <w:tab w:val="left" w:pos="900"/>
          <w:tab w:val="clear" w:pos="360"/>
        </w:tabs>
        <w:spacing w:line="360" w:lineRule="auto"/>
        <w:ind w:left="0"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按合同约定发包人应向监理人支付的违约金或赔偿金（元）。</w:t>
      </w:r>
    </w:p>
    <w:p w14:paraId="22290399">
      <w:pPr>
        <w:pStyle w:val="56"/>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如果按规定监理费结算价需要财政部门审定，则监理服务费最终结算价以财政部门审定为准。</w:t>
      </w:r>
    </w:p>
    <w:p w14:paraId="7D703510">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（4）每次支付前，应由驻地监理办公室报出“监理月费支付报表”和支付申请（格式另定），经发包人考核和审查后可办理申请支付手续。</w:t>
      </w:r>
    </w:p>
    <w:p w14:paraId="29280AF2">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（5）各方委托银行代付代收有关费用。</w:t>
      </w:r>
    </w:p>
    <w:p w14:paraId="17CE99B6">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本合同费用的支付监理人均需按照发包人与广州市南沙区财政部门的要求提前提供等额增值税发票及全套完整的支付请款资料，并需按照广州市南沙区财政部门关于财政资金集中支付程序及发包人相关管理办法执行，发包人不承担实际付款义务。发包人在规定支付款项的时间内向广州市南沙区财政局申请支付，视为发包人已履行支付义务，因广州市南沙区财政局审核延误支付的，不视为发包人违约，且监理人不得因此停止本合同项下工作。</w:t>
      </w:r>
    </w:p>
    <w:p w14:paraId="20D78E16">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（7）工程延期或发包人委托监理人担负本监理合同外的咨询、鉴定等活动时，双方可协商该附加监理工作的报酬（无息），另行签订补充协议。</w:t>
      </w:r>
    </w:p>
    <w:p w14:paraId="0875A0FC">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（8）以上付款均应扣减监理人相应违约金、罚款及赔偿费。</w:t>
      </w:r>
    </w:p>
    <w:p w14:paraId="45AA0983">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（9）每次付款前，监理人应按发包人要求报送完整的相关申请资料或结算资料，以及与付款金额相对应的合法有效发票，否则发包人有权顺延付款时间。</w:t>
      </w:r>
    </w:p>
    <w:p w14:paraId="6C37C6E0">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（10）监理人必须根据我国及广州市现行税费征收的相关规定，按照地方税务局的指引，依照纳税期限，在税费代征点申报缴纳本工程的应缴税费。</w:t>
      </w:r>
    </w:p>
    <w:p w14:paraId="70CA8E6F">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第四十条  双方同意用人民币以转账形式支付监理酬金。</w:t>
      </w:r>
    </w:p>
    <w:p w14:paraId="152A0CC5">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第四十二条 委托的建设工程监理所必要的监理人员出外考察、材料、设备复试，其费用已包含在监理费中。</w:t>
      </w:r>
    </w:p>
    <w:p w14:paraId="78F94AF1">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第四十三条 在监理业务范围内，因监理工作需聘用专家咨询或协助的，其费用由监理人承担。</w:t>
      </w:r>
    </w:p>
    <w:p w14:paraId="273A9E40">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第四十四条  监理人在监理工作过程中提出的合理化建议，使发包人得到了经济效益，发包人应予以通报表扬。</w:t>
      </w:r>
    </w:p>
    <w:p w14:paraId="70CFD08B">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第四十五条 监理人驻地监理机构及其职员不得接受监理工程项目施工承包人与实施工程有关的第三方的任何报酬或者经济利益。包括但不限于接受施工单位、作业班组、材料供应商的“加班费”、礼品、礼金、有价证券；接受施工单位、作业班组、材料供应商的宴请及其他消费性活动；向施工单位、作业班组、材料供应商报销应由个人支付的各种费用；为施工单位、作业班组、材料供应商提供有偿服务，或以其他形式向施工单位、作业班组、材料供应商索取报酬、回报、补贴；利用职务之便，向施工单位推荐分包単位、工程材料、设备等；利用职务之便，为配偶、子女、亲友等向施工单位、材料供应商进行营利性活动提供各种便利条件。监理人员不得与施工方同吃同住，不得使用施工单位提供的办公生活用房，不得使用施工单位提供的仪器、设备、车辆。</w:t>
      </w:r>
    </w:p>
    <w:p w14:paraId="6518505E">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第四十九条  本合同在履行过程中发生争议时，当事人双方应及时自行协商，协商不成时，双方同意提交工程项目所在地有管辖权的人民法院诉讼。</w:t>
      </w:r>
    </w:p>
    <w:p w14:paraId="08053561">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附加条款：</w:t>
      </w:r>
    </w:p>
    <w:p w14:paraId="723884B8">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1、监理人应认真履行投资控制职能，对工程承包人提交的结算书从完整性、合法性、合理性等方面进行审查，并保证审核的结算价与有审核权限的部门结算审定价之间的误差</w:t>
      </w:r>
      <w:r>
        <w:rPr>
          <w:rFonts w:hint="eastAsia" w:asciiTheme="minorEastAsia" w:hAnsiTheme="minorEastAsia" w:eastAsiaTheme="minorEastAsia" w:cstheme="minorEastAsia"/>
          <w:sz w:val="24"/>
          <w:szCs w:val="24"/>
          <w:u w:val="single"/>
        </w:rPr>
        <w:t>小于等于10%。</w:t>
      </w:r>
    </w:p>
    <w:p w14:paraId="7455B42E">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如因监理人未尽上述审查义务，造成核减（增）的，将给予扣减监理费的方式承担责任。</w:t>
      </w:r>
    </w:p>
    <w:p w14:paraId="07E739AA">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扣减监理费计算方法：有审核权限的部门结算审定价与监理人结算审核价对比的核减（增）率超过10%（不含10%）（工程承包人无原则且不合理地放弃的不计算在内）时，扣减监理费，扣减额=[核减（增）率的绝对值－10%]×监理费，且扣减额不高于监理费的20%。在监理费结算时扣减。当有审核权限的部门结算审定价与监理人结算审核价对比相差超过20%时，发包人有权报请有关行政主管部门并申请暂停监理人在南沙建设项目范围内的投标资格。</w:t>
      </w:r>
    </w:p>
    <w:p w14:paraId="7F5C648D">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2、监理人应视业主单位要求情况指派有经验的人常驻项目业主单位。</w:t>
      </w:r>
    </w:p>
    <w:p w14:paraId="03CD5ED0">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3、项目监理部自行解决食宿、办公等一切自身所需场所或设备，人员更换率不得超过30%。</w:t>
      </w:r>
    </w:p>
    <w:p w14:paraId="4BAA6ED0">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监理人应履行合同义务及参建单位职责，服从发包人的管理，并同意接受及执行发包人各项相关建设管理规定和南沙区相关管理制度执行。如发包人或南沙区出台新的管理制度、办法则执行最新的管理制度、办法等。监理人在签订本合同前已知悉发包人的上述相关管理规定。</w:t>
      </w:r>
    </w:p>
    <w:p w14:paraId="72268DE6">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5、监理费用的支付按照南沙区财政部门关于财政资金集中支付程序执行，发包人不承担本合同以外的任何费用（包括延期付款滞纳金和利息等）。</w:t>
      </w:r>
    </w:p>
    <w:p w14:paraId="555B8D51">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6、工程管理方面按合同附件7《监理违约处罚明细表》，其中，关于“书面通报、警告或诫勉谈话”约定如下：</w:t>
      </w:r>
    </w:p>
    <w:p w14:paraId="264AC572">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书面通报、警告或诫勉谈话。</w:t>
      </w:r>
    </w:p>
    <w:p w14:paraId="503A0294">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理人未履行或未按时履行或未按质履行义务或不执行发包人（含主管人员）的指令时，发包人有权向监理人发出书面通报、警告并要求限期整改。若限期整改完成或达到发包人的要求，则不产生违约责任；若限期整改未完成或达不到发包人的要求，则发包人可约谈监理单位法人代表（或公司主管生产副总或以上）进行诫勉谈话，并要求监理人承担限期整改违约责任，同时向发包人交纳20000元/次的违约金。</w:t>
      </w:r>
    </w:p>
    <w:p w14:paraId="358BBD7F">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监理人违反合同约定，或因其他监理人怠于履行监理职责等原因造成工程质量、安全事故或其他事故或经济损失的，监理人除负责采取补救措施外，发包人有权单方解除本合同，若发包人要求解除本合同的，则监理人应退回发包人已支付之全部费用，并应向发包人支付金额相当于本合同总价30%的违约金，造成发包人损失的，还应赔偿发包人遭受的全部直接损失和间接损失。若发包人不选择解除合同的，监理人应视事故责任程度免收受损失情况所对应的部分或全部的服务费（具体以发包人或发包人指定单位核算确定的为准），并就发包人遭受的一切损失以及发包人因此向第三人承担的赔偿责任向发包人支付赔偿金。</w:t>
      </w:r>
    </w:p>
    <w:p w14:paraId="7428CC7A">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双方因履行本合同而相互发出或者提供的所有通知、文件、资料，均需当面交付或以在本合同中列明的地址、传真或电子邮箱送达。当面交付文件的，在交付之时为送达；通过传真方式的，在发出传真时视为送达；以邮寄方式的，挂号寄出或者投邮当日视为送达；通过电子邮箱的，在发出电子邮件时视为送达。一方如果迁址、变更电话或改变其他通讯方式，应当书面通知对方。否则对方通知送达前述地址，即视为变更方已收到，由此引发的法律后果由变更方承担。</w:t>
      </w:r>
    </w:p>
    <w:p w14:paraId="403FA199">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9、监理人必须按国家、省、市区的相关规定，持续核查施工单位落实用工实名制和工人工资发放情况。如因监理人未尽上述核查义务，发包人按相关监理管理制度对其做出顶格处罚。</w:t>
      </w:r>
    </w:p>
    <w:p w14:paraId="3708261F">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（以下无正文）</w:t>
      </w:r>
    </w:p>
    <w:p w14:paraId="2FE3F5F1">
      <w:pPr>
        <w:pStyle w:val="23"/>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bookmarkStart w:id="85" w:name="_Toc529800443"/>
      <w:bookmarkStart w:id="86" w:name="_Toc25630"/>
      <w:bookmarkStart w:id="87" w:name="_Toc31669"/>
      <w:bookmarkStart w:id="88" w:name="_Toc44410115"/>
      <w:bookmarkStart w:id="89" w:name="_Toc5050"/>
      <w:bookmarkStart w:id="90" w:name="_Toc15795"/>
      <w:bookmarkStart w:id="91" w:name="_Toc1955632327"/>
      <w:bookmarkStart w:id="92" w:name="_Toc23121"/>
      <w:bookmarkStart w:id="93" w:name="_Toc2824"/>
      <w:bookmarkStart w:id="94" w:name="_Toc29425"/>
      <w:bookmarkStart w:id="95" w:name="_Toc23782"/>
      <w:bookmarkStart w:id="96" w:name="_Toc27989"/>
      <w:bookmarkStart w:id="97" w:name="_Toc27264"/>
      <w:bookmarkStart w:id="98" w:name="_Toc3961"/>
      <w:bookmarkStart w:id="99" w:name="_Toc25662"/>
      <w:bookmarkStart w:id="100" w:name="_Toc21077"/>
      <w:bookmarkStart w:id="101" w:name="_Toc529863660"/>
      <w:bookmarkStart w:id="102" w:name="_Toc529863705"/>
      <w:bookmarkStart w:id="103" w:name="_Toc18751"/>
      <w:bookmarkStart w:id="104" w:name="_Toc28185"/>
      <w:bookmarkStart w:id="105" w:name="_Toc108175603"/>
      <w:r>
        <w:rPr>
          <w:rFonts w:hint="eastAsia" w:asciiTheme="minorEastAsia" w:hAnsiTheme="minorEastAsia" w:eastAsiaTheme="minorEastAsia" w:cstheme="minorEastAsia"/>
        </w:rPr>
        <w:t>第四部分 合同附件</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F81E7C5">
      <w:pPr>
        <w:spacing w:line="360" w:lineRule="auto"/>
        <w:ind w:left="1260" w:leftChars="200" w:hanging="840" w:hangingChars="35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附件1：南沙区建设工程项目廉洁责任合同；</w:t>
      </w:r>
    </w:p>
    <w:p w14:paraId="212E0BDC">
      <w:pPr>
        <w:spacing w:line="360" w:lineRule="auto"/>
        <w:ind w:left="1260" w:leftChars="200" w:hanging="840" w:hangingChars="35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附件2：安全生产文明施工协议；</w:t>
      </w:r>
    </w:p>
    <w:p w14:paraId="785DD31C">
      <w:pPr>
        <w:spacing w:line="360" w:lineRule="auto"/>
        <w:ind w:left="1260" w:leftChars="200" w:hanging="840" w:hangingChars="35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附件3：中标通知书；</w:t>
      </w:r>
    </w:p>
    <w:p w14:paraId="727AF5C7">
      <w:pPr>
        <w:pStyle w:val="25"/>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lang w:eastAsia="zh-Hans"/>
        </w:rPr>
        <w:t>附件4：承诺函/银行履约保</w:t>
      </w:r>
      <w:r>
        <w:rPr>
          <w:rFonts w:hint="eastAsia" w:asciiTheme="minorEastAsia" w:hAnsiTheme="minorEastAsia" w:eastAsiaTheme="minorEastAsia" w:cstheme="minorEastAsia"/>
          <w:sz w:val="24"/>
        </w:rPr>
        <w:t>函</w:t>
      </w:r>
    </w:p>
    <w:p w14:paraId="328560F8">
      <w:pPr>
        <w:spacing w:line="360" w:lineRule="auto"/>
        <w:ind w:left="1260" w:leftChars="200" w:hanging="840" w:hangingChars="35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附件5：招标控制价及投标报价文件</w:t>
      </w:r>
    </w:p>
    <w:p w14:paraId="28BA0B7A">
      <w:pPr>
        <w:spacing w:line="360" w:lineRule="auto"/>
        <w:ind w:left="1260" w:leftChars="200" w:hanging="840" w:hangingChars="35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附件6：招标文件及投标文件其他关键页（备注：如答疑纪要、拟投入人员表及资质、拟投入设备等）；</w:t>
      </w:r>
    </w:p>
    <w:p w14:paraId="128E144F">
      <w:pPr>
        <w:spacing w:line="360" w:lineRule="auto"/>
        <w:ind w:left="1260" w:leftChars="200" w:hanging="840" w:hangingChars="35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附件7：监理违约处罚明细表</w:t>
      </w:r>
    </w:p>
    <w:p w14:paraId="342A606A">
      <w:pPr>
        <w:spacing w:line="360" w:lineRule="auto"/>
        <w:ind w:left="1260" w:leftChars="200" w:hanging="840" w:hangingChars="35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附件8：相关会纪及立项批文（备注：如项建/可研/初设批复等，无则本条删除）</w:t>
      </w:r>
    </w:p>
    <w:p w14:paraId="618D6BEE">
      <w:pPr>
        <w:spacing w:line="360" w:lineRule="auto"/>
        <w:ind w:firstLine="480"/>
        <w:jc w:val="left"/>
        <w:rPr>
          <w:rFonts w:hint="eastAsia" w:asciiTheme="minorEastAsia" w:hAnsiTheme="minorEastAsia" w:eastAsiaTheme="minorEastAsia" w:cstheme="minorEastAsia"/>
          <w:sz w:val="24"/>
        </w:rPr>
      </w:pPr>
    </w:p>
    <w:p w14:paraId="212B6017">
      <w:pPr>
        <w:spacing w:line="360" w:lineRule="auto"/>
        <w:ind w:firstLine="480"/>
        <w:jc w:val="left"/>
        <w:rPr>
          <w:rFonts w:hint="eastAsia" w:asciiTheme="minorEastAsia" w:hAnsiTheme="minorEastAsia" w:eastAsiaTheme="minorEastAsia" w:cstheme="minorEastAsia"/>
          <w:sz w:val="24"/>
        </w:rPr>
      </w:pPr>
    </w:p>
    <w:p w14:paraId="73049B7B">
      <w:pPr>
        <w:spacing w:line="360" w:lineRule="auto"/>
        <w:ind w:firstLine="480"/>
        <w:jc w:val="left"/>
        <w:rPr>
          <w:rFonts w:hint="eastAsia" w:asciiTheme="minorEastAsia" w:hAnsiTheme="minorEastAsia" w:eastAsiaTheme="minorEastAsia" w:cstheme="minorEastAsia"/>
          <w:sz w:val="24"/>
        </w:rPr>
      </w:pPr>
    </w:p>
    <w:p w14:paraId="6041C96A">
      <w:pPr>
        <w:pStyle w:val="25"/>
        <w:rPr>
          <w:rFonts w:hint="eastAsia" w:asciiTheme="minorEastAsia" w:hAnsiTheme="minorEastAsia" w:eastAsiaTheme="minorEastAsia" w:cstheme="minorEastAsia"/>
        </w:rPr>
      </w:pPr>
    </w:p>
    <w:p w14:paraId="21A72983">
      <w:pPr>
        <w:spacing w:line="360" w:lineRule="auto"/>
        <w:ind w:firstLine="480"/>
        <w:jc w:val="left"/>
        <w:rPr>
          <w:rFonts w:hint="eastAsia" w:asciiTheme="minorEastAsia" w:hAnsiTheme="minorEastAsia" w:eastAsiaTheme="minorEastAsia" w:cstheme="minorEastAsia"/>
          <w:sz w:val="24"/>
        </w:rPr>
      </w:pPr>
    </w:p>
    <w:p w14:paraId="67BC8BDD">
      <w:pPr>
        <w:pStyle w:val="3"/>
        <w:rPr>
          <w:rFonts w:hint="eastAsia" w:asciiTheme="minorEastAsia" w:hAnsiTheme="minorEastAsia" w:eastAsiaTheme="minorEastAsia" w:cstheme="minorEastAsia"/>
        </w:rPr>
      </w:pPr>
      <w:bookmarkStart w:id="106" w:name="_Toc1444"/>
      <w:bookmarkStart w:id="107" w:name="_Toc12295"/>
      <w:bookmarkStart w:id="108" w:name="_Toc32160"/>
      <w:bookmarkStart w:id="109" w:name="_Toc18727"/>
      <w:bookmarkStart w:id="110" w:name="_Toc17511"/>
      <w:bookmarkStart w:id="111" w:name="_Toc12634"/>
      <w:bookmarkStart w:id="112" w:name="_Toc19454"/>
      <w:bookmarkStart w:id="113" w:name="_Toc44410116"/>
      <w:bookmarkStart w:id="114" w:name="_Toc23611"/>
      <w:bookmarkStart w:id="115" w:name="_Toc6963"/>
      <w:bookmarkStart w:id="116" w:name="_Toc22300"/>
      <w:bookmarkStart w:id="117" w:name="_Toc43754162"/>
      <w:bookmarkStart w:id="118" w:name="_Toc25187"/>
      <w:bookmarkStart w:id="119" w:name="_Toc10062"/>
      <w:bookmarkStart w:id="120" w:name="_Toc9871"/>
      <w:bookmarkStart w:id="121" w:name="_Toc1055"/>
      <w:bookmarkStart w:id="122" w:name="_Toc529800444"/>
      <w:bookmarkStart w:id="123" w:name="_Toc529863661"/>
      <w:bookmarkStart w:id="124" w:name="_Toc529863706"/>
      <w:r>
        <w:rPr>
          <w:rStyle w:val="33"/>
          <w:rFonts w:hint="eastAsia" w:asciiTheme="minorEastAsia" w:hAnsiTheme="minorEastAsia" w:eastAsiaTheme="minorEastAsia" w:cstheme="minorEastAsia"/>
          <w:b/>
        </w:rPr>
        <w:br w:type="page"/>
      </w:r>
      <w:bookmarkStart w:id="125" w:name="_Toc23097"/>
      <w:bookmarkStart w:id="126" w:name="_Toc1075302554"/>
      <w:bookmarkStart w:id="127" w:name="_Toc24313"/>
      <w:bookmarkStart w:id="128" w:name="_Toc108175604"/>
      <w:r>
        <w:rPr>
          <w:rStyle w:val="33"/>
          <w:rFonts w:hint="eastAsia" w:asciiTheme="minorEastAsia" w:hAnsiTheme="minorEastAsia" w:eastAsiaTheme="minorEastAsia" w:cstheme="minorEastAsia"/>
          <w:b/>
        </w:rPr>
        <w:t>附件1：南沙区建设工程项目廉洁责任合同</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5"/>
      <w:bookmarkEnd w:id="126"/>
      <w:bookmarkEnd w:id="127"/>
      <w:bookmarkEnd w:id="128"/>
    </w:p>
    <w:p w14:paraId="663EDB6C">
      <w:pPr>
        <w:spacing w:line="560" w:lineRule="exact"/>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南沙区建设工程项目廉洁责任合同</w:t>
      </w:r>
    </w:p>
    <w:p w14:paraId="47F1E458">
      <w:pPr>
        <w:spacing w:line="560" w:lineRule="exact"/>
        <w:rPr>
          <w:rFonts w:hint="eastAsia" w:asciiTheme="minorEastAsia" w:hAnsiTheme="minorEastAsia" w:eastAsiaTheme="minorEastAsia" w:cstheme="minorEastAsia"/>
        </w:rPr>
      </w:pPr>
    </w:p>
    <w:p w14:paraId="2C71C7DF">
      <w:pPr>
        <w:spacing w:line="560" w:lineRule="exac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发包人：</w:t>
      </w:r>
      <w:r>
        <w:rPr>
          <w:rFonts w:hint="eastAsia" w:asciiTheme="minorEastAsia" w:hAnsiTheme="minorEastAsia" w:eastAsiaTheme="minorEastAsia" w:cstheme="minorEastAsia"/>
          <w:sz w:val="24"/>
          <w:szCs w:val="24"/>
          <w:u w:val="single"/>
        </w:rPr>
        <w:t>广州市南沙区排水和污水处理事务中心</w:t>
      </w:r>
    </w:p>
    <w:p w14:paraId="223CF100">
      <w:pPr>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承包人（监理人）：</w:t>
      </w:r>
      <w:r>
        <w:rPr>
          <w:rFonts w:hint="eastAsia" w:asciiTheme="minorEastAsia" w:hAnsiTheme="minorEastAsia" w:eastAsiaTheme="minorEastAsia" w:cstheme="minorEastAsia"/>
          <w:sz w:val="24"/>
          <w:szCs w:val="24"/>
          <w:u w:val="single"/>
        </w:rPr>
        <w:t xml:space="preserve">                            </w:t>
      </w:r>
    </w:p>
    <w:p w14:paraId="5DD3EE6E">
      <w:pPr>
        <w:spacing w:line="560" w:lineRule="exac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建设工程项目：</w:t>
      </w:r>
      <w:r>
        <w:rPr>
          <w:rFonts w:hint="eastAsia" w:asciiTheme="minorEastAsia" w:hAnsiTheme="minorEastAsia" w:eastAsiaTheme="minorEastAsia" w:cstheme="minorEastAsia"/>
          <w:sz w:val="24"/>
          <w:szCs w:val="24"/>
          <w:u w:val="single"/>
        </w:rPr>
        <w:t>【         】监理</w:t>
      </w:r>
    </w:p>
    <w:p w14:paraId="26DD4AE6">
      <w:pPr>
        <w:spacing w:line="560" w:lineRule="exac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建设工程地点：</w:t>
      </w:r>
      <w:r>
        <w:rPr>
          <w:rFonts w:hint="eastAsia" w:asciiTheme="minorEastAsia" w:hAnsiTheme="minorEastAsia" w:eastAsiaTheme="minorEastAsia" w:cstheme="minorEastAsia"/>
          <w:sz w:val="24"/>
          <w:szCs w:val="24"/>
          <w:u w:val="single"/>
        </w:rPr>
        <w:t>广州市南沙区</w:t>
      </w:r>
    </w:p>
    <w:p w14:paraId="152765DF">
      <w:pPr>
        <w:spacing w:line="560" w:lineRule="exact"/>
        <w:ind w:firstLine="600" w:firstLineChars="250"/>
        <w:rPr>
          <w:rFonts w:hint="eastAsia" w:asciiTheme="minorEastAsia" w:hAnsiTheme="minorEastAsia" w:eastAsiaTheme="minorEastAsia" w:cstheme="minorEastAsia"/>
          <w:sz w:val="24"/>
          <w:szCs w:val="24"/>
        </w:rPr>
      </w:pPr>
    </w:p>
    <w:p w14:paraId="2CC48A3A">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贯彻落实国家、省、市有关廉洁规定，深化廉洁南沙自贸试验区建设，加强工程建设领域廉洁风险防控，构建亲清政商关系，营造风清气正的市场环境，根据《中华人民共和国反不正当竞争法》《中华人民共和国招标投标法》及其实施条例等法律法规及政策的规定，双方同意签订本合同。</w:t>
      </w:r>
    </w:p>
    <w:p w14:paraId="4160D148">
      <w:pPr>
        <w:spacing w:line="56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第一条  本合同适用于南沙区政府财政资金和国有资金占控股或主导地位的公开招标类建设工程项目，涵盖工程施工类及服务类合同。辖区范围内其他工程项目可参照执行。</w:t>
      </w:r>
    </w:p>
    <w:p w14:paraId="1A4B7EBE">
      <w:pPr>
        <w:spacing w:line="56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第二条  发包人及其工作人员不得利用项目或职权为本人及亲属谋取不正当利益，包括下列行为：</w:t>
      </w:r>
    </w:p>
    <w:p w14:paraId="0F44FA74">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索取、接受或者以借为名占用承包人的财物，包括但不限于任何形式的礼品礼金、好处费、回扣、各种有价证券、购物卡及其他支付凭证、房产、车辆、贵重物品等；</w:t>
      </w:r>
    </w:p>
    <w:p w14:paraId="5AC5D3E6">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  接受承包人宴请（工作餐除外）及旅游、健身、娱乐等活动安排；</w:t>
      </w:r>
    </w:p>
    <w:p w14:paraId="4F62B72B">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  向承包人报销任何应由自身承担、支付的费用；</w:t>
      </w:r>
    </w:p>
    <w:p w14:paraId="6EBB9806">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  向承包人推荐分包人，推销材料和设备，要求承包人购买指定的材料和设备；</w:t>
      </w:r>
    </w:p>
    <w:p w14:paraId="00D78A08">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  私自为建设工程安排施工队伍，从事与建设工程有关的各种有偿中介服务；</w:t>
      </w:r>
    </w:p>
    <w:p w14:paraId="42AE0EBD">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  要求或者暗示承包人为本人或亲属的工作安排、职务晋升、经商办企业、出国出境、旅游、留学、探亲、定居等提供资助或便利；</w:t>
      </w:r>
    </w:p>
    <w:p w14:paraId="22964C2F">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  默许、纵容、授意亲属收受承包人财物，或从事与建设工程有关的材料和设备供应、工程分包、劳务等经济活动；</w:t>
      </w:r>
    </w:p>
    <w:p w14:paraId="09EAD8AC">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  其他利用项目或职权谋取不正当利益的行为。</w:t>
      </w:r>
    </w:p>
    <w:p w14:paraId="09C3223C">
      <w:pPr>
        <w:spacing w:line="56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第三条  承包人及其工作人员不得通过商业贿赂等不正当手段谋取利益，包括下列行为：</w:t>
      </w:r>
    </w:p>
    <w:p w14:paraId="12FAF997">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同意或主动向发包人及其工作人员提供第二条约定的禁止性行为；</w:t>
      </w:r>
    </w:p>
    <w:p w14:paraId="3B446A5E">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  向与建设工程相关的代建、施工、监理（项目管理）、勘察、设计、咨询等有关单位及其工作人员进行商业贿赂，包括但不限于任何形式的礼品礼金、有价证券、购物卡、回扣、佣金、咨询费、劳务费、赞助费、宣传费，以及支付旅游费用、报销各种消费凭证等。</w:t>
      </w:r>
    </w:p>
    <w:p w14:paraId="6001736D">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  接受与建设工程相关的代建、施工、监理（项目管理）、勘察、设计、咨询等有关单位及其工作人员的商业贿赂。</w:t>
      </w:r>
    </w:p>
    <w:p w14:paraId="5FCDCFDF">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  接受分包（工程分包、劳务分包等）单位、材料设备供应单位等单位及其工作人员的商业贿赂。</w:t>
      </w:r>
    </w:p>
    <w:p w14:paraId="4872E758">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  其他通过不正当手段谋取利益的行为。</w:t>
      </w:r>
    </w:p>
    <w:p w14:paraId="062EA227">
      <w:pPr>
        <w:spacing w:line="56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第四条  发包人、承包人及双方工作人员不得违规干预或插手建设工程招投标活动，禁止串通投标（围标）等不正当竞争行为。</w:t>
      </w:r>
    </w:p>
    <w:p w14:paraId="6567D64F">
      <w:pPr>
        <w:spacing w:line="56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第五条  廉洁风险防控机制</w:t>
      </w:r>
    </w:p>
    <w:p w14:paraId="1C3D44D5">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承包人双方均有义务建立健全廉洁风险防控机制，排查、梳理建设工程业务流程及关键工作岗位涉及的廉洁风险点，有针对性地逐项制定防控措施，加强对单位工作人员的廉洁教育，预警在先、防范在前，风险定到岗、制度建到位、责任落到人。发现对方在业务活动中有违反廉洁规定的行为，应及时给予提醒和纠正。</w:t>
      </w:r>
    </w:p>
    <w:p w14:paraId="40A4FCFA">
      <w:pPr>
        <w:spacing w:line="56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第六条  廉洁违约责任</w:t>
      </w:r>
    </w:p>
    <w:p w14:paraId="464D698B">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  发包人及其工作人员违反本合同第二条和第四条规定，相关责任人应受到相应的党纪政务（纪）处分，涉嫌犯罪的，移送司法机关依法处理；给承包人造成经济损失的，应承担相应的赔偿责任。</w:t>
      </w:r>
    </w:p>
    <w:p w14:paraId="07E6453F">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  承包人</w:t>
      </w:r>
      <w:r>
        <w:rPr>
          <w:rFonts w:hint="eastAsia" w:asciiTheme="minorEastAsia" w:hAnsiTheme="minorEastAsia" w:eastAsiaTheme="minorEastAsia" w:cstheme="minorEastAsia"/>
          <w:bCs/>
          <w:sz w:val="24"/>
          <w:szCs w:val="24"/>
        </w:rPr>
        <w:t>及其工作人员</w:t>
      </w:r>
      <w:r>
        <w:rPr>
          <w:rFonts w:hint="eastAsia" w:asciiTheme="minorEastAsia" w:hAnsiTheme="minorEastAsia" w:eastAsiaTheme="minorEastAsia" w:cstheme="minorEastAsia"/>
          <w:sz w:val="24"/>
          <w:szCs w:val="24"/>
        </w:rPr>
        <w:t>违反本合同第三条和第四条规定，经有关主管部门查证属实或者经纪检监察机关认定违纪、经司法机关依法确定构成违法犯罪的，承包人应按次向发包人支付廉洁违约金（施工类建设项目合同价款2%且不超过100万元人民币，服务类建设项目合同价款5%且不超过50万元人民币）；给发包人造成经济损失的，还应承担相应的赔偿责任。同时，发包人有权：（1）如承包人的行为严重影响合同的履行或者严重干扰市场公平竞争营商环境，可单方解除主合同；（2）将承包人的履约评价评为不合格，并拒绝其参与发包人负责实施项目的投标或摇珠；（3）将有关情况报相关主管部门记录，作为企业诚信评分考核，建议给予通报并向社会进行公示。</w:t>
      </w:r>
    </w:p>
    <w:p w14:paraId="196E9914">
      <w:pPr>
        <w:spacing w:line="56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第七条  监督举报</w:t>
      </w:r>
    </w:p>
    <w:p w14:paraId="32AD09F3">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承包人均有监督举报的权利和义务，发现对方有违反本合同的行为，可向南沙区纪委监委举报。南沙区纪委监委将按照相关规定予以受理，鼓励实名举报，严查诬告陷害，对实名举报有功人员给予一定的现金奖励，对诬告陷害的依规依纪依法给予处理。</w:t>
      </w:r>
    </w:p>
    <w:p w14:paraId="2731810A">
      <w:pPr>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南沙区纪委监委举报方式</w:t>
      </w:r>
      <w:r>
        <w:rPr>
          <w:rFonts w:hint="eastAsia" w:asciiTheme="minorEastAsia" w:hAnsiTheme="minorEastAsia" w:eastAsiaTheme="minorEastAsia" w:cstheme="minorEastAsia"/>
          <w:sz w:val="24"/>
          <w:szCs w:val="24"/>
        </w:rPr>
        <w:t>：</w:t>
      </w:r>
    </w:p>
    <w:p w14:paraId="3C7E2735">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来信举报：广州市南沙区凤凰大道一号南沙区纪委监委信访室，邮编511455；</w:t>
      </w:r>
    </w:p>
    <w:p w14:paraId="573E6453">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电话举报：020-84986949，020-12388；</w:t>
      </w:r>
    </w:p>
    <w:p w14:paraId="48AB915F">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网络举报：</w:t>
      </w:r>
      <w:r>
        <w:fldChar w:fldCharType="begin"/>
      </w:r>
      <w:r>
        <w:instrText xml:space="preserve"> HYPERLINK "http://guangdong.12388.gov.cn；" </w:instrText>
      </w:r>
      <w:r>
        <w:fldChar w:fldCharType="separate"/>
      </w:r>
      <w:r>
        <w:rPr>
          <w:rFonts w:hint="eastAsia" w:asciiTheme="minorEastAsia" w:hAnsiTheme="minorEastAsia" w:eastAsiaTheme="minorEastAsia" w:cstheme="minorEastAsia"/>
          <w:sz w:val="24"/>
          <w:szCs w:val="24"/>
        </w:rPr>
        <w:t>http://guangdong.12388.gov.cn；</w:t>
      </w:r>
      <w:r>
        <w:rPr>
          <w:rFonts w:hint="eastAsia" w:asciiTheme="minorEastAsia" w:hAnsiTheme="minorEastAsia" w:eastAsiaTheme="minorEastAsia" w:cstheme="minorEastAsia"/>
          <w:sz w:val="24"/>
          <w:szCs w:val="24"/>
        </w:rPr>
        <w:fldChar w:fldCharType="end"/>
      </w:r>
    </w:p>
    <w:p w14:paraId="1B4F5D1D">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anchor distT="0" distB="0" distL="114300" distR="114300" simplePos="0" relativeHeight="251659264" behindDoc="0" locked="0" layoutInCell="1" allowOverlap="1">
            <wp:simplePos x="0" y="0"/>
            <wp:positionH relativeFrom="column">
              <wp:posOffset>1579245</wp:posOffset>
            </wp:positionH>
            <wp:positionV relativeFrom="paragraph">
              <wp:posOffset>416560</wp:posOffset>
            </wp:positionV>
            <wp:extent cx="1991360" cy="2440940"/>
            <wp:effectExtent l="0" t="0" r="15240" b="22860"/>
            <wp:wrapTopAndBottom/>
            <wp:docPr id="1" name="图片 41" descr="1603424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1" descr="1603424669(1)"/>
                    <pic:cNvPicPr>
                      <a:picLocks noChangeAspect="1"/>
                    </pic:cNvPicPr>
                  </pic:nvPicPr>
                  <pic:blipFill>
                    <a:blip r:embed="rId7"/>
                    <a:stretch>
                      <a:fillRect/>
                    </a:stretch>
                  </pic:blipFill>
                  <pic:spPr>
                    <a:xfrm>
                      <a:off x="0" y="0"/>
                      <a:ext cx="1991360" cy="2440940"/>
                    </a:xfrm>
                    <a:prstGeom prst="rect">
                      <a:avLst/>
                    </a:prstGeom>
                    <a:noFill/>
                    <a:ln>
                      <a:noFill/>
                    </a:ln>
                  </pic:spPr>
                </pic:pic>
              </a:graphicData>
            </a:graphic>
          </wp:anchor>
        </w:drawing>
      </w:r>
      <w:r>
        <w:rPr>
          <w:rFonts w:hint="eastAsia" w:asciiTheme="minorEastAsia" w:hAnsiTheme="minorEastAsia" w:eastAsiaTheme="minorEastAsia" w:cstheme="minorEastAsia"/>
          <w:sz w:val="24"/>
          <w:szCs w:val="24"/>
        </w:rPr>
        <w:t>二维码举报：</w:t>
      </w:r>
    </w:p>
    <w:p w14:paraId="08FE0785">
      <w:pPr>
        <w:spacing w:line="560" w:lineRule="exact"/>
        <w:ind w:firstLine="482" w:firstLineChars="200"/>
        <w:rPr>
          <w:rFonts w:hint="eastAsia" w:asciiTheme="minorEastAsia" w:hAnsiTheme="minorEastAsia" w:eastAsiaTheme="minorEastAsia" w:cstheme="minorEastAsia"/>
          <w:b/>
          <w:sz w:val="24"/>
          <w:szCs w:val="40"/>
        </w:rPr>
      </w:pPr>
    </w:p>
    <w:p w14:paraId="04EEF362">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南沙交投集团纪委举报方式：</w:t>
      </w:r>
    </w:p>
    <w:p w14:paraId="61C5547F">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电话举报：020-84999853；</w:t>
      </w:r>
    </w:p>
    <w:p w14:paraId="1E767516">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邮箱举报：12388@nscig.cn。</w:t>
      </w:r>
    </w:p>
    <w:p w14:paraId="36F67A33">
      <w:pPr>
        <w:spacing w:line="560" w:lineRule="exact"/>
        <w:ind w:firstLine="482" w:firstLineChars="200"/>
        <w:rPr>
          <w:rFonts w:hint="eastAsia" w:asciiTheme="minorEastAsia" w:hAnsiTheme="minorEastAsia" w:eastAsiaTheme="minorEastAsia" w:cstheme="minorEastAsia"/>
          <w:b/>
          <w:sz w:val="24"/>
          <w:szCs w:val="40"/>
        </w:rPr>
      </w:pPr>
      <w:r>
        <w:rPr>
          <w:rFonts w:hint="eastAsia" w:asciiTheme="minorEastAsia" w:hAnsiTheme="minorEastAsia" w:eastAsiaTheme="minorEastAsia" w:cstheme="minorEastAsia"/>
          <w:b/>
          <w:sz w:val="24"/>
          <w:szCs w:val="40"/>
        </w:rPr>
        <w:t>第八条  其他约定</w:t>
      </w:r>
    </w:p>
    <w:p w14:paraId="4065335A">
      <w:pPr>
        <w:spacing w:line="560" w:lineRule="exact"/>
        <w:ind w:firstLine="480" w:firstLineChars="200"/>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t>本合同作为双方所签署主合同的附件，与主合同具有同等法律效力。对项目涉及的廉洁问题，不受项目竣工验收、工作人员离职或退休等原因影响，发包人、承包人仍应按合同约定承担相应的违约责任。</w:t>
      </w:r>
    </w:p>
    <w:p w14:paraId="1B0283F3">
      <w:pPr>
        <w:spacing w:line="560" w:lineRule="exact"/>
        <w:ind w:firstLine="480" w:firstLineChars="200"/>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t>本合同经双方签署后生效。</w:t>
      </w:r>
    </w:p>
    <w:p w14:paraId="78754F2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sz w:val="24"/>
          <w:szCs w:val="28"/>
        </w:rPr>
        <w:t>（此页为签署页，无正文）</w:t>
      </w:r>
    </w:p>
    <w:bookmarkEnd w:id="122"/>
    <w:bookmarkEnd w:id="123"/>
    <w:bookmarkEnd w:id="124"/>
    <w:p w14:paraId="16AA0A4E">
      <w:pPr>
        <w:snapToGrid w:val="0"/>
        <w:spacing w:line="360" w:lineRule="auto"/>
        <w:rPr>
          <w:rFonts w:hint="eastAsia" w:asciiTheme="minorEastAsia" w:hAnsiTheme="minorEastAsia" w:eastAsiaTheme="minorEastAsia" w:cstheme="minorEastAsia"/>
          <w:sz w:val="24"/>
          <w:szCs w:val="24"/>
        </w:rPr>
      </w:pPr>
      <w:bookmarkStart w:id="129" w:name="_Toc386010658"/>
    </w:p>
    <w:tbl>
      <w:tblPr>
        <w:tblStyle w:val="26"/>
        <w:tblW w:w="8046" w:type="dxa"/>
        <w:tblInd w:w="0" w:type="dxa"/>
        <w:tblLayout w:type="fixed"/>
        <w:tblCellMar>
          <w:top w:w="0" w:type="dxa"/>
          <w:left w:w="108" w:type="dxa"/>
          <w:bottom w:w="0" w:type="dxa"/>
          <w:right w:w="108" w:type="dxa"/>
        </w:tblCellMar>
      </w:tblPr>
      <w:tblGrid>
        <w:gridCol w:w="8046"/>
      </w:tblGrid>
      <w:tr w14:paraId="4CA2C484">
        <w:tblPrEx>
          <w:tblCellMar>
            <w:top w:w="0" w:type="dxa"/>
            <w:left w:w="108" w:type="dxa"/>
            <w:bottom w:w="0" w:type="dxa"/>
            <w:right w:w="108" w:type="dxa"/>
          </w:tblCellMar>
        </w:tblPrEx>
        <w:tc>
          <w:tcPr>
            <w:tcW w:w="8046" w:type="dxa"/>
          </w:tcPr>
          <w:p w14:paraId="7A571D70">
            <w:pPr>
              <w:snapToGrid w:val="0"/>
              <w:spacing w:line="360" w:lineRule="auto"/>
              <w:rPr>
                <w:rFonts w:hint="eastAsia" w:asciiTheme="minorEastAsia" w:hAnsiTheme="minorEastAsia" w:eastAsiaTheme="minorEastAsia" w:cstheme="minorEastAsia"/>
                <w:sz w:val="24"/>
                <w:szCs w:val="24"/>
              </w:rPr>
            </w:pPr>
          </w:p>
          <w:p w14:paraId="375EE991">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发包人（盖章）：广州市南沙区排水和污水处理事务中心</w:t>
            </w:r>
          </w:p>
          <w:p w14:paraId="24DE4348">
            <w:pPr>
              <w:snapToGrid w:val="0"/>
              <w:spacing w:line="360" w:lineRule="auto"/>
              <w:rPr>
                <w:rFonts w:hint="eastAsia" w:asciiTheme="minorEastAsia" w:hAnsiTheme="minorEastAsia" w:eastAsiaTheme="minorEastAsia" w:cstheme="minorEastAsia"/>
                <w:sz w:val="24"/>
                <w:szCs w:val="24"/>
              </w:rPr>
            </w:pPr>
          </w:p>
          <w:p w14:paraId="464E0B4A">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法定代表人/授权代理人</w:t>
            </w:r>
          </w:p>
          <w:p w14:paraId="4FDDCDAE">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w:t>
            </w:r>
          </w:p>
          <w:p w14:paraId="6BD02E80">
            <w:pPr>
              <w:snapToGrid w:val="0"/>
              <w:spacing w:line="360" w:lineRule="auto"/>
              <w:rPr>
                <w:rFonts w:hint="eastAsia" w:asciiTheme="minorEastAsia" w:hAnsiTheme="minorEastAsia" w:eastAsiaTheme="minorEastAsia" w:cstheme="minorEastAsia"/>
                <w:sz w:val="24"/>
                <w:szCs w:val="24"/>
              </w:rPr>
            </w:pPr>
          </w:p>
          <w:p w14:paraId="7637C679">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或党委书记/纪委书记</w:t>
            </w:r>
          </w:p>
          <w:p w14:paraId="2B74BBA3">
            <w:pPr>
              <w:snapToGrid w:val="0"/>
              <w:spacing w:line="360" w:lineRule="auto"/>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4"/>
              </w:rPr>
              <w:t>（签字）</w:t>
            </w:r>
          </w:p>
        </w:tc>
      </w:tr>
    </w:tbl>
    <w:p w14:paraId="0F6BE037">
      <w:pPr>
        <w:tabs>
          <w:tab w:val="left" w:pos="2277"/>
        </w:tabs>
        <w:adjustRightInd w:val="0"/>
        <w:snapToGrid w:val="0"/>
        <w:spacing w:line="360" w:lineRule="auto"/>
        <w:rPr>
          <w:rFonts w:hint="eastAsia" w:asciiTheme="minorEastAsia" w:hAnsiTheme="minorEastAsia" w:eastAsiaTheme="minorEastAsia" w:cstheme="minorEastAsia"/>
          <w:sz w:val="24"/>
          <w:szCs w:val="24"/>
        </w:rPr>
      </w:pPr>
    </w:p>
    <w:p w14:paraId="4FE3E245">
      <w:pPr>
        <w:spacing w:after="120"/>
        <w:rPr>
          <w:rFonts w:hint="eastAsia" w:asciiTheme="minorEastAsia" w:hAnsiTheme="minorEastAsia" w:eastAsiaTheme="minorEastAsia" w:cstheme="minorEastAsia"/>
          <w:szCs w:val="21"/>
        </w:rPr>
      </w:pPr>
    </w:p>
    <w:tbl>
      <w:tblPr>
        <w:tblStyle w:val="26"/>
        <w:tblW w:w="7338" w:type="dxa"/>
        <w:tblInd w:w="0" w:type="dxa"/>
        <w:tblLayout w:type="fixed"/>
        <w:tblCellMar>
          <w:top w:w="0" w:type="dxa"/>
          <w:left w:w="108" w:type="dxa"/>
          <w:bottom w:w="0" w:type="dxa"/>
          <w:right w:w="108" w:type="dxa"/>
        </w:tblCellMar>
      </w:tblPr>
      <w:tblGrid>
        <w:gridCol w:w="7338"/>
      </w:tblGrid>
      <w:tr w14:paraId="654701A8">
        <w:tblPrEx>
          <w:tblCellMar>
            <w:top w:w="0" w:type="dxa"/>
            <w:left w:w="108" w:type="dxa"/>
            <w:bottom w:w="0" w:type="dxa"/>
            <w:right w:w="108" w:type="dxa"/>
          </w:tblCellMar>
        </w:tblPrEx>
        <w:tc>
          <w:tcPr>
            <w:tcW w:w="7338" w:type="dxa"/>
          </w:tcPr>
          <w:p w14:paraId="77D6DC25">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承包人（盖章）：        </w:t>
            </w:r>
          </w:p>
          <w:p w14:paraId="6F3294C6">
            <w:pPr>
              <w:snapToGrid w:val="0"/>
              <w:spacing w:line="360" w:lineRule="auto"/>
              <w:rPr>
                <w:rFonts w:hint="eastAsia" w:asciiTheme="minorEastAsia" w:hAnsiTheme="minorEastAsia" w:eastAsiaTheme="minorEastAsia" w:cstheme="minorEastAsia"/>
                <w:sz w:val="24"/>
                <w:szCs w:val="24"/>
              </w:rPr>
            </w:pPr>
          </w:p>
          <w:p w14:paraId="56DFEC68">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法定代表人/授权代理人</w:t>
            </w:r>
          </w:p>
          <w:p w14:paraId="5442E22A">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w:t>
            </w:r>
          </w:p>
          <w:p w14:paraId="4458AB96">
            <w:pPr>
              <w:snapToGrid w:val="0"/>
              <w:spacing w:line="360" w:lineRule="auto"/>
              <w:rPr>
                <w:rFonts w:hint="eastAsia" w:asciiTheme="minorEastAsia" w:hAnsiTheme="minorEastAsia" w:eastAsiaTheme="minorEastAsia" w:cstheme="minorEastAsia"/>
                <w:sz w:val="24"/>
                <w:szCs w:val="24"/>
              </w:rPr>
            </w:pPr>
          </w:p>
          <w:p w14:paraId="7C124606">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或党委书记/纪委书记</w:t>
            </w:r>
          </w:p>
          <w:p w14:paraId="288FBE92">
            <w:pPr>
              <w:snapToGrid w:val="0"/>
              <w:spacing w:line="360" w:lineRule="auto"/>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4"/>
              </w:rPr>
              <w:t>（签字）</w:t>
            </w:r>
          </w:p>
        </w:tc>
      </w:tr>
    </w:tbl>
    <w:p w14:paraId="03536D45">
      <w:pPr>
        <w:spacing w:after="120"/>
        <w:rPr>
          <w:rFonts w:hint="eastAsia" w:asciiTheme="minorEastAsia" w:hAnsiTheme="minorEastAsia" w:eastAsiaTheme="minorEastAsia" w:cstheme="minorEastAsia"/>
          <w:sz w:val="24"/>
          <w:szCs w:val="24"/>
        </w:rPr>
      </w:pPr>
    </w:p>
    <w:p w14:paraId="37B98CFE">
      <w:pPr>
        <w:spacing w:after="120"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4"/>
          <w:szCs w:val="24"/>
        </w:rPr>
        <w:t>签订地点：</w:t>
      </w:r>
      <w:r>
        <w:rPr>
          <w:rFonts w:hint="eastAsia" w:asciiTheme="minorEastAsia" w:hAnsiTheme="minorEastAsia" w:eastAsiaTheme="minorEastAsia" w:cstheme="minorEastAsia"/>
          <w:sz w:val="24"/>
          <w:szCs w:val="24"/>
          <w:u w:val="single"/>
        </w:rPr>
        <w:t>广州市南沙区</w:t>
      </w:r>
      <w:r>
        <w:rPr>
          <w:rFonts w:hint="eastAsia" w:asciiTheme="minorEastAsia" w:hAnsiTheme="minorEastAsia" w:eastAsiaTheme="minorEastAsia" w:cstheme="minorEastAsia"/>
          <w:sz w:val="24"/>
          <w:szCs w:val="24"/>
        </w:rPr>
        <w:t xml:space="preserve"> </w:t>
      </w:r>
    </w:p>
    <w:p w14:paraId="100CEB7E">
      <w:pPr>
        <w:tabs>
          <w:tab w:val="left" w:pos="2277"/>
        </w:tabs>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签订时间：详见本合同封面。</w:t>
      </w:r>
    </w:p>
    <w:p w14:paraId="05456143">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bookmarkStart w:id="130" w:name="_Toc529863708"/>
      <w:bookmarkStart w:id="131" w:name="_Toc18672"/>
      <w:bookmarkStart w:id="132" w:name="_Toc529800446"/>
      <w:bookmarkStart w:id="133" w:name="_Toc1535135573"/>
      <w:bookmarkStart w:id="134" w:name="_Toc3174"/>
      <w:bookmarkStart w:id="135" w:name="_Toc3024"/>
      <w:bookmarkStart w:id="136" w:name="_Toc19192"/>
      <w:bookmarkStart w:id="137" w:name="_Toc30098"/>
      <w:bookmarkStart w:id="138" w:name="_Toc8870"/>
      <w:bookmarkStart w:id="139" w:name="_Toc108175605"/>
      <w:bookmarkStart w:id="140" w:name="_Toc22162"/>
      <w:bookmarkStart w:id="141" w:name="_Toc529863663"/>
      <w:bookmarkStart w:id="142" w:name="_Toc8421"/>
      <w:bookmarkStart w:id="143" w:name="_Toc22226"/>
      <w:bookmarkStart w:id="144" w:name="_Toc24225"/>
      <w:bookmarkStart w:id="145" w:name="_Toc44410117"/>
      <w:bookmarkStart w:id="146" w:name="_Toc9995"/>
      <w:bookmarkStart w:id="147" w:name="_Toc15512"/>
      <w:bookmarkStart w:id="148" w:name="_Toc11324"/>
      <w:bookmarkStart w:id="149" w:name="_Toc31699"/>
      <w:bookmarkStart w:id="150" w:name="_Toc10031"/>
      <w:r>
        <w:rPr>
          <w:rStyle w:val="33"/>
          <w:rFonts w:hint="eastAsia" w:asciiTheme="minorEastAsia" w:hAnsiTheme="minorEastAsia" w:eastAsiaTheme="minorEastAsia" w:cstheme="minorEastAsia"/>
          <w:b/>
        </w:rPr>
        <w:t>附件2：安全生产文明施工协议</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11D04B3">
      <w:pPr>
        <w:jc w:val="center"/>
        <w:rPr>
          <w:rFonts w:hint="eastAsia" w:asciiTheme="minorEastAsia" w:hAnsiTheme="minorEastAsia" w:eastAsiaTheme="minorEastAsia" w:cstheme="minorEastAsia"/>
          <w:b/>
          <w:sz w:val="32"/>
          <w:szCs w:val="28"/>
        </w:rPr>
      </w:pPr>
      <w:r>
        <w:rPr>
          <w:rFonts w:hint="eastAsia" w:asciiTheme="minorEastAsia" w:hAnsiTheme="minorEastAsia" w:eastAsiaTheme="minorEastAsia" w:cstheme="minorEastAsia"/>
          <w:b/>
          <w:sz w:val="32"/>
          <w:szCs w:val="28"/>
        </w:rPr>
        <w:t>安全生产文明施工协议</w:t>
      </w:r>
    </w:p>
    <w:p w14:paraId="35969D3F">
      <w:pPr>
        <w:rPr>
          <w:rFonts w:hint="eastAsia" w:asciiTheme="minorEastAsia" w:hAnsiTheme="minorEastAsia" w:eastAsiaTheme="minorEastAsia" w:cstheme="minorEastAsia"/>
          <w:sz w:val="24"/>
        </w:rPr>
      </w:pPr>
    </w:p>
    <w:p w14:paraId="4D78EA2E">
      <w:pPr>
        <w:pStyle w:val="40"/>
        <w:spacing w:line="360" w:lineRule="auto"/>
        <w:ind w:left="0" w:right="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kern w:val="2"/>
          <w:szCs w:val="22"/>
        </w:rPr>
        <w:t>工程项目名称：</w:t>
      </w:r>
      <w:r>
        <w:rPr>
          <w:rFonts w:hint="eastAsia" w:asciiTheme="minorEastAsia" w:hAnsiTheme="minorEastAsia" w:eastAsiaTheme="minorEastAsia" w:cstheme="minorEastAsia"/>
          <w:kern w:val="2"/>
          <w:szCs w:val="22"/>
          <w:u w:val="single"/>
        </w:rPr>
        <w:t>【         】监理</w:t>
      </w:r>
    </w:p>
    <w:p w14:paraId="22B2CEB9">
      <w:pPr>
        <w:pStyle w:val="40"/>
        <w:spacing w:line="360" w:lineRule="auto"/>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工程项目地址：</w:t>
      </w:r>
      <w:r>
        <w:rPr>
          <w:rFonts w:hint="eastAsia" w:asciiTheme="minorEastAsia" w:hAnsiTheme="minorEastAsia" w:eastAsiaTheme="minorEastAsia" w:cstheme="minorEastAsia"/>
          <w:u w:val="single"/>
        </w:rPr>
        <w:t xml:space="preserve">广州市南沙区 </w:t>
      </w:r>
    </w:p>
    <w:p w14:paraId="7A2CA225">
      <w:pPr>
        <w:spacing w:line="5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发包人：广州市南沙区排水和污水处理事务中心</w:t>
      </w:r>
    </w:p>
    <w:p w14:paraId="19937EE5">
      <w:pPr>
        <w:spacing w:line="5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监理人：</w:t>
      </w:r>
      <w:r>
        <w:rPr>
          <w:rFonts w:hint="eastAsia" w:asciiTheme="minorEastAsia" w:hAnsiTheme="minorEastAsia" w:eastAsiaTheme="minorEastAsia" w:cstheme="minorEastAsia"/>
          <w:sz w:val="24"/>
          <w:u w:val="single"/>
        </w:rPr>
        <w:t xml:space="preserve">                                                  </w:t>
      </w:r>
    </w:p>
    <w:p w14:paraId="1962FD24">
      <w:pPr>
        <w:spacing w:line="560" w:lineRule="exact"/>
        <w:rPr>
          <w:rFonts w:hint="eastAsia" w:asciiTheme="minorEastAsia" w:hAnsiTheme="minorEastAsia" w:eastAsiaTheme="minorEastAsia" w:cstheme="minorEastAsia"/>
          <w:sz w:val="24"/>
        </w:rPr>
      </w:pPr>
    </w:p>
    <w:p w14:paraId="01BA6873">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为贯彻“安全第一，预防为主”的方针，根据《中华人民共和国安全生产法》《广东省安全生产条例》等有关法律法规的规定，结合本工程项目实际情况，按规定签订如下协议。</w:t>
      </w:r>
    </w:p>
    <w:p w14:paraId="38F8BB34">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一、发包人的权利与义务</w:t>
      </w:r>
    </w:p>
    <w:p w14:paraId="19EBF6B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1、遵守国家、省、市有关安全生产文明施工的法律、法规及有关规定，加强安全生产管理，建立、健全安全生产责任制度，完善安全生产条件，确保安全生产。</w:t>
      </w:r>
    </w:p>
    <w:p w14:paraId="1340DED9">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2、按国家有关规定保证安全生产所必需的资金投入。</w:t>
      </w:r>
    </w:p>
    <w:p w14:paraId="366BA4C8">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3、保证不将工程项目发包（分包）给不具备安全生产条件或者不具备相应资质的单位或个人。</w:t>
      </w:r>
    </w:p>
    <w:p w14:paraId="5BD8B2C3">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4、对监理人在监理过程中依照合同或依法采取的有效监控措施，如停工、停用等给予支持；对监理人以公司文件书面形式提交并要求作出决定的事宜在规定时限内做出书面决定。</w:t>
      </w:r>
    </w:p>
    <w:p w14:paraId="4B2E2788">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5、授权工地常驻代表负责与监理人联系安全生产、文明施工的事宜，如需更换此人时提前通知监理人。</w:t>
      </w:r>
    </w:p>
    <w:p w14:paraId="68E2F1C7">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二、监理人的权利与义务</w:t>
      </w:r>
    </w:p>
    <w:p w14:paraId="5F755049">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1、遵守国家、省、市有关安全生产文明施工的法律、法规及有关规定，加强工程建设安全的监理，建立、健全安全监理责任制度，保证工程建设的安全。</w:t>
      </w:r>
    </w:p>
    <w:p w14:paraId="2C60B41F">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建立、健全安全生产文明施工监理的组织、明确安全监理人员的职责。</w:t>
      </w:r>
    </w:p>
    <w:p w14:paraId="48690AF5">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2、建立安全生产文明施工的专项监理制度或方案。</w:t>
      </w:r>
    </w:p>
    <w:p w14:paraId="53E24777">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3、对承包人的资质进行审查，对无资质单位或不具备安全生产条件单位会同发包人不准进入。</w:t>
      </w:r>
    </w:p>
    <w:p w14:paraId="449DB73D">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4、对承包人提供的安全施工组织设计及专项安全技术方案进行审核。</w:t>
      </w:r>
    </w:p>
    <w:p w14:paraId="1BBEEB20">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5、对施工人员、材料、主要设备的使用和运行状况进行检查并记录。</w:t>
      </w:r>
    </w:p>
    <w:p w14:paraId="17C779EF">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6、对重要施工环节和安全事故易发工序实施旁站或巡检。</w:t>
      </w:r>
    </w:p>
    <w:p w14:paraId="7B3DAD6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7、按规定对安全措施费用的列支和使用实施有效监控。</w:t>
      </w:r>
    </w:p>
    <w:p w14:paraId="06BD9068">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8、及时制止承包人明显违章指挥和操作的行为。</w:t>
      </w:r>
    </w:p>
    <w:p w14:paraId="45842647">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9、对危及工程和人员安全的施工及设备的使用，及时下达停工（停用）指令，坚决予以纠正。</w:t>
      </w:r>
    </w:p>
    <w:p w14:paraId="77DCEACE">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10、对施工现场存在的安全隐患及时发出整改通知并向安监机构报告。</w:t>
      </w:r>
    </w:p>
    <w:p w14:paraId="3A909798">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11、对因安全原因被建设行政主管部门和监督机构责令停工整改的，要积极主动抓好督促落实并及时反馈情况，监理人需独立建立安全隐患排查台账，每月5日前向发包人提交。</w:t>
      </w:r>
    </w:p>
    <w:p w14:paraId="50A2205A">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12、督促承包人按规定购买施工意外保险和搞好文明施工管理。</w:t>
      </w:r>
    </w:p>
    <w:p w14:paraId="6943D144">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13、参与安全事故的调查处理。</w:t>
      </w:r>
    </w:p>
    <w:p w14:paraId="4E654D2A">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14、参与事故应急救援预案的公布和演练。</w:t>
      </w:r>
    </w:p>
    <w:p w14:paraId="258497E5">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15、做好安全施工监理记录，日记和监理月报等资料整理，并督促承包单位及时整理现场安全管理文件资料。</w:t>
      </w:r>
    </w:p>
    <w:p w14:paraId="6103340B">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（此页以下无正文）</w:t>
      </w:r>
    </w:p>
    <w:p w14:paraId="33E19FD1">
      <w:pPr>
        <w:spacing w:line="480" w:lineRule="auto"/>
        <w:rPr>
          <w:rFonts w:hint="eastAsia" w:asciiTheme="minorEastAsia" w:hAnsiTheme="minorEastAsia" w:eastAsiaTheme="minorEastAsia" w:cstheme="minorEastAsia"/>
          <w:sz w:val="24"/>
        </w:rPr>
      </w:pPr>
      <w:bookmarkStart w:id="151" w:name="_Toc2345"/>
      <w:bookmarkStart w:id="152" w:name="_Toc1194"/>
      <w:bookmarkStart w:id="153" w:name="_Toc27397"/>
      <w:r>
        <w:rPr>
          <w:rFonts w:hint="eastAsia" w:asciiTheme="minorEastAsia" w:hAnsiTheme="minorEastAsia" w:eastAsiaTheme="minorEastAsia" w:cstheme="minorEastAsia"/>
          <w:b/>
          <w:sz w:val="24"/>
          <w:szCs w:val="20"/>
        </w:rPr>
        <w:br w:type="page"/>
      </w:r>
      <w:r>
        <w:rPr>
          <w:rFonts w:hint="eastAsia" w:asciiTheme="minorEastAsia" w:hAnsiTheme="minorEastAsia" w:eastAsiaTheme="minorEastAsia" w:cstheme="minorEastAsia"/>
          <w:sz w:val="24"/>
        </w:rPr>
        <w:t>（此页为签署页）</w:t>
      </w:r>
      <w:bookmarkEnd w:id="151"/>
      <w:bookmarkEnd w:id="152"/>
      <w:bookmarkEnd w:id="153"/>
    </w:p>
    <w:p w14:paraId="6623CDFA">
      <w:pPr>
        <w:pStyle w:val="25"/>
        <w:rPr>
          <w:rFonts w:hint="eastAsia" w:asciiTheme="minorEastAsia" w:hAnsiTheme="minorEastAsia" w:eastAsiaTheme="minorEastAsia" w:cstheme="minorEastAsia"/>
        </w:rPr>
      </w:pPr>
    </w:p>
    <w:p w14:paraId="5EE60D92">
      <w:pPr>
        <w:spacing w:line="48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发包人（盖章）：广州市南沙区排水和污水处理事务中心</w:t>
      </w:r>
    </w:p>
    <w:p w14:paraId="230961BD">
      <w:pPr>
        <w:spacing w:line="48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w:t>
      </w:r>
    </w:p>
    <w:p w14:paraId="0ADD8844">
      <w:pPr>
        <w:spacing w:line="48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w:t>
      </w:r>
    </w:p>
    <w:p w14:paraId="4B1B3261">
      <w:pPr>
        <w:spacing w:line="48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签订时间：详见本合同封面。</w:t>
      </w:r>
    </w:p>
    <w:p w14:paraId="406D966A">
      <w:pPr>
        <w:snapToGrid w:val="0"/>
        <w:spacing w:line="360" w:lineRule="auto"/>
        <w:rPr>
          <w:rFonts w:hint="eastAsia" w:asciiTheme="minorEastAsia" w:hAnsiTheme="minorEastAsia" w:eastAsiaTheme="minorEastAsia" w:cstheme="minorEastAsia"/>
          <w:sz w:val="24"/>
          <w:szCs w:val="24"/>
        </w:rPr>
      </w:pPr>
    </w:p>
    <w:p w14:paraId="4C1D5D39">
      <w:pPr>
        <w:pStyle w:val="25"/>
        <w:rPr>
          <w:rFonts w:hint="eastAsia" w:asciiTheme="minorEastAsia" w:hAnsiTheme="minorEastAsia" w:eastAsiaTheme="minorEastAsia" w:cstheme="minorEastAsia"/>
          <w:sz w:val="24"/>
        </w:rPr>
      </w:pPr>
    </w:p>
    <w:p w14:paraId="5E724F60">
      <w:pPr>
        <w:spacing w:line="480" w:lineRule="auto"/>
        <w:rPr>
          <w:rFonts w:hint="eastAsia" w:asciiTheme="minorEastAsia" w:hAnsiTheme="minorEastAsia" w:eastAsiaTheme="minorEastAsia" w:cstheme="minorEastAsia"/>
          <w:sz w:val="24"/>
        </w:rPr>
      </w:pPr>
      <w:bookmarkStart w:id="154" w:name="_Toc8429"/>
      <w:bookmarkStart w:id="155" w:name="_Toc5791"/>
      <w:bookmarkStart w:id="156" w:name="_Toc9487"/>
      <w:r>
        <w:rPr>
          <w:rFonts w:hint="eastAsia" w:asciiTheme="minorEastAsia" w:hAnsiTheme="minorEastAsia" w:eastAsiaTheme="minorEastAsia" w:cstheme="minorEastAsia"/>
          <w:sz w:val="24"/>
        </w:rPr>
        <w:t>监理人（盖章）：</w:t>
      </w:r>
      <w:bookmarkEnd w:id="154"/>
      <w:bookmarkEnd w:id="155"/>
      <w:bookmarkEnd w:id="156"/>
      <w:r>
        <w:rPr>
          <w:rFonts w:hint="eastAsia" w:asciiTheme="minorEastAsia" w:hAnsiTheme="minorEastAsia" w:eastAsiaTheme="minorEastAsia" w:cstheme="minorEastAsia"/>
          <w:sz w:val="24"/>
        </w:rPr>
        <w:t xml:space="preserve">          </w:t>
      </w:r>
    </w:p>
    <w:p w14:paraId="12B3DB6D">
      <w:pPr>
        <w:spacing w:line="480" w:lineRule="auto"/>
        <w:rPr>
          <w:rFonts w:hint="eastAsia" w:asciiTheme="minorEastAsia" w:hAnsiTheme="minorEastAsia" w:eastAsiaTheme="minorEastAsia" w:cstheme="minorEastAsia"/>
          <w:sz w:val="24"/>
        </w:rPr>
      </w:pPr>
      <w:bookmarkStart w:id="157" w:name="_Toc1719"/>
      <w:bookmarkStart w:id="158" w:name="_Toc6486"/>
      <w:bookmarkStart w:id="159" w:name="_Toc19235"/>
      <w:r>
        <w:rPr>
          <w:rFonts w:hint="eastAsia" w:asciiTheme="minorEastAsia" w:hAnsiTheme="minorEastAsia" w:eastAsiaTheme="minorEastAsia" w:cstheme="minorEastAsia"/>
          <w:sz w:val="24"/>
        </w:rPr>
        <w:t>法定代表人：</w:t>
      </w:r>
      <w:bookmarkEnd w:id="157"/>
      <w:bookmarkEnd w:id="158"/>
      <w:bookmarkEnd w:id="159"/>
    </w:p>
    <w:p w14:paraId="128C8985">
      <w:pPr>
        <w:spacing w:line="480" w:lineRule="auto"/>
        <w:rPr>
          <w:rFonts w:hint="eastAsia" w:asciiTheme="minorEastAsia" w:hAnsiTheme="minorEastAsia" w:eastAsiaTheme="minorEastAsia" w:cstheme="minorEastAsia"/>
          <w:sz w:val="24"/>
        </w:rPr>
      </w:pPr>
      <w:bookmarkStart w:id="160" w:name="_Toc25288"/>
      <w:bookmarkStart w:id="161" w:name="_Toc4812"/>
      <w:bookmarkStart w:id="162" w:name="_Toc20732"/>
      <w:r>
        <w:rPr>
          <w:rFonts w:hint="eastAsia" w:asciiTheme="minorEastAsia" w:hAnsiTheme="minorEastAsia" w:eastAsiaTheme="minorEastAsia" w:cstheme="minorEastAsia"/>
          <w:sz w:val="24"/>
        </w:rPr>
        <w:t>委托代理人：</w:t>
      </w:r>
      <w:bookmarkEnd w:id="160"/>
      <w:bookmarkEnd w:id="161"/>
      <w:bookmarkEnd w:id="162"/>
    </w:p>
    <w:p w14:paraId="1873ADDC">
      <w:pPr>
        <w:spacing w:line="480" w:lineRule="auto"/>
        <w:rPr>
          <w:rFonts w:hint="eastAsia" w:asciiTheme="minorEastAsia" w:hAnsiTheme="minorEastAsia" w:eastAsiaTheme="minorEastAsia" w:cstheme="minorEastAsia"/>
          <w:sz w:val="24"/>
        </w:rPr>
      </w:pPr>
      <w:bookmarkStart w:id="163" w:name="_Toc30759"/>
      <w:bookmarkStart w:id="164" w:name="_Toc16122"/>
      <w:bookmarkStart w:id="165" w:name="_Toc11847"/>
      <w:r>
        <w:rPr>
          <w:rFonts w:hint="eastAsia" w:asciiTheme="minorEastAsia" w:hAnsiTheme="minorEastAsia" w:eastAsiaTheme="minorEastAsia" w:cstheme="minorEastAsia"/>
          <w:sz w:val="24"/>
        </w:rPr>
        <w:t>签订时间：详见本合同封面。</w:t>
      </w:r>
      <w:bookmarkEnd w:id="163"/>
      <w:bookmarkEnd w:id="164"/>
      <w:bookmarkEnd w:id="165"/>
    </w:p>
    <w:p w14:paraId="210D191E">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bookmarkStart w:id="166" w:name="_Toc24111"/>
      <w:bookmarkStart w:id="167" w:name="_Toc22567"/>
      <w:bookmarkStart w:id="168" w:name="_Toc15034"/>
      <w:bookmarkStart w:id="169" w:name="_Toc108175606"/>
      <w:bookmarkStart w:id="170" w:name="_Toc20262"/>
      <w:bookmarkStart w:id="171" w:name="_Toc19505"/>
      <w:bookmarkStart w:id="172" w:name="_Toc14359"/>
      <w:bookmarkStart w:id="173" w:name="_Toc44410118"/>
      <w:bookmarkStart w:id="174" w:name="_Toc26067"/>
      <w:bookmarkStart w:id="175" w:name="_Toc13748"/>
      <w:bookmarkStart w:id="176" w:name="_Toc21723"/>
      <w:bookmarkStart w:id="177" w:name="_Toc15567"/>
      <w:bookmarkStart w:id="178" w:name="_Toc1155040353"/>
      <w:bookmarkStart w:id="179" w:name="_Toc17188"/>
      <w:bookmarkStart w:id="180" w:name="_Toc15093"/>
      <w:bookmarkStart w:id="181" w:name="_Toc7922"/>
      <w:bookmarkStart w:id="182" w:name="_Toc14593"/>
      <w:bookmarkStart w:id="183" w:name="_Toc19441"/>
      <w:r>
        <w:rPr>
          <w:rStyle w:val="33"/>
          <w:rFonts w:hint="eastAsia" w:asciiTheme="minorEastAsia" w:hAnsiTheme="minorEastAsia" w:eastAsiaTheme="minorEastAsia" w:cstheme="minorEastAsia"/>
          <w:b/>
        </w:rPr>
        <w:t>附件3：中标通知书</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208D819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14:paraId="76770DC4">
      <w:pPr>
        <w:pStyle w:val="3"/>
        <w:rPr>
          <w:rFonts w:hint="eastAsia" w:asciiTheme="minorEastAsia" w:hAnsiTheme="minorEastAsia" w:eastAsiaTheme="minorEastAsia" w:cstheme="minorEastAsia"/>
          <w:lang w:eastAsia="zh-Hans"/>
        </w:rPr>
      </w:pPr>
      <w:r>
        <w:rPr>
          <w:rFonts w:hint="eastAsia" w:asciiTheme="minorEastAsia" w:hAnsiTheme="minorEastAsia" w:eastAsiaTheme="minorEastAsia" w:cstheme="minorEastAsia"/>
        </w:rPr>
        <w:br w:type="page"/>
      </w:r>
      <w:bookmarkStart w:id="184" w:name="_Toc1658527638"/>
      <w:bookmarkStart w:id="185" w:name="_Toc14596"/>
      <w:bookmarkStart w:id="186" w:name="_Toc12557"/>
      <w:bookmarkStart w:id="187" w:name="_Toc15024"/>
      <w:bookmarkStart w:id="188" w:name="_Toc44410120"/>
      <w:bookmarkStart w:id="189" w:name="_Toc1439"/>
      <w:bookmarkStart w:id="190" w:name="_Toc26963"/>
      <w:bookmarkStart w:id="191" w:name="_Toc878"/>
      <w:bookmarkStart w:id="192" w:name="_Toc108175607"/>
      <w:r>
        <w:rPr>
          <w:rFonts w:hint="eastAsia" w:asciiTheme="minorEastAsia" w:hAnsiTheme="minorEastAsia" w:eastAsiaTheme="minorEastAsia" w:cstheme="minorEastAsia"/>
          <w:lang w:eastAsia="zh-Hans"/>
        </w:rPr>
        <w:t>附件4：</w:t>
      </w:r>
      <w:r>
        <w:rPr>
          <w:rFonts w:hint="eastAsia" w:asciiTheme="minorEastAsia" w:hAnsiTheme="minorEastAsia" w:eastAsiaTheme="minorEastAsia" w:cstheme="minorEastAsia"/>
        </w:rPr>
        <w:t>承诺函/银行履约保函</w:t>
      </w:r>
      <w:bookmarkEnd w:id="184"/>
      <w:bookmarkEnd w:id="185"/>
      <w:bookmarkEnd w:id="186"/>
    </w:p>
    <w:p w14:paraId="052DD1C3">
      <w:pPr>
        <w:adjustRightInd w:val="0"/>
        <w:snapToGrid w:val="0"/>
        <w:spacing w:line="336" w:lineRule="auto"/>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承诺函</w:t>
      </w:r>
    </w:p>
    <w:p w14:paraId="76782F39">
      <w:pPr>
        <w:adjustRightInd w:val="0"/>
        <w:snapToGrid w:val="0"/>
        <w:spacing w:line="360" w:lineRule="auto"/>
        <w:jc w:val="center"/>
        <w:rPr>
          <w:rFonts w:hint="eastAsia" w:asciiTheme="minorEastAsia" w:hAnsiTheme="minorEastAsia" w:eastAsiaTheme="minorEastAsia" w:cstheme="minorEastAsia"/>
          <w:snapToGrid w:val="0"/>
          <w:kern w:val="0"/>
          <w:sz w:val="24"/>
        </w:rPr>
      </w:pPr>
    </w:p>
    <w:p w14:paraId="0EB40E0D">
      <w:pPr>
        <w:pStyle w:val="45"/>
        <w:snapToGrid w:val="0"/>
        <w:spacing w:line="276"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致：广州市南沙区排水和污水处理事务中心</w:t>
      </w:r>
    </w:p>
    <w:p w14:paraId="00EA4247">
      <w:pPr>
        <w:pStyle w:val="45"/>
        <w:snapToGrid w:val="0"/>
        <w:spacing w:line="276" w:lineRule="auto"/>
        <w:ind w:firstLine="364" w:firstLineChars="152"/>
        <w:rPr>
          <w:rFonts w:hint="eastAsia" w:asciiTheme="minorEastAsia" w:hAnsiTheme="minorEastAsia" w:eastAsiaTheme="minorEastAsia" w:cstheme="minorEastAsia"/>
          <w:sz w:val="24"/>
        </w:rPr>
      </w:pPr>
    </w:p>
    <w:p w14:paraId="7422ED69">
      <w:pPr>
        <w:pStyle w:val="45"/>
        <w:snapToGrid w:val="0"/>
        <w:spacing w:line="276"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我司与贵单位签订《      监理合同文件》（下称“合同”）。为保障合同的有效执行，我司承诺：</w:t>
      </w:r>
    </w:p>
    <w:p w14:paraId="2FC564EA">
      <w:pPr>
        <w:pStyle w:val="45"/>
        <w:snapToGrid w:val="0"/>
        <w:spacing w:line="276"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1.我司承诺在即日起</w:t>
      </w:r>
      <w:r>
        <w:rPr>
          <w:rFonts w:hint="eastAsia" w:asciiTheme="minorEastAsia" w:hAnsiTheme="minorEastAsia" w:eastAsiaTheme="minorEastAsia" w:cstheme="minorEastAsia"/>
          <w:sz w:val="24"/>
          <w:u w:val="single"/>
        </w:rPr>
        <w:t>45</w:t>
      </w:r>
      <w:r>
        <w:rPr>
          <w:rFonts w:hint="eastAsia" w:asciiTheme="minorEastAsia" w:hAnsiTheme="minorEastAsia" w:eastAsiaTheme="minorEastAsia" w:cstheme="minorEastAsia"/>
          <w:sz w:val="24"/>
        </w:rPr>
        <w:t>天内向贵单位提交满足要求的履约保函。如逾期未按要求提交，我司同意贵单位按照每延误1天，按5000元/天扣除违约金，相关款项从应支付给我司的服务费用中直接扣除；</w:t>
      </w:r>
    </w:p>
    <w:p w14:paraId="075A0F5D">
      <w:pPr>
        <w:pStyle w:val="45"/>
        <w:snapToGrid w:val="0"/>
        <w:spacing w:line="276"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2.我司同意贵单位可因我司没按要求在规定期限内提交履约保函而单方解除合同，且无需承担违约责任，我司承担由此造成贵单位及我司的全部损失和费用。</w:t>
      </w:r>
    </w:p>
    <w:p w14:paraId="6CC2C9F8">
      <w:pPr>
        <w:pStyle w:val="45"/>
        <w:snapToGrid w:val="0"/>
        <w:spacing w:line="276"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特此承诺。</w:t>
      </w:r>
    </w:p>
    <w:p w14:paraId="2CE37139">
      <w:pPr>
        <w:pStyle w:val="45"/>
        <w:snapToGrid w:val="0"/>
        <w:spacing w:line="276" w:lineRule="auto"/>
        <w:ind w:left="493" w:firstLine="480"/>
        <w:rPr>
          <w:rFonts w:hint="eastAsia" w:asciiTheme="minorEastAsia" w:hAnsiTheme="minorEastAsia" w:eastAsiaTheme="minorEastAsia" w:cstheme="minorEastAsia"/>
          <w:sz w:val="24"/>
        </w:rPr>
      </w:pPr>
    </w:p>
    <w:p w14:paraId="42720DAB">
      <w:pPr>
        <w:spacing w:line="276" w:lineRule="auto"/>
        <w:ind w:firstLine="849" w:firstLineChars="354"/>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承诺人：   </w:t>
      </w:r>
    </w:p>
    <w:p w14:paraId="7371A840">
      <w:pPr>
        <w:spacing w:line="276" w:lineRule="auto"/>
        <w:ind w:firstLine="3244" w:firstLineChars="1352"/>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（公章）</w:t>
      </w:r>
    </w:p>
    <w:p w14:paraId="7E481009">
      <w:pPr>
        <w:spacing w:line="276" w:lineRule="auto"/>
        <w:ind w:firstLine="849" w:firstLineChars="354"/>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w:t>
      </w:r>
    </w:p>
    <w:p w14:paraId="5409DFE6">
      <w:pPr>
        <w:spacing w:line="276" w:lineRule="auto"/>
        <w:ind w:firstLine="849" w:firstLineChars="354"/>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或其授权发包人：</w:t>
      </w:r>
    </w:p>
    <w:p w14:paraId="6440534D">
      <w:pPr>
        <w:spacing w:line="276" w:lineRule="auto"/>
        <w:ind w:firstLine="849" w:firstLineChars="354"/>
        <w:jc w:val="left"/>
        <w:rPr>
          <w:rFonts w:hint="eastAsia" w:asciiTheme="minorEastAsia" w:hAnsiTheme="minorEastAsia" w:eastAsiaTheme="minorEastAsia" w:cstheme="minorEastAsia"/>
          <w:i/>
          <w:iCs/>
          <w:sz w:val="24"/>
          <w:lang w:eastAsia="zh-Hans"/>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lang w:eastAsia="zh-Hans"/>
        </w:rPr>
        <w:t>详细日期见合同封面。</w:t>
      </w:r>
    </w:p>
    <w:p w14:paraId="34699736">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14:paraId="6E42AF5E">
      <w:pPr>
        <w:adjustRightInd w:val="0"/>
        <w:snapToGrid w:val="0"/>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银行履约保函</w:t>
      </w:r>
    </w:p>
    <w:p w14:paraId="29B5B02E">
      <w:pPr>
        <w:adjustRightInd w:val="0"/>
        <w:snapToGrid w:val="0"/>
        <w:spacing w:line="336" w:lineRule="auto"/>
        <w:jc w:val="center"/>
        <w:rPr>
          <w:rFonts w:hint="eastAsia" w:asciiTheme="minorEastAsia" w:hAnsiTheme="minorEastAsia" w:eastAsiaTheme="minorEastAsia" w:cstheme="minorEastAsia"/>
          <w:snapToGrid w:val="0"/>
          <w:kern w:val="0"/>
          <w:sz w:val="32"/>
          <w:szCs w:val="32"/>
        </w:rPr>
      </w:pPr>
      <w:r>
        <w:rPr>
          <w:rFonts w:hint="eastAsia" w:asciiTheme="minorEastAsia" w:hAnsiTheme="minorEastAsia" w:eastAsiaTheme="minorEastAsia" w:cstheme="minorEastAsia"/>
          <w:sz w:val="32"/>
          <w:szCs w:val="32"/>
        </w:rPr>
        <w:t>（中标后提供）</w:t>
      </w:r>
    </w:p>
    <w:p w14:paraId="223CF2C6">
      <w:pPr>
        <w:pStyle w:val="45"/>
        <w:snapToGrid w:val="0"/>
        <w:spacing w:line="520" w:lineRule="exact"/>
        <w:ind w:left="495" w:firstLine="48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致：（发包人）</w:t>
      </w:r>
    </w:p>
    <w:p w14:paraId="34D27152">
      <w:pPr>
        <w:pStyle w:val="45"/>
        <w:snapToGrid w:val="0"/>
        <w:spacing w:line="520" w:lineRule="exact"/>
        <w:ind w:left="491" w:leftChars="234" w:firstLine="48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 xml:space="preserve">(地  址)                             </w:t>
      </w:r>
    </w:p>
    <w:p w14:paraId="1632DBEE">
      <w:pPr>
        <w:pStyle w:val="45"/>
        <w:snapToGrid w:val="0"/>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鉴于_____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__[监理人的名称和地址]（下称监理人）已保证按中标通知书（编号：</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）实施</w:t>
      </w:r>
      <w:r>
        <w:rPr>
          <w:rFonts w:hint="eastAsia" w:asciiTheme="minorEastAsia" w:hAnsiTheme="minorEastAsia" w:eastAsiaTheme="minorEastAsia" w:cstheme="minorEastAsia"/>
          <w:sz w:val="28"/>
          <w:szCs w:val="28"/>
          <w:u w:val="single"/>
        </w:rPr>
        <w:t xml:space="preserve">              （工程名称）</w:t>
      </w:r>
      <w:r>
        <w:rPr>
          <w:rFonts w:hint="eastAsia" w:asciiTheme="minorEastAsia" w:hAnsiTheme="minorEastAsia" w:eastAsiaTheme="minorEastAsia" w:cstheme="minorEastAsia"/>
          <w:sz w:val="28"/>
          <w:szCs w:val="28"/>
        </w:rPr>
        <w:t>，又鉴于你方在招标文件中要求监理人按规定金额提交一份已经认可的银行保函作履约担保，本行已同意为监理人出具保函。</w:t>
      </w:r>
    </w:p>
    <w:p w14:paraId="746F4E93">
      <w:pPr>
        <w:pStyle w:val="45"/>
        <w:snapToGrid w:val="0"/>
        <w:spacing w:line="52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本行作为保证人在此代表监理人向你方确认承担支付人民币：</w:t>
      </w:r>
      <w:r>
        <w:rPr>
          <w:rFonts w:hint="eastAsia" w:asciiTheme="minorEastAsia" w:hAnsiTheme="minorEastAsia" w:eastAsiaTheme="minorEastAsia" w:cstheme="minorEastAsia"/>
          <w:sz w:val="28"/>
          <w:szCs w:val="28"/>
          <w:u w:val="single"/>
        </w:rPr>
        <w:t>（大写）          （小写：      ）</w:t>
      </w:r>
      <w:r>
        <w:rPr>
          <w:rFonts w:hint="eastAsia" w:asciiTheme="minorEastAsia" w:hAnsiTheme="minorEastAsia" w:eastAsiaTheme="minorEastAsia" w:cstheme="minorEastAsia"/>
          <w:sz w:val="28"/>
          <w:szCs w:val="28"/>
        </w:rPr>
        <w:t>的责任，在收到你方第一次书面付款要求后，不挑剔、不争辩、并不要求你方出具证明或说明理由，即在上述担保金范围内向你方支付。</w:t>
      </w:r>
    </w:p>
    <w:p w14:paraId="722BD4B1">
      <w:pPr>
        <w:pStyle w:val="45"/>
        <w:snapToGrid w:val="0"/>
        <w:spacing w:line="52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本行放弃你方应先向监理人要求索赔上述金额然后再向本行提出要求的权利。</w:t>
      </w:r>
    </w:p>
    <w:p w14:paraId="3649E501">
      <w:pPr>
        <w:pStyle w:val="45"/>
        <w:snapToGrid w:val="0"/>
        <w:spacing w:line="52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本行还同意，在你方和监理人之间的合同条件发生补充或修改后，本行所承担保函的责任不变，有关补充或修改亦无须通知本行。</w:t>
      </w:r>
    </w:p>
    <w:p w14:paraId="33F155FE">
      <w:pPr>
        <w:pStyle w:val="45"/>
        <w:snapToGrid w:val="0"/>
        <w:spacing w:line="52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本保函从合同生效之日起生效，有效期至</w:t>
      </w:r>
      <w:r>
        <w:rPr>
          <w:rFonts w:hint="eastAsia" w:asciiTheme="minorEastAsia" w:hAnsiTheme="minorEastAsia" w:eastAsiaTheme="minorEastAsia" w:cstheme="minorEastAsia"/>
          <w:sz w:val="28"/>
          <w:szCs w:val="28"/>
          <w:u w:val="single"/>
        </w:rPr>
        <w:t xml:space="preserve">     年   月   日</w:t>
      </w:r>
      <w:r>
        <w:rPr>
          <w:rFonts w:hint="eastAsia" w:asciiTheme="minorEastAsia" w:hAnsiTheme="minorEastAsia" w:eastAsiaTheme="minorEastAsia" w:cstheme="minorEastAsia"/>
          <w:sz w:val="28"/>
          <w:szCs w:val="28"/>
        </w:rPr>
        <w:t>止。</w:t>
      </w:r>
    </w:p>
    <w:p w14:paraId="78D7D585">
      <w:pPr>
        <w:pStyle w:val="45"/>
        <w:snapToGrid w:val="0"/>
        <w:spacing w:line="520" w:lineRule="exact"/>
        <w:ind w:left="493"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担保银行名称（公章）：</w:t>
      </w:r>
    </w:p>
    <w:p w14:paraId="3C216923">
      <w:pPr>
        <w:pStyle w:val="45"/>
        <w:snapToGrid w:val="0"/>
        <w:spacing w:line="520" w:lineRule="exact"/>
        <w:ind w:left="493"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法定代表人或其授权人（签章）：</w:t>
      </w:r>
    </w:p>
    <w:p w14:paraId="270033C0">
      <w:pPr>
        <w:pStyle w:val="45"/>
        <w:snapToGrid w:val="0"/>
        <w:spacing w:line="520" w:lineRule="exact"/>
        <w:ind w:left="493"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w:t>
      </w:r>
    </w:p>
    <w:p w14:paraId="59D2FBB2">
      <w:pPr>
        <w:pStyle w:val="45"/>
        <w:snapToGrid w:val="0"/>
        <w:spacing w:line="520" w:lineRule="exact"/>
        <w:ind w:left="493"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联系电话：</w:t>
      </w:r>
    </w:p>
    <w:p w14:paraId="4295E363">
      <w:pPr>
        <w:pStyle w:val="45"/>
        <w:snapToGrid w:val="0"/>
        <w:spacing w:line="520" w:lineRule="exact"/>
        <w:ind w:left="493"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地址：</w:t>
      </w:r>
    </w:p>
    <w:p w14:paraId="73DE4737">
      <w:pPr>
        <w:pStyle w:val="45"/>
        <w:snapToGrid w:val="0"/>
        <w:spacing w:line="520" w:lineRule="exact"/>
        <w:ind w:left="493"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w:t>
      </w:r>
    </w:p>
    <w:p w14:paraId="44E4334C">
      <w:pPr>
        <w:rPr>
          <w:rFonts w:hint="eastAsia" w:asciiTheme="minorEastAsia" w:hAnsiTheme="minorEastAsia" w:eastAsiaTheme="minorEastAsia" w:cstheme="minorEastAsia"/>
          <w:lang w:eastAsia="zh-Hans"/>
        </w:rPr>
      </w:pPr>
    </w:p>
    <w:p w14:paraId="54F987F5">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bookmarkStart w:id="193" w:name="_Toc18998"/>
      <w:bookmarkStart w:id="194" w:name="_Toc31185"/>
      <w:bookmarkStart w:id="195" w:name="_Toc536273806"/>
      <w:r>
        <w:rPr>
          <w:rFonts w:hint="eastAsia" w:asciiTheme="minorEastAsia" w:hAnsiTheme="minorEastAsia" w:eastAsiaTheme="minorEastAsia" w:cstheme="minorEastAsia"/>
        </w:rPr>
        <w:t>附件5：</w:t>
      </w:r>
      <w:bookmarkEnd w:id="187"/>
      <w:bookmarkEnd w:id="188"/>
      <w:bookmarkEnd w:id="189"/>
      <w:bookmarkEnd w:id="190"/>
      <w:bookmarkEnd w:id="191"/>
      <w:r>
        <w:rPr>
          <w:rFonts w:hint="eastAsia" w:asciiTheme="minorEastAsia" w:hAnsiTheme="minorEastAsia" w:eastAsiaTheme="minorEastAsia" w:cstheme="minorEastAsia"/>
        </w:rPr>
        <w:t>招标控制价及投标报价文件</w:t>
      </w:r>
      <w:bookmarkEnd w:id="192"/>
      <w:bookmarkEnd w:id="193"/>
      <w:bookmarkEnd w:id="194"/>
      <w:bookmarkEnd w:id="195"/>
    </w:p>
    <w:p w14:paraId="7F035DA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14:paraId="44961CE6">
      <w:pPr>
        <w:pStyle w:val="3"/>
        <w:rPr>
          <w:rFonts w:hint="eastAsia" w:asciiTheme="minorEastAsia" w:hAnsiTheme="minorEastAsia" w:eastAsiaTheme="minorEastAsia" w:cstheme="minorEastAsia"/>
        </w:rPr>
      </w:pPr>
      <w:bookmarkStart w:id="196" w:name="_Toc30278"/>
      <w:bookmarkStart w:id="197" w:name="_Toc11387"/>
      <w:bookmarkStart w:id="198" w:name="_Toc23891"/>
      <w:bookmarkStart w:id="199" w:name="_Toc44410123"/>
      <w:bookmarkStart w:id="200" w:name="_Toc13757"/>
      <w:bookmarkStart w:id="201" w:name="_Toc31453"/>
      <w:bookmarkStart w:id="202" w:name="_Toc2917"/>
      <w:bookmarkStart w:id="203" w:name="_Toc20363"/>
      <w:bookmarkStart w:id="204" w:name="_Toc18967"/>
      <w:bookmarkStart w:id="205" w:name="_Toc31646"/>
      <w:bookmarkStart w:id="206" w:name="_Toc12540"/>
      <w:bookmarkStart w:id="207" w:name="_Toc4996"/>
      <w:bookmarkStart w:id="208" w:name="_Toc24841"/>
      <w:bookmarkStart w:id="209" w:name="_Toc20884"/>
      <w:r>
        <w:rPr>
          <w:rFonts w:hint="eastAsia" w:asciiTheme="minorEastAsia" w:hAnsiTheme="minorEastAsia" w:eastAsiaTheme="minorEastAsia" w:cstheme="minorEastAsia"/>
        </w:rPr>
        <w:br w:type="page"/>
      </w:r>
      <w:bookmarkStart w:id="210" w:name="_Toc164990983"/>
      <w:bookmarkStart w:id="211" w:name="_Toc22362"/>
      <w:bookmarkStart w:id="212" w:name="_Toc108175608"/>
      <w:bookmarkStart w:id="213" w:name="_Toc29577"/>
      <w:r>
        <w:rPr>
          <w:rFonts w:hint="eastAsia" w:asciiTheme="minorEastAsia" w:hAnsiTheme="minorEastAsia" w:eastAsiaTheme="minorEastAsia" w:cstheme="minorEastAsia"/>
        </w:rPr>
        <w:t>附件6：招标文件及投标文件其他关键页（备注：如答疑纪要、拟投入人员表及资质、拟投入设备等）</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552C2A3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14:paraId="0E02307C">
      <w:pPr>
        <w:rPr>
          <w:rFonts w:hint="eastAsia" w:asciiTheme="minorEastAsia" w:hAnsiTheme="minorEastAsia" w:eastAsiaTheme="minorEastAsia" w:cstheme="minorEastAsia"/>
        </w:rPr>
      </w:pPr>
      <w:bookmarkStart w:id="214" w:name="_Toc2443"/>
      <w:bookmarkStart w:id="215" w:name="_Toc9610"/>
      <w:bookmarkStart w:id="216" w:name="_Toc43754171"/>
      <w:bookmarkStart w:id="217" w:name="_Toc32215"/>
      <w:bookmarkStart w:id="218" w:name="_Toc15959"/>
      <w:bookmarkStart w:id="219" w:name="_Toc1381"/>
      <w:bookmarkStart w:id="220" w:name="_Toc10032"/>
      <w:bookmarkStart w:id="221" w:name="_Toc6962"/>
      <w:bookmarkStart w:id="222" w:name="_Toc1969"/>
      <w:bookmarkStart w:id="223" w:name="_Toc44410125"/>
      <w:bookmarkStart w:id="224" w:name="_Toc5557"/>
      <w:bookmarkStart w:id="225" w:name="_Toc22389"/>
      <w:bookmarkStart w:id="226" w:name="_Toc29478"/>
      <w:bookmarkStart w:id="227" w:name="_Toc17972"/>
      <w:bookmarkStart w:id="228" w:name="_Toc3699"/>
      <w:bookmarkStart w:id="229" w:name="_Toc3981"/>
      <w:r>
        <w:rPr>
          <w:rFonts w:hint="eastAsia" w:asciiTheme="minorEastAsia" w:hAnsiTheme="minorEastAsia" w:eastAsiaTheme="minorEastAsia" w:cstheme="minorEastAsia"/>
        </w:rPr>
        <w:br w:type="page"/>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Start w:id="230" w:name="_Toc108175610"/>
      <w:bookmarkStart w:id="231" w:name="_Toc2077447211"/>
    </w:p>
    <w:p w14:paraId="5B948020">
      <w:pPr>
        <w:pStyle w:val="3"/>
        <w:rPr>
          <w:rFonts w:hint="eastAsia" w:asciiTheme="minorEastAsia" w:hAnsiTheme="minorEastAsia" w:eastAsiaTheme="minorEastAsia" w:cstheme="minorEastAsia"/>
        </w:rPr>
      </w:pPr>
      <w:bookmarkStart w:id="232" w:name="_Toc30627"/>
      <w:bookmarkStart w:id="233" w:name="_Toc22104"/>
      <w:r>
        <w:rPr>
          <w:rFonts w:hint="eastAsia" w:asciiTheme="minorEastAsia" w:hAnsiTheme="minorEastAsia" w:eastAsiaTheme="minorEastAsia" w:cstheme="minorEastAsia"/>
        </w:rPr>
        <w:t>附件7：</w:t>
      </w:r>
      <w:bookmarkStart w:id="234" w:name="_Hlk204337666"/>
      <w:r>
        <w:rPr>
          <w:rFonts w:hint="eastAsia" w:asciiTheme="minorEastAsia" w:hAnsiTheme="minorEastAsia" w:eastAsiaTheme="minorEastAsia" w:cstheme="minorEastAsia"/>
        </w:rPr>
        <w:t>监理违约处罚明细表</w:t>
      </w:r>
      <w:bookmarkEnd w:id="230"/>
      <w:bookmarkEnd w:id="231"/>
      <w:bookmarkEnd w:id="232"/>
      <w:bookmarkEnd w:id="233"/>
      <w:bookmarkEnd w:id="234"/>
    </w:p>
    <w:p w14:paraId="259A61CE">
      <w:pPr>
        <w:widowControl/>
        <w:ind w:firstLine="2570" w:firstLineChars="800"/>
        <w:jc w:val="left"/>
        <w:rPr>
          <w:rFonts w:hint="eastAsia" w:asciiTheme="minorEastAsia" w:hAnsiTheme="minorEastAsia" w:eastAsiaTheme="minorEastAsia" w:cstheme="minorEastAsia"/>
          <w:b/>
          <w:kern w:val="10"/>
          <w:sz w:val="32"/>
          <w:szCs w:val="32"/>
        </w:rPr>
      </w:pPr>
      <w:r>
        <w:rPr>
          <w:rFonts w:hint="eastAsia" w:asciiTheme="minorEastAsia" w:hAnsiTheme="minorEastAsia" w:eastAsiaTheme="minorEastAsia" w:cstheme="minorEastAsia"/>
          <w:b/>
          <w:kern w:val="10"/>
          <w:sz w:val="32"/>
          <w:szCs w:val="32"/>
        </w:rPr>
        <w:t>监理违约处罚明细表</w:t>
      </w:r>
    </w:p>
    <w:tbl>
      <w:tblPr>
        <w:tblStyle w:val="26"/>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063"/>
        <w:gridCol w:w="6226"/>
        <w:gridCol w:w="1057"/>
      </w:tblGrid>
      <w:tr w14:paraId="680C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2" w:type="dxa"/>
            <w:vAlign w:val="center"/>
          </w:tcPr>
          <w:p w14:paraId="16A73E7E">
            <w:pPr>
              <w:widowControl/>
              <w:jc w:val="center"/>
              <w:rPr>
                <w:rFonts w:hint="eastAsia" w:asciiTheme="minorEastAsia" w:hAnsiTheme="minorEastAsia" w:eastAsiaTheme="minorEastAsia" w:cstheme="minorEastAsia"/>
                <w:b/>
                <w:bCs/>
                <w:color w:val="auto"/>
                <w:sz w:val="18"/>
                <w:szCs w:val="18"/>
              </w:rPr>
            </w:pPr>
            <w:bookmarkStart w:id="240" w:name="_GoBack"/>
            <w:r>
              <w:rPr>
                <w:rFonts w:hint="eastAsia" w:asciiTheme="minorEastAsia" w:hAnsiTheme="minorEastAsia" w:eastAsiaTheme="minorEastAsia" w:cstheme="minorEastAsia"/>
                <w:b/>
                <w:bCs/>
                <w:color w:val="auto"/>
                <w:sz w:val="18"/>
                <w:szCs w:val="18"/>
              </w:rPr>
              <w:t>序号</w:t>
            </w:r>
          </w:p>
        </w:tc>
        <w:tc>
          <w:tcPr>
            <w:tcW w:w="1063" w:type="dxa"/>
            <w:vAlign w:val="center"/>
          </w:tcPr>
          <w:p w14:paraId="20C4C06D">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项目名称</w:t>
            </w:r>
          </w:p>
        </w:tc>
        <w:tc>
          <w:tcPr>
            <w:tcW w:w="6226" w:type="dxa"/>
            <w:vAlign w:val="center"/>
          </w:tcPr>
          <w:p w14:paraId="4CF44992">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违约责任条款</w:t>
            </w:r>
          </w:p>
        </w:tc>
        <w:tc>
          <w:tcPr>
            <w:tcW w:w="1057" w:type="dxa"/>
            <w:vAlign w:val="center"/>
          </w:tcPr>
          <w:p w14:paraId="5E8E6C6B">
            <w:pPr>
              <w:widowControl/>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处罚金额（元）</w:t>
            </w:r>
          </w:p>
        </w:tc>
      </w:tr>
      <w:tr w14:paraId="2F3E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14:paraId="483171F6">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1</w:t>
            </w:r>
          </w:p>
        </w:tc>
        <w:tc>
          <w:tcPr>
            <w:tcW w:w="1063" w:type="dxa"/>
            <w:vAlign w:val="center"/>
          </w:tcPr>
          <w:p w14:paraId="5EF5748C">
            <w:pPr>
              <w:widowControl/>
              <w:jc w:val="center"/>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color w:val="auto"/>
                <w:sz w:val="18"/>
                <w:szCs w:val="18"/>
              </w:rPr>
              <w:t>人员管理</w:t>
            </w:r>
          </w:p>
        </w:tc>
        <w:tc>
          <w:tcPr>
            <w:tcW w:w="6226" w:type="dxa"/>
            <w:vAlign w:val="center"/>
          </w:tcPr>
          <w:p w14:paraId="512DD524">
            <w:pPr>
              <w:widowControl/>
              <w:jc w:val="center"/>
              <w:rPr>
                <w:rFonts w:hint="eastAsia" w:asciiTheme="minorEastAsia" w:hAnsiTheme="minorEastAsia" w:eastAsiaTheme="minorEastAsia" w:cstheme="minorEastAsia"/>
                <w:b/>
                <w:bCs/>
                <w:color w:val="auto"/>
                <w:sz w:val="18"/>
                <w:szCs w:val="18"/>
              </w:rPr>
            </w:pPr>
          </w:p>
        </w:tc>
        <w:tc>
          <w:tcPr>
            <w:tcW w:w="1057" w:type="dxa"/>
            <w:vAlign w:val="center"/>
          </w:tcPr>
          <w:p w14:paraId="280C61EF">
            <w:pPr>
              <w:widowControl/>
              <w:jc w:val="center"/>
              <w:rPr>
                <w:rFonts w:hint="eastAsia" w:asciiTheme="minorEastAsia" w:hAnsiTheme="minorEastAsia" w:eastAsiaTheme="minorEastAsia" w:cstheme="minorEastAsia"/>
                <w:b/>
                <w:bCs/>
                <w:color w:val="auto"/>
                <w:sz w:val="18"/>
                <w:szCs w:val="18"/>
              </w:rPr>
            </w:pPr>
          </w:p>
        </w:tc>
      </w:tr>
      <w:tr w14:paraId="4A97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14:paraId="5B9C9359">
            <w:pPr>
              <w:widowControl/>
              <w:jc w:val="center"/>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1.1</w:t>
            </w:r>
          </w:p>
        </w:tc>
        <w:tc>
          <w:tcPr>
            <w:tcW w:w="1063" w:type="dxa"/>
            <w:vAlign w:val="center"/>
          </w:tcPr>
          <w:p w14:paraId="07590427">
            <w:pPr>
              <w:widowControl/>
              <w:jc w:val="center"/>
              <w:rPr>
                <w:rFonts w:hint="eastAsia" w:asciiTheme="minorEastAsia" w:hAnsiTheme="minorEastAsia" w:eastAsiaTheme="minorEastAsia" w:cstheme="minorEastAsia"/>
                <w:color w:val="auto"/>
                <w:sz w:val="18"/>
                <w:szCs w:val="18"/>
              </w:rPr>
            </w:pPr>
          </w:p>
        </w:tc>
        <w:tc>
          <w:tcPr>
            <w:tcW w:w="6226" w:type="dxa"/>
            <w:vAlign w:val="center"/>
          </w:tcPr>
          <w:p w14:paraId="56B3F45B">
            <w:pPr>
              <w:widowControl/>
              <w:topLinePunct/>
              <w:adjustRightInd w:val="0"/>
              <w:snapToGrid w:val="0"/>
              <w:jc w:val="left"/>
              <w:rPr>
                <w:rFonts w:hint="eastAsia" w:asciiTheme="minorEastAsia" w:hAnsiTheme="minorEastAsia" w:eastAsiaTheme="minorEastAsia" w:cstheme="minorEastAsia"/>
                <w:bCs/>
                <w:snapToGrid w:val="0"/>
                <w:color w:val="auto"/>
                <w:spacing w:val="4"/>
                <w:kern w:val="0"/>
                <w:sz w:val="18"/>
                <w:szCs w:val="18"/>
              </w:rPr>
            </w:pPr>
            <w:r>
              <w:rPr>
                <w:rFonts w:hint="eastAsia" w:asciiTheme="minorEastAsia" w:hAnsiTheme="minorEastAsia" w:eastAsiaTheme="minorEastAsia" w:cstheme="minorEastAsia"/>
                <w:snapToGrid w:val="0"/>
                <w:color w:val="auto"/>
                <w:spacing w:val="4"/>
                <w:kern w:val="0"/>
                <w:sz w:val="18"/>
                <w:szCs w:val="18"/>
              </w:rPr>
              <w:t>在发包人、发包人的上级建设主管部门组织的现场检查中，总监理工程师或专业监理工程师累计不在现场超过两次。发生上述任何情形之一，予以通报批评一次并处以罚款。</w:t>
            </w:r>
          </w:p>
        </w:tc>
        <w:tc>
          <w:tcPr>
            <w:tcW w:w="1057" w:type="dxa"/>
            <w:vAlign w:val="center"/>
          </w:tcPr>
          <w:p w14:paraId="175E7B55">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10000</w:t>
            </w:r>
          </w:p>
        </w:tc>
      </w:tr>
      <w:tr w14:paraId="63B1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tcBorders>
              <w:top w:val="nil"/>
            </w:tcBorders>
            <w:vAlign w:val="center"/>
          </w:tcPr>
          <w:p w14:paraId="1251E5D0">
            <w:pPr>
              <w:widowControl/>
              <w:jc w:val="center"/>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1.2</w:t>
            </w:r>
          </w:p>
        </w:tc>
        <w:tc>
          <w:tcPr>
            <w:tcW w:w="1063" w:type="dxa"/>
            <w:tcBorders>
              <w:top w:val="nil"/>
            </w:tcBorders>
            <w:vAlign w:val="center"/>
          </w:tcPr>
          <w:p w14:paraId="14278695">
            <w:pPr>
              <w:widowControl/>
              <w:jc w:val="center"/>
              <w:rPr>
                <w:rFonts w:hint="eastAsia" w:asciiTheme="minorEastAsia" w:hAnsiTheme="minorEastAsia" w:eastAsiaTheme="minorEastAsia" w:cstheme="minorEastAsia"/>
                <w:color w:val="auto"/>
                <w:sz w:val="18"/>
                <w:szCs w:val="18"/>
              </w:rPr>
            </w:pPr>
          </w:p>
        </w:tc>
        <w:tc>
          <w:tcPr>
            <w:tcW w:w="6226" w:type="dxa"/>
            <w:tcBorders>
              <w:top w:val="nil"/>
            </w:tcBorders>
            <w:vAlign w:val="center"/>
          </w:tcPr>
          <w:p w14:paraId="33D22A3E">
            <w:pPr>
              <w:widowControl/>
              <w:topLinePunct/>
              <w:adjustRightInd w:val="0"/>
              <w:snapToGrid w:val="0"/>
              <w:jc w:val="left"/>
              <w:rPr>
                <w:rFonts w:hint="eastAsia" w:asciiTheme="minorEastAsia" w:hAnsiTheme="minorEastAsia" w:eastAsiaTheme="minorEastAsia" w:cstheme="minorEastAsia"/>
                <w:bCs/>
                <w:snapToGrid w:val="0"/>
                <w:color w:val="auto"/>
                <w:spacing w:val="4"/>
                <w:kern w:val="0"/>
                <w:sz w:val="18"/>
                <w:szCs w:val="18"/>
              </w:rPr>
            </w:pPr>
            <w:r>
              <w:rPr>
                <w:rFonts w:hint="eastAsia" w:asciiTheme="minorEastAsia" w:hAnsiTheme="minorEastAsia" w:eastAsiaTheme="minorEastAsia" w:cstheme="minorEastAsia"/>
                <w:snapToGrid w:val="0"/>
                <w:color w:val="auto"/>
                <w:spacing w:val="4"/>
                <w:kern w:val="0"/>
                <w:sz w:val="18"/>
                <w:szCs w:val="18"/>
              </w:rPr>
              <w:t>投标文件中承诺的监理工程师资质与事实不符的，按不符的人数，每人扣减相应监理费，并更换监理工程师，更换后的监理工程师应满足招标文件要求，更换后仍然不能满足招标文件要求和投标文件承诺的，发包人有权扣减监理费总额5%的违约金。</w:t>
            </w:r>
          </w:p>
        </w:tc>
        <w:tc>
          <w:tcPr>
            <w:tcW w:w="1057" w:type="dxa"/>
            <w:vAlign w:val="center"/>
          </w:tcPr>
          <w:p w14:paraId="4D8C2AB5">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10000</w:t>
            </w:r>
          </w:p>
        </w:tc>
      </w:tr>
      <w:tr w14:paraId="20EC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14:paraId="4666707A">
            <w:pPr>
              <w:widowControl/>
              <w:jc w:val="center"/>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1.3</w:t>
            </w:r>
          </w:p>
        </w:tc>
        <w:tc>
          <w:tcPr>
            <w:tcW w:w="1063" w:type="dxa"/>
            <w:vAlign w:val="center"/>
          </w:tcPr>
          <w:p w14:paraId="7F1A15A8">
            <w:pPr>
              <w:widowControl/>
              <w:jc w:val="center"/>
              <w:rPr>
                <w:rFonts w:hint="eastAsia" w:asciiTheme="minorEastAsia" w:hAnsiTheme="minorEastAsia" w:eastAsiaTheme="minorEastAsia" w:cstheme="minorEastAsia"/>
                <w:color w:val="auto"/>
                <w:sz w:val="18"/>
                <w:szCs w:val="18"/>
              </w:rPr>
            </w:pPr>
          </w:p>
        </w:tc>
        <w:tc>
          <w:tcPr>
            <w:tcW w:w="6226" w:type="dxa"/>
            <w:vAlign w:val="center"/>
          </w:tcPr>
          <w:p w14:paraId="402D2093">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Cs/>
                <w:color w:val="auto"/>
                <w:sz w:val="18"/>
                <w:szCs w:val="18"/>
              </w:rPr>
              <w:t>监理人员每人每次更换，分别扣减A（总监）;B（副总监/总监代表、合同管理工程师/计量工程师）；C（专业监理工程师）或（一般监理工程师）D（监理员）。监理人未经发包人同意更换人员，或人员资质不能满足招标文件要求和投标文件的承诺的，发包人有权</w:t>
            </w:r>
            <w:r>
              <w:rPr>
                <w:rFonts w:hint="eastAsia" w:asciiTheme="minorEastAsia" w:hAnsiTheme="minorEastAsia" w:eastAsiaTheme="minorEastAsia" w:cstheme="minorEastAsia"/>
                <w:color w:val="auto"/>
                <w:sz w:val="18"/>
                <w:szCs w:val="18"/>
              </w:rPr>
              <w:t>扣减监理费总额5%的违约金。</w:t>
            </w:r>
          </w:p>
        </w:tc>
        <w:tc>
          <w:tcPr>
            <w:tcW w:w="1057" w:type="dxa"/>
            <w:vAlign w:val="center"/>
          </w:tcPr>
          <w:p w14:paraId="5A42E538">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A.20000</w:t>
            </w:r>
          </w:p>
          <w:p w14:paraId="36DC0ABB">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B.15000</w:t>
            </w:r>
          </w:p>
          <w:p w14:paraId="0677E866">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C.10000</w:t>
            </w:r>
          </w:p>
          <w:p w14:paraId="2F9F7781">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D 5000</w:t>
            </w:r>
          </w:p>
        </w:tc>
      </w:tr>
      <w:tr w14:paraId="098B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14:paraId="1EA1E14D">
            <w:pPr>
              <w:widowControl/>
              <w:jc w:val="center"/>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1.4</w:t>
            </w:r>
          </w:p>
        </w:tc>
        <w:tc>
          <w:tcPr>
            <w:tcW w:w="1063" w:type="dxa"/>
            <w:vAlign w:val="center"/>
          </w:tcPr>
          <w:p w14:paraId="5A4F36AB">
            <w:pPr>
              <w:widowControl/>
              <w:jc w:val="center"/>
              <w:rPr>
                <w:rFonts w:hint="eastAsia" w:asciiTheme="minorEastAsia" w:hAnsiTheme="minorEastAsia" w:eastAsiaTheme="minorEastAsia" w:cstheme="minorEastAsia"/>
                <w:color w:val="auto"/>
                <w:sz w:val="18"/>
                <w:szCs w:val="18"/>
              </w:rPr>
            </w:pPr>
          </w:p>
        </w:tc>
        <w:tc>
          <w:tcPr>
            <w:tcW w:w="6226" w:type="dxa"/>
            <w:vAlign w:val="center"/>
          </w:tcPr>
          <w:p w14:paraId="5137A3E9">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Cs/>
                <w:color w:val="auto"/>
                <w:sz w:val="18"/>
                <w:szCs w:val="18"/>
              </w:rPr>
              <w:t>项目施工期间，项目总监理工程师每月驻场不少于20天，在工作日未经发包人代表批准不在场，每天扣减监理费A。各专业监理工程师在工作日内因事离场1天以内应经总监理工程师批准，2天或2天以上应经发包人代表批准，否则须接受发包人通报批评并每人每次扣减监理费B</w:t>
            </w:r>
          </w:p>
        </w:tc>
        <w:tc>
          <w:tcPr>
            <w:tcW w:w="1057" w:type="dxa"/>
            <w:vAlign w:val="center"/>
          </w:tcPr>
          <w:p w14:paraId="1D62E279">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A.2000</w:t>
            </w:r>
          </w:p>
          <w:p w14:paraId="4D00CFC8">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B.1000</w:t>
            </w:r>
          </w:p>
        </w:tc>
      </w:tr>
      <w:tr w14:paraId="004D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14:paraId="6F753464">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2</w:t>
            </w:r>
          </w:p>
        </w:tc>
        <w:tc>
          <w:tcPr>
            <w:tcW w:w="1063" w:type="dxa"/>
            <w:vAlign w:val="center"/>
          </w:tcPr>
          <w:p w14:paraId="31FA60FB">
            <w:pPr>
              <w:widowControl/>
              <w:jc w:val="center"/>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color w:val="auto"/>
                <w:sz w:val="18"/>
                <w:szCs w:val="18"/>
              </w:rPr>
              <w:t>监理工作管理</w:t>
            </w:r>
          </w:p>
        </w:tc>
        <w:tc>
          <w:tcPr>
            <w:tcW w:w="6226" w:type="dxa"/>
            <w:vAlign w:val="center"/>
          </w:tcPr>
          <w:p w14:paraId="68A9DFAF">
            <w:pPr>
              <w:widowControl/>
              <w:jc w:val="left"/>
              <w:rPr>
                <w:rFonts w:hint="eastAsia" w:asciiTheme="minorEastAsia" w:hAnsiTheme="minorEastAsia" w:eastAsiaTheme="minorEastAsia" w:cstheme="minorEastAsia"/>
                <w:color w:val="auto"/>
                <w:sz w:val="18"/>
                <w:szCs w:val="18"/>
              </w:rPr>
            </w:pPr>
          </w:p>
        </w:tc>
        <w:tc>
          <w:tcPr>
            <w:tcW w:w="1057" w:type="dxa"/>
            <w:vAlign w:val="center"/>
          </w:tcPr>
          <w:p w14:paraId="36B10B6A">
            <w:pPr>
              <w:widowControl/>
              <w:jc w:val="center"/>
              <w:rPr>
                <w:rFonts w:hint="eastAsia" w:asciiTheme="minorEastAsia" w:hAnsiTheme="minorEastAsia" w:eastAsiaTheme="minorEastAsia" w:cstheme="minorEastAsia"/>
                <w:b/>
                <w:bCs/>
                <w:color w:val="auto"/>
                <w:sz w:val="18"/>
                <w:szCs w:val="18"/>
              </w:rPr>
            </w:pPr>
          </w:p>
        </w:tc>
      </w:tr>
      <w:tr w14:paraId="73C9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14:paraId="7376D0E2">
            <w:pPr>
              <w:widowControl/>
              <w:jc w:val="center"/>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2.1</w:t>
            </w:r>
          </w:p>
        </w:tc>
        <w:tc>
          <w:tcPr>
            <w:tcW w:w="1063" w:type="dxa"/>
            <w:vAlign w:val="center"/>
          </w:tcPr>
          <w:p w14:paraId="2F303825">
            <w:pPr>
              <w:widowControl/>
              <w:jc w:val="center"/>
              <w:rPr>
                <w:rFonts w:hint="eastAsia" w:asciiTheme="minorEastAsia" w:hAnsiTheme="minorEastAsia" w:eastAsiaTheme="minorEastAsia" w:cstheme="minorEastAsia"/>
                <w:color w:val="auto"/>
                <w:sz w:val="18"/>
                <w:szCs w:val="18"/>
              </w:rPr>
            </w:pPr>
          </w:p>
        </w:tc>
        <w:tc>
          <w:tcPr>
            <w:tcW w:w="6226" w:type="dxa"/>
            <w:vAlign w:val="center"/>
          </w:tcPr>
          <w:p w14:paraId="0440F0BD">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Cs/>
                <w:color w:val="auto"/>
                <w:sz w:val="18"/>
                <w:szCs w:val="18"/>
              </w:rPr>
              <w:t>未能在开工前将监理规划和监理实施细则报送发包人的，每延误一天扣减相应监理费。</w:t>
            </w:r>
          </w:p>
        </w:tc>
        <w:tc>
          <w:tcPr>
            <w:tcW w:w="1057" w:type="dxa"/>
            <w:vAlign w:val="center"/>
          </w:tcPr>
          <w:p w14:paraId="0798F66C">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1000</w:t>
            </w:r>
          </w:p>
        </w:tc>
      </w:tr>
      <w:tr w14:paraId="779F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14:paraId="07252A4A">
            <w:pPr>
              <w:widowControl/>
              <w:jc w:val="center"/>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2.2</w:t>
            </w:r>
          </w:p>
        </w:tc>
        <w:tc>
          <w:tcPr>
            <w:tcW w:w="1063" w:type="dxa"/>
            <w:vAlign w:val="center"/>
          </w:tcPr>
          <w:p w14:paraId="24110CB1">
            <w:pPr>
              <w:widowControl/>
              <w:jc w:val="center"/>
              <w:rPr>
                <w:rFonts w:hint="eastAsia" w:asciiTheme="minorEastAsia" w:hAnsiTheme="minorEastAsia" w:eastAsiaTheme="minorEastAsia" w:cstheme="minorEastAsia"/>
                <w:b/>
                <w:color w:val="auto"/>
                <w:sz w:val="18"/>
                <w:szCs w:val="18"/>
              </w:rPr>
            </w:pPr>
          </w:p>
        </w:tc>
        <w:tc>
          <w:tcPr>
            <w:tcW w:w="6226" w:type="dxa"/>
            <w:vAlign w:val="center"/>
          </w:tcPr>
          <w:p w14:paraId="177F2C77">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Cs/>
                <w:color w:val="auto"/>
                <w:sz w:val="18"/>
                <w:szCs w:val="18"/>
              </w:rPr>
              <w:t>施工过程中监理人应对施工图纸的错误及时提出意见，并根据现场的实际施工情况，每月向发包人上报施工图纸存在问题的修改情况。未尽监理职责，对施工图纸出现重大错误未发现或未提出意见的，每次扣减相应监理费。</w:t>
            </w:r>
          </w:p>
        </w:tc>
        <w:tc>
          <w:tcPr>
            <w:tcW w:w="1057" w:type="dxa"/>
            <w:vAlign w:val="center"/>
          </w:tcPr>
          <w:p w14:paraId="36DB3B01">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30000</w:t>
            </w:r>
          </w:p>
        </w:tc>
      </w:tr>
      <w:tr w14:paraId="547D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14:paraId="3A5CD5D3">
            <w:pPr>
              <w:widowControl/>
              <w:jc w:val="center"/>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2.3</w:t>
            </w:r>
          </w:p>
        </w:tc>
        <w:tc>
          <w:tcPr>
            <w:tcW w:w="1063" w:type="dxa"/>
            <w:vAlign w:val="center"/>
          </w:tcPr>
          <w:p w14:paraId="78A7C9EA">
            <w:pPr>
              <w:widowControl/>
              <w:jc w:val="center"/>
              <w:rPr>
                <w:rFonts w:hint="eastAsia" w:asciiTheme="minorEastAsia" w:hAnsiTheme="minorEastAsia" w:eastAsiaTheme="minorEastAsia" w:cstheme="minorEastAsia"/>
                <w:b/>
                <w:color w:val="auto"/>
                <w:sz w:val="18"/>
                <w:szCs w:val="18"/>
              </w:rPr>
            </w:pPr>
          </w:p>
        </w:tc>
        <w:tc>
          <w:tcPr>
            <w:tcW w:w="6226" w:type="dxa"/>
            <w:vAlign w:val="center"/>
          </w:tcPr>
          <w:p w14:paraId="2AF14676">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Cs/>
                <w:color w:val="auto"/>
                <w:sz w:val="18"/>
                <w:szCs w:val="18"/>
              </w:rPr>
              <w:t>未能在相应工程项目开工前组织施工图纸会审、审查承包单位报送的施工组织设计（方案）或经监理人审核批准后的施工组织设计方案不合理，导致施工组织混乱的，每项扣减相应监理费，并按一般违约处理。</w:t>
            </w:r>
          </w:p>
        </w:tc>
        <w:tc>
          <w:tcPr>
            <w:tcW w:w="1057" w:type="dxa"/>
            <w:vAlign w:val="center"/>
          </w:tcPr>
          <w:p w14:paraId="0C84A5F9">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10000</w:t>
            </w:r>
          </w:p>
        </w:tc>
      </w:tr>
      <w:tr w14:paraId="5FBE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14:paraId="558C5CA4">
            <w:pPr>
              <w:widowControl/>
              <w:jc w:val="center"/>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2.4</w:t>
            </w:r>
          </w:p>
        </w:tc>
        <w:tc>
          <w:tcPr>
            <w:tcW w:w="1063" w:type="dxa"/>
            <w:vAlign w:val="center"/>
          </w:tcPr>
          <w:p w14:paraId="68AB9397">
            <w:pPr>
              <w:widowControl/>
              <w:jc w:val="center"/>
              <w:rPr>
                <w:rFonts w:hint="eastAsia" w:asciiTheme="minorEastAsia" w:hAnsiTheme="minorEastAsia" w:eastAsiaTheme="minorEastAsia" w:cstheme="minorEastAsia"/>
                <w:b/>
                <w:color w:val="auto"/>
                <w:sz w:val="18"/>
                <w:szCs w:val="18"/>
              </w:rPr>
            </w:pPr>
          </w:p>
        </w:tc>
        <w:tc>
          <w:tcPr>
            <w:tcW w:w="6226" w:type="dxa"/>
            <w:vAlign w:val="center"/>
          </w:tcPr>
          <w:p w14:paraId="2E0D888B">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Cs/>
                <w:color w:val="auto"/>
                <w:sz w:val="18"/>
                <w:szCs w:val="18"/>
              </w:rPr>
              <w:t>现场监理工程师应使用自备仪器独立测量、复核承包单位报送的控制桩的校核成果、控制桩的保护措施以及平面控制网、高程控制网和临时水准点的测量成果，保证测量精度。如果测量精度存在错误，监理人在复核过程中未能发现的，每次扣减相应监理费。</w:t>
            </w:r>
          </w:p>
        </w:tc>
        <w:tc>
          <w:tcPr>
            <w:tcW w:w="1057" w:type="dxa"/>
            <w:vAlign w:val="center"/>
          </w:tcPr>
          <w:p w14:paraId="5508F8E6">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15000</w:t>
            </w:r>
          </w:p>
        </w:tc>
      </w:tr>
      <w:tr w14:paraId="0FF8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14:paraId="77ED8FC5">
            <w:pPr>
              <w:widowControl/>
              <w:jc w:val="center"/>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2.5</w:t>
            </w:r>
          </w:p>
        </w:tc>
        <w:tc>
          <w:tcPr>
            <w:tcW w:w="1063" w:type="dxa"/>
            <w:vAlign w:val="center"/>
          </w:tcPr>
          <w:p w14:paraId="48D550EB">
            <w:pPr>
              <w:widowControl/>
              <w:jc w:val="center"/>
              <w:rPr>
                <w:rFonts w:hint="eastAsia" w:asciiTheme="minorEastAsia" w:hAnsiTheme="minorEastAsia" w:eastAsiaTheme="minorEastAsia" w:cstheme="minorEastAsia"/>
                <w:b/>
                <w:color w:val="auto"/>
                <w:sz w:val="18"/>
                <w:szCs w:val="18"/>
              </w:rPr>
            </w:pPr>
          </w:p>
        </w:tc>
        <w:tc>
          <w:tcPr>
            <w:tcW w:w="6226" w:type="dxa"/>
            <w:vAlign w:val="center"/>
          </w:tcPr>
          <w:p w14:paraId="6FDF35D0">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Cs/>
                <w:color w:val="auto"/>
                <w:sz w:val="18"/>
                <w:szCs w:val="18"/>
              </w:rPr>
              <w:t>在工程建设过程中，监理人必须实行全过程旁站监理，旁站监理人员数量符合合同约定；若发现监理人现场监理不到场，或监理人员不按经发包人批准的监理计划进场履行监理职责，根据对发包人的影响程度，每人每次不到场扣减相应监理费；并承担因现场监理人员不到场而引致的施工单位及发包人的工期延误损失。</w:t>
            </w:r>
          </w:p>
        </w:tc>
        <w:tc>
          <w:tcPr>
            <w:tcW w:w="1057" w:type="dxa"/>
            <w:vAlign w:val="center"/>
          </w:tcPr>
          <w:p w14:paraId="5292A747">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5000</w:t>
            </w:r>
          </w:p>
        </w:tc>
      </w:tr>
      <w:tr w14:paraId="55D9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14:paraId="07DC3E42">
            <w:pPr>
              <w:widowControl/>
              <w:jc w:val="center"/>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2.6</w:t>
            </w:r>
          </w:p>
        </w:tc>
        <w:tc>
          <w:tcPr>
            <w:tcW w:w="1063" w:type="dxa"/>
            <w:vAlign w:val="center"/>
          </w:tcPr>
          <w:p w14:paraId="4640785B">
            <w:pPr>
              <w:widowControl/>
              <w:jc w:val="center"/>
              <w:rPr>
                <w:rFonts w:hint="eastAsia" w:asciiTheme="minorEastAsia" w:hAnsiTheme="minorEastAsia" w:eastAsiaTheme="minorEastAsia" w:cstheme="minorEastAsia"/>
                <w:b/>
                <w:color w:val="auto"/>
                <w:sz w:val="18"/>
                <w:szCs w:val="18"/>
              </w:rPr>
            </w:pPr>
          </w:p>
        </w:tc>
        <w:tc>
          <w:tcPr>
            <w:tcW w:w="6226" w:type="dxa"/>
            <w:vAlign w:val="center"/>
          </w:tcPr>
          <w:p w14:paraId="0075376D">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Cs/>
                <w:color w:val="auto"/>
                <w:sz w:val="18"/>
                <w:szCs w:val="18"/>
              </w:rPr>
              <w:t>检测仪器及设备等未按投标文件承诺的数量、规格、时间进场的，每件每日扣减相应监理费。</w:t>
            </w:r>
          </w:p>
        </w:tc>
        <w:tc>
          <w:tcPr>
            <w:tcW w:w="1057" w:type="dxa"/>
            <w:vAlign w:val="center"/>
          </w:tcPr>
          <w:p w14:paraId="44821C1A">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2000</w:t>
            </w:r>
          </w:p>
        </w:tc>
      </w:tr>
      <w:tr w14:paraId="6B23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14:paraId="539218E6">
            <w:pPr>
              <w:widowControl/>
              <w:jc w:val="center"/>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2.7</w:t>
            </w:r>
          </w:p>
        </w:tc>
        <w:tc>
          <w:tcPr>
            <w:tcW w:w="1063" w:type="dxa"/>
            <w:vAlign w:val="center"/>
          </w:tcPr>
          <w:p w14:paraId="29725782">
            <w:pPr>
              <w:widowControl/>
              <w:jc w:val="center"/>
              <w:rPr>
                <w:rFonts w:hint="eastAsia" w:asciiTheme="minorEastAsia" w:hAnsiTheme="minorEastAsia" w:eastAsiaTheme="minorEastAsia" w:cstheme="minorEastAsia"/>
                <w:b/>
                <w:color w:val="auto"/>
                <w:sz w:val="18"/>
                <w:szCs w:val="18"/>
              </w:rPr>
            </w:pPr>
          </w:p>
        </w:tc>
        <w:tc>
          <w:tcPr>
            <w:tcW w:w="6226" w:type="dxa"/>
            <w:vAlign w:val="center"/>
          </w:tcPr>
          <w:p w14:paraId="031E151D">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Cs/>
                <w:color w:val="auto"/>
                <w:sz w:val="18"/>
                <w:szCs w:val="18"/>
              </w:rPr>
              <w:t>检测仪器及设备等在监理责任期间，不能保持良好运作性能的，应及时更换，否则每件每日扣减相应监理费</w:t>
            </w:r>
          </w:p>
        </w:tc>
        <w:tc>
          <w:tcPr>
            <w:tcW w:w="1057" w:type="dxa"/>
            <w:vAlign w:val="center"/>
          </w:tcPr>
          <w:p w14:paraId="6EAA2351">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2000</w:t>
            </w:r>
          </w:p>
        </w:tc>
      </w:tr>
      <w:tr w14:paraId="7908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14:paraId="68C12B87">
            <w:pPr>
              <w:widowControl/>
              <w:jc w:val="center"/>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2.8</w:t>
            </w:r>
          </w:p>
        </w:tc>
        <w:tc>
          <w:tcPr>
            <w:tcW w:w="1063" w:type="dxa"/>
            <w:vAlign w:val="center"/>
          </w:tcPr>
          <w:p w14:paraId="6C462F2B">
            <w:pPr>
              <w:widowControl/>
              <w:jc w:val="center"/>
              <w:rPr>
                <w:rFonts w:hint="eastAsia" w:asciiTheme="minorEastAsia" w:hAnsiTheme="minorEastAsia" w:eastAsiaTheme="minorEastAsia" w:cstheme="minorEastAsia"/>
                <w:b/>
                <w:color w:val="auto"/>
                <w:sz w:val="18"/>
                <w:szCs w:val="18"/>
              </w:rPr>
            </w:pPr>
          </w:p>
        </w:tc>
        <w:tc>
          <w:tcPr>
            <w:tcW w:w="6226" w:type="dxa"/>
            <w:vAlign w:val="center"/>
          </w:tcPr>
          <w:p w14:paraId="35301389">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Cs/>
                <w:color w:val="auto"/>
                <w:sz w:val="18"/>
                <w:szCs w:val="18"/>
              </w:rPr>
              <w:t>未按时提交监理周报、监理月报、监理总结、质量评估报告的，每次扣减相应监理费。</w:t>
            </w:r>
          </w:p>
        </w:tc>
        <w:tc>
          <w:tcPr>
            <w:tcW w:w="1057" w:type="dxa"/>
            <w:vAlign w:val="center"/>
          </w:tcPr>
          <w:p w14:paraId="18399A4D">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1000</w:t>
            </w:r>
          </w:p>
        </w:tc>
      </w:tr>
      <w:tr w14:paraId="33B6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14:paraId="1009534B">
            <w:pPr>
              <w:widowControl/>
              <w:jc w:val="center"/>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2.9</w:t>
            </w:r>
          </w:p>
        </w:tc>
        <w:tc>
          <w:tcPr>
            <w:tcW w:w="1063" w:type="dxa"/>
            <w:vAlign w:val="center"/>
          </w:tcPr>
          <w:p w14:paraId="2FA2BC81">
            <w:pPr>
              <w:widowControl/>
              <w:jc w:val="center"/>
              <w:rPr>
                <w:rFonts w:hint="eastAsia" w:asciiTheme="minorEastAsia" w:hAnsiTheme="minorEastAsia" w:eastAsiaTheme="minorEastAsia" w:cstheme="minorEastAsia"/>
                <w:b/>
                <w:color w:val="auto"/>
                <w:sz w:val="18"/>
                <w:szCs w:val="18"/>
              </w:rPr>
            </w:pPr>
          </w:p>
        </w:tc>
        <w:tc>
          <w:tcPr>
            <w:tcW w:w="6226" w:type="dxa"/>
            <w:vAlign w:val="center"/>
          </w:tcPr>
          <w:p w14:paraId="34FAA310">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Cs/>
                <w:color w:val="auto"/>
                <w:sz w:val="18"/>
                <w:szCs w:val="18"/>
              </w:rPr>
              <w:t>工程监理资料收集不齐、管理混乱的，或缺损原始记录的，工程资料把关不严，冒充人员签字等情形，每次扣减相应监理费。</w:t>
            </w:r>
          </w:p>
        </w:tc>
        <w:tc>
          <w:tcPr>
            <w:tcW w:w="1057" w:type="dxa"/>
            <w:vAlign w:val="center"/>
          </w:tcPr>
          <w:p w14:paraId="08CC3536">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5000</w:t>
            </w:r>
          </w:p>
        </w:tc>
      </w:tr>
      <w:tr w14:paraId="5E21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14:paraId="0639E5E8">
            <w:pPr>
              <w:widowControl/>
              <w:jc w:val="center"/>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2.10</w:t>
            </w:r>
          </w:p>
        </w:tc>
        <w:tc>
          <w:tcPr>
            <w:tcW w:w="1063" w:type="dxa"/>
            <w:vAlign w:val="center"/>
          </w:tcPr>
          <w:p w14:paraId="44C4AF56">
            <w:pPr>
              <w:widowControl/>
              <w:jc w:val="center"/>
              <w:rPr>
                <w:rFonts w:hint="eastAsia" w:asciiTheme="minorEastAsia" w:hAnsiTheme="minorEastAsia" w:eastAsiaTheme="minorEastAsia" w:cstheme="minorEastAsia"/>
                <w:b/>
                <w:color w:val="auto"/>
                <w:sz w:val="18"/>
                <w:szCs w:val="18"/>
              </w:rPr>
            </w:pPr>
          </w:p>
        </w:tc>
        <w:tc>
          <w:tcPr>
            <w:tcW w:w="6226" w:type="dxa"/>
            <w:vAlign w:val="center"/>
          </w:tcPr>
          <w:p w14:paraId="758FF19A">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Cs/>
                <w:color w:val="auto"/>
                <w:sz w:val="18"/>
                <w:szCs w:val="18"/>
              </w:rPr>
              <w:t>对工程暂停及复工、费用索赔、施工合同争议或解除的调解和处理以及其他监理工作，监理人不履行或怠于履行的，每次扣减相应监理费。</w:t>
            </w:r>
          </w:p>
        </w:tc>
        <w:tc>
          <w:tcPr>
            <w:tcW w:w="1057" w:type="dxa"/>
            <w:vAlign w:val="center"/>
          </w:tcPr>
          <w:p w14:paraId="2F2A2FD6">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5000</w:t>
            </w:r>
          </w:p>
        </w:tc>
      </w:tr>
      <w:tr w14:paraId="6628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14:paraId="7C3CD869">
            <w:pPr>
              <w:widowControl/>
              <w:jc w:val="center"/>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2.11</w:t>
            </w:r>
          </w:p>
        </w:tc>
        <w:tc>
          <w:tcPr>
            <w:tcW w:w="1063" w:type="dxa"/>
            <w:vAlign w:val="center"/>
          </w:tcPr>
          <w:p w14:paraId="720C02C5">
            <w:pPr>
              <w:widowControl/>
              <w:jc w:val="center"/>
              <w:rPr>
                <w:rFonts w:hint="eastAsia" w:asciiTheme="minorEastAsia" w:hAnsiTheme="minorEastAsia" w:eastAsiaTheme="minorEastAsia" w:cstheme="minorEastAsia"/>
                <w:b/>
                <w:color w:val="auto"/>
                <w:sz w:val="18"/>
                <w:szCs w:val="18"/>
              </w:rPr>
            </w:pPr>
          </w:p>
        </w:tc>
        <w:tc>
          <w:tcPr>
            <w:tcW w:w="6226" w:type="dxa"/>
            <w:vAlign w:val="center"/>
          </w:tcPr>
          <w:p w14:paraId="1394737F">
            <w:pPr>
              <w:widowControl/>
              <w:jc w:val="left"/>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color w:val="auto"/>
                <w:sz w:val="18"/>
                <w:szCs w:val="18"/>
              </w:rPr>
              <w:t>工程例会由监理人组织，到会单位不齐，监理人又未及时告知发包人有关通知联系情况的，从第三次起，每次扣罚</w:t>
            </w:r>
            <w:r>
              <w:rPr>
                <w:rFonts w:hint="eastAsia" w:asciiTheme="minorEastAsia" w:hAnsiTheme="minorEastAsia" w:eastAsiaTheme="minorEastAsia" w:cstheme="minorEastAsia"/>
                <w:bCs/>
                <w:color w:val="auto"/>
                <w:sz w:val="18"/>
                <w:szCs w:val="18"/>
              </w:rPr>
              <w:t>相应</w:t>
            </w:r>
            <w:r>
              <w:rPr>
                <w:rFonts w:hint="eastAsia" w:asciiTheme="minorEastAsia" w:hAnsiTheme="minorEastAsia" w:eastAsiaTheme="minorEastAsia" w:cstheme="minorEastAsia"/>
                <w:color w:val="auto"/>
                <w:sz w:val="18"/>
                <w:szCs w:val="18"/>
              </w:rPr>
              <w:t>监理费用。</w:t>
            </w:r>
          </w:p>
        </w:tc>
        <w:tc>
          <w:tcPr>
            <w:tcW w:w="1057" w:type="dxa"/>
            <w:vAlign w:val="center"/>
          </w:tcPr>
          <w:p w14:paraId="6B4C9E44">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6000</w:t>
            </w:r>
          </w:p>
        </w:tc>
      </w:tr>
      <w:tr w14:paraId="23E5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14:paraId="33CE739F">
            <w:pPr>
              <w:widowControl/>
              <w:jc w:val="center"/>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2.12</w:t>
            </w:r>
          </w:p>
        </w:tc>
        <w:tc>
          <w:tcPr>
            <w:tcW w:w="1063" w:type="dxa"/>
            <w:vAlign w:val="center"/>
          </w:tcPr>
          <w:p w14:paraId="1C5465B8">
            <w:pPr>
              <w:widowControl/>
              <w:jc w:val="center"/>
              <w:rPr>
                <w:rFonts w:hint="eastAsia" w:asciiTheme="minorEastAsia" w:hAnsiTheme="minorEastAsia" w:eastAsiaTheme="minorEastAsia" w:cstheme="minorEastAsia"/>
                <w:b/>
                <w:color w:val="auto"/>
                <w:sz w:val="18"/>
                <w:szCs w:val="18"/>
              </w:rPr>
            </w:pPr>
          </w:p>
        </w:tc>
        <w:tc>
          <w:tcPr>
            <w:tcW w:w="6226" w:type="dxa"/>
            <w:vAlign w:val="center"/>
          </w:tcPr>
          <w:p w14:paraId="53C97B33">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各方到现场处理设计变更或工程洽商，监理人不到场的，每次扣罚</w:t>
            </w:r>
            <w:r>
              <w:rPr>
                <w:rFonts w:hint="eastAsia" w:asciiTheme="minorEastAsia" w:hAnsiTheme="minorEastAsia" w:eastAsiaTheme="minorEastAsia" w:cstheme="minorEastAsia"/>
                <w:bCs/>
                <w:color w:val="auto"/>
                <w:sz w:val="18"/>
                <w:szCs w:val="18"/>
              </w:rPr>
              <w:t>相应</w:t>
            </w:r>
            <w:r>
              <w:rPr>
                <w:rFonts w:hint="eastAsia" w:asciiTheme="minorEastAsia" w:hAnsiTheme="minorEastAsia" w:eastAsiaTheme="minorEastAsia" w:cstheme="minorEastAsia"/>
                <w:color w:val="auto"/>
                <w:sz w:val="18"/>
                <w:szCs w:val="18"/>
              </w:rPr>
              <w:t>监理费用</w:t>
            </w:r>
          </w:p>
        </w:tc>
        <w:tc>
          <w:tcPr>
            <w:tcW w:w="1057" w:type="dxa"/>
            <w:vAlign w:val="center"/>
          </w:tcPr>
          <w:p w14:paraId="58CC8C59">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6000</w:t>
            </w:r>
          </w:p>
        </w:tc>
      </w:tr>
      <w:tr w14:paraId="4454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14:paraId="4FFDC949">
            <w:pPr>
              <w:widowControl/>
              <w:jc w:val="center"/>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2.13</w:t>
            </w:r>
          </w:p>
        </w:tc>
        <w:tc>
          <w:tcPr>
            <w:tcW w:w="1063" w:type="dxa"/>
            <w:vAlign w:val="center"/>
          </w:tcPr>
          <w:p w14:paraId="0F13D684">
            <w:pPr>
              <w:widowControl/>
              <w:jc w:val="center"/>
              <w:rPr>
                <w:rFonts w:hint="eastAsia" w:asciiTheme="minorEastAsia" w:hAnsiTheme="minorEastAsia" w:eastAsiaTheme="minorEastAsia" w:cstheme="minorEastAsia"/>
                <w:b/>
                <w:color w:val="auto"/>
                <w:sz w:val="18"/>
                <w:szCs w:val="18"/>
              </w:rPr>
            </w:pPr>
          </w:p>
        </w:tc>
        <w:tc>
          <w:tcPr>
            <w:tcW w:w="6226" w:type="dxa"/>
            <w:vAlign w:val="center"/>
          </w:tcPr>
          <w:p w14:paraId="156DABDC">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各方到现场处理管线、房屋拆迁或迁移问题，监理人不到场的，每次扣罚</w:t>
            </w:r>
            <w:r>
              <w:rPr>
                <w:rFonts w:hint="eastAsia" w:asciiTheme="minorEastAsia" w:hAnsiTheme="minorEastAsia" w:eastAsiaTheme="minorEastAsia" w:cstheme="minorEastAsia"/>
                <w:bCs/>
                <w:color w:val="auto"/>
                <w:sz w:val="18"/>
                <w:szCs w:val="18"/>
              </w:rPr>
              <w:t>相应</w:t>
            </w:r>
            <w:r>
              <w:rPr>
                <w:rFonts w:hint="eastAsia" w:asciiTheme="minorEastAsia" w:hAnsiTheme="minorEastAsia" w:eastAsiaTheme="minorEastAsia" w:cstheme="minorEastAsia"/>
                <w:color w:val="auto"/>
                <w:sz w:val="18"/>
                <w:szCs w:val="18"/>
              </w:rPr>
              <w:t>监理费用。</w:t>
            </w:r>
          </w:p>
        </w:tc>
        <w:tc>
          <w:tcPr>
            <w:tcW w:w="1057" w:type="dxa"/>
            <w:vAlign w:val="center"/>
          </w:tcPr>
          <w:p w14:paraId="3D4899DE">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6000</w:t>
            </w:r>
          </w:p>
        </w:tc>
      </w:tr>
      <w:tr w14:paraId="7F72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14:paraId="340BEF3D">
            <w:pPr>
              <w:widowControl/>
              <w:jc w:val="center"/>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2.14</w:t>
            </w:r>
          </w:p>
        </w:tc>
        <w:tc>
          <w:tcPr>
            <w:tcW w:w="1063" w:type="dxa"/>
            <w:vAlign w:val="center"/>
          </w:tcPr>
          <w:p w14:paraId="673DCB0C">
            <w:pPr>
              <w:widowControl/>
              <w:jc w:val="center"/>
              <w:rPr>
                <w:rFonts w:hint="eastAsia" w:asciiTheme="minorEastAsia" w:hAnsiTheme="minorEastAsia" w:eastAsiaTheme="minorEastAsia" w:cstheme="minorEastAsia"/>
                <w:b/>
                <w:color w:val="auto"/>
                <w:sz w:val="18"/>
                <w:szCs w:val="18"/>
              </w:rPr>
            </w:pPr>
          </w:p>
        </w:tc>
        <w:tc>
          <w:tcPr>
            <w:tcW w:w="6226" w:type="dxa"/>
            <w:vAlign w:val="center"/>
          </w:tcPr>
          <w:p w14:paraId="642DA3FD">
            <w:pPr>
              <w:widowControl/>
              <w:topLinePunct/>
              <w:adjustRightInd w:val="0"/>
              <w:snapToGrid w:val="0"/>
              <w:jc w:val="left"/>
              <w:rPr>
                <w:rFonts w:hint="eastAsia" w:asciiTheme="minorEastAsia" w:hAnsiTheme="minorEastAsia" w:eastAsiaTheme="minorEastAsia" w:cstheme="minorEastAsia"/>
                <w:b/>
                <w:snapToGrid w:val="0"/>
                <w:color w:val="auto"/>
                <w:spacing w:val="4"/>
                <w:kern w:val="0"/>
                <w:sz w:val="18"/>
                <w:szCs w:val="18"/>
              </w:rPr>
            </w:pPr>
            <w:r>
              <w:rPr>
                <w:rFonts w:hint="eastAsia" w:asciiTheme="minorEastAsia" w:hAnsiTheme="minorEastAsia" w:eastAsiaTheme="minorEastAsia" w:cstheme="minorEastAsia"/>
                <w:bCs/>
                <w:snapToGrid w:val="0"/>
                <w:color w:val="auto"/>
                <w:spacing w:val="4"/>
                <w:kern w:val="0"/>
                <w:sz w:val="18"/>
                <w:szCs w:val="18"/>
              </w:rPr>
              <w:t>监理人应对施工单位提交的所有工程资料的真实性、合理性、合法性及时予以确认或提出质疑；若对明显不真实、不合理、不合法的资料不提出质疑且予以确认而上交发包人，则每次扣除相应监理费。</w:t>
            </w:r>
          </w:p>
        </w:tc>
        <w:tc>
          <w:tcPr>
            <w:tcW w:w="1057" w:type="dxa"/>
            <w:vAlign w:val="center"/>
          </w:tcPr>
          <w:p w14:paraId="4E8F801C">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10000</w:t>
            </w:r>
          </w:p>
        </w:tc>
      </w:tr>
      <w:tr w14:paraId="5293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14:paraId="4405BC79">
            <w:pPr>
              <w:widowControl/>
              <w:jc w:val="center"/>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2.15</w:t>
            </w:r>
          </w:p>
        </w:tc>
        <w:tc>
          <w:tcPr>
            <w:tcW w:w="1063" w:type="dxa"/>
            <w:vAlign w:val="center"/>
          </w:tcPr>
          <w:p w14:paraId="30821C04">
            <w:pPr>
              <w:widowControl/>
              <w:jc w:val="center"/>
              <w:rPr>
                <w:rFonts w:hint="eastAsia" w:asciiTheme="minorEastAsia" w:hAnsiTheme="minorEastAsia" w:eastAsiaTheme="minorEastAsia" w:cstheme="minorEastAsia"/>
                <w:b/>
                <w:color w:val="auto"/>
                <w:sz w:val="18"/>
                <w:szCs w:val="18"/>
              </w:rPr>
            </w:pPr>
          </w:p>
        </w:tc>
        <w:tc>
          <w:tcPr>
            <w:tcW w:w="6226" w:type="dxa"/>
            <w:vAlign w:val="center"/>
          </w:tcPr>
          <w:p w14:paraId="12920064">
            <w:pPr>
              <w:widowControl/>
              <w:snapToGrid w:val="0"/>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监理人在工程完成相应内容并收齐有关资料后的十五个工作日内，必须完成质量验收时应由监理单位填写的各种资料，交发包人归档。否则，每迟交一天，扣除</w:t>
            </w:r>
            <w:r>
              <w:rPr>
                <w:rFonts w:hint="eastAsia" w:asciiTheme="minorEastAsia" w:hAnsiTheme="minorEastAsia" w:eastAsiaTheme="minorEastAsia" w:cstheme="minorEastAsia"/>
                <w:bCs/>
                <w:color w:val="auto"/>
                <w:sz w:val="18"/>
                <w:szCs w:val="18"/>
              </w:rPr>
              <w:t>相应</w:t>
            </w:r>
            <w:r>
              <w:rPr>
                <w:rFonts w:hint="eastAsia" w:asciiTheme="minorEastAsia" w:hAnsiTheme="minorEastAsia" w:eastAsiaTheme="minorEastAsia" w:cstheme="minorEastAsia"/>
                <w:color w:val="auto"/>
                <w:sz w:val="18"/>
                <w:szCs w:val="18"/>
              </w:rPr>
              <w:t>监理费。</w:t>
            </w:r>
          </w:p>
        </w:tc>
        <w:tc>
          <w:tcPr>
            <w:tcW w:w="1057" w:type="dxa"/>
            <w:vAlign w:val="center"/>
          </w:tcPr>
          <w:p w14:paraId="1F4AC764">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2000</w:t>
            </w:r>
          </w:p>
        </w:tc>
      </w:tr>
      <w:tr w14:paraId="695F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14:paraId="14766251">
            <w:pPr>
              <w:widowControl/>
              <w:jc w:val="center"/>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2.16</w:t>
            </w:r>
          </w:p>
        </w:tc>
        <w:tc>
          <w:tcPr>
            <w:tcW w:w="1063" w:type="dxa"/>
            <w:vAlign w:val="center"/>
          </w:tcPr>
          <w:p w14:paraId="4444B43F">
            <w:pPr>
              <w:widowControl/>
              <w:jc w:val="center"/>
              <w:rPr>
                <w:rFonts w:hint="eastAsia" w:asciiTheme="minorEastAsia" w:hAnsiTheme="minorEastAsia" w:eastAsiaTheme="minorEastAsia" w:cstheme="minorEastAsia"/>
                <w:b/>
                <w:color w:val="auto"/>
                <w:sz w:val="18"/>
                <w:szCs w:val="18"/>
              </w:rPr>
            </w:pPr>
          </w:p>
        </w:tc>
        <w:tc>
          <w:tcPr>
            <w:tcW w:w="6226" w:type="dxa"/>
            <w:vAlign w:val="center"/>
          </w:tcPr>
          <w:p w14:paraId="077B8548">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Cs/>
                <w:color w:val="auto"/>
                <w:sz w:val="18"/>
                <w:szCs w:val="18"/>
              </w:rPr>
              <w:t>未能有效督促施工单位履行安全文明施工责任的，每次扣减相应监理费。</w:t>
            </w:r>
          </w:p>
        </w:tc>
        <w:tc>
          <w:tcPr>
            <w:tcW w:w="1057" w:type="dxa"/>
            <w:vAlign w:val="center"/>
          </w:tcPr>
          <w:p w14:paraId="11266374">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2000</w:t>
            </w:r>
          </w:p>
        </w:tc>
      </w:tr>
      <w:tr w14:paraId="5230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62" w:type="dxa"/>
            <w:vAlign w:val="center"/>
          </w:tcPr>
          <w:p w14:paraId="6C3F253D">
            <w:pPr>
              <w:widowControl/>
              <w:jc w:val="center"/>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2.17</w:t>
            </w:r>
          </w:p>
        </w:tc>
        <w:tc>
          <w:tcPr>
            <w:tcW w:w="1063" w:type="dxa"/>
            <w:vAlign w:val="center"/>
          </w:tcPr>
          <w:p w14:paraId="5CEA533D">
            <w:pPr>
              <w:widowControl/>
              <w:jc w:val="center"/>
              <w:rPr>
                <w:rFonts w:hint="eastAsia" w:asciiTheme="minorEastAsia" w:hAnsiTheme="minorEastAsia" w:eastAsiaTheme="minorEastAsia" w:cstheme="minorEastAsia"/>
                <w:b/>
                <w:color w:val="auto"/>
                <w:sz w:val="18"/>
                <w:szCs w:val="18"/>
              </w:rPr>
            </w:pPr>
          </w:p>
        </w:tc>
        <w:tc>
          <w:tcPr>
            <w:tcW w:w="6226" w:type="dxa"/>
            <w:vAlign w:val="center"/>
          </w:tcPr>
          <w:p w14:paraId="1E6DE4A2">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Cs/>
                <w:color w:val="auto"/>
                <w:sz w:val="18"/>
                <w:szCs w:val="18"/>
              </w:rPr>
              <w:t>对隐蔽工程的隐蔽过程、下道工序施工完成后难以检查的重点部位，按规定需进行旁站不进行旁站监理的，每次扣减相应监理费</w:t>
            </w:r>
          </w:p>
        </w:tc>
        <w:tc>
          <w:tcPr>
            <w:tcW w:w="1057" w:type="dxa"/>
            <w:vAlign w:val="center"/>
          </w:tcPr>
          <w:p w14:paraId="21180DE4">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5000</w:t>
            </w:r>
          </w:p>
        </w:tc>
      </w:tr>
      <w:tr w14:paraId="1150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62" w:type="dxa"/>
            <w:vAlign w:val="center"/>
          </w:tcPr>
          <w:p w14:paraId="1819751B">
            <w:pPr>
              <w:widowControl/>
              <w:jc w:val="center"/>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2.18</w:t>
            </w:r>
          </w:p>
        </w:tc>
        <w:tc>
          <w:tcPr>
            <w:tcW w:w="1063" w:type="dxa"/>
            <w:vAlign w:val="center"/>
          </w:tcPr>
          <w:p w14:paraId="6AE4295E">
            <w:pPr>
              <w:widowControl/>
              <w:jc w:val="center"/>
              <w:rPr>
                <w:rFonts w:hint="eastAsia" w:asciiTheme="minorEastAsia" w:hAnsiTheme="minorEastAsia" w:eastAsiaTheme="minorEastAsia" w:cstheme="minorEastAsia"/>
                <w:b/>
                <w:color w:val="auto"/>
                <w:sz w:val="18"/>
                <w:szCs w:val="18"/>
              </w:rPr>
            </w:pPr>
          </w:p>
        </w:tc>
        <w:tc>
          <w:tcPr>
            <w:tcW w:w="6226" w:type="dxa"/>
            <w:vAlign w:val="center"/>
          </w:tcPr>
          <w:p w14:paraId="1157E075">
            <w:pPr>
              <w:widowControl/>
              <w:jc w:val="left"/>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未按照委托监理合同约定或有关工程质量管理文件规定的比例对进场的实物采用见证取样方式进行抽检，每次扣减相应监理费</w:t>
            </w:r>
          </w:p>
        </w:tc>
        <w:tc>
          <w:tcPr>
            <w:tcW w:w="1057" w:type="dxa"/>
            <w:vAlign w:val="center"/>
          </w:tcPr>
          <w:p w14:paraId="49B847D6">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5000</w:t>
            </w:r>
          </w:p>
        </w:tc>
      </w:tr>
      <w:tr w14:paraId="35FE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62" w:type="dxa"/>
            <w:vAlign w:val="center"/>
          </w:tcPr>
          <w:p w14:paraId="3129FB4B">
            <w:pPr>
              <w:widowControl/>
              <w:jc w:val="center"/>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2.19</w:t>
            </w:r>
          </w:p>
        </w:tc>
        <w:tc>
          <w:tcPr>
            <w:tcW w:w="1063" w:type="dxa"/>
            <w:vAlign w:val="center"/>
          </w:tcPr>
          <w:p w14:paraId="38382D33">
            <w:pPr>
              <w:widowControl/>
              <w:jc w:val="center"/>
              <w:rPr>
                <w:rFonts w:hint="eastAsia" w:asciiTheme="minorEastAsia" w:hAnsiTheme="minorEastAsia" w:eastAsiaTheme="minorEastAsia" w:cstheme="minorEastAsia"/>
                <w:b/>
                <w:color w:val="auto"/>
                <w:sz w:val="18"/>
                <w:szCs w:val="18"/>
              </w:rPr>
            </w:pPr>
          </w:p>
        </w:tc>
        <w:tc>
          <w:tcPr>
            <w:tcW w:w="6226" w:type="dxa"/>
            <w:vAlign w:val="center"/>
          </w:tcPr>
          <w:p w14:paraId="42CFF958">
            <w:pPr>
              <w:widowControl/>
              <w:jc w:val="left"/>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未按照监理合同约定对参建单位进场的工程设备、建筑材料、建筑构配件、中间产品进行跟踪检测，每次扣减相应监理费</w:t>
            </w:r>
          </w:p>
        </w:tc>
        <w:tc>
          <w:tcPr>
            <w:tcW w:w="1057" w:type="dxa"/>
            <w:vAlign w:val="center"/>
          </w:tcPr>
          <w:p w14:paraId="155B0164">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5000</w:t>
            </w:r>
          </w:p>
        </w:tc>
      </w:tr>
      <w:tr w14:paraId="6ECC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14:paraId="2B5E5588">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3</w:t>
            </w:r>
          </w:p>
        </w:tc>
        <w:tc>
          <w:tcPr>
            <w:tcW w:w="1063" w:type="dxa"/>
            <w:vAlign w:val="center"/>
          </w:tcPr>
          <w:p w14:paraId="3F66DD64">
            <w:pPr>
              <w:widowControl/>
              <w:jc w:val="center"/>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color w:val="auto"/>
                <w:sz w:val="18"/>
                <w:szCs w:val="18"/>
              </w:rPr>
              <w:t>其他</w:t>
            </w:r>
          </w:p>
        </w:tc>
        <w:tc>
          <w:tcPr>
            <w:tcW w:w="6226" w:type="dxa"/>
            <w:vAlign w:val="center"/>
          </w:tcPr>
          <w:p w14:paraId="06B0BCFA">
            <w:pPr>
              <w:widowControl/>
              <w:jc w:val="left"/>
              <w:rPr>
                <w:rFonts w:hint="eastAsia" w:asciiTheme="minorEastAsia" w:hAnsiTheme="minorEastAsia" w:eastAsiaTheme="minorEastAsia" w:cstheme="minorEastAsia"/>
                <w:bCs/>
                <w:color w:val="auto"/>
                <w:sz w:val="18"/>
                <w:szCs w:val="18"/>
              </w:rPr>
            </w:pPr>
          </w:p>
        </w:tc>
        <w:tc>
          <w:tcPr>
            <w:tcW w:w="1057" w:type="dxa"/>
            <w:vAlign w:val="center"/>
          </w:tcPr>
          <w:p w14:paraId="77A9F936">
            <w:pPr>
              <w:widowControl/>
              <w:jc w:val="center"/>
              <w:rPr>
                <w:rFonts w:hint="eastAsia" w:asciiTheme="minorEastAsia" w:hAnsiTheme="minorEastAsia" w:eastAsiaTheme="minorEastAsia" w:cstheme="minorEastAsia"/>
                <w:bCs/>
                <w:color w:val="auto"/>
                <w:sz w:val="18"/>
                <w:szCs w:val="18"/>
              </w:rPr>
            </w:pPr>
          </w:p>
        </w:tc>
      </w:tr>
      <w:tr w14:paraId="151C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14:paraId="6D9FBC9B">
            <w:pPr>
              <w:widowControl/>
              <w:jc w:val="center"/>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3.1</w:t>
            </w:r>
          </w:p>
        </w:tc>
        <w:tc>
          <w:tcPr>
            <w:tcW w:w="1063" w:type="dxa"/>
            <w:vAlign w:val="center"/>
          </w:tcPr>
          <w:p w14:paraId="09AC2B01">
            <w:pPr>
              <w:widowControl/>
              <w:jc w:val="center"/>
              <w:rPr>
                <w:rFonts w:hint="eastAsia" w:asciiTheme="minorEastAsia" w:hAnsiTheme="minorEastAsia" w:eastAsiaTheme="minorEastAsia" w:cstheme="minorEastAsia"/>
                <w:color w:val="auto"/>
                <w:sz w:val="18"/>
                <w:szCs w:val="18"/>
              </w:rPr>
            </w:pPr>
          </w:p>
        </w:tc>
        <w:tc>
          <w:tcPr>
            <w:tcW w:w="6226" w:type="dxa"/>
            <w:vAlign w:val="center"/>
          </w:tcPr>
          <w:p w14:paraId="7DDB439E">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Cs/>
                <w:color w:val="auto"/>
                <w:sz w:val="18"/>
                <w:szCs w:val="18"/>
              </w:rPr>
              <w:t>利用监理职权谋取任何不正当利益，包括无偿使用施工单位提供的工作、生活、娱乐设施等，每发现一次扣减相应监理费。</w:t>
            </w:r>
          </w:p>
        </w:tc>
        <w:tc>
          <w:tcPr>
            <w:tcW w:w="1057" w:type="dxa"/>
            <w:vAlign w:val="center"/>
          </w:tcPr>
          <w:p w14:paraId="72A58C3E">
            <w:pPr>
              <w:widowControl/>
              <w:jc w:val="center"/>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
                <w:bCs/>
                <w:color w:val="auto"/>
                <w:sz w:val="18"/>
                <w:szCs w:val="18"/>
              </w:rPr>
              <w:t>25000</w:t>
            </w:r>
          </w:p>
        </w:tc>
      </w:tr>
      <w:tr w14:paraId="53D2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62" w:type="dxa"/>
            <w:vAlign w:val="center"/>
          </w:tcPr>
          <w:p w14:paraId="6C12CC9A">
            <w:pPr>
              <w:widowControl/>
              <w:jc w:val="center"/>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3.2</w:t>
            </w:r>
          </w:p>
        </w:tc>
        <w:tc>
          <w:tcPr>
            <w:tcW w:w="1063" w:type="dxa"/>
            <w:vAlign w:val="center"/>
          </w:tcPr>
          <w:p w14:paraId="74DE279D">
            <w:pPr>
              <w:widowControl/>
              <w:jc w:val="center"/>
              <w:rPr>
                <w:rFonts w:hint="eastAsia" w:asciiTheme="minorEastAsia" w:hAnsiTheme="minorEastAsia" w:eastAsiaTheme="minorEastAsia" w:cstheme="minorEastAsia"/>
                <w:b/>
                <w:bCs/>
                <w:color w:val="auto"/>
                <w:sz w:val="18"/>
                <w:szCs w:val="18"/>
              </w:rPr>
            </w:pPr>
          </w:p>
        </w:tc>
        <w:tc>
          <w:tcPr>
            <w:tcW w:w="6226" w:type="dxa"/>
            <w:vAlign w:val="center"/>
          </w:tcPr>
          <w:p w14:paraId="5F0AA488">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监理人未按合同约定组织参建各方落实ESG要求的</w:t>
            </w:r>
            <w:r>
              <w:rPr>
                <w:rFonts w:hint="eastAsia" w:asciiTheme="minorEastAsia" w:hAnsiTheme="minorEastAsia" w:eastAsiaTheme="minorEastAsia" w:cstheme="minorEastAsia"/>
                <w:bCs/>
                <w:color w:val="auto"/>
                <w:sz w:val="18"/>
                <w:szCs w:val="18"/>
              </w:rPr>
              <w:t>，每发现一次扣减相应监理费。</w:t>
            </w:r>
          </w:p>
        </w:tc>
        <w:tc>
          <w:tcPr>
            <w:tcW w:w="1057" w:type="dxa"/>
            <w:vAlign w:val="center"/>
          </w:tcPr>
          <w:p w14:paraId="0D20D924">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2000</w:t>
            </w:r>
          </w:p>
        </w:tc>
      </w:tr>
      <w:tr w14:paraId="0260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62" w:type="dxa"/>
            <w:vAlign w:val="center"/>
          </w:tcPr>
          <w:p w14:paraId="6CDEE2E9">
            <w:pPr>
              <w:widowControl/>
              <w:jc w:val="center"/>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3.3</w:t>
            </w:r>
          </w:p>
        </w:tc>
        <w:tc>
          <w:tcPr>
            <w:tcW w:w="1063" w:type="dxa"/>
            <w:vAlign w:val="center"/>
          </w:tcPr>
          <w:p w14:paraId="3FAD6DBC">
            <w:pPr>
              <w:widowControl/>
              <w:jc w:val="center"/>
              <w:rPr>
                <w:rFonts w:hint="eastAsia" w:asciiTheme="minorEastAsia" w:hAnsiTheme="minorEastAsia" w:eastAsiaTheme="minorEastAsia" w:cstheme="minorEastAsia"/>
                <w:b/>
                <w:bCs/>
                <w:color w:val="auto"/>
                <w:sz w:val="18"/>
                <w:szCs w:val="18"/>
              </w:rPr>
            </w:pPr>
          </w:p>
        </w:tc>
        <w:tc>
          <w:tcPr>
            <w:tcW w:w="6226" w:type="dxa"/>
            <w:vAlign w:val="center"/>
          </w:tcPr>
          <w:p w14:paraId="268D90FA">
            <w:pPr>
              <w:widowControl/>
              <w:jc w:val="left"/>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color w:val="auto"/>
                <w:sz w:val="18"/>
                <w:szCs w:val="18"/>
              </w:rPr>
              <w:t>监理的工程每出现一次质量安全隐患导致通报批评，扣减相应监理费。</w:t>
            </w:r>
          </w:p>
        </w:tc>
        <w:tc>
          <w:tcPr>
            <w:tcW w:w="1057" w:type="dxa"/>
            <w:vAlign w:val="center"/>
          </w:tcPr>
          <w:p w14:paraId="207F19A5">
            <w:pPr>
              <w:widowControl/>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bCs/>
                <w:color w:val="auto"/>
                <w:sz w:val="18"/>
                <w:szCs w:val="18"/>
              </w:rPr>
              <w:t>30000</w:t>
            </w:r>
          </w:p>
        </w:tc>
      </w:tr>
      <w:tr w14:paraId="27C8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62" w:type="dxa"/>
            <w:vAlign w:val="center"/>
          </w:tcPr>
          <w:p w14:paraId="7680E093">
            <w:pPr>
              <w:widowControl/>
              <w:jc w:val="center"/>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3.4</w:t>
            </w:r>
          </w:p>
        </w:tc>
        <w:tc>
          <w:tcPr>
            <w:tcW w:w="1063" w:type="dxa"/>
            <w:vAlign w:val="center"/>
          </w:tcPr>
          <w:p w14:paraId="055810EB">
            <w:pPr>
              <w:widowControl/>
              <w:jc w:val="center"/>
              <w:rPr>
                <w:rFonts w:hint="eastAsia" w:asciiTheme="minorEastAsia" w:hAnsiTheme="minorEastAsia" w:eastAsiaTheme="minorEastAsia" w:cstheme="minorEastAsia"/>
                <w:b/>
                <w:bCs/>
                <w:color w:val="auto"/>
                <w:sz w:val="18"/>
                <w:szCs w:val="18"/>
              </w:rPr>
            </w:pPr>
          </w:p>
        </w:tc>
        <w:tc>
          <w:tcPr>
            <w:tcW w:w="6226" w:type="dxa"/>
            <w:vAlign w:val="center"/>
          </w:tcPr>
          <w:p w14:paraId="4FCBE367">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（1）监理的工程每出现一次一般质量、安全事故，扣减相应监理费合同价的5%并禁止参加发包人1年内的招投标活动。</w:t>
            </w:r>
          </w:p>
          <w:p w14:paraId="5BE0D3A6">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（2）监理的工程每出现一次较大（或以上）质量、安全事故，扣减相应监理费合同价的10%并禁止参加发包人3年内的招投标活动。</w:t>
            </w:r>
          </w:p>
        </w:tc>
        <w:tc>
          <w:tcPr>
            <w:tcW w:w="1057" w:type="dxa"/>
            <w:vAlign w:val="center"/>
          </w:tcPr>
          <w:p w14:paraId="7C2A311A">
            <w:pPr>
              <w:widowControl/>
              <w:jc w:val="center"/>
              <w:rPr>
                <w:rFonts w:hint="eastAsia" w:asciiTheme="minorEastAsia" w:hAnsiTheme="minorEastAsia" w:eastAsiaTheme="minorEastAsia" w:cstheme="minorEastAsia"/>
                <w:b/>
                <w:bCs/>
                <w:color w:val="auto"/>
                <w:sz w:val="18"/>
                <w:szCs w:val="18"/>
              </w:rPr>
            </w:pPr>
          </w:p>
        </w:tc>
      </w:tr>
      <w:tr w14:paraId="74D7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62" w:type="dxa"/>
            <w:vAlign w:val="center"/>
          </w:tcPr>
          <w:p w14:paraId="635F6967">
            <w:pPr>
              <w:widowControl/>
              <w:jc w:val="center"/>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3.5</w:t>
            </w:r>
          </w:p>
        </w:tc>
        <w:tc>
          <w:tcPr>
            <w:tcW w:w="1063" w:type="dxa"/>
            <w:vAlign w:val="center"/>
          </w:tcPr>
          <w:p w14:paraId="6EC8C824">
            <w:pPr>
              <w:widowControl/>
              <w:jc w:val="center"/>
              <w:rPr>
                <w:rFonts w:hint="eastAsia" w:asciiTheme="minorEastAsia" w:hAnsiTheme="minorEastAsia" w:eastAsiaTheme="minorEastAsia" w:cstheme="minorEastAsia"/>
                <w:b/>
                <w:bCs/>
                <w:color w:val="auto"/>
                <w:sz w:val="18"/>
                <w:szCs w:val="18"/>
              </w:rPr>
            </w:pPr>
          </w:p>
        </w:tc>
        <w:tc>
          <w:tcPr>
            <w:tcW w:w="6226" w:type="dxa"/>
            <w:vAlign w:val="center"/>
          </w:tcPr>
          <w:p w14:paraId="1593BFCF">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因监理人原因，导致未完成年度预算支付计划：支付比例在95%（不含本数）以上，扣减相应监理费（A）；</w:t>
            </w:r>
            <w:r>
              <w:rPr>
                <w:rFonts w:hint="eastAsia" w:ascii="宋体" w:hAnsi="宋体"/>
                <w:color w:val="auto"/>
                <w:sz w:val="18"/>
                <w:szCs w:val="18"/>
              </w:rPr>
              <w:t>80%＜支付比例≤95%</w:t>
            </w:r>
            <w:r>
              <w:rPr>
                <w:rFonts w:hint="eastAsia" w:asciiTheme="minorEastAsia" w:hAnsiTheme="minorEastAsia" w:eastAsiaTheme="minorEastAsia" w:cstheme="minorEastAsia"/>
                <w:color w:val="auto"/>
                <w:sz w:val="18"/>
                <w:szCs w:val="18"/>
              </w:rPr>
              <w:t>，扣减相应监理费（B）</w:t>
            </w:r>
            <w:r>
              <w:rPr>
                <w:rFonts w:hint="eastAsia" w:ascii="宋体" w:hAnsi="宋体"/>
                <w:color w:val="auto"/>
                <w:sz w:val="18"/>
                <w:szCs w:val="18"/>
              </w:rPr>
              <w:t>；50%＜支付比例≤80%</w:t>
            </w:r>
            <w:r>
              <w:rPr>
                <w:rFonts w:hint="eastAsia" w:asciiTheme="minorEastAsia" w:hAnsiTheme="minorEastAsia" w:eastAsiaTheme="minorEastAsia" w:cstheme="minorEastAsia"/>
                <w:color w:val="auto"/>
                <w:sz w:val="18"/>
                <w:szCs w:val="18"/>
              </w:rPr>
              <w:t>，扣减相应监理费（C）</w:t>
            </w:r>
            <w:r>
              <w:rPr>
                <w:rFonts w:hint="eastAsia" w:ascii="宋体" w:hAnsi="宋体"/>
                <w:color w:val="auto"/>
                <w:sz w:val="18"/>
                <w:szCs w:val="18"/>
              </w:rPr>
              <w:t>；支付比例≤50%</w:t>
            </w:r>
            <w:r>
              <w:rPr>
                <w:rFonts w:hint="eastAsia" w:asciiTheme="minorEastAsia" w:hAnsiTheme="minorEastAsia" w:eastAsiaTheme="minorEastAsia" w:cstheme="minorEastAsia"/>
                <w:color w:val="auto"/>
                <w:sz w:val="18"/>
                <w:szCs w:val="18"/>
              </w:rPr>
              <w:t>，扣减相应监理费（D）</w:t>
            </w:r>
          </w:p>
        </w:tc>
        <w:tc>
          <w:tcPr>
            <w:tcW w:w="1057" w:type="dxa"/>
            <w:vAlign w:val="center"/>
          </w:tcPr>
          <w:p w14:paraId="4FF5D87D">
            <w:pPr>
              <w:widowControl/>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A.10000</w:t>
            </w:r>
          </w:p>
          <w:p w14:paraId="51A3B3D6">
            <w:pPr>
              <w:widowControl/>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B.15000</w:t>
            </w:r>
          </w:p>
          <w:p w14:paraId="79FD6EFE">
            <w:pPr>
              <w:widowControl/>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C.20000</w:t>
            </w:r>
          </w:p>
          <w:p w14:paraId="3E3199A9">
            <w:pPr>
              <w:widowControl/>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D.25000</w:t>
            </w:r>
          </w:p>
        </w:tc>
      </w:tr>
      <w:tr w14:paraId="3AAF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62" w:type="dxa"/>
            <w:vAlign w:val="center"/>
          </w:tcPr>
          <w:p w14:paraId="04B1C15A">
            <w:pPr>
              <w:widowControl/>
              <w:jc w:val="center"/>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3.6</w:t>
            </w:r>
          </w:p>
        </w:tc>
        <w:tc>
          <w:tcPr>
            <w:tcW w:w="1063" w:type="dxa"/>
            <w:vAlign w:val="center"/>
          </w:tcPr>
          <w:p w14:paraId="3B687174">
            <w:pPr>
              <w:widowControl/>
              <w:jc w:val="center"/>
              <w:rPr>
                <w:rFonts w:hint="eastAsia" w:asciiTheme="minorEastAsia" w:hAnsiTheme="minorEastAsia" w:eastAsiaTheme="minorEastAsia" w:cstheme="minorEastAsia"/>
                <w:b/>
                <w:bCs/>
                <w:color w:val="auto"/>
                <w:sz w:val="18"/>
                <w:szCs w:val="18"/>
              </w:rPr>
            </w:pPr>
          </w:p>
        </w:tc>
        <w:tc>
          <w:tcPr>
            <w:tcW w:w="6226" w:type="dxa"/>
            <w:vAlign w:val="center"/>
          </w:tcPr>
          <w:p w14:paraId="3F40D9B5">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书面通报、警告或诫勉谈话（约谈）。</w:t>
            </w:r>
          </w:p>
          <w:p w14:paraId="60751972">
            <w:pPr>
              <w:widowControl/>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监理人未履行或未按时履行或未按时履行义务或不执行发包人（含主管人员）的指令时，发包人有权向监理人发出书面通报、警告并要求限期整改。若限期整改完成或达到发包人的要求，则不产生违约责任；若限期整改未完成或达不到发包人的要求，则发包人可约谈监理单位法定代表人（或公司主管生产副总或以上）进行诫勉谈话，监理人并承担限期整改违约责任，同时向发包人交纳20000元/次的违约金。</w:t>
            </w:r>
          </w:p>
        </w:tc>
        <w:tc>
          <w:tcPr>
            <w:tcW w:w="1057" w:type="dxa"/>
            <w:vAlign w:val="center"/>
          </w:tcPr>
          <w:p w14:paraId="1E74DD4F">
            <w:pPr>
              <w:widowControl/>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20000</w:t>
            </w:r>
          </w:p>
        </w:tc>
      </w:tr>
      <w:bookmarkEnd w:id="240"/>
    </w:tbl>
    <w:p w14:paraId="6FE729A7">
      <w:pPr>
        <w:pStyle w:val="25"/>
        <w:spacing w:after="0" w:line="240" w:lineRule="auto"/>
        <w:ind w:firstLine="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注：（1）安全事故等级[《</w:t>
      </w:r>
      <w:bookmarkStart w:id="235" w:name="_Hlk204337741"/>
      <w:r>
        <w:rPr>
          <w:rFonts w:hint="eastAsia" w:asciiTheme="minorEastAsia" w:hAnsiTheme="minorEastAsia" w:eastAsiaTheme="minorEastAsia" w:cstheme="minorEastAsia"/>
          <w:sz w:val="18"/>
          <w:szCs w:val="18"/>
        </w:rPr>
        <w:t>生产安全事故报告和调查处理条例</w:t>
      </w:r>
      <w:bookmarkEnd w:id="235"/>
      <w:r>
        <w:rPr>
          <w:rFonts w:hint="eastAsia" w:asciiTheme="minorEastAsia" w:hAnsiTheme="minorEastAsia" w:eastAsiaTheme="minorEastAsia" w:cstheme="minorEastAsia"/>
          <w:sz w:val="18"/>
          <w:szCs w:val="18"/>
        </w:rPr>
        <w:t>》]：（1）特别重大事故，是指造成30人以上死亡，或者100人以上重伤（包括急性工业中毒，下同），或者1亿元以上直接经济损失的事故；</w:t>
      </w:r>
    </w:p>
    <w:p w14:paraId="52BFF22A">
      <w:pPr>
        <w:pStyle w:val="25"/>
        <w:spacing w:after="0" w:line="240" w:lineRule="auto"/>
        <w:ind w:firstLine="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（2）重大事故，是指造成10人以上30人以下死亡，或者50人以上100人以下重伤，或者5000万元以上1亿元以下直接经济损失的事故；</w:t>
      </w:r>
    </w:p>
    <w:p w14:paraId="187D58A7">
      <w:pPr>
        <w:pStyle w:val="25"/>
        <w:spacing w:after="0" w:line="240" w:lineRule="auto"/>
        <w:ind w:firstLine="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（3）较大事故，是指造成3人以上10人以下死亡，或者10人以上50人以下重伤，或者1000万元以上5000万元以下直接经济损失的事故；</w:t>
      </w:r>
    </w:p>
    <w:p w14:paraId="03A77FCD">
      <w:pPr>
        <w:pStyle w:val="25"/>
        <w:spacing w:after="0" w:line="240" w:lineRule="auto"/>
        <w:ind w:firstLine="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（4）一般事故，是指造成3人以下死亡，或者10人以下重伤，或者1000万元以下直接经济损失的事故。</w:t>
      </w:r>
    </w:p>
    <w:p w14:paraId="0D8274A0">
      <w:pPr>
        <w:pStyle w:val="25"/>
        <w:spacing w:after="0" w:line="240" w:lineRule="auto"/>
        <w:ind w:firstLine="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上述所称的“以上”包括本数，所称的“以下”不包括本数。</w:t>
      </w:r>
    </w:p>
    <w:p w14:paraId="130D8DCE">
      <w:pPr>
        <w:pStyle w:val="25"/>
        <w:spacing w:after="0" w:line="240" w:lineRule="auto"/>
        <w:ind w:firstLine="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（2）质量事故等级[《关于做好房屋建筑和市政基础设施工程质量事故报告和调查处理工作的通知》（建质[2010]111号）]：根据工程质量事故造成的人员伤亡或者直接经济损失，工程质量事故分为4个等级：</w:t>
      </w:r>
    </w:p>
    <w:p w14:paraId="2C18FBE8">
      <w:pPr>
        <w:pStyle w:val="25"/>
        <w:spacing w:after="0" w:line="240" w:lineRule="auto"/>
        <w:ind w:firstLine="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（1）特别重大事故，是指造成30人以上死亡，或者100人以上重伤，或者1亿元以上直接经济损失的事故；</w:t>
      </w:r>
    </w:p>
    <w:p w14:paraId="075A1341">
      <w:pPr>
        <w:pStyle w:val="25"/>
        <w:spacing w:after="0" w:line="240" w:lineRule="auto"/>
        <w:ind w:firstLine="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（2）重大事故，是指造成10人以上30人以下死亡，或者50人以上100人以下重伤，或者5000万元以上1亿元以下直接经济损失的事故；</w:t>
      </w:r>
    </w:p>
    <w:p w14:paraId="035695E0">
      <w:pPr>
        <w:pStyle w:val="25"/>
        <w:spacing w:after="0" w:line="240" w:lineRule="auto"/>
        <w:ind w:firstLine="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（3）较大事故，是指造成3人以上10人以下死亡，或者10人以上50人以下重伤，或者1000万元以上5000万元以下直接经济损失的事故；</w:t>
      </w:r>
    </w:p>
    <w:p w14:paraId="2ED03CB7">
      <w:pPr>
        <w:pStyle w:val="25"/>
        <w:spacing w:after="0" w:line="240" w:lineRule="auto"/>
        <w:ind w:firstLine="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（4）一般事故，是指造成3人以下死亡，或者10人以下重伤，或者100万元以上1000万元以下直接经济损失的事故。</w:t>
      </w:r>
    </w:p>
    <w:p w14:paraId="3AF7AD45">
      <w:pPr>
        <w:pStyle w:val="25"/>
        <w:spacing w:after="0" w:line="240" w:lineRule="auto"/>
        <w:ind w:firstLine="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本等级划分所称的“以上”包括本数，所称的“以下”不包括本数。</w:t>
      </w:r>
    </w:p>
    <w:p w14:paraId="700C5A18">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bookmarkStart w:id="236" w:name="_Toc1866142351"/>
      <w:bookmarkStart w:id="237" w:name="_Toc108175611"/>
      <w:bookmarkStart w:id="238" w:name="_Toc6662"/>
      <w:bookmarkStart w:id="239" w:name="_Toc25097"/>
      <w:r>
        <w:rPr>
          <w:rFonts w:hint="eastAsia" w:asciiTheme="minorEastAsia" w:hAnsiTheme="minorEastAsia" w:eastAsiaTheme="minorEastAsia" w:cstheme="minorEastAsia"/>
        </w:rPr>
        <w:t>附件8：相关会纪及立项批文（备注：如项建/可研/初设批复等，无则本条删除）</w:t>
      </w:r>
      <w:bookmarkEnd w:id="236"/>
      <w:bookmarkEnd w:id="237"/>
      <w:bookmarkEnd w:id="238"/>
      <w:bookmarkEnd w:id="239"/>
    </w:p>
    <w:p w14:paraId="2761A987">
      <w:pPr>
        <w:pStyle w:val="25"/>
        <w:ind w:firstLine="0"/>
        <w:rPr>
          <w:rFonts w:hint="eastAsia" w:asciiTheme="minorEastAsia" w:hAnsiTheme="minorEastAsia" w:eastAsiaTheme="minorEastAsia" w:cstheme="minorEastAsia"/>
        </w:rPr>
      </w:pPr>
    </w:p>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Berlin Sans FB">
    <w:panose1 w:val="020E0602020502020306"/>
    <w:charset w:val="00"/>
    <w:family w:val="swiss"/>
    <w:pitch w:val="default"/>
    <w:sig w:usb0="00000003" w:usb1="00000000" w:usb2="00000000" w:usb3="00000000" w:csb0="20000001" w:csb1="00000000"/>
  </w:font>
  <w:font w:name="Yu Gothic Medium">
    <w:altName w:val="MS UI Gothic"/>
    <w:panose1 w:val="020B0500000000000000"/>
    <w:charset w:val="80"/>
    <w:family w:val="swiss"/>
    <w:pitch w:val="default"/>
    <w:sig w:usb0="00000000" w:usb1="00000000" w:usb2="00000016" w:usb3="00000000" w:csb0="0002009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5F05C">
    <w:pPr>
      <w:pStyle w:val="15"/>
      <w:jc w:val="center"/>
      <w:rPr>
        <w:rStyle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9710" cy="188595"/>
              <wp:effectExtent l="0" t="0" r="0" b="0"/>
              <wp:wrapNone/>
              <wp:docPr id="21" name="文本框 2"/>
              <wp:cNvGraphicFramePr/>
              <a:graphic xmlns:a="http://schemas.openxmlformats.org/drawingml/2006/main">
                <a:graphicData uri="http://schemas.microsoft.com/office/word/2010/wordprocessingShape">
                  <wps:wsp>
                    <wps:cNvSpPr txBox="1"/>
                    <wps:spPr>
                      <a:xfrm>
                        <a:off x="0" y="0"/>
                        <a:ext cx="219710" cy="188595"/>
                      </a:xfrm>
                      <a:prstGeom prst="rect">
                        <a:avLst/>
                      </a:prstGeom>
                      <a:noFill/>
                      <a:ln>
                        <a:noFill/>
                      </a:ln>
                    </wps:spPr>
                    <wps:txbx>
                      <w:txbxContent>
                        <w:p w14:paraId="72111458">
                          <w:pPr>
                            <w:pStyle w:val="15"/>
                            <w:jc w:val="center"/>
                          </w:pPr>
                          <w:r>
                            <w:fldChar w:fldCharType="begin"/>
                          </w:r>
                          <w:r>
                            <w:instrText xml:space="preserve">PAGE   \* MERGEFORMAT</w:instrText>
                          </w:r>
                          <w:r>
                            <w:fldChar w:fldCharType="separate"/>
                          </w:r>
                          <w:r>
                            <w:rPr>
                              <w:lang w:val="zh-CN"/>
                            </w:rPr>
                            <w:t>57</w:t>
                          </w:r>
                          <w:r>
                            <w:fldChar w:fldCharType="end"/>
                          </w:r>
                        </w:p>
                      </w:txbxContent>
                    </wps:txbx>
                    <wps:bodyPr wrap="square" lIns="0" tIns="0" rIns="0" bIns="0" upright="1"/>
                  </wps:wsp>
                </a:graphicData>
              </a:graphic>
            </wp:anchor>
          </w:drawing>
        </mc:Choice>
        <mc:Fallback>
          <w:pict>
            <v:shape id="文本框 2" o:spid="_x0000_s1026" o:spt="202" type="#_x0000_t202" style="position:absolute;left:0pt;margin-top:0pt;height:14.85pt;width:17.3pt;mso-position-horizontal:center;mso-position-horizontal-relative:margin;z-index:251659264;mso-width-relative:page;mso-height-relative:page;" filled="f" stroked="f" coordsize="21600,21600" o:gfxdata="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K0n/UAAAAAwEAAA8AAAAAAAAAAQAgAAAAIgAAAGRycy9kb3ducmV2Lnht&#10;bFBLAQIUABQAAAAIAIdO4kBpkRh2xAEAAIADAAAOAAAAAAAAAAEAIAAAACMBAABkcnMvZTJvRG9j&#10;LnhtbFBLBQYAAAAABgAGAFkBAABZBQAAAAA=&#10;">
              <v:fill on="f" focussize="0,0"/>
              <v:stroke on="f"/>
              <v:imagedata o:title=""/>
              <o:lock v:ext="edit" aspectratio="f"/>
              <v:textbox inset="0mm,0mm,0mm,0mm">
                <w:txbxContent>
                  <w:p w14:paraId="72111458">
                    <w:pPr>
                      <w:pStyle w:val="15"/>
                      <w:jc w:val="center"/>
                    </w:pPr>
                    <w:r>
                      <w:fldChar w:fldCharType="begin"/>
                    </w:r>
                    <w:r>
                      <w:instrText xml:space="preserve">PAGE   \* MERGEFORMAT</w:instrText>
                    </w:r>
                    <w:r>
                      <w:fldChar w:fldCharType="separate"/>
                    </w:r>
                    <w:r>
                      <w:rPr>
                        <w:lang w:val="zh-CN"/>
                      </w:rP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47CA0">
    <w:pPr>
      <w:pStyle w:val="16"/>
    </w:pPr>
  </w:p>
  <w:p w14:paraId="12D1D7EC">
    <w:pPr>
      <w:pStyle w:val="16"/>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425A3">
    <w:pPr>
      <w:pBdr>
        <w:bottom w:val="single" w:color="auto" w:sz="4" w:space="1"/>
      </w:pBdr>
      <w:tabs>
        <w:tab w:val="center" w:pos="4153"/>
        <w:tab w:val="right" w:pos="8306"/>
      </w:tabs>
      <w:jc w:val="left"/>
    </w:pPr>
    <w:r>
      <w:rPr>
        <w:rFonts w:hint="eastAsia"/>
      </w:rPr>
      <w:t>南沙区东涌镇片区内涝防治一期工程监理合同文件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upperLetter"/>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12"/>
    <w:multiLevelType w:val="multilevel"/>
    <w:tmpl w:val="00000012"/>
    <w:lvl w:ilvl="0" w:tentative="0">
      <w:start w:val="1"/>
      <w:numFmt w:val="upperLetter"/>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xMjhjMGM0MGZjZjgxZGU4MDQ4NjIxMzQ1YzBhM2EifQ=="/>
  </w:docVars>
  <w:rsids>
    <w:rsidRoot w:val="00875F65"/>
    <w:rsid w:val="00002BD8"/>
    <w:rsid w:val="00025232"/>
    <w:rsid w:val="0002561B"/>
    <w:rsid w:val="00037F09"/>
    <w:rsid w:val="0005206C"/>
    <w:rsid w:val="00052D8C"/>
    <w:rsid w:val="00055851"/>
    <w:rsid w:val="000567B9"/>
    <w:rsid w:val="00061B07"/>
    <w:rsid w:val="00064892"/>
    <w:rsid w:val="00076572"/>
    <w:rsid w:val="00084EC4"/>
    <w:rsid w:val="000914FF"/>
    <w:rsid w:val="00091556"/>
    <w:rsid w:val="000C03E1"/>
    <w:rsid w:val="000D0A23"/>
    <w:rsid w:val="000D13C6"/>
    <w:rsid w:val="000D369D"/>
    <w:rsid w:val="000D4ECD"/>
    <w:rsid w:val="000E5560"/>
    <w:rsid w:val="00101F80"/>
    <w:rsid w:val="00106F77"/>
    <w:rsid w:val="00107F9C"/>
    <w:rsid w:val="00115BB3"/>
    <w:rsid w:val="0012335B"/>
    <w:rsid w:val="001266BB"/>
    <w:rsid w:val="00132FF7"/>
    <w:rsid w:val="00134882"/>
    <w:rsid w:val="00137B82"/>
    <w:rsid w:val="00162F5B"/>
    <w:rsid w:val="00164E59"/>
    <w:rsid w:val="001776FB"/>
    <w:rsid w:val="00180640"/>
    <w:rsid w:val="001819B7"/>
    <w:rsid w:val="00195D44"/>
    <w:rsid w:val="00197926"/>
    <w:rsid w:val="001B3A43"/>
    <w:rsid w:val="001C05AB"/>
    <w:rsid w:val="001C4F55"/>
    <w:rsid w:val="001D0EBF"/>
    <w:rsid w:val="001D1118"/>
    <w:rsid w:val="001D4519"/>
    <w:rsid w:val="001E1B20"/>
    <w:rsid w:val="001F1DCA"/>
    <w:rsid w:val="002143B1"/>
    <w:rsid w:val="00214DAA"/>
    <w:rsid w:val="002256A5"/>
    <w:rsid w:val="0022601B"/>
    <w:rsid w:val="002360EE"/>
    <w:rsid w:val="0024305A"/>
    <w:rsid w:val="002522F2"/>
    <w:rsid w:val="00264DEC"/>
    <w:rsid w:val="00280E7B"/>
    <w:rsid w:val="002A3D6C"/>
    <w:rsid w:val="002B40F3"/>
    <w:rsid w:val="002D2B91"/>
    <w:rsid w:val="002E1279"/>
    <w:rsid w:val="002F2800"/>
    <w:rsid w:val="00311FCE"/>
    <w:rsid w:val="0032288C"/>
    <w:rsid w:val="00322BCA"/>
    <w:rsid w:val="00332BA4"/>
    <w:rsid w:val="00335832"/>
    <w:rsid w:val="00335EDB"/>
    <w:rsid w:val="00344B8B"/>
    <w:rsid w:val="00362AAE"/>
    <w:rsid w:val="0037261C"/>
    <w:rsid w:val="0039237C"/>
    <w:rsid w:val="003975B4"/>
    <w:rsid w:val="003A00D7"/>
    <w:rsid w:val="003B3228"/>
    <w:rsid w:val="003C67E1"/>
    <w:rsid w:val="003D4C92"/>
    <w:rsid w:val="003E2AD9"/>
    <w:rsid w:val="003F5ED9"/>
    <w:rsid w:val="004074AA"/>
    <w:rsid w:val="004351BA"/>
    <w:rsid w:val="00450092"/>
    <w:rsid w:val="00461C57"/>
    <w:rsid w:val="00472D49"/>
    <w:rsid w:val="00480456"/>
    <w:rsid w:val="004903F0"/>
    <w:rsid w:val="00492FE2"/>
    <w:rsid w:val="004A19A9"/>
    <w:rsid w:val="004A6E73"/>
    <w:rsid w:val="004C1F63"/>
    <w:rsid w:val="004C4320"/>
    <w:rsid w:val="004C563D"/>
    <w:rsid w:val="004C6089"/>
    <w:rsid w:val="004D12C0"/>
    <w:rsid w:val="004D7067"/>
    <w:rsid w:val="004E0510"/>
    <w:rsid w:val="004E4FE2"/>
    <w:rsid w:val="004F120C"/>
    <w:rsid w:val="00500105"/>
    <w:rsid w:val="00503B1C"/>
    <w:rsid w:val="00531CB1"/>
    <w:rsid w:val="00534021"/>
    <w:rsid w:val="0054002E"/>
    <w:rsid w:val="00543FB3"/>
    <w:rsid w:val="005473F4"/>
    <w:rsid w:val="005476C1"/>
    <w:rsid w:val="00554B92"/>
    <w:rsid w:val="0056234C"/>
    <w:rsid w:val="00563B27"/>
    <w:rsid w:val="00580F34"/>
    <w:rsid w:val="00584024"/>
    <w:rsid w:val="0058584C"/>
    <w:rsid w:val="00594453"/>
    <w:rsid w:val="00596ECC"/>
    <w:rsid w:val="005A774F"/>
    <w:rsid w:val="005C2701"/>
    <w:rsid w:val="005C604D"/>
    <w:rsid w:val="005E30CF"/>
    <w:rsid w:val="005E6863"/>
    <w:rsid w:val="005F0007"/>
    <w:rsid w:val="005F387F"/>
    <w:rsid w:val="005F6584"/>
    <w:rsid w:val="005F77E9"/>
    <w:rsid w:val="00604CC1"/>
    <w:rsid w:val="006071B2"/>
    <w:rsid w:val="0061191F"/>
    <w:rsid w:val="00615440"/>
    <w:rsid w:val="00637D5F"/>
    <w:rsid w:val="006417E5"/>
    <w:rsid w:val="00643392"/>
    <w:rsid w:val="00653AFE"/>
    <w:rsid w:val="00685639"/>
    <w:rsid w:val="00692582"/>
    <w:rsid w:val="00692E0E"/>
    <w:rsid w:val="006A2279"/>
    <w:rsid w:val="006A2668"/>
    <w:rsid w:val="006A6508"/>
    <w:rsid w:val="006A656C"/>
    <w:rsid w:val="006A7207"/>
    <w:rsid w:val="006B5A68"/>
    <w:rsid w:val="006C0D22"/>
    <w:rsid w:val="006C3AAC"/>
    <w:rsid w:val="006C4618"/>
    <w:rsid w:val="006D1422"/>
    <w:rsid w:val="006D6BE1"/>
    <w:rsid w:val="006E2B90"/>
    <w:rsid w:val="006F3965"/>
    <w:rsid w:val="006F7F75"/>
    <w:rsid w:val="00700BEA"/>
    <w:rsid w:val="00710D2A"/>
    <w:rsid w:val="007206FD"/>
    <w:rsid w:val="00727C69"/>
    <w:rsid w:val="00733731"/>
    <w:rsid w:val="007411AA"/>
    <w:rsid w:val="00743A2E"/>
    <w:rsid w:val="00756604"/>
    <w:rsid w:val="00763076"/>
    <w:rsid w:val="00763A1A"/>
    <w:rsid w:val="0076478D"/>
    <w:rsid w:val="00783440"/>
    <w:rsid w:val="0079146C"/>
    <w:rsid w:val="00793625"/>
    <w:rsid w:val="007A5099"/>
    <w:rsid w:val="007C2E19"/>
    <w:rsid w:val="007C72EA"/>
    <w:rsid w:val="00803B08"/>
    <w:rsid w:val="008161A7"/>
    <w:rsid w:val="008401B0"/>
    <w:rsid w:val="00843507"/>
    <w:rsid w:val="00853742"/>
    <w:rsid w:val="008675A2"/>
    <w:rsid w:val="00875F65"/>
    <w:rsid w:val="00880F03"/>
    <w:rsid w:val="008830DB"/>
    <w:rsid w:val="00885964"/>
    <w:rsid w:val="00887832"/>
    <w:rsid w:val="008A3D1A"/>
    <w:rsid w:val="008A5986"/>
    <w:rsid w:val="008A77A8"/>
    <w:rsid w:val="008B5D48"/>
    <w:rsid w:val="008C08E3"/>
    <w:rsid w:val="008C38DC"/>
    <w:rsid w:val="008D427E"/>
    <w:rsid w:val="008E47EE"/>
    <w:rsid w:val="008E751B"/>
    <w:rsid w:val="009151F8"/>
    <w:rsid w:val="00921F0F"/>
    <w:rsid w:val="00925E22"/>
    <w:rsid w:val="009568E1"/>
    <w:rsid w:val="00980AC9"/>
    <w:rsid w:val="009D026F"/>
    <w:rsid w:val="009D3B4E"/>
    <w:rsid w:val="009D4319"/>
    <w:rsid w:val="009D6334"/>
    <w:rsid w:val="009E54A1"/>
    <w:rsid w:val="009F0144"/>
    <w:rsid w:val="009F23FD"/>
    <w:rsid w:val="009F47DD"/>
    <w:rsid w:val="009F6783"/>
    <w:rsid w:val="00A01988"/>
    <w:rsid w:val="00A12042"/>
    <w:rsid w:val="00A16FD7"/>
    <w:rsid w:val="00A208BE"/>
    <w:rsid w:val="00A23B79"/>
    <w:rsid w:val="00A31B54"/>
    <w:rsid w:val="00A37C10"/>
    <w:rsid w:val="00A46224"/>
    <w:rsid w:val="00A51D3D"/>
    <w:rsid w:val="00A64923"/>
    <w:rsid w:val="00A70877"/>
    <w:rsid w:val="00A76884"/>
    <w:rsid w:val="00A862E6"/>
    <w:rsid w:val="00A95369"/>
    <w:rsid w:val="00A965AB"/>
    <w:rsid w:val="00AA78C4"/>
    <w:rsid w:val="00AC045D"/>
    <w:rsid w:val="00AC4C87"/>
    <w:rsid w:val="00AC644E"/>
    <w:rsid w:val="00AD675B"/>
    <w:rsid w:val="00B046C4"/>
    <w:rsid w:val="00B07E5A"/>
    <w:rsid w:val="00B12268"/>
    <w:rsid w:val="00B176AE"/>
    <w:rsid w:val="00B21B3A"/>
    <w:rsid w:val="00B30F0F"/>
    <w:rsid w:val="00B36834"/>
    <w:rsid w:val="00B44857"/>
    <w:rsid w:val="00B4592A"/>
    <w:rsid w:val="00B53932"/>
    <w:rsid w:val="00B61A0E"/>
    <w:rsid w:val="00B65363"/>
    <w:rsid w:val="00B67640"/>
    <w:rsid w:val="00B80180"/>
    <w:rsid w:val="00B87F1A"/>
    <w:rsid w:val="00BB51EA"/>
    <w:rsid w:val="00BC2298"/>
    <w:rsid w:val="00BC3329"/>
    <w:rsid w:val="00BC4755"/>
    <w:rsid w:val="00BD3B46"/>
    <w:rsid w:val="00BE44CF"/>
    <w:rsid w:val="00BE62BB"/>
    <w:rsid w:val="00BE740F"/>
    <w:rsid w:val="00BF4C44"/>
    <w:rsid w:val="00C0371C"/>
    <w:rsid w:val="00C24F9B"/>
    <w:rsid w:val="00C26149"/>
    <w:rsid w:val="00C3318E"/>
    <w:rsid w:val="00C415D6"/>
    <w:rsid w:val="00C41FF9"/>
    <w:rsid w:val="00C45FC8"/>
    <w:rsid w:val="00C540C7"/>
    <w:rsid w:val="00C609D6"/>
    <w:rsid w:val="00C60C04"/>
    <w:rsid w:val="00C644EC"/>
    <w:rsid w:val="00C65543"/>
    <w:rsid w:val="00C65900"/>
    <w:rsid w:val="00C665BD"/>
    <w:rsid w:val="00C7560C"/>
    <w:rsid w:val="00CA4504"/>
    <w:rsid w:val="00CB2CF3"/>
    <w:rsid w:val="00CC083D"/>
    <w:rsid w:val="00CC1093"/>
    <w:rsid w:val="00CF316E"/>
    <w:rsid w:val="00D00F45"/>
    <w:rsid w:val="00D05822"/>
    <w:rsid w:val="00D06E88"/>
    <w:rsid w:val="00D147A1"/>
    <w:rsid w:val="00D172E4"/>
    <w:rsid w:val="00D24477"/>
    <w:rsid w:val="00D32320"/>
    <w:rsid w:val="00D33BE1"/>
    <w:rsid w:val="00D33CFA"/>
    <w:rsid w:val="00D36E8D"/>
    <w:rsid w:val="00D43CA2"/>
    <w:rsid w:val="00D43D21"/>
    <w:rsid w:val="00D51CA0"/>
    <w:rsid w:val="00D67F14"/>
    <w:rsid w:val="00D70C2A"/>
    <w:rsid w:val="00D76973"/>
    <w:rsid w:val="00D808D9"/>
    <w:rsid w:val="00D96D0F"/>
    <w:rsid w:val="00DA149C"/>
    <w:rsid w:val="00DB530E"/>
    <w:rsid w:val="00DC1088"/>
    <w:rsid w:val="00DC16D7"/>
    <w:rsid w:val="00DC60C0"/>
    <w:rsid w:val="00DD502D"/>
    <w:rsid w:val="00DD689F"/>
    <w:rsid w:val="00DE5427"/>
    <w:rsid w:val="00E10EC4"/>
    <w:rsid w:val="00E1156A"/>
    <w:rsid w:val="00E20268"/>
    <w:rsid w:val="00E44500"/>
    <w:rsid w:val="00E450CE"/>
    <w:rsid w:val="00E51F60"/>
    <w:rsid w:val="00E5611F"/>
    <w:rsid w:val="00E66513"/>
    <w:rsid w:val="00E71F90"/>
    <w:rsid w:val="00E77771"/>
    <w:rsid w:val="00E8553C"/>
    <w:rsid w:val="00E9299E"/>
    <w:rsid w:val="00E94325"/>
    <w:rsid w:val="00EA0C0F"/>
    <w:rsid w:val="00EB2AB9"/>
    <w:rsid w:val="00EB7049"/>
    <w:rsid w:val="00EC6D9B"/>
    <w:rsid w:val="00ED0BF3"/>
    <w:rsid w:val="00ED470A"/>
    <w:rsid w:val="00ED682D"/>
    <w:rsid w:val="00EE231C"/>
    <w:rsid w:val="00EF07DC"/>
    <w:rsid w:val="00F15FF7"/>
    <w:rsid w:val="00F21E28"/>
    <w:rsid w:val="00F23213"/>
    <w:rsid w:val="00F30661"/>
    <w:rsid w:val="00F41271"/>
    <w:rsid w:val="00F443AF"/>
    <w:rsid w:val="00F46D26"/>
    <w:rsid w:val="00F51811"/>
    <w:rsid w:val="00F541C0"/>
    <w:rsid w:val="00F55E28"/>
    <w:rsid w:val="00F64D90"/>
    <w:rsid w:val="00F95813"/>
    <w:rsid w:val="00FA0508"/>
    <w:rsid w:val="00FB391C"/>
    <w:rsid w:val="00FC5CF2"/>
    <w:rsid w:val="00FD2876"/>
    <w:rsid w:val="00FE2D33"/>
    <w:rsid w:val="00FF2190"/>
    <w:rsid w:val="00FF7EFC"/>
    <w:rsid w:val="025A3275"/>
    <w:rsid w:val="036C4651"/>
    <w:rsid w:val="03755313"/>
    <w:rsid w:val="038F6FF2"/>
    <w:rsid w:val="05346C77"/>
    <w:rsid w:val="05520F8A"/>
    <w:rsid w:val="060B5BC0"/>
    <w:rsid w:val="06654A22"/>
    <w:rsid w:val="071C3141"/>
    <w:rsid w:val="07640961"/>
    <w:rsid w:val="077D4C2E"/>
    <w:rsid w:val="08BA1235"/>
    <w:rsid w:val="091F6AA3"/>
    <w:rsid w:val="09B74A73"/>
    <w:rsid w:val="09CE72D0"/>
    <w:rsid w:val="0A446ABD"/>
    <w:rsid w:val="0AD96704"/>
    <w:rsid w:val="0AF405F3"/>
    <w:rsid w:val="0AFE6EE3"/>
    <w:rsid w:val="0B3057FD"/>
    <w:rsid w:val="0B624CBC"/>
    <w:rsid w:val="0C0149DC"/>
    <w:rsid w:val="0E145D60"/>
    <w:rsid w:val="0EAB7473"/>
    <w:rsid w:val="10587FAF"/>
    <w:rsid w:val="125E5C2D"/>
    <w:rsid w:val="12D1435F"/>
    <w:rsid w:val="14592E77"/>
    <w:rsid w:val="145D2E32"/>
    <w:rsid w:val="1515434C"/>
    <w:rsid w:val="153655AE"/>
    <w:rsid w:val="153848C3"/>
    <w:rsid w:val="159B44FE"/>
    <w:rsid w:val="160E4158"/>
    <w:rsid w:val="162E3C12"/>
    <w:rsid w:val="165239B5"/>
    <w:rsid w:val="16E70E2B"/>
    <w:rsid w:val="175B0E5C"/>
    <w:rsid w:val="177055EA"/>
    <w:rsid w:val="17AF35DE"/>
    <w:rsid w:val="197E2BD4"/>
    <w:rsid w:val="19DF0B9F"/>
    <w:rsid w:val="19FA2530"/>
    <w:rsid w:val="1A2F13F9"/>
    <w:rsid w:val="1A424910"/>
    <w:rsid w:val="1A9E7FCD"/>
    <w:rsid w:val="1B2D36A3"/>
    <w:rsid w:val="1C413A86"/>
    <w:rsid w:val="1D660B43"/>
    <w:rsid w:val="1DE25A23"/>
    <w:rsid w:val="1E0858C7"/>
    <w:rsid w:val="1E405672"/>
    <w:rsid w:val="1EE57ACC"/>
    <w:rsid w:val="1FC5060A"/>
    <w:rsid w:val="206F2440"/>
    <w:rsid w:val="208855B9"/>
    <w:rsid w:val="20B9378C"/>
    <w:rsid w:val="20EE60B5"/>
    <w:rsid w:val="212222BA"/>
    <w:rsid w:val="219C1F9C"/>
    <w:rsid w:val="22353B2B"/>
    <w:rsid w:val="223861D4"/>
    <w:rsid w:val="22713350"/>
    <w:rsid w:val="22722FE9"/>
    <w:rsid w:val="22976B15"/>
    <w:rsid w:val="231828DF"/>
    <w:rsid w:val="237E4BCE"/>
    <w:rsid w:val="24376C90"/>
    <w:rsid w:val="257D05F0"/>
    <w:rsid w:val="26211093"/>
    <w:rsid w:val="27317374"/>
    <w:rsid w:val="279D7786"/>
    <w:rsid w:val="284A5EAE"/>
    <w:rsid w:val="29452E9B"/>
    <w:rsid w:val="29B852C4"/>
    <w:rsid w:val="2B3A2D8C"/>
    <w:rsid w:val="2B4226B9"/>
    <w:rsid w:val="2C7952B7"/>
    <w:rsid w:val="2C7A4574"/>
    <w:rsid w:val="2CBD45D1"/>
    <w:rsid w:val="2CCA4C2D"/>
    <w:rsid w:val="2CF80A75"/>
    <w:rsid w:val="2D5532DB"/>
    <w:rsid w:val="2D600622"/>
    <w:rsid w:val="2D666486"/>
    <w:rsid w:val="2F6713B2"/>
    <w:rsid w:val="2F8476A3"/>
    <w:rsid w:val="30444D13"/>
    <w:rsid w:val="304A2901"/>
    <w:rsid w:val="30A752A2"/>
    <w:rsid w:val="3213328D"/>
    <w:rsid w:val="32F15111"/>
    <w:rsid w:val="33BD4979"/>
    <w:rsid w:val="35ED2B5C"/>
    <w:rsid w:val="35EE2A3B"/>
    <w:rsid w:val="371637C7"/>
    <w:rsid w:val="38DB21B4"/>
    <w:rsid w:val="399F0031"/>
    <w:rsid w:val="39AA7562"/>
    <w:rsid w:val="3A0F68F2"/>
    <w:rsid w:val="3ACA5922"/>
    <w:rsid w:val="3AFD01E4"/>
    <w:rsid w:val="3BB52AF0"/>
    <w:rsid w:val="3C7C6F73"/>
    <w:rsid w:val="3D3367B3"/>
    <w:rsid w:val="3D4020C6"/>
    <w:rsid w:val="3D8E3A72"/>
    <w:rsid w:val="3E871B33"/>
    <w:rsid w:val="3ED656CF"/>
    <w:rsid w:val="3EFD093E"/>
    <w:rsid w:val="3F3BD692"/>
    <w:rsid w:val="3F7A323F"/>
    <w:rsid w:val="3FB879DD"/>
    <w:rsid w:val="3FF57F86"/>
    <w:rsid w:val="40E321FB"/>
    <w:rsid w:val="40F23CD2"/>
    <w:rsid w:val="410A2AE7"/>
    <w:rsid w:val="41A51894"/>
    <w:rsid w:val="4246546A"/>
    <w:rsid w:val="427C279B"/>
    <w:rsid w:val="429C5704"/>
    <w:rsid w:val="429D18E6"/>
    <w:rsid w:val="430A2DE8"/>
    <w:rsid w:val="43D838EE"/>
    <w:rsid w:val="45662876"/>
    <w:rsid w:val="45881869"/>
    <w:rsid w:val="465C31A4"/>
    <w:rsid w:val="47F81EAC"/>
    <w:rsid w:val="480A798E"/>
    <w:rsid w:val="483A3088"/>
    <w:rsid w:val="4894769F"/>
    <w:rsid w:val="48DD407E"/>
    <w:rsid w:val="49CB2D25"/>
    <w:rsid w:val="4B7F1AF3"/>
    <w:rsid w:val="4B853A8D"/>
    <w:rsid w:val="4CA7206F"/>
    <w:rsid w:val="4CAB0D68"/>
    <w:rsid w:val="4CBB7938"/>
    <w:rsid w:val="4D1B034F"/>
    <w:rsid w:val="4D8A6F9D"/>
    <w:rsid w:val="4DCF0FC2"/>
    <w:rsid w:val="4F121B58"/>
    <w:rsid w:val="506E6C24"/>
    <w:rsid w:val="509F1925"/>
    <w:rsid w:val="50F877F8"/>
    <w:rsid w:val="51327EEC"/>
    <w:rsid w:val="519F5360"/>
    <w:rsid w:val="52DF3240"/>
    <w:rsid w:val="52F94A45"/>
    <w:rsid w:val="54DF5DB2"/>
    <w:rsid w:val="5581030A"/>
    <w:rsid w:val="55AA1429"/>
    <w:rsid w:val="55D84EBE"/>
    <w:rsid w:val="561E7211"/>
    <w:rsid w:val="56375133"/>
    <w:rsid w:val="576556E7"/>
    <w:rsid w:val="5779783A"/>
    <w:rsid w:val="57DA4E20"/>
    <w:rsid w:val="59262DCE"/>
    <w:rsid w:val="59330E25"/>
    <w:rsid w:val="5967FFCD"/>
    <w:rsid w:val="59691B80"/>
    <w:rsid w:val="5A284E36"/>
    <w:rsid w:val="5BB114EF"/>
    <w:rsid w:val="5BF23219"/>
    <w:rsid w:val="5CD8275F"/>
    <w:rsid w:val="5E1E4D35"/>
    <w:rsid w:val="60534F9E"/>
    <w:rsid w:val="61831050"/>
    <w:rsid w:val="61E926DC"/>
    <w:rsid w:val="63A738AD"/>
    <w:rsid w:val="6402517D"/>
    <w:rsid w:val="64354EEA"/>
    <w:rsid w:val="64A62B52"/>
    <w:rsid w:val="66151666"/>
    <w:rsid w:val="66342C86"/>
    <w:rsid w:val="66CE5CDF"/>
    <w:rsid w:val="68E113FA"/>
    <w:rsid w:val="698F731F"/>
    <w:rsid w:val="699062B0"/>
    <w:rsid w:val="6AA06AFB"/>
    <w:rsid w:val="6CAF77B7"/>
    <w:rsid w:val="6D8223FC"/>
    <w:rsid w:val="6D965600"/>
    <w:rsid w:val="6F0E2EC2"/>
    <w:rsid w:val="72427B39"/>
    <w:rsid w:val="72B6607D"/>
    <w:rsid w:val="72C3170B"/>
    <w:rsid w:val="73453EFE"/>
    <w:rsid w:val="73E92C76"/>
    <w:rsid w:val="747B1953"/>
    <w:rsid w:val="74953C62"/>
    <w:rsid w:val="74CC468A"/>
    <w:rsid w:val="75150036"/>
    <w:rsid w:val="75EF4433"/>
    <w:rsid w:val="76697569"/>
    <w:rsid w:val="78637CEC"/>
    <w:rsid w:val="78DF5B35"/>
    <w:rsid w:val="792349FC"/>
    <w:rsid w:val="79AE4579"/>
    <w:rsid w:val="79BD542F"/>
    <w:rsid w:val="7A1A06BF"/>
    <w:rsid w:val="7A4435BE"/>
    <w:rsid w:val="7A873DEC"/>
    <w:rsid w:val="7BE14819"/>
    <w:rsid w:val="7CB86800"/>
    <w:rsid w:val="7E4454A0"/>
    <w:rsid w:val="7EB972CA"/>
    <w:rsid w:val="7ECD7921"/>
    <w:rsid w:val="7EFF6E87"/>
    <w:rsid w:val="7F7E4497"/>
    <w:rsid w:val="7FA0458F"/>
    <w:rsid w:val="7FFD1AE7"/>
    <w:rsid w:val="BEED4C52"/>
    <w:rsid w:val="DBF623F5"/>
    <w:rsid w:val="DF6747D8"/>
    <w:rsid w:val="F7F3718D"/>
    <w:rsid w:val="FBD66196"/>
    <w:rsid w:val="FE33A90E"/>
    <w:rsid w:val="FF5F195E"/>
    <w:rsid w:val="FF7EC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2"/>
    <w:qFormat/>
    <w:uiPriority w:val="0"/>
    <w:pPr>
      <w:keepNext/>
      <w:keepLines/>
      <w:spacing w:before="340" w:after="330" w:line="576" w:lineRule="auto"/>
      <w:outlineLvl w:val="0"/>
    </w:pPr>
    <w:rPr>
      <w:kern w:val="44"/>
      <w:sz w:val="44"/>
      <w:szCs w:val="20"/>
    </w:rPr>
  </w:style>
  <w:style w:type="paragraph" w:styleId="3">
    <w:name w:val="heading 2"/>
    <w:basedOn w:val="1"/>
    <w:next w:val="1"/>
    <w:link w:val="33"/>
    <w:qFormat/>
    <w:uiPriority w:val="0"/>
    <w:pPr>
      <w:keepNext/>
      <w:keepLines/>
      <w:adjustRightInd w:val="0"/>
      <w:snapToGrid w:val="0"/>
      <w:spacing w:before="240" w:after="120" w:line="360" w:lineRule="auto"/>
      <w:outlineLvl w:val="1"/>
    </w:pPr>
    <w:rPr>
      <w:rFonts w:ascii="宋体" w:hAnsi="仿宋_GB2312" w:cs="仿宋_GB2312"/>
      <w:b/>
      <w:kern w:val="0"/>
      <w:sz w:val="24"/>
      <w:szCs w:val="24"/>
    </w:rPr>
  </w:style>
  <w:style w:type="paragraph" w:styleId="4">
    <w:name w:val="heading 3"/>
    <w:basedOn w:val="1"/>
    <w:next w:val="1"/>
    <w:link w:val="34"/>
    <w:qFormat/>
    <w:uiPriority w:val="0"/>
    <w:pPr>
      <w:keepNext/>
      <w:keepLines/>
      <w:spacing w:before="260" w:after="260" w:line="416" w:lineRule="auto"/>
      <w:outlineLvl w:val="2"/>
    </w:pPr>
    <w:rPr>
      <w:b/>
      <w:bCs/>
      <w:sz w:val="32"/>
      <w:szCs w:val="32"/>
    </w:rPr>
  </w:style>
  <w:style w:type="paragraph" w:styleId="5">
    <w:name w:val="heading 7"/>
    <w:basedOn w:val="2"/>
    <w:next w:val="1"/>
    <w:qFormat/>
    <w:uiPriority w:val="0"/>
    <w:pPr>
      <w:spacing w:beforeLines="150" w:afterLines="150" w:line="360" w:lineRule="auto"/>
      <w:outlineLvl w:val="6"/>
    </w:pPr>
    <w:rPr>
      <w:kern w:val="0"/>
      <w:sz w:val="24"/>
    </w:rPr>
  </w:style>
  <w:style w:type="character" w:default="1" w:styleId="27">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rFonts w:ascii="等线" w:eastAsia="等线"/>
      <w:sz w:val="18"/>
      <w:szCs w:val="18"/>
    </w:rPr>
  </w:style>
  <w:style w:type="paragraph" w:styleId="7">
    <w:name w:val="annotation text"/>
    <w:basedOn w:val="1"/>
    <w:link w:val="49"/>
    <w:qFormat/>
    <w:uiPriority w:val="0"/>
    <w:pPr>
      <w:jc w:val="left"/>
    </w:pPr>
  </w:style>
  <w:style w:type="paragraph" w:styleId="8">
    <w:name w:val="Body Text"/>
    <w:basedOn w:val="1"/>
    <w:unhideWhenUsed/>
    <w:qFormat/>
    <w:uiPriority w:val="0"/>
    <w:pPr>
      <w:spacing w:after="120"/>
    </w:pPr>
    <w:rPr>
      <w:szCs w:val="20"/>
    </w:rPr>
  </w:style>
  <w:style w:type="paragraph" w:styleId="9">
    <w:name w:val="Body Text Indent"/>
    <w:basedOn w:val="1"/>
    <w:next w:val="1"/>
    <w:qFormat/>
    <w:uiPriority w:val="0"/>
    <w:pPr>
      <w:ind w:firstLine="630"/>
    </w:pPr>
    <w:rPr>
      <w:rFonts w:ascii="宋体" w:cs="宋体"/>
      <w:sz w:val="32"/>
      <w:szCs w:val="32"/>
    </w:rPr>
  </w:style>
  <w:style w:type="paragraph" w:styleId="10">
    <w:name w:val="toc 5"/>
    <w:basedOn w:val="1"/>
    <w:next w:val="1"/>
    <w:qFormat/>
    <w:uiPriority w:val="0"/>
    <w:pPr>
      <w:ind w:left="840"/>
      <w:jc w:val="left"/>
    </w:pPr>
    <w:rPr>
      <w:rFonts w:ascii="等线" w:eastAsia="等线"/>
      <w:sz w:val="18"/>
      <w:szCs w:val="18"/>
    </w:rPr>
  </w:style>
  <w:style w:type="paragraph" w:styleId="11">
    <w:name w:val="toc 3"/>
    <w:basedOn w:val="1"/>
    <w:next w:val="1"/>
    <w:qFormat/>
    <w:uiPriority w:val="0"/>
    <w:pPr>
      <w:ind w:left="420"/>
      <w:jc w:val="left"/>
    </w:pPr>
    <w:rPr>
      <w:rFonts w:ascii="等线" w:eastAsia="等线"/>
      <w:i/>
      <w:iCs/>
      <w:sz w:val="20"/>
      <w:szCs w:val="20"/>
    </w:rPr>
  </w:style>
  <w:style w:type="paragraph" w:styleId="12">
    <w:name w:val="Plain Text"/>
    <w:basedOn w:val="1"/>
    <w:link w:val="35"/>
    <w:qFormat/>
    <w:uiPriority w:val="0"/>
    <w:rPr>
      <w:rFonts w:ascii="宋体"/>
    </w:rPr>
  </w:style>
  <w:style w:type="paragraph" w:styleId="13">
    <w:name w:val="toc 8"/>
    <w:basedOn w:val="1"/>
    <w:next w:val="1"/>
    <w:qFormat/>
    <w:uiPriority w:val="0"/>
    <w:pPr>
      <w:ind w:left="1470"/>
      <w:jc w:val="left"/>
    </w:pPr>
    <w:rPr>
      <w:rFonts w:ascii="等线" w:eastAsia="等线"/>
      <w:sz w:val="18"/>
      <w:szCs w:val="18"/>
    </w:rPr>
  </w:style>
  <w:style w:type="paragraph" w:styleId="14">
    <w:name w:val="Balloon Text"/>
    <w:basedOn w:val="1"/>
    <w:link w:val="36"/>
    <w:qFormat/>
    <w:uiPriority w:val="0"/>
    <w:rPr>
      <w:sz w:val="18"/>
      <w:szCs w:val="18"/>
    </w:rPr>
  </w:style>
  <w:style w:type="paragraph" w:styleId="15">
    <w:name w:val="footer"/>
    <w:basedOn w:val="1"/>
    <w:link w:val="37"/>
    <w:qFormat/>
    <w:uiPriority w:val="99"/>
    <w:pPr>
      <w:tabs>
        <w:tab w:val="center" w:pos="4153"/>
        <w:tab w:val="right" w:pos="8306"/>
      </w:tabs>
      <w:snapToGrid w:val="0"/>
      <w:jc w:val="left"/>
    </w:pPr>
    <w:rPr>
      <w:sz w:val="18"/>
    </w:rPr>
  </w:style>
  <w:style w:type="paragraph" w:styleId="16">
    <w:name w:val="header"/>
    <w:basedOn w:val="1"/>
    <w:link w:val="38"/>
    <w:qFormat/>
    <w:uiPriority w:val="0"/>
    <w:pPr>
      <w:tabs>
        <w:tab w:val="center" w:pos="4153"/>
        <w:tab w:val="right" w:pos="8306"/>
      </w:tabs>
      <w:snapToGrid w:val="0"/>
    </w:pPr>
    <w:rPr>
      <w:sz w:val="18"/>
      <w:szCs w:val="20"/>
    </w:rPr>
  </w:style>
  <w:style w:type="paragraph" w:styleId="17">
    <w:name w:val="toc 1"/>
    <w:basedOn w:val="1"/>
    <w:next w:val="1"/>
    <w:qFormat/>
    <w:uiPriority w:val="39"/>
    <w:pPr>
      <w:spacing w:before="120" w:after="120"/>
      <w:jc w:val="left"/>
    </w:pPr>
    <w:rPr>
      <w:rFonts w:ascii="等线" w:eastAsia="等线"/>
      <w:b/>
      <w:bCs/>
      <w:caps/>
      <w:sz w:val="20"/>
      <w:szCs w:val="20"/>
    </w:rPr>
  </w:style>
  <w:style w:type="paragraph" w:styleId="18">
    <w:name w:val="toc 4"/>
    <w:basedOn w:val="1"/>
    <w:next w:val="1"/>
    <w:qFormat/>
    <w:uiPriority w:val="0"/>
    <w:pPr>
      <w:ind w:left="630"/>
      <w:jc w:val="left"/>
    </w:pPr>
    <w:rPr>
      <w:rFonts w:ascii="等线" w:eastAsia="等线"/>
      <w:sz w:val="18"/>
      <w:szCs w:val="18"/>
    </w:rPr>
  </w:style>
  <w:style w:type="paragraph" w:styleId="19">
    <w:name w:val="toc 6"/>
    <w:basedOn w:val="1"/>
    <w:next w:val="1"/>
    <w:qFormat/>
    <w:uiPriority w:val="0"/>
    <w:pPr>
      <w:ind w:left="1050"/>
      <w:jc w:val="left"/>
    </w:pPr>
    <w:rPr>
      <w:rFonts w:ascii="等线" w:eastAsia="等线"/>
      <w:sz w:val="18"/>
      <w:szCs w:val="18"/>
    </w:rPr>
  </w:style>
  <w:style w:type="paragraph" w:styleId="20">
    <w:name w:val="toc 2"/>
    <w:basedOn w:val="1"/>
    <w:next w:val="1"/>
    <w:qFormat/>
    <w:uiPriority w:val="39"/>
    <w:pPr>
      <w:ind w:left="210"/>
      <w:jc w:val="left"/>
    </w:pPr>
    <w:rPr>
      <w:rFonts w:ascii="等线" w:eastAsia="等线"/>
      <w:smallCaps/>
      <w:sz w:val="20"/>
      <w:szCs w:val="20"/>
    </w:rPr>
  </w:style>
  <w:style w:type="paragraph" w:styleId="21">
    <w:name w:val="toc 9"/>
    <w:basedOn w:val="1"/>
    <w:next w:val="1"/>
    <w:qFormat/>
    <w:uiPriority w:val="0"/>
    <w:pPr>
      <w:ind w:left="1680"/>
      <w:jc w:val="left"/>
    </w:pPr>
    <w:rPr>
      <w:rFonts w:ascii="等线" w:eastAsia="等线"/>
      <w:sz w:val="18"/>
      <w:szCs w:val="18"/>
    </w:rPr>
  </w:style>
  <w:style w:type="paragraph" w:styleId="22">
    <w:name w:val="Normal (Web)"/>
    <w:basedOn w:val="1"/>
    <w:unhideWhenUsed/>
    <w:qFormat/>
    <w:uiPriority w:val="0"/>
    <w:rPr>
      <w:sz w:val="24"/>
    </w:rPr>
  </w:style>
  <w:style w:type="paragraph" w:styleId="23">
    <w:name w:val="Title"/>
    <w:basedOn w:val="1"/>
    <w:link w:val="39"/>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4">
    <w:name w:val="annotation subject"/>
    <w:basedOn w:val="7"/>
    <w:next w:val="7"/>
    <w:link w:val="50"/>
    <w:qFormat/>
    <w:uiPriority w:val="0"/>
    <w:rPr>
      <w:b/>
      <w:bCs/>
    </w:rPr>
  </w:style>
  <w:style w:type="paragraph" w:styleId="25">
    <w:name w:val="Body Text First Indent"/>
    <w:basedOn w:val="8"/>
    <w:next w:val="8"/>
    <w:qFormat/>
    <w:uiPriority w:val="0"/>
    <w:pPr>
      <w:spacing w:line="312" w:lineRule="auto"/>
      <w:ind w:firstLine="420"/>
    </w:pPr>
    <w:rPr>
      <w:szCs w:val="24"/>
    </w:rPr>
  </w:style>
  <w:style w:type="character" w:styleId="28">
    <w:name w:val="page number"/>
    <w:qFormat/>
    <w:uiPriority w:val="0"/>
  </w:style>
  <w:style w:type="character" w:styleId="29">
    <w:name w:val="FollowedHyperlink"/>
    <w:qFormat/>
    <w:uiPriority w:val="0"/>
    <w:rPr>
      <w:color w:val="008000"/>
      <w:u w:val="single"/>
    </w:rPr>
  </w:style>
  <w:style w:type="character" w:styleId="30">
    <w:name w:val="Hyperlink"/>
    <w:qFormat/>
    <w:uiPriority w:val="99"/>
    <w:rPr>
      <w:color w:val="000000"/>
      <w:u w:val="single"/>
    </w:rPr>
  </w:style>
  <w:style w:type="character" w:styleId="31">
    <w:name w:val="annotation reference"/>
    <w:basedOn w:val="27"/>
    <w:qFormat/>
    <w:uiPriority w:val="0"/>
    <w:rPr>
      <w:sz w:val="21"/>
      <w:szCs w:val="21"/>
    </w:rPr>
  </w:style>
  <w:style w:type="character" w:customStyle="1" w:styleId="32">
    <w:name w:val="标题 1 字符"/>
    <w:link w:val="2"/>
    <w:qFormat/>
    <w:uiPriority w:val="0"/>
    <w:rPr>
      <w:rFonts w:ascii="Times New Roman" w:hAnsi="Times New Roman"/>
      <w:kern w:val="44"/>
      <w:sz w:val="44"/>
    </w:rPr>
  </w:style>
  <w:style w:type="character" w:customStyle="1" w:styleId="33">
    <w:name w:val="标题 2 字符"/>
    <w:link w:val="3"/>
    <w:qFormat/>
    <w:uiPriority w:val="0"/>
    <w:rPr>
      <w:rFonts w:ascii="宋体" w:hAnsi="仿宋_GB2312" w:cs="仿宋_GB2312"/>
      <w:b/>
      <w:sz w:val="24"/>
      <w:szCs w:val="24"/>
    </w:rPr>
  </w:style>
  <w:style w:type="character" w:customStyle="1" w:styleId="34">
    <w:name w:val="标题 3 字符"/>
    <w:link w:val="4"/>
    <w:semiHidden/>
    <w:qFormat/>
    <w:uiPriority w:val="0"/>
    <w:rPr>
      <w:rFonts w:ascii="Calibri" w:hAnsi="Calibri"/>
      <w:b/>
      <w:bCs/>
      <w:kern w:val="2"/>
      <w:sz w:val="32"/>
      <w:szCs w:val="32"/>
    </w:rPr>
  </w:style>
  <w:style w:type="character" w:customStyle="1" w:styleId="35">
    <w:name w:val="纯文本 字符"/>
    <w:link w:val="12"/>
    <w:qFormat/>
    <w:uiPriority w:val="0"/>
    <w:rPr>
      <w:rFonts w:ascii="宋体"/>
      <w:kern w:val="2"/>
      <w:sz w:val="21"/>
      <w:szCs w:val="22"/>
    </w:rPr>
  </w:style>
  <w:style w:type="character" w:customStyle="1" w:styleId="36">
    <w:name w:val="批注框文本 字符"/>
    <w:link w:val="14"/>
    <w:qFormat/>
    <w:uiPriority w:val="0"/>
    <w:rPr>
      <w:rFonts w:ascii="Calibri" w:hAnsi="Calibri"/>
      <w:kern w:val="2"/>
      <w:sz w:val="18"/>
      <w:szCs w:val="18"/>
    </w:rPr>
  </w:style>
  <w:style w:type="character" w:customStyle="1" w:styleId="37">
    <w:name w:val="页脚 字符"/>
    <w:link w:val="15"/>
    <w:qFormat/>
    <w:uiPriority w:val="99"/>
    <w:rPr>
      <w:rFonts w:ascii="Calibri" w:hAnsi="Calibri"/>
      <w:kern w:val="2"/>
      <w:sz w:val="18"/>
      <w:szCs w:val="22"/>
    </w:rPr>
  </w:style>
  <w:style w:type="character" w:customStyle="1" w:styleId="38">
    <w:name w:val="页眉 字符"/>
    <w:link w:val="16"/>
    <w:qFormat/>
    <w:uiPriority w:val="0"/>
    <w:rPr>
      <w:kern w:val="2"/>
      <w:sz w:val="18"/>
    </w:rPr>
  </w:style>
  <w:style w:type="character" w:customStyle="1" w:styleId="39">
    <w:name w:val="标题 字符"/>
    <w:link w:val="23"/>
    <w:qFormat/>
    <w:uiPriority w:val="0"/>
    <w:rPr>
      <w:rFonts w:ascii="Arial" w:hAnsi="Arial"/>
      <w:b/>
      <w:kern w:val="0"/>
      <w:sz w:val="32"/>
      <w:szCs w:val="20"/>
    </w:rPr>
  </w:style>
  <w:style w:type="paragraph" w:customStyle="1" w:styleId="4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1">
    <w:name w:val="TOC 标题2"/>
    <w:basedOn w:val="2"/>
    <w:next w:val="1"/>
    <w:qFormat/>
    <w:uiPriority w:val="39"/>
    <w:pPr>
      <w:spacing w:line="578" w:lineRule="auto"/>
      <w:outlineLvl w:val="9"/>
    </w:pPr>
  </w:style>
  <w:style w:type="paragraph" w:customStyle="1" w:styleId="42">
    <w:name w:val="Table Paragraph"/>
    <w:qFormat/>
    <w:uiPriority w:val="1"/>
    <w:pPr>
      <w:widowControl w:val="0"/>
      <w:autoSpaceDE w:val="0"/>
      <w:autoSpaceDN w:val="0"/>
    </w:pPr>
    <w:rPr>
      <w:rFonts w:ascii="宋体" w:hAnsi="宋体" w:eastAsia="宋体" w:cs="宋体"/>
      <w:sz w:val="22"/>
      <w:szCs w:val="22"/>
      <w:lang w:val="zh-CN" w:eastAsia="zh-CN" w:bidi="zh-CN"/>
    </w:rPr>
  </w:style>
  <w:style w:type="paragraph" w:customStyle="1" w:styleId="43">
    <w:name w:val="_Style 39"/>
    <w:unhideWhenUsed/>
    <w:qFormat/>
    <w:uiPriority w:val="99"/>
    <w:rPr>
      <w:rFonts w:ascii="Times New Roman" w:hAnsi="Times New Roman" w:eastAsia="宋体" w:cs="Times New Roman"/>
      <w:kern w:val="2"/>
      <w:sz w:val="21"/>
      <w:szCs w:val="22"/>
      <w:lang w:val="en-US" w:eastAsia="zh-CN" w:bidi="ar-SA"/>
    </w:rPr>
  </w:style>
  <w:style w:type="paragraph" w:customStyle="1" w:styleId="44">
    <w:name w:val="文一"/>
    <w:basedOn w:val="1"/>
    <w:qFormat/>
    <w:uiPriority w:val="0"/>
    <w:pPr>
      <w:topLinePunct/>
      <w:adjustRightInd w:val="0"/>
      <w:snapToGrid w:val="0"/>
      <w:spacing w:line="360" w:lineRule="auto"/>
      <w:ind w:firstLine="200" w:firstLineChars="200"/>
    </w:pPr>
    <w:rPr>
      <w:spacing w:val="4"/>
      <w:kern w:val="0"/>
      <w:sz w:val="24"/>
      <w:szCs w:val="20"/>
    </w:rPr>
  </w:style>
  <w:style w:type="paragraph" w:customStyle="1" w:styleId="4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47">
    <w:name w:val="通用标题4"/>
    <w:next w:val="1"/>
    <w:qFormat/>
    <w:uiPriority w:val="0"/>
    <w:pPr>
      <w:tabs>
        <w:tab w:val="left" w:pos="851"/>
      </w:tabs>
      <w:adjustRightInd w:val="0"/>
      <w:snapToGrid w:val="0"/>
      <w:spacing w:afterLines="50" w:line="360" w:lineRule="auto"/>
      <w:ind w:left="2126"/>
      <w:jc w:val="both"/>
      <w:outlineLvl w:val="3"/>
    </w:pPr>
    <w:rPr>
      <w:rFonts w:ascii="宋体" w:hAnsi="宋体" w:eastAsia="宋体" w:cs="Times New Roman"/>
      <w:kern w:val="2"/>
      <w:sz w:val="24"/>
      <w:szCs w:val="21"/>
      <w:lang w:val="en-US" w:eastAsia="zh-CN" w:bidi="ar-SA"/>
    </w:rPr>
  </w:style>
  <w:style w:type="paragraph" w:customStyle="1" w:styleId="48">
    <w:name w:val="修订2"/>
    <w:hidden/>
    <w:unhideWhenUsed/>
    <w:qFormat/>
    <w:uiPriority w:val="99"/>
    <w:rPr>
      <w:rFonts w:ascii="Times New Roman" w:hAnsi="Times New Roman" w:eastAsia="宋体" w:cs="Times New Roman"/>
      <w:kern w:val="2"/>
      <w:sz w:val="21"/>
      <w:szCs w:val="22"/>
      <w:lang w:val="en-US" w:eastAsia="zh-CN" w:bidi="ar-SA"/>
    </w:rPr>
  </w:style>
  <w:style w:type="character" w:customStyle="1" w:styleId="49">
    <w:name w:val="批注文字 字符"/>
    <w:basedOn w:val="27"/>
    <w:link w:val="7"/>
    <w:qFormat/>
    <w:uiPriority w:val="0"/>
    <w:rPr>
      <w:kern w:val="2"/>
      <w:sz w:val="21"/>
      <w:szCs w:val="22"/>
    </w:rPr>
  </w:style>
  <w:style w:type="character" w:customStyle="1" w:styleId="50">
    <w:name w:val="批注主题 字符"/>
    <w:basedOn w:val="49"/>
    <w:link w:val="24"/>
    <w:qFormat/>
    <w:uiPriority w:val="0"/>
    <w:rPr>
      <w:b/>
      <w:bCs/>
      <w:kern w:val="2"/>
      <w:sz w:val="21"/>
      <w:szCs w:val="22"/>
    </w:rPr>
  </w:style>
  <w:style w:type="paragraph" w:customStyle="1" w:styleId="51">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52">
    <w:name w:val="修订4"/>
    <w:hidden/>
    <w:unhideWhenUsed/>
    <w:qFormat/>
    <w:uiPriority w:val="99"/>
    <w:rPr>
      <w:rFonts w:ascii="Times New Roman" w:hAnsi="Times New Roman" w:eastAsia="宋体" w:cs="Times New Roman"/>
      <w:kern w:val="2"/>
      <w:sz w:val="21"/>
      <w:szCs w:val="22"/>
      <w:lang w:val="en-US" w:eastAsia="zh-CN" w:bidi="ar-SA"/>
    </w:rPr>
  </w:style>
  <w:style w:type="paragraph" w:styleId="53">
    <w:name w:val="List Paragraph"/>
    <w:basedOn w:val="1"/>
    <w:qFormat/>
    <w:uiPriority w:val="99"/>
    <w:pPr>
      <w:ind w:firstLine="420" w:firstLineChars="200"/>
    </w:pPr>
  </w:style>
  <w:style w:type="paragraph" w:customStyle="1" w:styleId="54">
    <w:name w:val="p1"/>
    <w:basedOn w:val="1"/>
    <w:qFormat/>
    <w:uiPriority w:val="0"/>
    <w:pPr>
      <w:jc w:val="left"/>
    </w:pPr>
    <w:rPr>
      <w:rFonts w:ascii="Berlin Sans FB" w:hAnsi="Berlin Sans FB" w:eastAsia="Berlin Sans FB"/>
      <w:color w:val="000000"/>
      <w:kern w:val="0"/>
      <w:sz w:val="28"/>
      <w:szCs w:val="28"/>
    </w:rPr>
  </w:style>
  <w:style w:type="character" w:customStyle="1" w:styleId="55">
    <w:name w:val="s1"/>
    <w:basedOn w:val="27"/>
    <w:qFormat/>
    <w:uiPriority w:val="0"/>
    <w:rPr>
      <w:rFonts w:ascii="Yu Gothic Medium" w:hAnsi="Yu Gothic Medium" w:eastAsia="Yu Gothic Medium" w:cs="Yu Gothic Medium"/>
      <w:sz w:val="28"/>
      <w:szCs w:val="28"/>
    </w:rPr>
  </w:style>
  <w:style w:type="paragraph" w:customStyle="1" w:styleId="56">
    <w:name w:val="文书"/>
    <w:basedOn w:val="1"/>
    <w:qFormat/>
    <w:uiPriority w:val="0"/>
    <w:pPr>
      <w:ind w:firstLine="560" w:firstLineChars="200"/>
    </w:pPr>
    <w:rPr>
      <w:sz w:val="28"/>
    </w:rPr>
  </w:style>
  <w:style w:type="paragraph" w:customStyle="1" w:styleId="57">
    <w:name w:val="Revision"/>
    <w:hidden/>
    <w:unhideWhenUsed/>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49</Pages>
  <Words>13150</Words>
  <Characters>13287</Characters>
  <Lines>645</Lines>
  <Paragraphs>418</Paragraphs>
  <TotalTime>31</TotalTime>
  <ScaleCrop>false</ScaleCrop>
  <LinksUpToDate>false</LinksUpToDate>
  <CharactersWithSpaces>13650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2024-01-24T03:16:00Z</dcterms:created>
  <dc:creator>晴天</dc:creator>
  <cp:lastModifiedBy>未定义用户008</cp:lastModifiedBy>
  <cp:lastPrinted>2025-07-24T05:43:00Z</cp:lastPrinted>
  <dcterms:modified xsi:type="dcterms:W3CDTF">2025-07-28T10:34:08Z</dcterms:modified>
  <dc:title>庆盛人工智能产业园及安置配套区EPC部分市政工程（第一标段）及PPP部分东涌污水处理厂工程监理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D5676F4CFDFA41B79DAAD26BEE49E04E_13</vt:lpwstr>
  </property>
  <property fmtid="{D5CDD505-2E9C-101B-9397-08002B2CF9AE}" pid="4" name="KSOTemplateDocerSaveRecord">
    <vt:lpwstr>eyJoZGlkIjoiZTEwMDY4MmNjMDliZmM3OTU5Mzk0YWY1MDg5Nzk0NGEiLCJ1c2VySWQiOiIxNjAyNTMwMDU5In0=</vt:lpwstr>
  </property>
</Properties>
</file>