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color w:val="auto"/>
          <w:sz w:val="11"/>
          <w:highlight w:val="none"/>
        </w:rPr>
      </w:pPr>
    </w:p>
    <w:p>
      <w:pPr>
        <w:pStyle w:val="10"/>
        <w:spacing w:line="360" w:lineRule="auto"/>
        <w:rPr>
          <w:color w:val="auto"/>
          <w:sz w:val="20"/>
          <w:highlight w:val="none"/>
        </w:rPr>
      </w:pPr>
    </w:p>
    <w:p>
      <w:pPr>
        <w:pStyle w:val="10"/>
        <w:spacing w:line="360" w:lineRule="auto"/>
        <w:rPr>
          <w:color w:val="auto"/>
          <w:sz w:val="20"/>
          <w:highlight w:val="none"/>
        </w:rPr>
      </w:pPr>
    </w:p>
    <w:p>
      <w:pPr>
        <w:spacing w:line="720" w:lineRule="auto"/>
        <w:ind w:left="440" w:leftChars="200" w:right="284" w:rightChars="129"/>
        <w:jc w:val="center"/>
        <w:rPr>
          <w:b/>
          <w:color w:val="auto"/>
          <w:sz w:val="36"/>
          <w:szCs w:val="44"/>
          <w:highlight w:val="none"/>
        </w:rPr>
      </w:pPr>
      <w:r>
        <w:rPr>
          <w:rFonts w:hint="eastAsia"/>
          <w:b/>
          <w:color w:val="auto"/>
          <w:sz w:val="36"/>
          <w:szCs w:val="44"/>
          <w:highlight w:val="none"/>
        </w:rPr>
        <w:t>广州市白云区螺涌村、松南村、松北村城中村改造项目AB3802042、AB3802027、AB3806001、AB3802058、AB3805009地块项目管线迁改工程施工监理</w:t>
      </w:r>
    </w:p>
    <w:p>
      <w:pPr>
        <w:pStyle w:val="10"/>
        <w:spacing w:line="360" w:lineRule="auto"/>
        <w:rPr>
          <w:color w:val="auto"/>
          <w:sz w:val="20"/>
          <w:highlight w:val="none"/>
        </w:rPr>
      </w:pPr>
    </w:p>
    <w:p>
      <w:pPr>
        <w:pStyle w:val="10"/>
        <w:spacing w:line="360" w:lineRule="auto"/>
        <w:rPr>
          <w:color w:val="auto"/>
          <w:sz w:val="20"/>
          <w:highlight w:val="none"/>
        </w:rPr>
      </w:pPr>
    </w:p>
    <w:p>
      <w:pPr>
        <w:pStyle w:val="10"/>
        <w:spacing w:line="360" w:lineRule="auto"/>
        <w:rPr>
          <w:color w:val="auto"/>
          <w:sz w:val="20"/>
          <w:highlight w:val="none"/>
        </w:rPr>
      </w:pPr>
    </w:p>
    <w:p>
      <w:pPr>
        <w:pStyle w:val="10"/>
        <w:spacing w:line="360" w:lineRule="auto"/>
        <w:rPr>
          <w:color w:val="auto"/>
          <w:sz w:val="20"/>
          <w:highlight w:val="none"/>
        </w:rPr>
      </w:pPr>
    </w:p>
    <w:p>
      <w:pPr>
        <w:rPr>
          <w:color w:val="auto"/>
          <w:highlight w:val="none"/>
        </w:rPr>
      </w:pPr>
    </w:p>
    <w:p>
      <w:pPr>
        <w:pStyle w:val="10"/>
        <w:spacing w:line="360" w:lineRule="auto"/>
        <w:rPr>
          <w:color w:val="auto"/>
          <w:sz w:val="20"/>
          <w:highlight w:val="none"/>
        </w:rPr>
      </w:pPr>
    </w:p>
    <w:p>
      <w:pPr>
        <w:spacing w:before="168" w:line="360" w:lineRule="auto"/>
        <w:ind w:right="459"/>
        <w:jc w:val="center"/>
        <w:rPr>
          <w:color w:val="auto"/>
          <w:sz w:val="44"/>
          <w:highlight w:val="none"/>
        </w:rPr>
      </w:pPr>
      <w:r>
        <w:rPr>
          <w:rFonts w:hint="eastAsia"/>
          <w:b/>
          <w:color w:val="auto"/>
          <w:spacing w:val="26"/>
          <w:kern w:val="2"/>
          <w:sz w:val="110"/>
          <w:highlight w:val="none"/>
          <w:lang w:val="en-US" w:bidi="ar-SA"/>
        </w:rPr>
        <w:t>招标文件</w:t>
      </w:r>
    </w:p>
    <w:p>
      <w:pPr>
        <w:pStyle w:val="10"/>
        <w:spacing w:line="360" w:lineRule="auto"/>
        <w:rPr>
          <w:color w:val="auto"/>
          <w:sz w:val="44"/>
          <w:highlight w:val="none"/>
        </w:rPr>
      </w:pPr>
    </w:p>
    <w:p>
      <w:pPr>
        <w:rPr>
          <w:color w:val="auto"/>
          <w:sz w:val="44"/>
          <w:highlight w:val="none"/>
        </w:rPr>
      </w:pPr>
    </w:p>
    <w:p>
      <w:pPr>
        <w:pStyle w:val="2"/>
        <w:rPr>
          <w:color w:val="auto"/>
          <w:highlight w:val="none"/>
        </w:rPr>
      </w:pPr>
    </w:p>
    <w:p>
      <w:pPr>
        <w:pStyle w:val="10"/>
        <w:spacing w:line="360" w:lineRule="auto"/>
        <w:rPr>
          <w:color w:val="auto"/>
          <w:sz w:val="44"/>
          <w:highlight w:val="none"/>
        </w:rPr>
      </w:pPr>
    </w:p>
    <w:p>
      <w:pPr>
        <w:pStyle w:val="10"/>
        <w:spacing w:line="360" w:lineRule="auto"/>
        <w:rPr>
          <w:color w:val="auto"/>
          <w:sz w:val="44"/>
          <w:highlight w:val="none"/>
        </w:rPr>
      </w:pPr>
    </w:p>
    <w:p>
      <w:pPr>
        <w:pStyle w:val="10"/>
        <w:spacing w:line="360" w:lineRule="auto"/>
        <w:rPr>
          <w:color w:val="auto"/>
          <w:sz w:val="44"/>
          <w:highlight w:val="none"/>
        </w:rPr>
      </w:pPr>
    </w:p>
    <w:p>
      <w:pPr>
        <w:spacing w:line="360" w:lineRule="auto"/>
        <w:ind w:firstLine="945"/>
        <w:rPr>
          <w:color w:val="auto"/>
          <w:sz w:val="30"/>
          <w:highlight w:val="none"/>
          <w:u w:val="single"/>
        </w:rPr>
      </w:pPr>
      <w:r>
        <w:rPr>
          <w:rFonts w:hint="eastAsia"/>
          <w:color w:val="auto"/>
          <w:sz w:val="30"/>
          <w:highlight w:val="none"/>
        </w:rPr>
        <w:t>招  标 单 位：</w:t>
      </w:r>
      <w:r>
        <w:rPr>
          <w:rFonts w:hint="eastAsia"/>
          <w:color w:val="auto"/>
          <w:sz w:val="30"/>
          <w:highlight w:val="none"/>
          <w:u w:val="single"/>
        </w:rPr>
        <w:t>广州湾区新岸城市开发投资有限公司</w:t>
      </w:r>
    </w:p>
    <w:p>
      <w:pPr>
        <w:spacing w:line="360" w:lineRule="auto"/>
        <w:ind w:firstLine="945"/>
        <w:rPr>
          <w:color w:val="auto"/>
          <w:sz w:val="30"/>
          <w:highlight w:val="none"/>
          <w:u w:val="single"/>
        </w:rPr>
      </w:pPr>
      <w:r>
        <w:rPr>
          <w:rFonts w:hint="eastAsia"/>
          <w:color w:val="auto"/>
          <w:sz w:val="30"/>
          <w:highlight w:val="none"/>
        </w:rPr>
        <w:t>招标代理单位：</w:t>
      </w:r>
      <w:r>
        <w:rPr>
          <w:rFonts w:hint="eastAsia"/>
          <w:color w:val="auto"/>
          <w:sz w:val="30"/>
          <w:highlight w:val="none"/>
          <w:u w:val="single"/>
          <w:lang w:val="en-US"/>
        </w:rPr>
        <w:t>国义招标股份有限公司</w:t>
      </w:r>
    </w:p>
    <w:p>
      <w:pPr>
        <w:spacing w:line="360" w:lineRule="auto"/>
        <w:ind w:firstLine="945"/>
        <w:rPr>
          <w:b/>
          <w:color w:val="auto"/>
          <w:spacing w:val="26"/>
          <w:kern w:val="2"/>
          <w:sz w:val="110"/>
          <w:highlight w:val="none"/>
          <w:lang w:val="en-US" w:bidi="ar-SA"/>
        </w:rPr>
      </w:pPr>
      <w:r>
        <w:rPr>
          <w:rFonts w:hint="eastAsia"/>
          <w:color w:val="auto"/>
          <w:sz w:val="32"/>
          <w:highlight w:val="none"/>
        </w:rPr>
        <w:t>日       期：</w:t>
      </w:r>
      <w:r>
        <w:rPr>
          <w:rFonts w:hint="eastAsia"/>
          <w:color w:val="auto"/>
          <w:sz w:val="30"/>
          <w:highlight w:val="none"/>
          <w:u w:val="single"/>
        </w:rPr>
        <w:t>2025年</w:t>
      </w:r>
      <w:r>
        <w:rPr>
          <w:color w:val="auto"/>
          <w:sz w:val="30"/>
          <w:highlight w:val="none"/>
          <w:u w:val="single"/>
          <w:lang w:val="en-US"/>
        </w:rPr>
        <w:t>7</w:t>
      </w:r>
      <w:r>
        <w:rPr>
          <w:rFonts w:hint="eastAsia"/>
          <w:color w:val="auto"/>
          <w:sz w:val="30"/>
          <w:highlight w:val="none"/>
          <w:u w:val="single"/>
        </w:rPr>
        <w:t>月</w:t>
      </w:r>
    </w:p>
    <w:p>
      <w:pPr>
        <w:pStyle w:val="10"/>
        <w:spacing w:line="360" w:lineRule="auto"/>
        <w:jc w:val="center"/>
        <w:rPr>
          <w:b/>
          <w:color w:val="auto"/>
          <w:kern w:val="2"/>
          <w:sz w:val="32"/>
          <w:szCs w:val="32"/>
          <w:highlight w:val="none"/>
          <w:lang w:val="en-US"/>
        </w:rPr>
        <w:sectPr>
          <w:pgSz w:w="11906" w:h="16838"/>
          <w:pgMar w:top="1440" w:right="1080" w:bottom="1440" w:left="1080" w:header="851" w:footer="992" w:gutter="0"/>
          <w:cols w:space="425" w:num="1"/>
          <w:docGrid w:type="lines" w:linePitch="312" w:charSpace="0"/>
        </w:sectPr>
      </w:pPr>
    </w:p>
    <w:p>
      <w:pPr>
        <w:tabs>
          <w:tab w:val="left" w:pos="559"/>
        </w:tabs>
        <w:spacing w:before="39" w:line="360" w:lineRule="auto"/>
        <w:ind w:right="457"/>
        <w:jc w:val="center"/>
        <w:rPr>
          <w:b/>
          <w:bCs/>
          <w:color w:val="auto"/>
          <w:sz w:val="36"/>
          <w:szCs w:val="36"/>
          <w:highlight w:val="none"/>
        </w:rPr>
      </w:pPr>
      <w:r>
        <w:rPr>
          <w:rFonts w:hint="eastAsia"/>
          <w:b/>
          <w:bCs/>
          <w:color w:val="auto"/>
          <w:sz w:val="36"/>
          <w:szCs w:val="36"/>
          <w:highlight w:val="none"/>
        </w:rPr>
        <w:t>目</w:t>
      </w:r>
      <w:r>
        <w:rPr>
          <w:rFonts w:hint="eastAsia"/>
          <w:b/>
          <w:bCs/>
          <w:color w:val="auto"/>
          <w:sz w:val="36"/>
          <w:szCs w:val="36"/>
          <w:highlight w:val="none"/>
        </w:rPr>
        <w:tab/>
      </w:r>
      <w:r>
        <w:rPr>
          <w:rFonts w:hint="eastAsia"/>
          <w:b/>
          <w:bCs/>
          <w:color w:val="auto"/>
          <w:sz w:val="36"/>
          <w:szCs w:val="36"/>
          <w:highlight w:val="none"/>
        </w:rPr>
        <w:t>录</w:t>
      </w:r>
    </w:p>
    <w:sdt>
      <w:sdtPr>
        <w:rPr>
          <w:color w:val="auto"/>
          <w:sz w:val="21"/>
          <w:szCs w:val="21"/>
          <w:highlight w:val="none"/>
        </w:rPr>
        <w:id w:val="147482415"/>
        <w15:color w:val="DBDBDB"/>
        <w:docPartObj>
          <w:docPartGallery w:val="Table of Contents"/>
          <w:docPartUnique/>
        </w:docPartObj>
      </w:sdtPr>
      <w:sdtEndPr>
        <w:rPr>
          <w:color w:val="auto"/>
          <w:sz w:val="21"/>
          <w:szCs w:val="21"/>
          <w:highlight w:val="none"/>
        </w:rPr>
      </w:sdtEndPr>
      <w:sdtContent>
        <w:p>
          <w:pPr>
            <w:jc w:val="center"/>
            <w:rPr>
              <w:color w:val="auto"/>
              <w:highlight w:val="none"/>
            </w:rPr>
          </w:pPr>
          <w:r>
            <w:rPr>
              <w:color w:val="auto"/>
              <w:sz w:val="21"/>
              <w:highlight w:val="none"/>
            </w:rPr>
            <w:t>目录</w:t>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"_Toc25452" </w:instrText>
          </w:r>
          <w:r>
            <w:rPr>
              <w:color w:val="auto"/>
              <w:highlight w:val="none"/>
            </w:rPr>
            <w:fldChar w:fldCharType="separate"/>
          </w:r>
          <w:r>
            <w:rPr>
              <w:rFonts w:hint="eastAsia"/>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_Toc25452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 HYPERLINK \l "_Toc13326" </w:instrText>
          </w:r>
          <w:r>
            <w:rPr>
              <w:color w:val="auto"/>
              <w:highlight w:val="none"/>
            </w:rPr>
            <w:fldChar w:fldCharType="separate"/>
          </w:r>
          <w:r>
            <w:rPr>
              <w:rFonts w:hint="eastAsia" w:ascii="Calibri" w:hAnsi="Calibri" w:cs="Times New Roman"/>
              <w:color w:val="auto"/>
              <w:kern w:val="44"/>
              <w:szCs w:val="20"/>
              <w:highlight w:val="none"/>
              <w:lang w:val="en-US" w:bidi="ar-SA"/>
            </w:rPr>
            <w:t>第一章 招标公告</w:t>
          </w:r>
          <w:r>
            <w:rPr>
              <w:color w:val="auto"/>
              <w:highlight w:val="none"/>
            </w:rPr>
            <w:tab/>
          </w:r>
          <w:r>
            <w:rPr>
              <w:color w:val="auto"/>
              <w:highlight w:val="none"/>
            </w:rPr>
            <w:fldChar w:fldCharType="begin"/>
          </w:r>
          <w:r>
            <w:rPr>
              <w:color w:val="auto"/>
              <w:highlight w:val="none"/>
            </w:rPr>
            <w:instrText xml:space="preserve"> PAGEREF _Toc13326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 HYPERLINK \l "_Toc30901" </w:instrText>
          </w:r>
          <w:r>
            <w:rPr>
              <w:color w:val="auto"/>
              <w:highlight w:val="none"/>
            </w:rPr>
            <w:fldChar w:fldCharType="separate"/>
          </w:r>
          <w:r>
            <w:rPr>
              <w:rFonts w:hint="eastAsia"/>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_Toc30901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 HYPERLINK \l "_Toc28169" </w:instrText>
          </w:r>
          <w:r>
            <w:rPr>
              <w:color w:val="auto"/>
              <w:highlight w:val="none"/>
            </w:rPr>
            <w:fldChar w:fldCharType="separate"/>
          </w:r>
          <w:r>
            <w:rPr>
              <w:rFonts w:hint="eastAsia"/>
              <w:color w:val="auto"/>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_Toc28169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 HYPERLINK \l "_Toc20324" </w:instrText>
          </w:r>
          <w:r>
            <w:rPr>
              <w:color w:val="auto"/>
              <w:highlight w:val="none"/>
            </w:rPr>
            <w:fldChar w:fldCharType="separate"/>
          </w:r>
          <w:r>
            <w:rPr>
              <w:rFonts w:hint="eastAsia" w:cs="Times New Roman"/>
              <w:bCs/>
              <w:color w:val="auto"/>
              <w:szCs w:val="32"/>
              <w:highlight w:val="none"/>
              <w:lang w:val="en-US" w:bidi="ar-SA"/>
            </w:rPr>
            <w:t>第三章  评标办法（综合评估法）</w:t>
          </w:r>
          <w:r>
            <w:rPr>
              <w:color w:val="auto"/>
              <w:highlight w:val="none"/>
            </w:rPr>
            <w:tab/>
          </w:r>
          <w:r>
            <w:rPr>
              <w:color w:val="auto"/>
              <w:highlight w:val="none"/>
            </w:rPr>
            <w:fldChar w:fldCharType="begin"/>
          </w:r>
          <w:r>
            <w:rPr>
              <w:color w:val="auto"/>
              <w:highlight w:val="none"/>
            </w:rPr>
            <w:instrText xml:space="preserve"> PAGEREF _Toc20324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 HYPERLINK \l "_Toc1476" </w:instrText>
          </w:r>
          <w:r>
            <w:rPr>
              <w:color w:val="auto"/>
              <w:highlight w:val="none"/>
            </w:rPr>
            <w:fldChar w:fldCharType="separate"/>
          </w:r>
          <w:r>
            <w:rPr>
              <w:rFonts w:hint="eastAsia"/>
              <w:color w:val="auto"/>
              <w:highlight w:val="none"/>
            </w:rPr>
            <w:t>第四章</w:t>
          </w:r>
          <w:r>
            <w:rPr>
              <w:rFonts w:hint="eastAsia"/>
              <w:color w:val="auto"/>
              <w:highlight w:val="none"/>
              <w:lang w:val="en-US"/>
            </w:rPr>
            <w:t xml:space="preserve"> </w:t>
          </w:r>
          <w:r>
            <w:rPr>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_Toc1476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 HYPERLINK \l "_Toc14336" </w:instrText>
          </w:r>
          <w:r>
            <w:rPr>
              <w:color w:val="auto"/>
              <w:highlight w:val="none"/>
            </w:rPr>
            <w:fldChar w:fldCharType="separate"/>
          </w:r>
          <w:r>
            <w:rPr>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_Toc14336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 HYPERLINK \l "_Toc13096" </w:instrText>
          </w:r>
          <w:r>
            <w:rPr>
              <w:color w:val="auto"/>
              <w:highlight w:val="none"/>
            </w:rPr>
            <w:fldChar w:fldCharType="separate"/>
          </w:r>
          <w:r>
            <w:rPr>
              <w:rFonts w:hint="eastAsia"/>
              <w:color w:val="auto"/>
              <w:highlight w:val="none"/>
            </w:rPr>
            <w:t>第五章</w:t>
          </w:r>
          <w:r>
            <w:rPr>
              <w:rFonts w:hint="eastAsia"/>
              <w:color w:val="auto"/>
              <w:highlight w:val="none"/>
              <w:lang w:val="en-US"/>
            </w:rPr>
            <w:t xml:space="preserve"> </w:t>
          </w:r>
          <w:r>
            <w:rPr>
              <w:rFonts w:hint="eastAsia"/>
              <w:color w:val="auto"/>
              <w:highlight w:val="none"/>
            </w:rPr>
            <w:t>委托人要求</w:t>
          </w:r>
          <w:r>
            <w:rPr>
              <w:color w:val="auto"/>
              <w:highlight w:val="none"/>
            </w:rPr>
            <w:tab/>
          </w:r>
          <w:r>
            <w:rPr>
              <w:color w:val="auto"/>
              <w:highlight w:val="none"/>
            </w:rPr>
            <w:fldChar w:fldCharType="begin"/>
          </w:r>
          <w:r>
            <w:rPr>
              <w:color w:val="auto"/>
              <w:highlight w:val="none"/>
            </w:rPr>
            <w:instrText xml:space="preserve"> PAGEREF _Toc13096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 HYPERLINK \l "_Toc5706" </w:instrText>
          </w:r>
          <w:r>
            <w:rPr>
              <w:color w:val="auto"/>
              <w:highlight w:val="none"/>
            </w:rPr>
            <w:fldChar w:fldCharType="separate"/>
          </w:r>
          <w:r>
            <w:rPr>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_Toc5706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8"/>
            <w:tabs>
              <w:tab w:val="right" w:leader="dot" w:pos="9746"/>
            </w:tabs>
            <w:rPr>
              <w:color w:val="auto"/>
              <w:highlight w:val="none"/>
            </w:rPr>
          </w:pPr>
          <w:r>
            <w:rPr>
              <w:color w:val="auto"/>
              <w:highlight w:val="none"/>
            </w:rPr>
            <w:fldChar w:fldCharType="begin"/>
          </w:r>
          <w:r>
            <w:rPr>
              <w:color w:val="auto"/>
              <w:highlight w:val="none"/>
            </w:rPr>
            <w:instrText xml:space="preserve"> HYPERLINK \l "_Toc4230" </w:instrText>
          </w:r>
          <w:r>
            <w:rPr>
              <w:color w:val="auto"/>
              <w:highlight w:val="none"/>
            </w:rPr>
            <w:fldChar w:fldCharType="separate"/>
          </w:r>
          <w:r>
            <w:rPr>
              <w:rFonts w:hint="eastAsia"/>
              <w:color w:val="auto"/>
              <w:highlight w:val="none"/>
            </w:rPr>
            <w:t>第六章</w:t>
          </w:r>
          <w:r>
            <w:rPr>
              <w:rFonts w:hint="eastAsia"/>
              <w:color w:val="auto"/>
              <w:highlight w:val="none"/>
              <w:lang w:val="en-US"/>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_Toc4230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8"/>
            <w:tabs>
              <w:tab w:val="left" w:leader="dot" w:pos="8526"/>
            </w:tabs>
            <w:spacing w:before="304" w:line="360" w:lineRule="auto"/>
            <w:ind w:right="704"/>
            <w:rPr>
              <w:color w:val="auto"/>
              <w:highlight w:val="none"/>
            </w:rPr>
          </w:pPr>
          <w:r>
            <w:rPr>
              <w:color w:val="auto"/>
              <w:highlight w:val="none"/>
            </w:rPr>
            <w:fldChar w:fldCharType="end"/>
          </w:r>
        </w:p>
      </w:sdtContent>
    </w:sdt>
    <w:p>
      <w:pPr>
        <w:pStyle w:val="3"/>
        <w:spacing w:line="360" w:lineRule="auto"/>
        <w:rPr>
          <w:rFonts w:ascii="宋体" w:hAnsi="宋体" w:eastAsia="宋体" w:cs="宋体"/>
          <w:color w:val="auto"/>
          <w:highlight w:val="none"/>
        </w:rPr>
        <w:sectPr>
          <w:footerReference r:id="rId3" w:type="default"/>
          <w:pgSz w:w="11906" w:h="16838"/>
          <w:pgMar w:top="1440" w:right="1080" w:bottom="1440" w:left="1080" w:header="0" w:footer="841" w:gutter="0"/>
          <w:cols w:space="720" w:num="1"/>
        </w:sectPr>
      </w:pPr>
    </w:p>
    <w:p>
      <w:pPr>
        <w:pStyle w:val="3"/>
        <w:spacing w:line="360" w:lineRule="auto"/>
        <w:rPr>
          <w:rFonts w:ascii="宋体" w:hAnsi="宋体" w:eastAsia="宋体" w:cs="宋体"/>
          <w:color w:val="auto"/>
          <w:highlight w:val="none"/>
        </w:rPr>
      </w:pPr>
      <w:bookmarkStart w:id="0" w:name="_Toc25452"/>
      <w:bookmarkStart w:id="1" w:name="_Toc9078"/>
      <w:r>
        <w:rPr>
          <w:rFonts w:hint="eastAsia" w:ascii="宋体" w:hAnsi="宋体" w:eastAsia="宋体" w:cs="宋体"/>
          <w:color w:val="auto"/>
          <w:highlight w:val="none"/>
        </w:rPr>
        <w:t>第一卷</w:t>
      </w:r>
      <w:bookmarkEnd w:id="0"/>
      <w:bookmarkEnd w:id="1"/>
    </w:p>
    <w:p>
      <w:pPr>
        <w:numPr>
          <w:ilvl w:val="0"/>
          <w:numId w:val="1"/>
        </w:numPr>
        <w:spacing w:line="360" w:lineRule="auto"/>
        <w:jc w:val="center"/>
        <w:outlineLvl w:val="0"/>
        <w:rPr>
          <w:rFonts w:ascii="Calibri" w:hAnsi="Calibri" w:cs="Times New Roman"/>
          <w:b/>
          <w:color w:val="auto"/>
          <w:kern w:val="44"/>
          <w:sz w:val="44"/>
          <w:szCs w:val="20"/>
          <w:highlight w:val="none"/>
          <w:lang w:val="en-US" w:bidi="ar-SA"/>
        </w:rPr>
      </w:pPr>
      <w:bookmarkStart w:id="2" w:name="_Toc526786483"/>
      <w:bookmarkStart w:id="3" w:name="_Toc13326"/>
      <w:bookmarkStart w:id="4" w:name="_Toc153"/>
      <w:bookmarkStart w:id="5" w:name="_Toc23825"/>
      <w:bookmarkStart w:id="6" w:name="_Toc19406"/>
      <w:r>
        <w:rPr>
          <w:rFonts w:hint="eastAsia" w:ascii="Calibri" w:hAnsi="Calibri" w:cs="Times New Roman"/>
          <w:b/>
          <w:color w:val="auto"/>
          <w:kern w:val="44"/>
          <w:sz w:val="44"/>
          <w:szCs w:val="20"/>
          <w:highlight w:val="none"/>
          <w:lang w:val="en-US" w:bidi="ar-SA"/>
        </w:rPr>
        <w:t>招标公告</w:t>
      </w:r>
      <w:bookmarkEnd w:id="2"/>
      <w:bookmarkEnd w:id="3"/>
      <w:bookmarkEnd w:id="4"/>
      <w:bookmarkEnd w:id="5"/>
      <w:bookmarkEnd w:id="6"/>
    </w:p>
    <w:p>
      <w:pPr>
        <w:spacing w:line="360" w:lineRule="auto"/>
        <w:jc w:val="center"/>
        <w:rPr>
          <w:bCs/>
          <w:color w:val="auto"/>
          <w:kern w:val="2"/>
          <w:sz w:val="32"/>
          <w:szCs w:val="32"/>
          <w:highlight w:val="none"/>
          <w:lang w:val="en-US" w:bidi="ar-SA"/>
        </w:rPr>
        <w:sectPr>
          <w:footerReference r:id="rId4" w:type="default"/>
          <w:pgSz w:w="11906" w:h="16838"/>
          <w:pgMar w:top="1500" w:right="1100" w:bottom="1040" w:left="1134" w:header="0" w:footer="841" w:gutter="0"/>
          <w:pgNumType w:start="1"/>
          <w:cols w:space="720" w:num="1"/>
        </w:sectPr>
      </w:pPr>
      <w:r>
        <w:rPr>
          <w:rFonts w:hint="eastAsia"/>
          <w:bCs/>
          <w:color w:val="auto"/>
          <w:kern w:val="2"/>
          <w:sz w:val="32"/>
          <w:szCs w:val="32"/>
          <w:highlight w:val="none"/>
          <w:lang w:val="en-US" w:bidi="ar-SA"/>
        </w:rPr>
        <w:t>（略）</w:t>
      </w:r>
    </w:p>
    <w:p>
      <w:pPr>
        <w:pStyle w:val="3"/>
        <w:numPr>
          <w:ilvl w:val="0"/>
          <w:numId w:val="1"/>
        </w:numPr>
        <w:spacing w:line="360" w:lineRule="auto"/>
        <w:rPr>
          <w:rFonts w:ascii="宋体" w:hAnsi="宋体" w:eastAsia="宋体" w:cs="宋体"/>
          <w:color w:val="auto"/>
          <w:highlight w:val="none"/>
        </w:rPr>
      </w:pPr>
      <w:bookmarkStart w:id="7" w:name="_Toc30901"/>
      <w:bookmarkStart w:id="8" w:name="_Toc32062"/>
      <w:r>
        <w:rPr>
          <w:rFonts w:hint="eastAsia" w:ascii="宋体" w:hAnsi="宋体" w:eastAsia="宋体" w:cs="宋体"/>
          <w:color w:val="auto"/>
          <w:highlight w:val="none"/>
        </w:rPr>
        <w:t>投标人须知</w:t>
      </w:r>
      <w:bookmarkEnd w:id="7"/>
      <w:bookmarkEnd w:id="8"/>
    </w:p>
    <w:p>
      <w:pPr>
        <w:jc w:val="center"/>
        <w:rPr>
          <w:color w:val="auto"/>
          <w:highlight w:val="none"/>
        </w:rPr>
      </w:pPr>
      <w:r>
        <w:rPr>
          <w:rFonts w:hint="eastAsia"/>
          <w:bCs/>
          <w:color w:val="auto"/>
          <w:kern w:val="2"/>
          <w:sz w:val="32"/>
          <w:szCs w:val="32"/>
          <w:highlight w:val="none"/>
          <w:lang w:val="en-US" w:bidi="ar-SA"/>
        </w:rPr>
        <w:t>投标人须知前附表</w:t>
      </w:r>
    </w:p>
    <w:tbl>
      <w:tblPr>
        <w:tblStyle w:val="24"/>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360"/>
        <w:gridCol w:w="5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bookmarkStart w:id="9" w:name="_bookmark19"/>
            <w:bookmarkEnd w:id="9"/>
            <w:r>
              <w:rPr>
                <w:rFonts w:hint="eastAsia"/>
                <w:bCs/>
                <w:color w:val="auto"/>
                <w:kern w:val="2"/>
                <w:sz w:val="21"/>
                <w:szCs w:val="21"/>
                <w:highlight w:val="none"/>
                <w:lang w:val="en-US" w:bidi="ar-SA"/>
              </w:rPr>
              <w:t>条款号</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条款名称</w:t>
            </w:r>
          </w:p>
        </w:tc>
        <w:tc>
          <w:tcPr>
            <w:tcW w:w="544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1.1.2</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招标人</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bCs/>
                <w:color w:val="auto"/>
                <w:kern w:val="2"/>
                <w:sz w:val="21"/>
                <w:szCs w:val="21"/>
                <w:highlight w:val="none"/>
                <w:lang w:val="en-US" w:bidi="ar-SA"/>
              </w:rPr>
              <w:t xml:space="preserve">名称： </w:t>
            </w:r>
            <w:r>
              <w:rPr>
                <w:rFonts w:hint="eastAsia"/>
                <w:bCs/>
                <w:color w:val="auto"/>
                <w:kern w:val="2"/>
                <w:sz w:val="21"/>
                <w:szCs w:val="21"/>
                <w:highlight w:val="none"/>
                <w:u w:val="single"/>
                <w:lang w:val="en-US" w:bidi="ar-SA"/>
              </w:rPr>
              <w:t>广州湾区新岸城市开发投资有限公司</w:t>
            </w:r>
          </w:p>
          <w:p>
            <w:pPr>
              <w:topLinePunct/>
              <w:spacing w:line="400" w:lineRule="exact"/>
              <w:rPr>
                <w:color w:val="auto"/>
                <w:sz w:val="21"/>
                <w:szCs w:val="21"/>
                <w:highlight w:val="none"/>
                <w:u w:val="single"/>
                <w:lang w:val="en-US"/>
              </w:rPr>
            </w:pPr>
            <w:bookmarkStart w:id="10" w:name="_Hlk85835514"/>
            <w:r>
              <w:rPr>
                <w:rFonts w:hint="eastAsia"/>
                <w:color w:val="auto"/>
                <w:sz w:val="21"/>
                <w:szCs w:val="21"/>
                <w:highlight w:val="none"/>
              </w:rPr>
              <w:t>联系地址：</w:t>
            </w:r>
            <w:r>
              <w:rPr>
                <w:rFonts w:hint="eastAsia"/>
                <w:color w:val="auto"/>
                <w:sz w:val="21"/>
                <w:szCs w:val="21"/>
                <w:highlight w:val="none"/>
                <w:u w:val="single"/>
                <w:lang w:val="en-US"/>
              </w:rPr>
              <w:t>广州市白云区松洲街同康路323号2楼202房</w:t>
            </w:r>
          </w:p>
          <w:bookmarkEnd w:id="10"/>
          <w:p>
            <w:pPr>
              <w:topLinePunct/>
              <w:spacing w:line="400" w:lineRule="exact"/>
              <w:rPr>
                <w:color w:val="auto"/>
                <w:sz w:val="21"/>
                <w:szCs w:val="21"/>
                <w:highlight w:val="none"/>
              </w:rPr>
            </w:pPr>
            <w:r>
              <w:rPr>
                <w:rFonts w:hint="eastAsia"/>
                <w:color w:val="auto"/>
                <w:sz w:val="21"/>
                <w:szCs w:val="21"/>
                <w:highlight w:val="none"/>
              </w:rPr>
              <w:t>联 系 人：</w:t>
            </w:r>
            <w:r>
              <w:rPr>
                <w:rFonts w:hint="eastAsia"/>
                <w:color w:val="auto"/>
                <w:sz w:val="21"/>
                <w:szCs w:val="21"/>
                <w:highlight w:val="none"/>
                <w:u w:val="single"/>
                <w:lang w:val="en-US"/>
              </w:rPr>
              <w:t>王工、李工</w:t>
            </w:r>
          </w:p>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rPr>
              <w:t>联系电话：</w:t>
            </w:r>
            <w:r>
              <w:rPr>
                <w:rFonts w:hint="eastAsia"/>
                <w:color w:val="auto"/>
                <w:sz w:val="21"/>
                <w:szCs w:val="21"/>
                <w:highlight w:val="none"/>
                <w:u w:val="single"/>
                <w:lang w:val="en-US"/>
              </w:rPr>
              <w:t>020-66820388（转8059）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1.1.3</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招标代理机构</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bCs/>
                <w:color w:val="auto"/>
                <w:kern w:val="2"/>
                <w:sz w:val="21"/>
                <w:szCs w:val="21"/>
                <w:highlight w:val="none"/>
                <w:lang w:val="en-US" w:bidi="ar-SA"/>
              </w:rPr>
              <w:t>招标代理机构：</w:t>
            </w:r>
            <w:r>
              <w:rPr>
                <w:rFonts w:hint="eastAsia"/>
                <w:bCs/>
                <w:color w:val="auto"/>
                <w:kern w:val="2"/>
                <w:sz w:val="21"/>
                <w:szCs w:val="21"/>
                <w:highlight w:val="none"/>
                <w:u w:val="single"/>
                <w:lang w:val="en-US" w:bidi="ar-SA"/>
              </w:rPr>
              <w:t>国义招标股份有限公司</w:t>
            </w:r>
          </w:p>
          <w:p>
            <w:pPr>
              <w:autoSpaceDE/>
              <w:autoSpaceDN/>
              <w:adjustRightInd w:val="0"/>
              <w:snapToGrid w:val="0"/>
              <w:spacing w:line="400" w:lineRule="exact"/>
              <w:ind w:left="44" w:leftChars="20" w:right="44" w:rightChars="20"/>
              <w:rPr>
                <w:bCs/>
                <w:color w:val="auto"/>
                <w:kern w:val="2"/>
                <w:sz w:val="21"/>
                <w:szCs w:val="21"/>
                <w:highlight w:val="none"/>
                <w:u w:val="single"/>
                <w:lang w:val="en-US" w:bidi="ar-SA"/>
              </w:rPr>
            </w:pPr>
            <w:r>
              <w:rPr>
                <w:rFonts w:hint="eastAsia"/>
                <w:bCs/>
                <w:color w:val="auto"/>
                <w:kern w:val="2"/>
                <w:sz w:val="21"/>
                <w:szCs w:val="21"/>
                <w:highlight w:val="none"/>
                <w:lang w:val="en-US" w:bidi="ar-SA"/>
              </w:rPr>
              <w:t>地       址：</w:t>
            </w:r>
            <w:r>
              <w:rPr>
                <w:rFonts w:hint="eastAsia"/>
                <w:bCs/>
                <w:color w:val="auto"/>
                <w:kern w:val="2"/>
                <w:sz w:val="21"/>
                <w:szCs w:val="21"/>
                <w:highlight w:val="none"/>
                <w:u w:val="single"/>
                <w:lang w:val="en-US" w:bidi="ar-SA"/>
              </w:rPr>
              <w:t>广州市越秀区东风东路726号7楼</w:t>
            </w:r>
          </w:p>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bCs/>
                <w:color w:val="auto"/>
                <w:kern w:val="2"/>
                <w:sz w:val="21"/>
                <w:szCs w:val="21"/>
                <w:highlight w:val="none"/>
                <w:lang w:val="en-US" w:bidi="ar-SA"/>
              </w:rPr>
              <w:t>联 系 人：</w:t>
            </w:r>
            <w:r>
              <w:rPr>
                <w:rFonts w:hint="eastAsia"/>
                <w:bCs/>
                <w:color w:val="auto"/>
                <w:kern w:val="2"/>
                <w:sz w:val="21"/>
                <w:szCs w:val="21"/>
                <w:highlight w:val="none"/>
                <w:u w:val="single"/>
                <w:lang w:val="en-US" w:bidi="ar-SA"/>
              </w:rPr>
              <w:t>林工、梁工、杨工</w:t>
            </w:r>
          </w:p>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bCs/>
                <w:color w:val="auto"/>
                <w:kern w:val="2"/>
                <w:sz w:val="21"/>
                <w:szCs w:val="21"/>
                <w:highlight w:val="none"/>
                <w:lang w:val="en-US" w:bidi="ar-SA"/>
              </w:rPr>
              <w:t>联系电话：</w:t>
            </w:r>
            <w:r>
              <w:rPr>
                <w:rFonts w:hint="eastAsia"/>
                <w:color w:val="auto"/>
                <w:sz w:val="21"/>
                <w:szCs w:val="21"/>
                <w:highlight w:val="none"/>
                <w:u w:val="single"/>
                <w:lang w:val="en-US"/>
              </w:rPr>
              <w:t>020-37861131、37860752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1.1.4</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招标项目名称</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bCs/>
                <w:color w:val="auto"/>
                <w:sz w:val="21"/>
                <w:szCs w:val="21"/>
                <w:highlight w:val="none"/>
                <w:u w:val="single"/>
              </w:rPr>
              <w:t>广州市白云区螺涌村、松南村、松北村城中村改造项目AB3802042、AB3802027、AB3806001、AB3802058、AB3805009地块项目管线迁改工程施工监理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1.1.5</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项目建设地点</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1.1.6</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项目建设规模</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1.1.7</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工程项目施工预计开工日期和建设周期</w:t>
            </w:r>
          </w:p>
        </w:tc>
        <w:tc>
          <w:tcPr>
            <w:tcW w:w="5440" w:type="dxa"/>
            <w:vAlign w:val="center"/>
          </w:tcPr>
          <w:p>
            <w:pPr>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lang w:val="en-US"/>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1.1.8</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建筑安装工程费/工程概算</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1.2.1</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资金来源及比例</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1.2.2</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资金落实情况</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1.3.1</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招标范围</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1.3.2</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监理服务期限</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1.3.3</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质量标准</w:t>
            </w:r>
          </w:p>
        </w:tc>
        <w:tc>
          <w:tcPr>
            <w:tcW w:w="5440" w:type="dxa"/>
            <w:vAlign w:val="center"/>
          </w:tcPr>
          <w:p>
            <w:pPr>
              <w:pStyle w:val="38"/>
              <w:topLinePunct w:val="0"/>
              <w:spacing w:line="400" w:lineRule="exact"/>
              <w:ind w:left="44" w:leftChars="20" w:right="44" w:rightChars="20" w:firstLine="23" w:firstLineChars="11"/>
              <w:rPr>
                <w:rFonts w:ascii="仿宋" w:hAnsi="仿宋" w:eastAsia="仿宋" w:cs="仿宋"/>
                <w:b/>
                <w:bCs/>
                <w:color w:val="auto"/>
                <w:sz w:val="21"/>
                <w:szCs w:val="21"/>
                <w:highlight w:val="none"/>
              </w:rPr>
            </w:pPr>
            <w:r>
              <w:rPr>
                <w:rFonts w:hint="eastAsia" w:ascii="宋体" w:hAnsi="宋体" w:cs="宋体"/>
                <w:color w:val="auto"/>
                <w:sz w:val="21"/>
                <w:szCs w:val="21"/>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1.4.1</w:t>
            </w:r>
          </w:p>
        </w:tc>
        <w:tc>
          <w:tcPr>
            <w:tcW w:w="3360" w:type="dxa"/>
            <w:vAlign w:val="center"/>
          </w:tcPr>
          <w:p>
            <w:pPr>
              <w:autoSpaceDE/>
              <w:autoSpaceDN/>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投标人资质条件、能力、信誉</w:t>
            </w:r>
          </w:p>
        </w:tc>
        <w:tc>
          <w:tcPr>
            <w:tcW w:w="5440" w:type="dxa"/>
            <w:vAlign w:val="center"/>
          </w:tcPr>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bCs/>
                <w:color w:val="auto"/>
                <w:kern w:val="2"/>
                <w:sz w:val="21"/>
                <w:szCs w:val="21"/>
                <w:highlight w:val="none"/>
                <w:lang w:val="en-US" w:bidi="ar-SA"/>
              </w:rPr>
              <w:t>（1）资质要求：</w:t>
            </w:r>
            <w:r>
              <w:rPr>
                <w:rFonts w:hint="eastAsia"/>
                <w:color w:val="auto"/>
                <w:sz w:val="21"/>
                <w:szCs w:val="21"/>
                <w:highlight w:val="none"/>
              </w:rPr>
              <w:t>见招标公告投标人资格要求。</w:t>
            </w:r>
          </w:p>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bCs/>
                <w:color w:val="auto"/>
                <w:kern w:val="2"/>
                <w:sz w:val="21"/>
                <w:szCs w:val="21"/>
                <w:highlight w:val="none"/>
                <w:lang w:val="en-US" w:bidi="ar-SA"/>
              </w:rPr>
              <w:t>（2）财务要求：/</w:t>
            </w:r>
          </w:p>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bCs/>
                <w:color w:val="auto"/>
                <w:kern w:val="2"/>
                <w:sz w:val="21"/>
                <w:szCs w:val="21"/>
                <w:highlight w:val="none"/>
                <w:lang w:val="en-US" w:bidi="ar-SA"/>
              </w:rPr>
              <w:t>（3）业绩要求：</w:t>
            </w:r>
            <w:r>
              <w:rPr>
                <w:rFonts w:hint="eastAsia"/>
                <w:color w:val="auto"/>
                <w:sz w:val="21"/>
                <w:szCs w:val="21"/>
                <w:highlight w:val="none"/>
                <w:lang w:val="en-US"/>
              </w:rPr>
              <w:t>/</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（4）信誉要求：/</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（5）总监理工程师的资格要求：见招标公告投标人资格要求。</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（6）其他主要人员要求：/</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（7）试验检测仪器设备要求：/</w:t>
            </w:r>
          </w:p>
          <w:p>
            <w:pPr>
              <w:autoSpaceDE/>
              <w:autoSpaceDN/>
              <w:adjustRightInd w:val="0"/>
              <w:snapToGrid w:val="0"/>
              <w:spacing w:line="400" w:lineRule="exact"/>
              <w:ind w:left="44" w:leftChars="20" w:right="44" w:rightChars="20"/>
              <w:rPr>
                <w:bCs/>
                <w:color w:val="auto"/>
                <w:kern w:val="2"/>
                <w:sz w:val="21"/>
                <w:szCs w:val="21"/>
                <w:highlight w:val="none"/>
                <w:lang w:val="en-US" w:bidi="ar-SA"/>
              </w:rPr>
            </w:pPr>
            <w:r>
              <w:rPr>
                <w:rFonts w:hint="eastAsia"/>
                <w:color w:val="auto"/>
                <w:sz w:val="21"/>
                <w:szCs w:val="21"/>
                <w:highlight w:val="none"/>
              </w:rPr>
              <w:t>（8）其他要求：见招标公告投标人资格要求。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1.4.2</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是否接受联合体投标</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w:t>
            </w:r>
            <w:r>
              <w:rPr>
                <w:rFonts w:hint="eastAsia"/>
                <w:color w:val="auto"/>
                <w:position w:val="3"/>
                <w:sz w:val="21"/>
                <w:szCs w:val="21"/>
                <w:highlight w:val="none"/>
              </w:rPr>
              <w:t>不接受</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w:t>
            </w:r>
            <w:r>
              <w:rPr>
                <w:rFonts w:hint="eastAsia"/>
                <w:color w:val="auto"/>
                <w:sz w:val="21"/>
                <w:szCs w:val="21"/>
                <w:highlight w:val="none"/>
              </w:rPr>
              <w:t>接受，应满足下列要求：</w:t>
            </w:r>
            <w:r>
              <w:rPr>
                <w:rFonts w:hint="eastAsia"/>
                <w:color w:val="auto"/>
                <w:sz w:val="21"/>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1.4.3</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投标人不得存在的其他情形</w:t>
            </w:r>
          </w:p>
        </w:tc>
        <w:tc>
          <w:tcPr>
            <w:tcW w:w="5440" w:type="dxa"/>
            <w:vAlign w:val="center"/>
          </w:tcPr>
          <w:p>
            <w:pPr>
              <w:adjustRightInd w:val="0"/>
              <w:snapToGrid w:val="0"/>
              <w:spacing w:line="400" w:lineRule="exact"/>
              <w:ind w:left="44" w:leftChars="20" w:right="44" w:rightChars="20"/>
              <w:rPr>
                <w:color w:val="auto"/>
                <w:sz w:val="21"/>
                <w:szCs w:val="21"/>
                <w:highlight w:val="none"/>
                <w:u w:val="single"/>
              </w:rPr>
            </w:pPr>
            <w:r>
              <w:rPr>
                <w:rFonts w:hint="eastAsia"/>
                <w:color w:val="auto"/>
                <w:sz w:val="21"/>
                <w:szCs w:val="21"/>
                <w:highlight w:val="none"/>
                <w:u w:val="single"/>
              </w:rPr>
              <w:t>（16）在近三年内投标人或其法定代表人、拟委任的总监理工程师有行贿犯罪行为的。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1.9.1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踏勘现场</w:t>
            </w:r>
          </w:p>
        </w:tc>
        <w:tc>
          <w:tcPr>
            <w:tcW w:w="5440" w:type="dxa"/>
            <w:vAlign w:val="center"/>
          </w:tcPr>
          <w:p>
            <w:pPr>
              <w:pStyle w:val="9"/>
              <w:adjustRightInd w:val="0"/>
              <w:snapToGrid w:val="0"/>
              <w:spacing w:after="0" w:line="400" w:lineRule="exact"/>
              <w:ind w:left="44" w:leftChars="20" w:right="44" w:rightChars="20"/>
              <w:rPr>
                <w:color w:val="auto"/>
                <w:sz w:val="21"/>
                <w:szCs w:val="21"/>
                <w:highlight w:val="none"/>
                <w:lang w:val="en-US"/>
              </w:rPr>
            </w:pPr>
            <w:r>
              <w:rPr>
                <w:rFonts w:hint="eastAsia"/>
                <w:color w:val="auto"/>
                <w:sz w:val="21"/>
                <w:szCs w:val="21"/>
                <w:highlight w:val="none"/>
                <w:lang w:val="en-US"/>
              </w:rPr>
              <w:t>■不组织，</w:t>
            </w:r>
            <w:r>
              <w:rPr>
                <w:rFonts w:hint="eastAsia"/>
                <w:color w:val="auto"/>
                <w:sz w:val="21"/>
                <w:szCs w:val="21"/>
                <w:highlight w:val="none"/>
                <w:u w:val="single"/>
                <w:lang w:val="en-US"/>
              </w:rPr>
              <w:t>由投标人自行现场考察。</w:t>
            </w:r>
          </w:p>
          <w:p>
            <w:pPr>
              <w:pStyle w:val="9"/>
              <w:adjustRightInd w:val="0"/>
              <w:snapToGrid w:val="0"/>
              <w:spacing w:after="0" w:line="400" w:lineRule="exact"/>
              <w:ind w:left="44" w:leftChars="20" w:right="44" w:rightChars="20"/>
              <w:rPr>
                <w:color w:val="auto"/>
                <w:sz w:val="21"/>
                <w:szCs w:val="21"/>
                <w:highlight w:val="none"/>
                <w:lang w:val="en-US"/>
              </w:rPr>
            </w:pPr>
            <w:r>
              <w:rPr>
                <w:rFonts w:hint="eastAsia"/>
                <w:color w:val="auto"/>
                <w:sz w:val="21"/>
                <w:szCs w:val="21"/>
                <w:highlight w:val="none"/>
                <w:lang w:val="en-US"/>
              </w:rPr>
              <w:t>□组织，踏勘时间：/</w:t>
            </w:r>
          </w:p>
          <w:p>
            <w:pPr>
              <w:pStyle w:val="9"/>
              <w:adjustRightInd w:val="0"/>
              <w:snapToGrid w:val="0"/>
              <w:spacing w:after="0" w:line="400" w:lineRule="exact"/>
              <w:ind w:left="44" w:leftChars="20" w:right="44" w:rightChars="20"/>
              <w:rPr>
                <w:color w:val="auto"/>
                <w:sz w:val="21"/>
                <w:szCs w:val="21"/>
                <w:highlight w:val="none"/>
              </w:rPr>
            </w:pPr>
            <w:r>
              <w:rPr>
                <w:rFonts w:hint="eastAsia"/>
                <w:color w:val="auto"/>
                <w:sz w:val="21"/>
                <w:szCs w:val="21"/>
                <w:highlight w:val="none"/>
                <w:lang w:val="en-US"/>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1.10.1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投标预备会</w:t>
            </w:r>
          </w:p>
        </w:tc>
        <w:tc>
          <w:tcPr>
            <w:tcW w:w="5440" w:type="dxa"/>
            <w:vAlign w:val="center"/>
          </w:tcPr>
          <w:p>
            <w:pPr>
              <w:pStyle w:val="9"/>
              <w:adjustRightInd w:val="0"/>
              <w:snapToGrid w:val="0"/>
              <w:spacing w:after="0" w:line="400" w:lineRule="exact"/>
              <w:ind w:left="44" w:leftChars="20" w:right="44" w:rightChars="20"/>
              <w:rPr>
                <w:color w:val="auto"/>
                <w:sz w:val="21"/>
                <w:szCs w:val="21"/>
                <w:highlight w:val="none"/>
                <w:lang w:val="en-US"/>
              </w:rPr>
            </w:pPr>
            <w:r>
              <w:rPr>
                <w:rFonts w:hint="eastAsia"/>
                <w:color w:val="auto"/>
                <w:sz w:val="21"/>
                <w:szCs w:val="21"/>
                <w:highlight w:val="none"/>
                <w:lang w:val="en-US"/>
              </w:rPr>
              <w:t>■不召开</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□召开，召开时间：</w:t>
            </w:r>
            <w:r>
              <w:rPr>
                <w:rFonts w:hint="eastAsia"/>
                <w:color w:val="auto"/>
                <w:sz w:val="21"/>
                <w:szCs w:val="21"/>
                <w:highlight w:val="none"/>
                <w:u w:val="single"/>
              </w:rPr>
              <w:t xml:space="preserve"> / </w:t>
            </w:r>
          </w:p>
          <w:p>
            <w:pPr>
              <w:adjustRightInd w:val="0"/>
              <w:snapToGrid w:val="0"/>
              <w:spacing w:line="400" w:lineRule="exact"/>
              <w:ind w:left="44" w:leftChars="20" w:right="44" w:rightChars="20" w:firstLine="840" w:firstLineChars="400"/>
              <w:rPr>
                <w:color w:val="auto"/>
                <w:sz w:val="21"/>
                <w:szCs w:val="21"/>
                <w:highlight w:val="none"/>
              </w:rPr>
            </w:pPr>
            <w:r>
              <w:rPr>
                <w:rFonts w:hint="eastAsia"/>
                <w:color w:val="auto"/>
                <w:sz w:val="21"/>
                <w:szCs w:val="21"/>
                <w:highlight w:val="none"/>
              </w:rPr>
              <w:t>召开地点：</w:t>
            </w:r>
            <w:r>
              <w:rPr>
                <w:rFonts w:hint="eastAsia"/>
                <w:color w:val="auto"/>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252" w:type="dxa"/>
            <w:vMerge w:val="restart"/>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1.10.2</w:t>
            </w:r>
          </w:p>
        </w:tc>
        <w:tc>
          <w:tcPr>
            <w:tcW w:w="3360" w:type="dxa"/>
            <w:vMerge w:val="restart"/>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投标人在投标预备会前提出问题</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时间：</w:t>
            </w:r>
            <w:r>
              <w:rPr>
                <w:rFonts w:hint="eastAsia"/>
                <w:color w:val="auto"/>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2" w:type="dxa"/>
            <w:vMerge w:val="continue"/>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p>
        </w:tc>
        <w:tc>
          <w:tcPr>
            <w:tcW w:w="3360" w:type="dxa"/>
            <w:vMerge w:val="continue"/>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形式：</w:t>
            </w:r>
            <w:r>
              <w:rPr>
                <w:rFonts w:hint="eastAsia"/>
                <w:color w:val="auto"/>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1.10.3</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招标文件澄清发出的形式</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 xml:space="preserve"> （此为投标预备会的答疑澄清）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1.12.1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实质性要求和条件</w:t>
            </w:r>
          </w:p>
        </w:tc>
        <w:tc>
          <w:tcPr>
            <w:tcW w:w="5440" w:type="dxa"/>
            <w:vAlign w:val="center"/>
          </w:tcPr>
          <w:p>
            <w:pPr>
              <w:pStyle w:val="9"/>
              <w:adjustRightInd w:val="0"/>
              <w:snapToGrid w:val="0"/>
              <w:spacing w:after="0" w:line="400" w:lineRule="exact"/>
              <w:ind w:left="44" w:leftChars="20" w:right="44" w:rightChars="20"/>
              <w:rPr>
                <w:color w:val="auto"/>
                <w:sz w:val="21"/>
                <w:szCs w:val="21"/>
                <w:highlight w:val="none"/>
              </w:rPr>
            </w:pPr>
            <w:r>
              <w:rPr>
                <w:rFonts w:hint="eastAsia"/>
                <w:color w:val="auto"/>
                <w:sz w:val="21"/>
                <w:szCs w:val="21"/>
                <w:highlight w:val="none"/>
                <w:u w:val="singl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1.12.3</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偏差</w:t>
            </w:r>
          </w:p>
        </w:tc>
        <w:tc>
          <w:tcPr>
            <w:tcW w:w="5440" w:type="dxa"/>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■不允许</w:t>
            </w:r>
          </w:p>
          <w:p>
            <w:pPr>
              <w:pStyle w:val="9"/>
              <w:autoSpaceDE/>
              <w:autoSpaceDN/>
              <w:adjustRightInd w:val="0"/>
              <w:snapToGrid w:val="0"/>
              <w:spacing w:after="0" w:line="400" w:lineRule="exact"/>
              <w:ind w:left="44" w:leftChars="20" w:right="44" w:rightChars="20"/>
              <w:jc w:val="both"/>
              <w:rPr>
                <w:color w:val="auto"/>
                <w:kern w:val="2"/>
                <w:sz w:val="21"/>
                <w:szCs w:val="21"/>
                <w:highlight w:val="none"/>
                <w:lang w:val="en-US" w:bidi="ar-SA"/>
              </w:rPr>
            </w:pPr>
            <w:r>
              <w:rPr>
                <w:rFonts w:hint="eastAsia"/>
                <w:color w:val="auto"/>
                <w:kern w:val="2"/>
                <w:sz w:val="21"/>
                <w:szCs w:val="21"/>
                <w:highlight w:val="none"/>
                <w:lang w:val="en-US" w:bidi="ar-SA"/>
              </w:rPr>
              <w:t>□允许，偏差范围：/</w:t>
            </w:r>
          </w:p>
          <w:p>
            <w:pPr>
              <w:pStyle w:val="9"/>
              <w:autoSpaceDE/>
              <w:autoSpaceDN/>
              <w:adjustRightInd w:val="0"/>
              <w:snapToGrid w:val="0"/>
              <w:spacing w:after="0" w:line="400" w:lineRule="exact"/>
              <w:ind w:left="44" w:leftChars="20" w:right="44" w:rightChars="20"/>
              <w:jc w:val="both"/>
              <w:rPr>
                <w:color w:val="auto"/>
                <w:sz w:val="21"/>
                <w:szCs w:val="21"/>
                <w:highlight w:val="none"/>
              </w:rPr>
            </w:pPr>
            <w:r>
              <w:rPr>
                <w:rFonts w:hint="eastAsia"/>
                <w:color w:val="auto"/>
                <w:kern w:val="2"/>
                <w:sz w:val="21"/>
                <w:szCs w:val="21"/>
                <w:highlight w:val="none"/>
                <w:lang w:val="en-US" w:bidi="ar-SA"/>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2.1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构成招标文件的其他资料</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补充公告、答疑纪要、澄清文件等（如有）。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252" w:type="dxa"/>
            <w:vMerge w:val="restart"/>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2.2.1</w:t>
            </w:r>
          </w:p>
        </w:tc>
        <w:tc>
          <w:tcPr>
            <w:tcW w:w="3360" w:type="dxa"/>
            <w:vMerge w:val="restart"/>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投标人要求澄清招标文件</w:t>
            </w:r>
          </w:p>
        </w:tc>
        <w:tc>
          <w:tcPr>
            <w:tcW w:w="5440" w:type="dxa"/>
            <w:tcBorders>
              <w:bottom w:val="single" w:color="auto" w:sz="4" w:space="0"/>
            </w:tcBorders>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疑问提交时间：</w:t>
            </w:r>
            <w:r>
              <w:rPr>
                <w:rFonts w:hint="eastAsia"/>
                <w:color w:val="auto"/>
                <w:sz w:val="21"/>
                <w:szCs w:val="21"/>
                <w:highlight w:val="none"/>
                <w:u w:val="single"/>
              </w:rPr>
              <w:t xml:space="preserve"> 2025年   月   日   时</w:t>
            </w:r>
            <w:r>
              <w:rPr>
                <w:rFonts w:hint="eastAsia"/>
                <w:color w:val="auto"/>
                <w:sz w:val="21"/>
                <w:szCs w:val="21"/>
                <w:highlight w:val="none"/>
              </w:rPr>
              <w:t>前</w:t>
            </w:r>
            <w:r>
              <w:rPr>
                <w:rFonts w:hint="eastAsia"/>
                <w:color w:val="auto"/>
                <w:sz w:val="21"/>
                <w:szCs w:val="21"/>
                <w:highlight w:val="none"/>
                <w:u w:val="single"/>
              </w:rPr>
              <w:t>(具体详见广州交易集团有限公司（广州公共资源交易中心）招投标日程安排)</w:t>
            </w:r>
            <w:r>
              <w:rPr>
                <w:rFonts w:hint="eastAsia"/>
                <w:color w:val="auto"/>
                <w:sz w:val="21"/>
                <w:szCs w:val="21"/>
                <w:highlight w:val="none"/>
              </w:rPr>
              <w:t>。</w:t>
            </w:r>
          </w:p>
          <w:p>
            <w:pPr>
              <w:adjustRightInd w:val="0"/>
              <w:snapToGrid w:val="0"/>
              <w:spacing w:line="400" w:lineRule="exact"/>
              <w:ind w:left="44" w:leftChars="20" w:right="44" w:rightChars="20"/>
              <w:rPr>
                <w:color w:val="auto"/>
                <w:sz w:val="21"/>
                <w:szCs w:val="21"/>
                <w:highlight w:val="none"/>
                <w:u w:val="single"/>
              </w:rPr>
            </w:pPr>
            <w:r>
              <w:rPr>
                <w:rFonts w:hint="eastAsia"/>
                <w:color w:val="auto"/>
                <w:sz w:val="21"/>
                <w:szCs w:val="21"/>
                <w:highlight w:val="none"/>
                <w:u w:val="single"/>
              </w:rPr>
              <w:t>招标答疑采用网上答疑方式进行。投标人若对招标文件有疑问的，可在规定的时间内通过广州交易集团有限公司（广州公共资源交易中心）网站凭密码进入提问区域将问题提交给招标人或招标代理人，提交问题时一律不得署名。</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网上答疑的操作指南为：登陆广州交易集团有限公司（广州公共资源交易中心）→进入“我是投标人”→进入“新建设工程交易平台”→进入“我的投标”→进入“招标答疑提问”→通过项目编号或名称找到所需的项目→在上述的答疑时间内点击“答疑提问”进入到提问区域→无记名或匿名提出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1252" w:type="dxa"/>
            <w:vMerge w:val="continue"/>
            <w:vAlign w:val="center"/>
          </w:tcPr>
          <w:p>
            <w:pPr>
              <w:adjustRightInd w:val="0"/>
              <w:snapToGrid w:val="0"/>
              <w:spacing w:line="400" w:lineRule="exact"/>
              <w:ind w:left="44" w:leftChars="20" w:right="44" w:rightChars="20"/>
              <w:jc w:val="center"/>
              <w:rPr>
                <w:color w:val="auto"/>
                <w:sz w:val="21"/>
                <w:szCs w:val="21"/>
                <w:highlight w:val="none"/>
              </w:rPr>
            </w:pPr>
          </w:p>
        </w:tc>
        <w:tc>
          <w:tcPr>
            <w:tcW w:w="3360" w:type="dxa"/>
            <w:vMerge w:val="continue"/>
            <w:vAlign w:val="center"/>
          </w:tcPr>
          <w:p>
            <w:pPr>
              <w:adjustRightInd w:val="0"/>
              <w:snapToGrid w:val="0"/>
              <w:spacing w:line="400" w:lineRule="exact"/>
              <w:ind w:left="44" w:leftChars="20" w:right="44" w:rightChars="20"/>
              <w:jc w:val="center"/>
              <w:rPr>
                <w:color w:val="auto"/>
                <w:sz w:val="21"/>
                <w:szCs w:val="21"/>
                <w:highlight w:val="none"/>
              </w:rPr>
            </w:pPr>
          </w:p>
        </w:tc>
        <w:tc>
          <w:tcPr>
            <w:tcW w:w="5440" w:type="dxa"/>
            <w:tcBorders>
              <w:top w:val="single" w:color="auto" w:sz="4" w:space="0"/>
            </w:tcBorders>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形式：投标人的疑问通过广州交易集团有限公司（广州公共资源交易中心）网站交易平台提交。具体要求：操作详见广州交易集团有限公司（广州公共资源交易中心）网站发布的最新版《房屋建筑和市政基础设施工程全流程电子化项目专章》。提问一律不得署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2.2.2</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招标文件澄清发出的形式</w:t>
            </w:r>
          </w:p>
        </w:tc>
        <w:tc>
          <w:tcPr>
            <w:tcW w:w="5440" w:type="dxa"/>
            <w:vAlign w:val="center"/>
          </w:tcPr>
          <w:p>
            <w:pPr>
              <w:adjustRightInd w:val="0"/>
              <w:snapToGrid w:val="0"/>
              <w:spacing w:line="400" w:lineRule="exact"/>
              <w:ind w:left="44" w:leftChars="20" w:right="44" w:rightChars="20"/>
              <w:rPr>
                <w:color w:val="auto"/>
                <w:sz w:val="21"/>
                <w:szCs w:val="21"/>
                <w:highlight w:val="none"/>
                <w:u w:val="single"/>
              </w:rPr>
            </w:pPr>
            <w:r>
              <w:rPr>
                <w:rFonts w:hint="eastAsia"/>
                <w:color w:val="auto"/>
                <w:sz w:val="21"/>
                <w:szCs w:val="21"/>
                <w:highlight w:val="none"/>
                <w:u w:val="single"/>
                <w:lang w:val="en-US"/>
              </w:rPr>
              <w:t>1、</w:t>
            </w:r>
            <w:r>
              <w:rPr>
                <w:rFonts w:hint="eastAsia"/>
                <w:color w:val="auto"/>
                <w:sz w:val="21"/>
                <w:szCs w:val="21"/>
                <w:highlight w:val="none"/>
                <w:u w:val="single"/>
              </w:rPr>
              <w:t>在递交投标文件截止时间15天前解答投标人对招标文件提出的疑问，形成答疑纪要，并在广州交易集团有限公司（广州公共资源交易中心）网站通过项目答疑专区网上公开发布。</w:t>
            </w:r>
          </w:p>
          <w:p>
            <w:pPr>
              <w:adjustRightInd w:val="0"/>
              <w:snapToGrid w:val="0"/>
              <w:spacing w:line="400" w:lineRule="exact"/>
              <w:ind w:left="44" w:leftChars="20" w:right="44" w:rightChars="20"/>
              <w:rPr>
                <w:color w:val="auto"/>
                <w:sz w:val="21"/>
                <w:szCs w:val="21"/>
                <w:highlight w:val="none"/>
                <w:u w:val="single"/>
              </w:rPr>
            </w:pPr>
            <w:r>
              <w:rPr>
                <w:rFonts w:hint="eastAsia"/>
                <w:color w:val="auto"/>
                <w:sz w:val="21"/>
                <w:szCs w:val="21"/>
                <w:highlight w:val="none"/>
                <w:u w:val="single"/>
                <w:lang w:val="en-US"/>
              </w:rPr>
              <w:t>2、</w:t>
            </w:r>
            <w:r>
              <w:rPr>
                <w:rFonts w:hint="eastAsia"/>
                <w:color w:val="auto"/>
                <w:sz w:val="21"/>
                <w:szCs w:val="21"/>
                <w:highlight w:val="none"/>
                <w:u w:val="single"/>
              </w:rPr>
              <w:t>招标答疑纪要一经在广州交易集团有限公司（广州公共资源交易中心）网站发布，视作已发放给所有投标人。</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lang w:val="en-US"/>
              </w:rPr>
              <w:t>3</w:t>
            </w:r>
            <w:r>
              <w:rPr>
                <w:rFonts w:hint="eastAsia"/>
                <w:color w:val="auto"/>
                <w:sz w:val="21"/>
                <w:szCs w:val="21"/>
                <w:highlight w:val="none"/>
                <w:u w:val="single"/>
              </w:rPr>
              <w:t>、招标答疑纪要为招标文件的一部分。投标人可在广州交易集团有限公司（广州公共资源交易中心）网站浏览、下载招标答疑纪要。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252" w:type="dxa"/>
            <w:vMerge w:val="restart"/>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2.2.3</w:t>
            </w:r>
          </w:p>
        </w:tc>
        <w:tc>
          <w:tcPr>
            <w:tcW w:w="3360" w:type="dxa"/>
            <w:vMerge w:val="restart"/>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投标人确认收到招标文件澄清</w:t>
            </w:r>
          </w:p>
        </w:tc>
        <w:tc>
          <w:tcPr>
            <w:tcW w:w="5440" w:type="dxa"/>
            <w:tcBorders>
              <w:bottom w:val="single" w:color="auto" w:sz="4" w:space="0"/>
            </w:tcBorders>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时间：发出即视作收到。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252" w:type="dxa"/>
            <w:vMerge w:val="continue"/>
            <w:vAlign w:val="center"/>
          </w:tcPr>
          <w:p>
            <w:pPr>
              <w:adjustRightInd w:val="0"/>
              <w:snapToGrid w:val="0"/>
              <w:spacing w:line="400" w:lineRule="exact"/>
              <w:ind w:left="44" w:leftChars="20" w:right="44" w:rightChars="20"/>
              <w:jc w:val="center"/>
              <w:rPr>
                <w:color w:val="auto"/>
                <w:sz w:val="21"/>
                <w:szCs w:val="21"/>
                <w:highlight w:val="none"/>
              </w:rPr>
            </w:pPr>
          </w:p>
        </w:tc>
        <w:tc>
          <w:tcPr>
            <w:tcW w:w="3360" w:type="dxa"/>
            <w:vMerge w:val="continue"/>
            <w:vAlign w:val="center"/>
          </w:tcPr>
          <w:p>
            <w:pPr>
              <w:adjustRightInd w:val="0"/>
              <w:snapToGrid w:val="0"/>
              <w:spacing w:line="400" w:lineRule="exact"/>
              <w:ind w:left="44" w:leftChars="20" w:right="44" w:rightChars="20"/>
              <w:jc w:val="center"/>
              <w:rPr>
                <w:color w:val="auto"/>
                <w:sz w:val="21"/>
                <w:szCs w:val="21"/>
                <w:highlight w:val="none"/>
              </w:rPr>
            </w:pPr>
          </w:p>
        </w:tc>
        <w:tc>
          <w:tcPr>
            <w:tcW w:w="5440" w:type="dxa"/>
            <w:tcBorders>
              <w:top w:val="single" w:color="auto" w:sz="4" w:space="0"/>
            </w:tcBorders>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形式：招标文件澄清（招标答疑纪要）一经在广州交易集团有限公司（广州公共资源交易中心）网站发布，视作已发放给所有投标人。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2.3.1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招标文件修改发出的形式</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以补充公告或项目答疑澄清的方式在广州交易集团有限公司（广州公共资源交易中心）网站发布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252" w:type="dxa"/>
            <w:vMerge w:val="restart"/>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2.3.2</w:t>
            </w:r>
          </w:p>
        </w:tc>
        <w:tc>
          <w:tcPr>
            <w:tcW w:w="3360" w:type="dxa"/>
            <w:vMerge w:val="restart"/>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投标人确认收到招标文件修改</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时间：发出即视作收到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1252" w:type="dxa"/>
            <w:vMerge w:val="continue"/>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p>
        </w:tc>
        <w:tc>
          <w:tcPr>
            <w:tcW w:w="3360" w:type="dxa"/>
            <w:vMerge w:val="continue"/>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形式：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3.1.1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构成投标文件的其他资料</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满足本项目评审要求的其他资料。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3.2.1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增值税税金的计算方法</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3.2.3</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报价方式</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各投标单位在招标控制价内根据企业自身实力进行总价报价（以元为单位，保留两位小数，第三位小数四舍五入）,</w:t>
            </w:r>
            <w:r>
              <w:rPr>
                <w:rFonts w:hint="eastAsia"/>
                <w:color w:val="auto"/>
                <w:szCs w:val="21"/>
                <w:highlight w:val="none"/>
                <w:u w:val="single"/>
              </w:rPr>
              <w:t>投标人在投标截止时间前修改投标函中的投标报价总额，须符合本章第 4.3 款的有关要求</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3.2.4</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最高投标限价</w:t>
            </w:r>
          </w:p>
        </w:tc>
        <w:tc>
          <w:tcPr>
            <w:tcW w:w="5440" w:type="dxa"/>
            <w:vAlign w:val="center"/>
          </w:tcPr>
          <w:p>
            <w:pPr>
              <w:wordWrap w:val="0"/>
              <w:adjustRightInd w:val="0"/>
              <w:spacing w:line="400" w:lineRule="exact"/>
              <w:rPr>
                <w:color w:val="auto"/>
                <w:highlight w:val="none"/>
              </w:rPr>
            </w:pPr>
            <w:r>
              <w:rPr>
                <w:rFonts w:hint="eastAsia"/>
                <w:color w:val="auto"/>
                <w:highlight w:val="none"/>
              </w:rPr>
              <w:t>□无</w:t>
            </w:r>
          </w:p>
          <w:p>
            <w:pPr>
              <w:wordWrap w:val="0"/>
              <w:adjustRightInd w:val="0"/>
              <w:spacing w:line="400" w:lineRule="exact"/>
              <w:rPr>
                <w:color w:val="auto"/>
                <w:highlight w:val="none"/>
              </w:rPr>
            </w:pPr>
            <w:r>
              <w:rPr>
                <w:rFonts w:hint="eastAsia"/>
                <w:color w:val="auto"/>
                <w:highlight w:val="none"/>
              </w:rPr>
              <w:t>■有，最高投标限价</w:t>
            </w:r>
            <w:r>
              <w:rPr>
                <w:color w:val="auto"/>
                <w:highlight w:val="none"/>
                <w:u w:val="single"/>
              </w:rPr>
              <w:t>1203945.99</w:t>
            </w:r>
            <w:r>
              <w:rPr>
                <w:rFonts w:hint="eastAsia"/>
                <w:color w:val="auto"/>
                <w:highlight w:val="none"/>
                <w:u w:val="single"/>
              </w:rPr>
              <w:t>元。</w:t>
            </w:r>
            <w:r>
              <w:rPr>
                <w:rFonts w:hint="eastAsia"/>
                <w:color w:val="auto"/>
                <w:highlight w:val="none"/>
              </w:rPr>
              <w:t>（即招标控制价）</w:t>
            </w:r>
          </w:p>
          <w:p>
            <w:pPr>
              <w:wordWrap w:val="0"/>
              <w:adjustRightInd w:val="0"/>
              <w:spacing w:line="400" w:lineRule="exact"/>
              <w:rPr>
                <w:color w:val="auto"/>
                <w:highlight w:val="none"/>
                <w:lang w:val="en-US"/>
              </w:rPr>
            </w:pPr>
            <w:r>
              <w:rPr>
                <w:rFonts w:hint="eastAsia"/>
                <w:color w:val="auto"/>
                <w:highlight w:val="none"/>
              </w:rPr>
              <w:t>注：</w:t>
            </w:r>
            <w:r>
              <w:rPr>
                <w:rFonts w:hint="eastAsia"/>
                <w:b/>
                <w:bCs/>
                <w:color w:val="auto"/>
                <w:highlight w:val="none"/>
              </w:rPr>
              <w:t>投标报价超过招标控制价总价的投标文件将被否决其投标</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3.2.5</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投标报价的其他要求</w:t>
            </w:r>
          </w:p>
        </w:tc>
        <w:tc>
          <w:tcPr>
            <w:tcW w:w="5440" w:type="dxa"/>
            <w:vAlign w:val="center"/>
          </w:tcPr>
          <w:p>
            <w:pPr>
              <w:adjustRightInd w:val="0"/>
              <w:snapToGrid w:val="0"/>
              <w:spacing w:line="400" w:lineRule="exact"/>
              <w:ind w:left="44" w:leftChars="20" w:right="44" w:rightChars="20"/>
              <w:rPr>
                <w:color w:val="auto"/>
                <w:highlight w:val="none"/>
              </w:rPr>
            </w:pPr>
            <w:r>
              <w:rPr>
                <w:rFonts w:hint="eastAsia"/>
                <w:color w:val="auto"/>
                <w:szCs w:val="21"/>
                <w:highlight w:val="none"/>
                <w:u w:val="single"/>
              </w:rPr>
              <w:t>投标人必须详细审阅全部招标文件,充分考虑职责和义务,全面地理解招标文件对投标报价的要求,并按招标人提出的条件及内容进行报价</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3.3.1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投标有效期</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90</w:t>
            </w:r>
            <w:r>
              <w:rPr>
                <w:rFonts w:hint="eastAsia"/>
                <w:color w:val="auto"/>
                <w:sz w:val="21"/>
                <w:szCs w:val="21"/>
                <w:highlight w:val="none"/>
              </w:rPr>
              <w:t>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3.4.1</w:t>
            </w:r>
          </w:p>
        </w:tc>
        <w:tc>
          <w:tcPr>
            <w:tcW w:w="3360" w:type="dxa"/>
            <w:shd w:val="clear" w:color="auto" w:fill="auto"/>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投标保证金</w:t>
            </w:r>
          </w:p>
        </w:tc>
        <w:tc>
          <w:tcPr>
            <w:tcW w:w="5440" w:type="dxa"/>
            <w:vAlign w:val="center"/>
          </w:tcPr>
          <w:p>
            <w:pPr>
              <w:pStyle w:val="9"/>
              <w:autoSpaceDE/>
              <w:autoSpaceDN/>
              <w:spacing w:line="400" w:lineRule="exact"/>
              <w:rPr>
                <w:color w:val="auto"/>
                <w:sz w:val="21"/>
                <w:szCs w:val="21"/>
                <w:highlight w:val="none"/>
              </w:rPr>
            </w:pPr>
            <w:r>
              <w:rPr>
                <w:rFonts w:hint="eastAsia"/>
                <w:color w:val="auto"/>
                <w:sz w:val="21"/>
                <w:szCs w:val="21"/>
                <w:highlight w:val="none"/>
              </w:rPr>
              <w:t>是否要求投标人递交投标保证金：</w:t>
            </w:r>
          </w:p>
          <w:p>
            <w:pPr>
              <w:pStyle w:val="9"/>
              <w:autoSpaceDE/>
              <w:autoSpaceDN/>
              <w:spacing w:line="400" w:lineRule="exact"/>
              <w:rPr>
                <w:color w:val="auto"/>
                <w:sz w:val="21"/>
                <w:szCs w:val="21"/>
                <w:highlight w:val="none"/>
              </w:rPr>
            </w:pPr>
            <w:r>
              <w:rPr>
                <w:rFonts w:hint="eastAsia"/>
                <w:color w:val="auto"/>
                <w:sz w:val="21"/>
                <w:szCs w:val="21"/>
                <w:highlight w:val="none"/>
              </w:rPr>
              <w:t>☑</w:t>
            </w:r>
            <w:r>
              <w:rPr>
                <w:rFonts w:hint="eastAsia"/>
                <w:color w:val="auto"/>
                <w:sz w:val="21"/>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3.4.4</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其他可以不予退还投标保证金的情形</w:t>
            </w:r>
          </w:p>
        </w:tc>
        <w:tc>
          <w:tcPr>
            <w:tcW w:w="5440" w:type="dxa"/>
            <w:vAlign w:val="center"/>
          </w:tcPr>
          <w:p>
            <w:pPr>
              <w:adjustRightInd w:val="0"/>
              <w:snapToGrid w:val="0"/>
              <w:spacing w:line="400" w:lineRule="exact"/>
              <w:ind w:left="44" w:leftChars="20" w:right="44" w:rightChars="20"/>
              <w:rPr>
                <w:color w:val="auto"/>
                <w:sz w:val="21"/>
                <w:szCs w:val="21"/>
                <w:highlight w:val="none"/>
                <w:u w:val="single"/>
              </w:rPr>
            </w:pPr>
            <w:r>
              <w:rPr>
                <w:rFonts w:hint="eastAsia"/>
                <w:color w:val="auto"/>
                <w:sz w:val="21"/>
                <w:szCs w:val="21"/>
                <w:highlight w:val="none"/>
                <w:u w:val="single"/>
              </w:rPr>
              <w:t>1.投标人采用不正当的手段骗取中标经查实的，不予退还投标保证金。</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2.因中标人原因未能在规定期限内签署合同协议。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3.5</w:t>
            </w:r>
          </w:p>
        </w:tc>
        <w:tc>
          <w:tcPr>
            <w:tcW w:w="3360" w:type="dxa"/>
            <w:vAlign w:val="center"/>
          </w:tcPr>
          <w:p>
            <w:pPr>
              <w:pStyle w:val="33"/>
              <w:adjustRightInd w:val="0"/>
              <w:snapToGrid w:val="0"/>
              <w:spacing w:line="400" w:lineRule="exact"/>
              <w:ind w:left="44" w:leftChars="20" w:right="44" w:rightChars="20"/>
              <w:jc w:val="center"/>
              <w:rPr>
                <w:color w:val="auto"/>
                <w:sz w:val="21"/>
                <w:szCs w:val="21"/>
                <w:highlight w:val="none"/>
                <w:lang w:val="en-US"/>
              </w:rPr>
            </w:pPr>
            <w:r>
              <w:rPr>
                <w:rFonts w:hint="eastAsia"/>
                <w:color w:val="auto"/>
                <w:sz w:val="21"/>
                <w:szCs w:val="21"/>
                <w:highlight w:val="none"/>
              </w:rPr>
              <w:t>资格审查资料的特殊要求</w:t>
            </w:r>
          </w:p>
        </w:tc>
        <w:tc>
          <w:tcPr>
            <w:tcW w:w="5440" w:type="dxa"/>
          </w:tcPr>
          <w:p>
            <w:pPr>
              <w:pStyle w:val="33"/>
              <w:adjustRightInd w:val="0"/>
              <w:snapToGrid w:val="0"/>
              <w:spacing w:before="75" w:line="400" w:lineRule="exact"/>
              <w:ind w:left="44" w:leftChars="20" w:right="44" w:rightChars="20"/>
              <w:rPr>
                <w:color w:val="auto"/>
                <w:sz w:val="21"/>
                <w:szCs w:val="21"/>
                <w:highlight w:val="none"/>
              </w:rPr>
            </w:pPr>
            <w:r>
              <w:rPr>
                <w:rFonts w:hint="eastAsia"/>
                <w:color w:val="auto"/>
                <w:sz w:val="21"/>
                <w:szCs w:val="21"/>
                <w:highlight w:val="none"/>
              </w:rPr>
              <w:t>☑无</w:t>
            </w:r>
          </w:p>
          <w:p>
            <w:pPr>
              <w:pStyle w:val="33"/>
              <w:adjustRightInd w:val="0"/>
              <w:snapToGrid w:val="0"/>
              <w:spacing w:before="31" w:line="400" w:lineRule="exact"/>
              <w:ind w:left="44" w:leftChars="20" w:right="44" w:rightChars="20"/>
              <w:rPr>
                <w:color w:val="auto"/>
                <w:sz w:val="21"/>
                <w:szCs w:val="21"/>
                <w:highlight w:val="none"/>
              </w:rPr>
            </w:pPr>
            <w:r>
              <w:rPr>
                <w:rFonts w:hint="eastAsia"/>
                <w:color w:val="auto"/>
                <w:sz w:val="21"/>
                <w:szCs w:val="21"/>
                <w:highlight w:val="none"/>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3.5.2</w:t>
            </w:r>
          </w:p>
        </w:tc>
        <w:tc>
          <w:tcPr>
            <w:tcW w:w="3360" w:type="dxa"/>
            <w:vAlign w:val="center"/>
          </w:tcPr>
          <w:p>
            <w:pPr>
              <w:pStyle w:val="33"/>
              <w:adjustRightInd w:val="0"/>
              <w:snapToGrid w:val="0"/>
              <w:spacing w:line="400" w:lineRule="exact"/>
              <w:ind w:left="44" w:leftChars="20" w:right="44" w:rightChars="20"/>
              <w:jc w:val="center"/>
              <w:rPr>
                <w:color w:val="auto"/>
                <w:sz w:val="21"/>
                <w:szCs w:val="21"/>
                <w:highlight w:val="none"/>
                <w:lang w:val="en-US"/>
              </w:rPr>
            </w:pPr>
            <w:r>
              <w:rPr>
                <w:rFonts w:hint="eastAsia"/>
                <w:color w:val="auto"/>
                <w:sz w:val="21"/>
                <w:szCs w:val="21"/>
                <w:highlight w:val="none"/>
              </w:rPr>
              <w:t>近年财务状况的年份要求</w:t>
            </w:r>
          </w:p>
        </w:tc>
        <w:tc>
          <w:tcPr>
            <w:tcW w:w="5440" w:type="dxa"/>
            <w:vAlign w:val="center"/>
          </w:tcPr>
          <w:p>
            <w:pPr>
              <w:pStyle w:val="33"/>
              <w:tabs>
                <w:tab w:val="left" w:pos="664"/>
                <w:tab w:val="left" w:pos="1646"/>
              </w:tabs>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 xml:space="preserve">年至 </w:t>
            </w:r>
            <w:r>
              <w:rPr>
                <w:rFonts w:hint="eastAsia"/>
                <w:color w:val="auto"/>
                <w:sz w:val="21"/>
                <w:szCs w:val="21"/>
                <w:highlight w:val="none"/>
                <w:u w:val="single"/>
              </w:rPr>
              <w:t xml:space="preserve"> / </w:t>
            </w:r>
            <w:r>
              <w:rPr>
                <w:rFonts w:hint="eastAsia"/>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3.5.3</w:t>
            </w:r>
          </w:p>
        </w:tc>
        <w:tc>
          <w:tcPr>
            <w:tcW w:w="3360" w:type="dxa"/>
            <w:vAlign w:val="center"/>
          </w:tcPr>
          <w:p>
            <w:pPr>
              <w:pStyle w:val="33"/>
              <w:adjustRightInd w:val="0"/>
              <w:snapToGrid w:val="0"/>
              <w:spacing w:line="400" w:lineRule="exact"/>
              <w:ind w:left="44" w:leftChars="20" w:right="44" w:rightChars="20"/>
              <w:jc w:val="center"/>
              <w:rPr>
                <w:color w:val="auto"/>
                <w:sz w:val="21"/>
                <w:szCs w:val="21"/>
                <w:highlight w:val="none"/>
                <w:lang w:val="en-US"/>
              </w:rPr>
            </w:pPr>
            <w:r>
              <w:rPr>
                <w:rFonts w:hint="eastAsia"/>
                <w:color w:val="auto"/>
                <w:sz w:val="21"/>
                <w:szCs w:val="21"/>
                <w:highlight w:val="none"/>
              </w:rPr>
              <w:t>近年完成的类似项目情况的时间要求</w:t>
            </w:r>
          </w:p>
        </w:tc>
        <w:tc>
          <w:tcPr>
            <w:tcW w:w="5440" w:type="dxa"/>
            <w:vAlign w:val="center"/>
          </w:tcPr>
          <w:p>
            <w:pPr>
              <w:pStyle w:val="33"/>
              <w:tabs>
                <w:tab w:val="left" w:pos="803"/>
                <w:tab w:val="left" w:pos="1574"/>
                <w:tab w:val="left" w:pos="2344"/>
              </w:tabs>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 xml:space="preserve">/ </w:t>
            </w:r>
            <w:r>
              <w:rPr>
                <w:rFonts w:hint="eastAsia"/>
                <w:color w:val="auto"/>
                <w:sz w:val="21"/>
                <w:highlight w:val="none"/>
              </w:rPr>
              <w:t>年</w:t>
            </w:r>
            <w:r>
              <w:rPr>
                <w:rFonts w:hint="eastAsia"/>
                <w:color w:val="auto"/>
                <w:sz w:val="21"/>
                <w:szCs w:val="21"/>
                <w:highlight w:val="none"/>
                <w:u w:val="single"/>
              </w:rPr>
              <w:t xml:space="preserve">/ </w:t>
            </w:r>
            <w:r>
              <w:rPr>
                <w:rFonts w:hint="eastAsia"/>
                <w:color w:val="auto"/>
                <w:sz w:val="21"/>
                <w:highlight w:val="none"/>
              </w:rPr>
              <w:t>月</w:t>
            </w:r>
            <w:r>
              <w:rPr>
                <w:rFonts w:hint="eastAsia"/>
                <w:color w:val="auto"/>
                <w:sz w:val="21"/>
                <w:szCs w:val="21"/>
                <w:highlight w:val="none"/>
                <w:u w:val="single"/>
              </w:rPr>
              <w:t xml:space="preserve">/ </w:t>
            </w:r>
            <w:r>
              <w:rPr>
                <w:rFonts w:hint="eastAsia"/>
                <w:color w:val="auto"/>
                <w:sz w:val="21"/>
                <w:highlight w:val="none"/>
              </w:rPr>
              <w:t>日至</w:t>
            </w:r>
            <w:r>
              <w:rPr>
                <w:rFonts w:hint="eastAsia"/>
                <w:color w:val="auto"/>
                <w:sz w:val="21"/>
                <w:szCs w:val="21"/>
                <w:highlight w:val="none"/>
                <w:u w:val="single"/>
              </w:rPr>
              <w:t xml:space="preserve">/ </w:t>
            </w:r>
            <w:r>
              <w:rPr>
                <w:rFonts w:hint="eastAsia"/>
                <w:color w:val="auto"/>
                <w:sz w:val="21"/>
                <w:highlight w:val="none"/>
              </w:rPr>
              <w:t>年</w:t>
            </w:r>
            <w:r>
              <w:rPr>
                <w:rFonts w:hint="eastAsia"/>
                <w:color w:val="auto"/>
                <w:sz w:val="21"/>
                <w:szCs w:val="21"/>
                <w:highlight w:val="none"/>
                <w:u w:val="single"/>
              </w:rPr>
              <w:t xml:space="preserve">/ </w:t>
            </w:r>
            <w:r>
              <w:rPr>
                <w:rFonts w:hint="eastAsia"/>
                <w:color w:val="auto"/>
                <w:sz w:val="21"/>
                <w:highlight w:val="none"/>
              </w:rPr>
              <w:t>月</w:t>
            </w:r>
            <w:r>
              <w:rPr>
                <w:rFonts w:hint="eastAsia"/>
                <w:color w:val="auto"/>
                <w:sz w:val="21"/>
                <w:szCs w:val="21"/>
                <w:highlight w:val="none"/>
                <w:u w:val="single"/>
              </w:rPr>
              <w:t xml:space="preserve">/ </w:t>
            </w:r>
            <w:r>
              <w:rPr>
                <w:rFonts w:hint="eastAsia"/>
                <w:color w:val="auto"/>
                <w:sz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3.5.5</w:t>
            </w:r>
          </w:p>
        </w:tc>
        <w:tc>
          <w:tcPr>
            <w:tcW w:w="3360" w:type="dxa"/>
          </w:tcPr>
          <w:p>
            <w:pPr>
              <w:pStyle w:val="33"/>
              <w:adjustRightInd w:val="0"/>
              <w:snapToGrid w:val="0"/>
              <w:spacing w:line="400" w:lineRule="exact"/>
              <w:ind w:left="44" w:leftChars="20" w:right="44" w:rightChars="20"/>
              <w:jc w:val="center"/>
              <w:rPr>
                <w:color w:val="auto"/>
                <w:sz w:val="21"/>
                <w:szCs w:val="21"/>
                <w:highlight w:val="none"/>
                <w:lang w:val="en-US"/>
              </w:rPr>
            </w:pPr>
            <w:r>
              <w:rPr>
                <w:rFonts w:hint="eastAsia"/>
                <w:color w:val="auto"/>
                <w:sz w:val="21"/>
                <w:szCs w:val="21"/>
                <w:highlight w:val="none"/>
              </w:rPr>
              <w:t>近年发生的诉讼及仲裁情况的时间要求</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日至</w:t>
            </w: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3.6.1</w:t>
            </w:r>
          </w:p>
        </w:tc>
        <w:tc>
          <w:tcPr>
            <w:tcW w:w="3360" w:type="dxa"/>
            <w:vAlign w:val="center"/>
          </w:tcPr>
          <w:p>
            <w:pPr>
              <w:pStyle w:val="33"/>
              <w:adjustRightInd w:val="0"/>
              <w:snapToGrid w:val="0"/>
              <w:spacing w:line="400" w:lineRule="exact"/>
              <w:ind w:left="44" w:leftChars="20" w:right="44" w:rightChars="20"/>
              <w:jc w:val="center"/>
              <w:rPr>
                <w:color w:val="auto"/>
                <w:sz w:val="21"/>
                <w:szCs w:val="21"/>
                <w:highlight w:val="none"/>
                <w:lang w:val="en-US"/>
              </w:rPr>
            </w:pPr>
            <w:r>
              <w:rPr>
                <w:rFonts w:hint="eastAsia"/>
                <w:color w:val="auto"/>
                <w:sz w:val="21"/>
                <w:szCs w:val="21"/>
                <w:highlight w:val="none"/>
              </w:rPr>
              <w:t>是否允许递交备选投标方案</w:t>
            </w:r>
          </w:p>
        </w:tc>
        <w:tc>
          <w:tcPr>
            <w:tcW w:w="5440" w:type="dxa"/>
            <w:vAlign w:val="center"/>
          </w:tcPr>
          <w:p>
            <w:pPr>
              <w:pStyle w:val="33"/>
              <w:adjustRightInd w:val="0"/>
              <w:snapToGrid w:val="0"/>
              <w:spacing w:before="54" w:line="400" w:lineRule="exact"/>
              <w:ind w:left="44" w:leftChars="20" w:right="44" w:rightChars="20"/>
              <w:rPr>
                <w:color w:val="auto"/>
                <w:sz w:val="21"/>
                <w:szCs w:val="21"/>
                <w:highlight w:val="none"/>
              </w:rPr>
            </w:pPr>
            <w:r>
              <w:rPr>
                <w:rFonts w:hint="eastAsia"/>
                <w:color w:val="auto"/>
                <w:sz w:val="21"/>
                <w:szCs w:val="21"/>
                <w:highlight w:val="none"/>
              </w:rPr>
              <w:t>☑不允许</w:t>
            </w:r>
          </w:p>
          <w:p>
            <w:pPr>
              <w:pStyle w:val="33"/>
              <w:adjustRightInd w:val="0"/>
              <w:snapToGrid w:val="0"/>
              <w:spacing w:before="66" w:line="400" w:lineRule="exact"/>
              <w:ind w:left="44" w:leftChars="20" w:right="44" w:rightChars="20"/>
              <w:rPr>
                <w:color w:val="auto"/>
                <w:sz w:val="21"/>
                <w:szCs w:val="21"/>
                <w:highlight w:val="none"/>
              </w:rPr>
            </w:pPr>
            <w:r>
              <w:rPr>
                <w:rFonts w:hint="eastAsia"/>
                <w:color w:val="auto"/>
                <w:sz w:val="21"/>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3.7.3（B）</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投标文件所附证书证件要求</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投标文件所附证书证件均为原件扫描件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3.7.3（B）</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投标文件签字或盖章要求</w:t>
            </w:r>
          </w:p>
        </w:tc>
        <w:tc>
          <w:tcPr>
            <w:tcW w:w="5440" w:type="dxa"/>
            <w:vAlign w:val="center"/>
          </w:tcPr>
          <w:p>
            <w:pPr>
              <w:pStyle w:val="9"/>
              <w:adjustRightInd w:val="0"/>
              <w:snapToGrid w:val="0"/>
              <w:spacing w:after="0" w:line="400" w:lineRule="exact"/>
              <w:ind w:left="44" w:leftChars="20" w:right="44" w:rightChars="20"/>
              <w:rPr>
                <w:color w:val="auto"/>
                <w:sz w:val="21"/>
                <w:szCs w:val="21"/>
                <w:highlight w:val="none"/>
              </w:rPr>
            </w:pPr>
            <w:r>
              <w:rPr>
                <w:rFonts w:hint="eastAsia"/>
                <w:color w:val="auto"/>
                <w:kern w:val="2"/>
                <w:sz w:val="21"/>
                <w:szCs w:val="21"/>
                <w:highlight w:val="none"/>
                <w:u w:val="single"/>
                <w:lang w:val="en-US" w:bidi="ar-SA"/>
              </w:rPr>
              <w:t>投标文件全部采用电子文档，投标文件所附证书证件均为原件扫描件，并采用单位数字证书，按招标文件要求在相应位置加盖电子印章。投标文件中需个人签字或盖章的，应手签后扫描上传。具体操作详见广州交易集团有限公司（广州公共资源交易中心）网站发布的最新版《房屋建筑和市政基础设施工程全流程电子化项目专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4.1.1（B）</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投标文件加密要求</w:t>
            </w:r>
          </w:p>
        </w:tc>
        <w:tc>
          <w:tcPr>
            <w:tcW w:w="5440" w:type="dxa"/>
            <w:vAlign w:val="center"/>
          </w:tcPr>
          <w:p>
            <w:pPr>
              <w:pStyle w:val="9"/>
              <w:autoSpaceDE/>
              <w:autoSpaceDN/>
              <w:adjustRightInd w:val="0"/>
              <w:snapToGrid w:val="0"/>
              <w:spacing w:after="0" w:line="400" w:lineRule="exact"/>
              <w:ind w:left="44" w:leftChars="20" w:right="44" w:rightChars="20"/>
              <w:jc w:val="both"/>
              <w:rPr>
                <w:color w:val="auto"/>
                <w:sz w:val="21"/>
                <w:szCs w:val="21"/>
                <w:highlight w:val="none"/>
              </w:rPr>
            </w:pPr>
            <w:r>
              <w:rPr>
                <w:rFonts w:hint="eastAsia"/>
                <w:color w:val="auto"/>
                <w:kern w:val="2"/>
                <w:sz w:val="21"/>
                <w:szCs w:val="21"/>
                <w:highlight w:val="none"/>
                <w:lang w:val="en-US" w:bidi="ar-SA"/>
              </w:rPr>
              <w:t>网上递交的电子投标文件须进行加密。具体操作详见广州交易集团有限公司（广州公共资源交易中心）网站发布的最新版《房屋建筑和市政基础设施工程全流程电子化项目专章》。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4.1.2</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封套上应载明的信息</w:t>
            </w:r>
          </w:p>
        </w:tc>
        <w:tc>
          <w:tcPr>
            <w:tcW w:w="5440" w:type="dxa"/>
            <w:vAlign w:val="center"/>
          </w:tcPr>
          <w:p>
            <w:pPr>
              <w:pStyle w:val="9"/>
              <w:adjustRightInd w:val="0"/>
              <w:snapToGrid w:val="0"/>
              <w:spacing w:after="0" w:line="400" w:lineRule="exact"/>
              <w:ind w:left="44" w:leftChars="20" w:right="44" w:rightChars="20"/>
              <w:rPr>
                <w:color w:val="auto"/>
                <w:sz w:val="21"/>
                <w:szCs w:val="21"/>
                <w:highlight w:val="none"/>
                <w:lang w:val="en-US"/>
              </w:rPr>
            </w:pPr>
            <w:r>
              <w:rPr>
                <w:rFonts w:hint="eastAsia"/>
                <w:color w:val="auto"/>
                <w:sz w:val="21"/>
                <w:szCs w:val="21"/>
                <w:highlight w:val="none"/>
                <w:lang w:val="en-US"/>
              </w:rPr>
              <w:t>如有提交投标文件光盘备用，封套上应注明如下信息：</w:t>
            </w:r>
          </w:p>
          <w:p>
            <w:pPr>
              <w:pStyle w:val="9"/>
              <w:adjustRightInd w:val="0"/>
              <w:snapToGrid w:val="0"/>
              <w:spacing w:after="0" w:line="400" w:lineRule="exact"/>
              <w:ind w:left="44" w:leftChars="20" w:right="44" w:rightChars="20"/>
              <w:rPr>
                <w:color w:val="auto"/>
                <w:sz w:val="21"/>
                <w:szCs w:val="21"/>
                <w:highlight w:val="none"/>
                <w:lang w:val="en-US"/>
              </w:rPr>
            </w:pPr>
            <w:r>
              <w:rPr>
                <w:rFonts w:hint="eastAsia"/>
                <w:color w:val="auto"/>
                <w:sz w:val="21"/>
                <w:szCs w:val="21"/>
                <w:highlight w:val="none"/>
                <w:lang w:val="en-US"/>
              </w:rPr>
              <w:t>招标人名称：</w:t>
            </w:r>
          </w:p>
          <w:p>
            <w:pPr>
              <w:pStyle w:val="9"/>
              <w:adjustRightInd w:val="0"/>
              <w:snapToGrid w:val="0"/>
              <w:spacing w:after="0" w:line="400" w:lineRule="exact"/>
              <w:ind w:left="44" w:leftChars="20" w:right="44" w:rightChars="20"/>
              <w:rPr>
                <w:color w:val="auto"/>
                <w:sz w:val="21"/>
                <w:szCs w:val="21"/>
                <w:highlight w:val="none"/>
                <w:lang w:val="en-US"/>
              </w:rPr>
            </w:pPr>
            <w:r>
              <w:rPr>
                <w:rFonts w:hint="eastAsia"/>
                <w:color w:val="auto"/>
                <w:sz w:val="21"/>
                <w:szCs w:val="21"/>
                <w:highlight w:val="none"/>
                <w:u w:val="single"/>
                <w:lang w:val="en-US"/>
              </w:rPr>
              <w:t xml:space="preserve">          </w:t>
            </w:r>
            <w:r>
              <w:rPr>
                <w:rFonts w:hint="eastAsia"/>
                <w:color w:val="auto"/>
                <w:sz w:val="21"/>
                <w:szCs w:val="21"/>
                <w:highlight w:val="none"/>
                <w:lang w:val="en-US"/>
              </w:rPr>
              <w:t>（项目名称）投标文件</w:t>
            </w:r>
          </w:p>
          <w:p>
            <w:pPr>
              <w:pStyle w:val="9"/>
              <w:adjustRightInd w:val="0"/>
              <w:snapToGrid w:val="0"/>
              <w:spacing w:after="0" w:line="400" w:lineRule="exact"/>
              <w:ind w:left="44" w:leftChars="20" w:right="44" w:rightChars="20"/>
              <w:rPr>
                <w:color w:val="auto"/>
                <w:sz w:val="21"/>
                <w:szCs w:val="21"/>
                <w:highlight w:val="none"/>
                <w:lang w:val="en-US"/>
              </w:rPr>
            </w:pPr>
            <w:r>
              <w:rPr>
                <w:rFonts w:hint="eastAsia"/>
                <w:color w:val="auto"/>
                <w:sz w:val="21"/>
                <w:szCs w:val="21"/>
                <w:highlight w:val="none"/>
                <w:lang w:val="en-US"/>
              </w:rPr>
              <w:t>招标项目编号：</w:t>
            </w:r>
          </w:p>
          <w:p>
            <w:pPr>
              <w:pStyle w:val="9"/>
              <w:adjustRightInd w:val="0"/>
              <w:snapToGrid w:val="0"/>
              <w:spacing w:after="0" w:line="400" w:lineRule="exact"/>
              <w:ind w:left="44" w:leftChars="20" w:right="44" w:rightChars="20"/>
              <w:rPr>
                <w:color w:val="auto"/>
                <w:sz w:val="21"/>
                <w:szCs w:val="21"/>
                <w:highlight w:val="none"/>
              </w:rPr>
            </w:pPr>
            <w:r>
              <w:rPr>
                <w:rFonts w:hint="eastAsia"/>
                <w:color w:val="auto"/>
                <w:sz w:val="21"/>
                <w:szCs w:val="21"/>
                <w:highlight w:val="none"/>
                <w:lang w:val="en-US"/>
              </w:rPr>
              <w:t>在</w:t>
            </w:r>
            <w:r>
              <w:rPr>
                <w:rFonts w:hint="eastAsia"/>
                <w:color w:val="auto"/>
                <w:sz w:val="21"/>
                <w:szCs w:val="21"/>
                <w:highlight w:val="none"/>
                <w:u w:val="single"/>
                <w:lang w:val="en-US"/>
              </w:rPr>
              <w:t xml:space="preserve">    </w:t>
            </w:r>
            <w:r>
              <w:rPr>
                <w:rFonts w:hint="eastAsia"/>
                <w:color w:val="auto"/>
                <w:sz w:val="21"/>
                <w:szCs w:val="21"/>
                <w:highlight w:val="none"/>
                <w:lang w:val="en-US"/>
              </w:rPr>
              <w:t>年</w:t>
            </w:r>
            <w:r>
              <w:rPr>
                <w:rFonts w:hint="eastAsia"/>
                <w:color w:val="auto"/>
                <w:sz w:val="21"/>
                <w:szCs w:val="21"/>
                <w:highlight w:val="none"/>
                <w:u w:val="single"/>
                <w:lang w:val="en-US"/>
              </w:rPr>
              <w:t xml:space="preserve">    </w:t>
            </w:r>
            <w:r>
              <w:rPr>
                <w:rFonts w:hint="eastAsia"/>
                <w:color w:val="auto"/>
                <w:sz w:val="21"/>
                <w:szCs w:val="21"/>
                <w:highlight w:val="none"/>
                <w:lang w:val="en-US"/>
              </w:rPr>
              <w:t>月</w:t>
            </w:r>
            <w:r>
              <w:rPr>
                <w:rFonts w:hint="eastAsia"/>
                <w:color w:val="auto"/>
                <w:sz w:val="21"/>
                <w:szCs w:val="21"/>
                <w:highlight w:val="none"/>
                <w:u w:val="single"/>
                <w:lang w:val="en-US"/>
              </w:rPr>
              <w:t xml:space="preserve">    </w:t>
            </w:r>
            <w:r>
              <w:rPr>
                <w:rFonts w:hint="eastAsia"/>
                <w:color w:val="auto"/>
                <w:sz w:val="21"/>
                <w:szCs w:val="21"/>
                <w:highlight w:val="none"/>
                <w:lang w:val="en-US"/>
              </w:rPr>
              <w:t>日</w:t>
            </w:r>
            <w:r>
              <w:rPr>
                <w:rFonts w:hint="eastAsia"/>
                <w:color w:val="auto"/>
                <w:sz w:val="21"/>
                <w:szCs w:val="21"/>
                <w:highlight w:val="none"/>
                <w:u w:val="single"/>
                <w:lang w:val="en-US"/>
              </w:rPr>
              <w:t xml:space="preserve">    </w:t>
            </w:r>
            <w:r>
              <w:rPr>
                <w:rFonts w:hint="eastAsia"/>
                <w:color w:val="auto"/>
                <w:sz w:val="21"/>
                <w:szCs w:val="21"/>
                <w:highlight w:val="none"/>
                <w:lang w:val="en-US"/>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4.2.1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投标截止时间</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 xml:space="preserve"> 2025年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r>
              <w:rPr>
                <w:rFonts w:hint="eastAsia"/>
                <w:color w:val="auto"/>
                <w:sz w:val="21"/>
                <w:szCs w:val="21"/>
                <w:highlight w:val="none"/>
                <w:u w:val="single"/>
              </w:rPr>
              <w:t xml:space="preserve">  时  分 （北京时间）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4.2.2</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递交电子投标文件交易平台</w:t>
            </w:r>
          </w:p>
        </w:tc>
        <w:tc>
          <w:tcPr>
            <w:tcW w:w="5440" w:type="dxa"/>
            <w:vAlign w:val="center"/>
          </w:tcPr>
          <w:p>
            <w:pPr>
              <w:adjustRightInd w:val="0"/>
              <w:snapToGrid w:val="0"/>
              <w:spacing w:line="400" w:lineRule="exact"/>
              <w:ind w:left="44" w:leftChars="20" w:right="44" w:rightChars="20"/>
              <w:rPr>
                <w:color w:val="auto"/>
                <w:sz w:val="21"/>
                <w:szCs w:val="21"/>
                <w:highlight w:val="none"/>
                <w:u w:val="single"/>
              </w:rPr>
            </w:pPr>
            <w:r>
              <w:rPr>
                <w:rFonts w:hint="eastAsia"/>
                <w:color w:val="auto"/>
                <w:sz w:val="21"/>
                <w:szCs w:val="21"/>
                <w:highlight w:val="none"/>
                <w:u w:val="single"/>
              </w:rPr>
              <w:t xml:space="preserve">1.递交方式：网上递交投标文件 </w:t>
            </w:r>
          </w:p>
          <w:p>
            <w:pPr>
              <w:adjustRightInd w:val="0"/>
              <w:snapToGrid w:val="0"/>
              <w:spacing w:line="400" w:lineRule="exact"/>
              <w:ind w:left="44" w:leftChars="20" w:right="44" w:rightChars="20"/>
              <w:rPr>
                <w:color w:val="auto"/>
                <w:sz w:val="21"/>
                <w:szCs w:val="21"/>
                <w:highlight w:val="none"/>
                <w:u w:val="single"/>
              </w:rPr>
            </w:pPr>
            <w:r>
              <w:rPr>
                <w:rFonts w:hint="eastAsia"/>
                <w:color w:val="auto"/>
                <w:sz w:val="21"/>
                <w:szCs w:val="21"/>
                <w:highlight w:val="none"/>
                <w:u w:val="single"/>
              </w:rPr>
              <w:t>2.交易平台：广州交易集团有限公司（广州公共资源交易中心）</w:t>
            </w:r>
            <w:r>
              <w:rPr>
                <w:rFonts w:hint="eastAsia"/>
                <w:color w:val="auto"/>
                <w:sz w:val="21"/>
                <w:szCs w:val="21"/>
                <w:highlight w:val="none"/>
                <w:u w:val="single"/>
                <w:lang w:val="en-US"/>
              </w:rPr>
              <w:t>网站</w:t>
            </w:r>
            <w:r>
              <w:rPr>
                <w:rFonts w:hint="eastAsia"/>
                <w:color w:val="auto"/>
                <w:sz w:val="21"/>
                <w:szCs w:val="21"/>
                <w:highlight w:val="none"/>
                <w:u w:val="single"/>
              </w:rPr>
              <w:t xml:space="preserve">。 </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3.上述时间是否有改变，请密切留意招标答疑纪要的相关信息。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4.2.3</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投标文件是否退还</w:t>
            </w:r>
          </w:p>
        </w:tc>
        <w:tc>
          <w:tcPr>
            <w:tcW w:w="5440" w:type="dxa"/>
            <w:vAlign w:val="center"/>
          </w:tcPr>
          <w:p>
            <w:pPr>
              <w:pStyle w:val="9"/>
              <w:adjustRightInd w:val="0"/>
              <w:snapToGrid w:val="0"/>
              <w:spacing w:after="0" w:line="400" w:lineRule="exact"/>
              <w:ind w:left="44" w:leftChars="20" w:right="44" w:rightChars="20"/>
              <w:rPr>
                <w:color w:val="auto"/>
                <w:sz w:val="21"/>
                <w:szCs w:val="21"/>
                <w:highlight w:val="none"/>
                <w:lang w:val="en-US"/>
              </w:rPr>
            </w:pPr>
            <w:r>
              <w:rPr>
                <w:rFonts w:hint="eastAsia"/>
                <w:color w:val="auto"/>
                <w:sz w:val="21"/>
                <w:szCs w:val="21"/>
                <w:highlight w:val="none"/>
                <w:lang w:val="en-US"/>
              </w:rPr>
              <w:t>■否</w:t>
            </w:r>
          </w:p>
          <w:p>
            <w:pPr>
              <w:pStyle w:val="9"/>
              <w:adjustRightInd w:val="0"/>
              <w:snapToGrid w:val="0"/>
              <w:spacing w:after="0" w:line="400" w:lineRule="exact"/>
              <w:ind w:left="44" w:leftChars="20" w:right="44" w:rightChars="20"/>
              <w:rPr>
                <w:color w:val="auto"/>
                <w:sz w:val="21"/>
                <w:szCs w:val="21"/>
                <w:highlight w:val="none"/>
              </w:rPr>
            </w:pPr>
            <w:r>
              <w:rPr>
                <w:rFonts w:hint="eastAsia"/>
                <w:color w:val="auto"/>
                <w:sz w:val="21"/>
                <w:szCs w:val="21"/>
                <w:highlight w:val="none"/>
                <w:lang w:val="en-US"/>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4.3</w:t>
            </w:r>
          </w:p>
        </w:tc>
        <w:tc>
          <w:tcPr>
            <w:tcW w:w="3360" w:type="dxa"/>
            <w:shd w:val="clear" w:color="auto" w:fill="auto"/>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投标文件的修改与撤回</w:t>
            </w:r>
          </w:p>
        </w:tc>
        <w:tc>
          <w:tcPr>
            <w:tcW w:w="5440" w:type="dxa"/>
            <w:shd w:val="clear" w:color="auto" w:fill="auto"/>
            <w:vAlign w:val="center"/>
          </w:tcPr>
          <w:p>
            <w:pPr>
              <w:adjustRightInd w:val="0"/>
              <w:snapToGrid w:val="0"/>
              <w:spacing w:line="400" w:lineRule="exact"/>
              <w:ind w:left="44" w:leftChars="20" w:right="44" w:rightChars="20"/>
              <w:rPr>
                <w:color w:val="auto"/>
                <w:highlight w:val="none"/>
              </w:rPr>
            </w:pPr>
            <w:r>
              <w:rPr>
                <w:rFonts w:hint="eastAsia"/>
                <w:color w:val="auto"/>
                <w:sz w:val="21"/>
                <w:szCs w:val="21"/>
                <w:highlight w:val="none"/>
                <w:u w:val="single"/>
              </w:rPr>
              <w:t>1.投标人修改或撤回已递交的投标文件，需在交易平台发出撤回通知，并按要求加盖电子印章。电子招标投标交易平台收到通知后，即时向投标人发出确认回执通知。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5.1（B）</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开标时间和地点</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开标时间：同投标截止时间</w:t>
            </w:r>
          </w:p>
          <w:p>
            <w:pPr>
              <w:wordWrap w:val="0"/>
              <w:rPr>
                <w:color w:val="auto"/>
                <w:sz w:val="21"/>
                <w:szCs w:val="21"/>
                <w:highlight w:val="none"/>
              </w:rPr>
            </w:pPr>
            <w:r>
              <w:rPr>
                <w:rFonts w:hint="eastAsia"/>
                <w:color w:val="auto"/>
                <w:sz w:val="21"/>
                <w:szCs w:val="21"/>
                <w:highlight w:val="none"/>
              </w:rPr>
              <w:t>开标地点：</w:t>
            </w:r>
            <w:r>
              <w:rPr>
                <w:rFonts w:hint="eastAsia"/>
                <w:color w:val="auto"/>
                <w:sz w:val="21"/>
                <w:szCs w:val="21"/>
                <w:highlight w:val="none"/>
                <w:u w:val="single"/>
              </w:rPr>
              <w:t>广州交易集团有限公司（广州公共资源交易中心）</w:t>
            </w:r>
            <w:r>
              <w:rPr>
                <w:rFonts w:hint="eastAsia"/>
                <w:color w:val="auto"/>
                <w:sz w:val="21"/>
                <w:szCs w:val="21"/>
                <w:highlight w:val="none"/>
              </w:rPr>
              <w:t>（广州市天河区天润路333号），详见</w:t>
            </w:r>
            <w:r>
              <w:rPr>
                <w:rFonts w:hint="eastAsia"/>
                <w:color w:val="auto"/>
                <w:sz w:val="21"/>
                <w:szCs w:val="21"/>
                <w:highlight w:val="none"/>
                <w:u w:val="single"/>
              </w:rPr>
              <w:t>广州交易集团有限公司（广州公共资源交易中心）</w:t>
            </w:r>
            <w:r>
              <w:rPr>
                <w:rFonts w:hint="eastAsia"/>
                <w:color w:val="auto"/>
                <w:sz w:val="21"/>
                <w:szCs w:val="21"/>
                <w:highlight w:val="none"/>
              </w:rPr>
              <w:t>网站信息，并邀请所有投标人的法定代表人（单位负责人）或其委托代理人准时参加。开标时，投标人代表有权出席开标会，也可以自主决定不参加开标会。</w:t>
            </w:r>
            <w:r>
              <w:rPr>
                <w:rFonts w:hint="eastAsia"/>
                <w:color w:val="auto"/>
                <w:sz w:val="21"/>
                <w:szCs w:val="21"/>
                <w:highlight w:val="none"/>
                <w:u w:val="single"/>
              </w:rPr>
              <w:t>投标人选择参加在线开标的，具体按照交易平台相关指南进行操作。详见：http://www.gzggzy.cn/fwznbszyjsgc/index.jhtml。</w:t>
            </w:r>
          </w:p>
          <w:p>
            <w:pPr>
              <w:adjustRightInd w:val="0"/>
              <w:snapToGrid w:val="0"/>
              <w:spacing w:line="400" w:lineRule="exact"/>
              <w:ind w:left="44" w:leftChars="20" w:right="44" w:rightChars="20"/>
              <w:rPr>
                <w:color w:val="auto"/>
                <w:sz w:val="21"/>
                <w:szCs w:val="21"/>
                <w:highlight w:val="none"/>
              </w:rPr>
            </w:pPr>
            <w:r>
              <w:rPr>
                <w:rFonts w:hint="eastAsia"/>
                <w:b/>
                <w:color w:val="auto"/>
                <w:sz w:val="21"/>
                <w:szCs w:val="21"/>
                <w:highlight w:val="none"/>
              </w:rPr>
              <w:t>具体时间、地点可以到广州交易集团有限公司（广州公共资源交易中心）网站的项目查询(日程安排、答疑纪要)中输入本项目编号或项目名称进行查询。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5.2（B）</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开标程序</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电子招投标项目开标按下列程序进行：</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5.2.1主持人按下列程序进行开标：</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（1）宣布开标纪律；</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（2）投标人通过电子招标投标交易平台对已递交的电子投标文件进行解密，公布在投标截止时间前递交投标文件的投标人名称；</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（3）宣布开标人、唱标人、记录人、监标人等有关人员姓名；</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rPr>
              <w:t>招标人（招标代理）</w:t>
            </w:r>
            <w:r>
              <w:rPr>
                <w:rFonts w:hint="eastAsia"/>
                <w:color w:val="auto"/>
                <w:sz w:val="21"/>
                <w:szCs w:val="21"/>
                <w:highlight w:val="none"/>
              </w:rPr>
              <w:t>通过电子招标投标交易平台对已递交的电子投标文件进行解密，公布招标项目名称、投标人名称、投标报价、监理服务期及其他内容，并记录在案；</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（5）投标人代表、招标人代表、监标人、记录人等有关人员在开标记录上签字确认；若有关人员不签字的，不影响开标程序；</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（6）开标结束。</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5.2.2投标截止时间前未完成投标文件传输的或因投标人之外的原因造成投标文件未解密的，视为投标人撤回其投标文件。因投标人原因造成投标文件未解密的或未在投标截止时间后半小时内解密的，视为撤销其投标文件。</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5.2.3开标时，两个（含两个）以上的投标人加密打包投标文件电脑机器特征码一致的，不参与下一程序，并由评标委员会否决其投标。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5.3</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开标异议</w:t>
            </w:r>
          </w:p>
        </w:tc>
        <w:tc>
          <w:tcPr>
            <w:tcW w:w="5440" w:type="dxa"/>
            <w:vAlign w:val="center"/>
          </w:tcPr>
          <w:p>
            <w:pPr>
              <w:ind w:right="-20"/>
              <w:jc w:val="both"/>
              <w:rPr>
                <w:color w:val="auto"/>
                <w:sz w:val="21"/>
                <w:szCs w:val="21"/>
                <w:highlight w:val="none"/>
                <w:u w:val="single"/>
              </w:rPr>
            </w:pPr>
            <w:r>
              <w:rPr>
                <w:rFonts w:hint="eastAsia"/>
                <w:color w:val="auto"/>
                <w:sz w:val="21"/>
                <w:szCs w:val="21"/>
                <w:highlight w:val="none"/>
              </w:rPr>
              <w:t>5.3.1 开标时，投标人代表有权出席开标会，也可以自主决定不参加开标会，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color w:val="auto"/>
                <w:sz w:val="21"/>
                <w:szCs w:val="21"/>
                <w:highlight w:val="none"/>
                <w:u w:val="single"/>
              </w:rPr>
              <w:t>招标人授权招标代理机构工作人员使用招标代理机构数字证书登录交易平台答复异议，异议答复是招标人真实意思表示。未答复的，开标程序不得结束。</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5.3.2投标人未参加开标或在规定的时间内未提出异议的，视为对开标无异议。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6.1.1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评标委员会的组建</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评标委员会由招标人依法组建</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6.3.2</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评标委员会推荐中标候选人的人数</w:t>
            </w:r>
          </w:p>
        </w:tc>
        <w:tc>
          <w:tcPr>
            <w:tcW w:w="5440" w:type="dxa"/>
            <w:vAlign w:val="center"/>
          </w:tcPr>
          <w:p>
            <w:pPr>
              <w:tabs>
                <w:tab w:val="left" w:pos="7513"/>
              </w:tabs>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推荐中标候选人数： 3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7.1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中标候选人公示媒介及期限</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公示媒介：</w:t>
            </w:r>
            <w:r>
              <w:rPr>
                <w:rFonts w:hint="eastAsia"/>
                <w:color w:val="auto"/>
                <w:sz w:val="21"/>
                <w:szCs w:val="21"/>
                <w:highlight w:val="none"/>
                <w:u w:val="single"/>
              </w:rPr>
              <w:t>中国招标投标公共服务平台、广东省招标投标监管网、广州公共资源交易中心网、</w:t>
            </w:r>
            <w:r>
              <w:rPr>
                <w:rFonts w:hint="eastAsia"/>
                <w:color w:val="auto"/>
                <w:sz w:val="21"/>
                <w:szCs w:val="21"/>
                <w:highlight w:val="none"/>
                <w:u w:val="single"/>
                <w:lang w:val="en-US"/>
              </w:rPr>
              <w:t>广州国企阳光采购信息发布平台</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公示期限：</w:t>
            </w:r>
            <w:r>
              <w:rPr>
                <w:rFonts w:hint="eastAsia"/>
                <w:color w:val="auto"/>
                <w:sz w:val="21"/>
                <w:szCs w:val="21"/>
                <w:highlight w:val="none"/>
                <w:u w:val="single"/>
              </w:rPr>
              <w:t xml:space="preserve">  3  </w:t>
            </w:r>
            <w:r>
              <w:rPr>
                <w:rFonts w:hint="eastAsia"/>
                <w:color w:val="auto"/>
                <w:sz w:val="21"/>
                <w:szCs w:val="21"/>
                <w:highlight w:val="none"/>
              </w:rPr>
              <w:t>日</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7.6.1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履约保证金</w:t>
            </w:r>
          </w:p>
        </w:tc>
        <w:tc>
          <w:tcPr>
            <w:tcW w:w="5440" w:type="dxa"/>
            <w:vAlign w:val="center"/>
          </w:tcPr>
          <w:p>
            <w:pPr>
              <w:pStyle w:val="37"/>
              <w:adjustRightInd w:val="0"/>
              <w:snapToGrid w:val="0"/>
              <w:spacing w:line="400" w:lineRule="exact"/>
              <w:ind w:left="44" w:leftChars="20" w:right="44" w:rightChars="20"/>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是否要求中标人提交履约保证金：</w:t>
            </w:r>
          </w:p>
          <w:p>
            <w:pPr>
              <w:pStyle w:val="37"/>
              <w:adjustRightInd w:val="0"/>
              <w:snapToGrid w:val="0"/>
              <w:spacing w:line="400" w:lineRule="exact"/>
              <w:ind w:left="44" w:leftChars="20" w:right="44" w:rightChars="20"/>
              <w:rPr>
                <w:rFonts w:ascii="Times New Roman" w:hAnsi="Times New Roman"/>
                <w:color w:val="auto"/>
                <w:kern w:val="2"/>
                <w:sz w:val="21"/>
                <w:szCs w:val="21"/>
                <w:highlight w:val="none"/>
                <w:u w:val="single"/>
              </w:rPr>
            </w:pPr>
            <w:r>
              <w:rPr>
                <w:rFonts w:hint="eastAsia" w:ascii="Times New Roman" w:hAnsi="Times New Roman"/>
                <w:color w:val="auto"/>
                <w:kern w:val="2"/>
                <w:sz w:val="21"/>
                <w:szCs w:val="21"/>
                <w:highlight w:val="none"/>
              </w:rPr>
              <w:sym w:font="Wingdings" w:char="00A8"/>
            </w:r>
            <w:r>
              <w:rPr>
                <w:rFonts w:hint="eastAsia" w:ascii="Times New Roman" w:hAnsi="Times New Roman"/>
                <w:color w:val="auto"/>
                <w:kern w:val="2"/>
                <w:sz w:val="21"/>
                <w:szCs w:val="21"/>
                <w:highlight w:val="none"/>
              </w:rPr>
              <w:t>要求，履约保证金的形式：</w:t>
            </w:r>
            <w:r>
              <w:rPr>
                <w:rStyle w:val="28"/>
                <w:rFonts w:hint="eastAsia"/>
                <w:color w:val="auto"/>
                <w:highlight w:val="none"/>
                <w:lang w:val="en-US"/>
              </w:rPr>
              <w:t>/</w:t>
            </w:r>
          </w:p>
          <w:p>
            <w:pPr>
              <w:adjustRightInd w:val="0"/>
              <w:snapToGrid w:val="0"/>
              <w:spacing w:line="400" w:lineRule="exact"/>
              <w:ind w:left="44" w:leftChars="20" w:right="44" w:rightChars="20"/>
              <w:rPr>
                <w:rFonts w:ascii="Times New Roman" w:hAnsi="Times New Roman"/>
                <w:color w:val="auto"/>
                <w:sz w:val="21"/>
                <w:szCs w:val="21"/>
                <w:highlight w:val="none"/>
              </w:rPr>
            </w:pPr>
            <w:r>
              <w:rPr>
                <w:rFonts w:hint="eastAsia" w:ascii="Times New Roman" w:hAnsi="Times New Roman"/>
                <w:color w:val="auto"/>
                <w:sz w:val="21"/>
                <w:szCs w:val="21"/>
                <w:highlight w:val="none"/>
              </w:rPr>
              <w:t>履约保证金的金额：</w:t>
            </w:r>
            <w:r>
              <w:rPr>
                <w:rFonts w:hint="eastAsia"/>
                <w:color w:val="auto"/>
                <w:sz w:val="21"/>
                <w:szCs w:val="21"/>
                <w:highlight w:val="none"/>
                <w:lang w:val="en-US"/>
              </w:rPr>
              <w:t>/</w:t>
            </w:r>
          </w:p>
          <w:p>
            <w:pPr>
              <w:pStyle w:val="9"/>
              <w:adjustRightInd w:val="0"/>
              <w:snapToGrid w:val="0"/>
              <w:spacing w:after="0" w:line="400" w:lineRule="exact"/>
              <w:ind w:left="44" w:leftChars="20" w:right="44" w:rightChars="20"/>
              <w:rPr>
                <w:color w:val="auto"/>
                <w:sz w:val="21"/>
                <w:szCs w:val="21"/>
                <w:highlight w:val="none"/>
              </w:rPr>
            </w:pPr>
            <w:r>
              <w:rPr>
                <w:rFonts w:hint="eastAsia" w:ascii="Times New Roman" w:hAnsi="Times New Roman"/>
                <w:color w:val="auto"/>
                <w:kern w:val="2"/>
                <w:sz w:val="21"/>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9</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是否采用电子招标投标</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ascii="Times New Roman" w:hAnsi="Times New Roman"/>
                <w:color w:val="auto"/>
                <w:kern w:val="2"/>
                <w:sz w:val="21"/>
                <w:szCs w:val="21"/>
                <w:highlight w:val="none"/>
              </w:rPr>
              <w:sym w:font="Wingdings" w:char="00A8"/>
            </w:r>
            <w:r>
              <w:rPr>
                <w:rFonts w:hint="eastAsia"/>
                <w:color w:val="auto"/>
                <w:sz w:val="21"/>
                <w:szCs w:val="21"/>
                <w:highlight w:val="none"/>
              </w:rPr>
              <w:t>否</w:t>
            </w:r>
          </w:p>
          <w:p>
            <w:pPr>
              <w:adjustRightInd w:val="0"/>
              <w:snapToGrid w:val="0"/>
              <w:spacing w:line="400" w:lineRule="exact"/>
              <w:ind w:left="2137" w:leftChars="20" w:right="44" w:rightChars="20" w:hanging="2093" w:hangingChars="997"/>
              <w:rPr>
                <w:color w:val="auto"/>
                <w:sz w:val="21"/>
                <w:szCs w:val="21"/>
                <w:highlight w:val="none"/>
              </w:rPr>
            </w:pPr>
            <w:r>
              <w:rPr>
                <w:rFonts w:hint="eastAsia"/>
                <w:color w:val="auto"/>
                <w:sz w:val="21"/>
                <w:szCs w:val="21"/>
                <w:highlight w:val="none"/>
              </w:rPr>
              <w:t>■是，具体要求：</w:t>
            </w:r>
          </w:p>
          <w:p>
            <w:pPr>
              <w:spacing w:line="360" w:lineRule="auto"/>
              <w:ind w:left="42" w:leftChars="19" w:right="112" w:rightChars="51"/>
              <w:rPr>
                <w:color w:val="auto"/>
                <w:sz w:val="21"/>
                <w:szCs w:val="21"/>
                <w:highlight w:val="none"/>
                <w:lang w:val="en-US" w:bidi="ar-SA"/>
              </w:rPr>
            </w:pPr>
            <w:r>
              <w:rPr>
                <w:rFonts w:hint="eastAsia"/>
                <w:color w:val="auto"/>
                <w:sz w:val="21"/>
                <w:szCs w:val="21"/>
                <w:highlight w:val="none"/>
              </w:rPr>
              <w:t>1、具体操作详见</w:t>
            </w:r>
            <w:r>
              <w:rPr>
                <w:rFonts w:hint="eastAsia"/>
                <w:color w:val="auto"/>
                <w:kern w:val="2"/>
                <w:sz w:val="21"/>
                <w:szCs w:val="21"/>
                <w:highlight w:val="none"/>
                <w:lang w:val="en-US" w:bidi="ar-SA"/>
              </w:rPr>
              <w:t>广州交易集团有限公司（广州公共资源交易中心）网站发布的最新版</w:t>
            </w:r>
            <w:r>
              <w:rPr>
                <w:rFonts w:hint="eastAsia"/>
                <w:color w:val="auto"/>
                <w:sz w:val="21"/>
                <w:szCs w:val="21"/>
                <w:highlight w:val="none"/>
              </w:rPr>
              <w:t>《房屋建筑和市政基础设施工程全流程电子化项目专章》</w:t>
            </w:r>
            <w:r>
              <w:rPr>
                <w:rFonts w:hint="eastAsia"/>
                <w:color w:val="auto"/>
                <w:szCs w:val="21"/>
                <w:highlight w:val="none"/>
              </w:rPr>
              <w:t>、《广州公共资源交易中心关于新建设工程交易平台开通房屋建筑和市政基础设施工程货物和服务类项目全流程电子化交易功能的通知》。</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2、提交投标文件光盘备用</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1）投标人可制作非加密的电子投标文件（PDF格式）刻入光盘（1份），在规定的时间、地点提交备用。(刻录好的投标文件光盘密封在密封袋中，并在封口处加盖投标人单位公章。密封袋上应写明项目名称和招标人名称。)</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2）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3、补救方案</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（1）投标文件解密失败的补救方案：</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（2）评标时突发情况的补救方案</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若遇不可抗力发生（如：网络瘫痪、服务器损坏、交易系统故障短期无法恢复等因素），由评标委员会开启现场递交的全部投标文件光盘，并按光盘内容进行评审。</w:t>
            </w:r>
          </w:p>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（3）除发生上述情况外，开标评标均以投标人通过交易平台网上递交的电子投标文件为准。</w:t>
            </w:r>
          </w:p>
          <w:p>
            <w:pPr>
              <w:adjustRightInd w:val="0"/>
              <w:snapToGrid w:val="0"/>
              <w:spacing w:line="400" w:lineRule="exact"/>
              <w:ind w:left="44" w:leftChars="20" w:right="44" w:rightChars="20"/>
              <w:rPr>
                <w:color w:val="auto"/>
                <w:sz w:val="21"/>
                <w:szCs w:val="21"/>
                <w:highlight w:val="none"/>
              </w:rPr>
            </w:pPr>
            <w:r>
              <w:rPr>
                <w:rFonts w:hint="eastAsia"/>
                <w:color w:val="auto"/>
                <w:szCs w:val="21"/>
                <w:highlight w:val="none"/>
              </w:rPr>
              <w:t>4、</w:t>
            </w:r>
            <w:r>
              <w:rPr>
                <w:rFonts w:hint="eastAsia"/>
                <w:color w:val="auto"/>
                <w:szCs w:val="21"/>
                <w:highlight w:val="none"/>
                <w:u w:val="single"/>
              </w:rPr>
              <w:t>提交投标文件备用光盘时间：202</w:t>
            </w:r>
            <w:r>
              <w:rPr>
                <w:rFonts w:hint="eastAsia"/>
                <w:color w:val="auto"/>
                <w:szCs w:val="21"/>
                <w:highlight w:val="none"/>
                <w:u w:val="single"/>
                <w:lang w:val="en-US"/>
              </w:rPr>
              <w:t>5</w:t>
            </w:r>
            <w:r>
              <w:rPr>
                <w:rFonts w:hint="eastAsia"/>
                <w:color w:val="auto"/>
                <w:szCs w:val="21"/>
                <w:highlight w:val="none"/>
                <w:u w:val="single"/>
              </w:rPr>
              <w:t>年   月    日   时   分至202</w:t>
            </w:r>
            <w:r>
              <w:rPr>
                <w:rFonts w:hint="eastAsia"/>
                <w:color w:val="auto"/>
                <w:szCs w:val="21"/>
                <w:highlight w:val="none"/>
                <w:u w:val="single"/>
                <w:lang w:val="en-US"/>
              </w:rPr>
              <w:t>5</w:t>
            </w:r>
            <w:r>
              <w:rPr>
                <w:rFonts w:hint="eastAsia"/>
                <w:color w:val="auto"/>
                <w:szCs w:val="21"/>
                <w:highlight w:val="none"/>
                <w:u w:val="single"/>
              </w:rPr>
              <w:t xml:space="preserve"> 年   月    日   时   分(投标截止时间前15分钟)在</w:t>
            </w:r>
            <w:r>
              <w:rPr>
                <w:rFonts w:hint="eastAsia"/>
                <w:color w:val="auto"/>
                <w:highlight w:val="none"/>
                <w:u w:val="single"/>
              </w:rPr>
              <w:t>广州交易集团有限公司（广州公共资源交易中心）</w:t>
            </w:r>
            <w:r>
              <w:rPr>
                <w:rFonts w:hint="eastAsia"/>
                <w:color w:val="auto"/>
                <w:szCs w:val="21"/>
                <w:highlight w:val="none"/>
                <w:u w:val="single"/>
              </w:rPr>
              <w:t>第   开标室提交投标备用光盘。刻录好的投标文件备用光盘密封在密封袋中，并在封口处加盖投标人单位公章。递交的投标文件（光盘）不得加密。光盘（投标文件）无法读取或导入的，则视为未提交投标文件备用光盘</w:t>
            </w:r>
            <w:r>
              <w:rPr>
                <w:rFonts w:hint="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10</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需要补充的其他内容</w:t>
            </w:r>
          </w:p>
        </w:tc>
        <w:tc>
          <w:tcPr>
            <w:tcW w:w="5440" w:type="dxa"/>
            <w:vAlign w:val="center"/>
          </w:tcPr>
          <w:p>
            <w:pPr>
              <w:adjustRightInd w:val="0"/>
              <w:snapToGrid w:val="0"/>
              <w:spacing w:line="400" w:lineRule="exact"/>
              <w:ind w:left="44" w:leftChars="20" w:right="44" w:rightChars="20"/>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10.1</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特别提示</w:t>
            </w:r>
          </w:p>
        </w:tc>
        <w:tc>
          <w:tcPr>
            <w:tcW w:w="5440" w:type="dxa"/>
            <w:vAlign w:val="center"/>
          </w:tcPr>
          <w:p>
            <w:pPr>
              <w:widowControl/>
              <w:shd w:val="clear" w:color="auto" w:fill="FFFFFF"/>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pPr>
              <w:widowControl/>
              <w:shd w:val="clear" w:color="auto" w:fill="FFFFFF"/>
              <w:adjustRightInd w:val="0"/>
              <w:snapToGrid w:val="0"/>
              <w:spacing w:line="400" w:lineRule="exact"/>
              <w:ind w:left="44" w:leftChars="20" w:right="44" w:rightChars="20" w:firstLine="420" w:firstLineChars="200"/>
              <w:rPr>
                <w:color w:val="auto"/>
                <w:sz w:val="21"/>
                <w:szCs w:val="21"/>
                <w:highlight w:val="none"/>
              </w:rPr>
            </w:pPr>
            <w:r>
              <w:rPr>
                <w:rFonts w:hint="eastAsia"/>
                <w:color w:val="auto"/>
                <w:sz w:val="21"/>
                <w:szCs w:val="21"/>
                <w:highlight w:val="none"/>
              </w:rPr>
              <w:t>1.将中标工程转包或者违法分包的；</w:t>
            </w:r>
          </w:p>
          <w:p>
            <w:pPr>
              <w:widowControl/>
              <w:shd w:val="clear" w:color="auto" w:fill="FFFFFF"/>
              <w:adjustRightInd w:val="0"/>
              <w:snapToGrid w:val="0"/>
              <w:spacing w:line="400" w:lineRule="exact"/>
              <w:ind w:left="44" w:leftChars="20" w:right="44" w:rightChars="20" w:firstLine="420" w:firstLineChars="200"/>
              <w:rPr>
                <w:color w:val="auto"/>
                <w:sz w:val="21"/>
                <w:szCs w:val="21"/>
                <w:highlight w:val="none"/>
              </w:rPr>
            </w:pPr>
            <w:r>
              <w:rPr>
                <w:rFonts w:hint="eastAsia"/>
                <w:color w:val="auto"/>
                <w:sz w:val="21"/>
                <w:szCs w:val="21"/>
                <w:highlight w:val="none"/>
              </w:rPr>
              <w:t>2.在中标工程中不执行质量、安全生产相关规定的，造成质量或安全事故的；</w:t>
            </w:r>
          </w:p>
          <w:p>
            <w:pPr>
              <w:widowControl/>
              <w:shd w:val="clear" w:color="auto" w:fill="FFFFFF"/>
              <w:adjustRightInd w:val="0"/>
              <w:snapToGrid w:val="0"/>
              <w:spacing w:line="400" w:lineRule="exact"/>
              <w:ind w:left="44" w:leftChars="20" w:right="44" w:rightChars="20" w:firstLine="420" w:firstLineChars="200"/>
              <w:rPr>
                <w:color w:val="auto"/>
                <w:sz w:val="21"/>
                <w:szCs w:val="21"/>
                <w:highlight w:val="none"/>
              </w:rPr>
            </w:pPr>
            <w:r>
              <w:rPr>
                <w:rFonts w:hint="eastAsia"/>
                <w:color w:val="auto"/>
                <w:sz w:val="21"/>
                <w:szCs w:val="21"/>
                <w:highlight w:val="none"/>
              </w:rPr>
              <w:t>3.出让投标资格的；</w:t>
            </w:r>
          </w:p>
          <w:p>
            <w:pPr>
              <w:widowControl/>
              <w:shd w:val="clear" w:color="auto" w:fill="FFFFFF"/>
              <w:adjustRightInd w:val="0"/>
              <w:snapToGrid w:val="0"/>
              <w:spacing w:line="400" w:lineRule="exact"/>
              <w:ind w:left="44" w:leftChars="20" w:right="44" w:rightChars="2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存在围标或串标情形的；</w:t>
            </w:r>
          </w:p>
          <w:p>
            <w:pPr>
              <w:widowControl/>
              <w:shd w:val="clear" w:color="auto" w:fill="FFFFFF"/>
              <w:adjustRightInd w:val="0"/>
              <w:snapToGrid w:val="0"/>
              <w:spacing w:line="400" w:lineRule="exact"/>
              <w:ind w:left="44" w:leftChars="20" w:right="44" w:rightChars="20" w:firstLine="440" w:firstLineChars="200"/>
              <w:rPr>
                <w:color w:val="auto"/>
                <w:sz w:val="21"/>
                <w:szCs w:val="21"/>
                <w:highlight w:val="none"/>
              </w:rPr>
            </w:pPr>
            <w:r>
              <w:rPr>
                <w:rFonts w:hint="eastAsia"/>
                <w:color w:val="auto"/>
                <w:highlight w:val="none"/>
                <w:lang w:val="en-US"/>
              </w:rPr>
              <w:t>5.</w:t>
            </w:r>
            <w:r>
              <w:rPr>
                <w:rFonts w:hint="eastAsia"/>
                <w:color w:val="auto"/>
                <w:highlight w:val="none"/>
              </w:rPr>
              <w:t>在投标文件中提供</w:t>
            </w:r>
            <w:r>
              <w:rPr>
                <w:rFonts w:hint="eastAsia"/>
                <w:color w:val="auto"/>
                <w:sz w:val="21"/>
                <w:szCs w:val="21"/>
                <w:highlight w:val="none"/>
              </w:rPr>
              <w:t>虚假材料的；</w:t>
            </w:r>
          </w:p>
          <w:p>
            <w:pPr>
              <w:widowControl/>
              <w:shd w:val="clear" w:color="auto" w:fill="FFFFFF"/>
              <w:adjustRightInd w:val="0"/>
              <w:snapToGrid w:val="0"/>
              <w:spacing w:line="400" w:lineRule="exact"/>
              <w:ind w:left="44" w:leftChars="20" w:right="44" w:rightChars="20" w:firstLine="420" w:firstLineChars="200"/>
              <w:rPr>
                <w:color w:val="auto"/>
                <w:highlight w:val="none"/>
              </w:rPr>
            </w:pPr>
            <w:r>
              <w:rPr>
                <w:rFonts w:hint="eastAsia"/>
                <w:color w:val="auto"/>
                <w:sz w:val="21"/>
                <w:szCs w:val="21"/>
                <w:highlight w:val="none"/>
                <w:lang w:val="en-US"/>
              </w:rPr>
              <w:t>6.</w:t>
            </w:r>
            <w:r>
              <w:rPr>
                <w:rFonts w:hint="eastAsia"/>
                <w:color w:val="auto"/>
                <w:sz w:val="21"/>
                <w:szCs w:val="21"/>
                <w:highlight w:val="none"/>
              </w:rPr>
              <w:t>存在少放、不放业绩、奖项等客观评审资料，减少自身竞争力</w:t>
            </w:r>
            <w:r>
              <w:rPr>
                <w:rFonts w:hint="eastAsia"/>
                <w:color w:val="auto"/>
                <w:highlight w:val="none"/>
              </w:rPr>
              <w:t>情形的；</w:t>
            </w:r>
          </w:p>
          <w:p>
            <w:pPr>
              <w:widowControl/>
              <w:shd w:val="clear" w:color="auto" w:fill="FFFFFF"/>
              <w:adjustRightInd w:val="0"/>
              <w:snapToGrid w:val="0"/>
              <w:spacing w:line="400" w:lineRule="exact"/>
              <w:ind w:left="44" w:leftChars="20" w:right="44" w:rightChars="20" w:firstLine="420" w:firstLineChars="200"/>
              <w:rPr>
                <w:color w:val="auto"/>
                <w:sz w:val="21"/>
                <w:szCs w:val="21"/>
                <w:highlight w:val="none"/>
              </w:rPr>
            </w:pPr>
            <w:r>
              <w:rPr>
                <w:rFonts w:hint="eastAsia"/>
                <w:color w:val="auto"/>
                <w:sz w:val="21"/>
                <w:szCs w:val="21"/>
                <w:highlight w:val="none"/>
                <w:lang w:val="en-US"/>
              </w:rPr>
              <w:t>7</w:t>
            </w:r>
            <w:r>
              <w:rPr>
                <w:rFonts w:hint="eastAsia"/>
                <w:color w:val="auto"/>
                <w:sz w:val="21"/>
                <w:szCs w:val="21"/>
                <w:highlight w:val="none"/>
              </w:rPr>
              <w:t>.</w:t>
            </w:r>
            <w:r>
              <w:rPr>
                <w:rFonts w:hint="eastAsia"/>
                <w:color w:val="auto"/>
                <w:szCs w:val="21"/>
                <w:highlight w:val="none"/>
              </w:rPr>
              <w:t>存在行贿情形的</w:t>
            </w:r>
            <w:r>
              <w:rPr>
                <w:rFonts w:hint="eastAsia"/>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10.2</w:t>
            </w:r>
          </w:p>
        </w:tc>
        <w:tc>
          <w:tcPr>
            <w:tcW w:w="3360"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送达</w:t>
            </w:r>
          </w:p>
        </w:tc>
        <w:tc>
          <w:tcPr>
            <w:tcW w:w="5440" w:type="dxa"/>
            <w:vAlign w:val="center"/>
          </w:tcPr>
          <w:p>
            <w:pPr>
              <w:widowControl/>
              <w:shd w:val="clear" w:color="auto" w:fill="FFFFFF"/>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《投诉处理决定书》和《行政处理决定书》在广州市住房和城乡建设局网站上公布的，视为送达其他与决定书有关的当事人。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10.3</w:t>
            </w:r>
          </w:p>
        </w:tc>
        <w:tc>
          <w:tcPr>
            <w:tcW w:w="3360" w:type="dxa"/>
            <w:vAlign w:val="center"/>
          </w:tcPr>
          <w:p>
            <w:pPr>
              <w:widowControl/>
              <w:shd w:val="clear" w:color="auto" w:fill="FFFFFF"/>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招标失败情形</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本项目采用资格后审方式，各标段满足资格审查合格条件或通过初步评审的投标申请人不足3名时为招标失败。招标人分析招标失败原因，修正招标方案，报有关管理部门核准后，重新组织招标。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10.4</w:t>
            </w:r>
          </w:p>
        </w:tc>
        <w:tc>
          <w:tcPr>
            <w:tcW w:w="3360" w:type="dxa"/>
            <w:vAlign w:val="center"/>
          </w:tcPr>
          <w:p>
            <w:pPr>
              <w:widowControl/>
              <w:shd w:val="clear" w:color="auto" w:fill="FFFFFF"/>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中标候选人公示要求</w:t>
            </w:r>
          </w:p>
        </w:tc>
        <w:tc>
          <w:tcPr>
            <w:tcW w:w="5440" w:type="dxa"/>
            <w:vAlign w:val="center"/>
          </w:tcPr>
          <w:p>
            <w:pPr>
              <w:widowControl/>
              <w:shd w:val="clear" w:color="auto" w:fill="FFFFFF"/>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在产生中标候选人后，招标人将中标候选人的投标文件商务部分的电子版（报价清单、方案等涉及商业秘密的内容除外）在广州交易集团有限公司（广州公共资源交易中心）网站公开。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jc w:val="center"/>
        </w:trPr>
        <w:tc>
          <w:tcPr>
            <w:tcW w:w="1252" w:type="dxa"/>
            <w:vAlign w:val="center"/>
          </w:tcPr>
          <w:p>
            <w:pPr>
              <w:adjustRightInd w:val="0"/>
              <w:snapToGrid w:val="0"/>
              <w:spacing w:line="400" w:lineRule="exact"/>
              <w:ind w:left="44" w:leftChars="20" w:right="44" w:rightChars="20"/>
              <w:jc w:val="center"/>
              <w:rPr>
                <w:color w:val="auto"/>
                <w:sz w:val="21"/>
                <w:szCs w:val="21"/>
                <w:highlight w:val="none"/>
              </w:rPr>
            </w:pPr>
            <w:r>
              <w:rPr>
                <w:rFonts w:hint="eastAsia"/>
                <w:color w:val="auto"/>
                <w:sz w:val="21"/>
                <w:szCs w:val="21"/>
                <w:highlight w:val="none"/>
              </w:rPr>
              <w:t>10.</w:t>
            </w:r>
            <w:r>
              <w:rPr>
                <w:rFonts w:hint="eastAsia"/>
                <w:color w:val="auto"/>
                <w:sz w:val="21"/>
                <w:szCs w:val="21"/>
                <w:highlight w:val="none"/>
                <w:lang w:val="en-US"/>
              </w:rPr>
              <w:t>5</w:t>
            </w:r>
          </w:p>
        </w:tc>
        <w:tc>
          <w:tcPr>
            <w:tcW w:w="3360" w:type="dxa"/>
            <w:vAlign w:val="center"/>
          </w:tcPr>
          <w:p>
            <w:pPr>
              <w:widowControl/>
              <w:shd w:val="clear" w:color="auto" w:fill="FFFFFF"/>
              <w:adjustRightInd w:val="0"/>
              <w:snapToGrid w:val="0"/>
              <w:spacing w:line="400" w:lineRule="exact"/>
              <w:ind w:left="44" w:leftChars="20" w:right="44" w:rightChars="20"/>
              <w:jc w:val="center"/>
              <w:rPr>
                <w:color w:val="auto"/>
                <w:sz w:val="21"/>
                <w:szCs w:val="21"/>
                <w:highlight w:val="none"/>
              </w:rPr>
            </w:pPr>
            <w:r>
              <w:rPr>
                <w:rFonts w:hint="eastAsia"/>
                <w:color w:val="auto"/>
                <w:sz w:val="21"/>
                <w:szCs w:val="21"/>
                <w:highlight w:val="none"/>
              </w:rPr>
              <w:t>监理机构人员配备要求</w:t>
            </w:r>
          </w:p>
        </w:tc>
        <w:tc>
          <w:tcPr>
            <w:tcW w:w="5440" w:type="dxa"/>
            <w:vAlign w:val="center"/>
          </w:tcPr>
          <w:p>
            <w:pPr>
              <w:adjustRightInd w:val="0"/>
              <w:snapToGrid w:val="0"/>
              <w:spacing w:line="400" w:lineRule="exact"/>
              <w:ind w:left="44" w:leftChars="20" w:right="44" w:rightChars="20"/>
              <w:rPr>
                <w:color w:val="auto"/>
                <w:sz w:val="21"/>
                <w:szCs w:val="21"/>
                <w:highlight w:val="none"/>
              </w:rPr>
            </w:pPr>
            <w:r>
              <w:rPr>
                <w:rFonts w:hint="eastAsia"/>
                <w:color w:val="auto"/>
                <w:sz w:val="21"/>
                <w:szCs w:val="21"/>
                <w:highlight w:val="none"/>
              </w:rPr>
              <w:t>详见本须知后附表。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color w:val="auto"/>
                <w:sz w:val="21"/>
                <w:szCs w:val="21"/>
                <w:highlight w:val="none"/>
                <w:lang w:val="en-US"/>
              </w:rPr>
            </w:pPr>
            <w:r>
              <w:rPr>
                <w:rFonts w:hint="eastAsia"/>
                <w:color w:val="auto"/>
                <w:sz w:val="21"/>
                <w:szCs w:val="21"/>
                <w:highlight w:val="none"/>
                <w:lang w:val="en-US"/>
              </w:rPr>
              <w:t>10.6</w:t>
            </w:r>
          </w:p>
        </w:tc>
        <w:tc>
          <w:tcPr>
            <w:tcW w:w="3360" w:type="dxa"/>
            <w:vAlign w:val="center"/>
          </w:tcPr>
          <w:p>
            <w:pPr>
              <w:widowControl/>
              <w:shd w:val="clear" w:color="auto" w:fill="FFFFFF"/>
              <w:adjustRightInd w:val="0"/>
              <w:snapToGrid w:val="0"/>
              <w:spacing w:line="400" w:lineRule="exact"/>
              <w:ind w:left="44" w:leftChars="20" w:right="44" w:rightChars="20"/>
              <w:jc w:val="center"/>
              <w:rPr>
                <w:color w:val="auto"/>
                <w:sz w:val="21"/>
                <w:szCs w:val="21"/>
                <w:highlight w:val="none"/>
              </w:rPr>
            </w:pPr>
            <w:r>
              <w:rPr>
                <w:rFonts w:hint="eastAsia"/>
                <w:color w:val="auto"/>
                <w:szCs w:val="21"/>
                <w:highlight w:val="none"/>
                <w:u w:val="single"/>
              </w:rPr>
              <w:t>否决投标条款</w:t>
            </w:r>
          </w:p>
        </w:tc>
        <w:tc>
          <w:tcPr>
            <w:tcW w:w="5440" w:type="dxa"/>
            <w:vAlign w:val="center"/>
          </w:tcPr>
          <w:p>
            <w:pPr>
              <w:spacing w:line="360" w:lineRule="auto"/>
              <w:rPr>
                <w:color w:val="auto"/>
                <w:sz w:val="21"/>
                <w:szCs w:val="21"/>
                <w:highlight w:val="none"/>
                <w:lang w:val="en-US" w:bidi="ar-SA"/>
              </w:rPr>
            </w:pPr>
            <w:r>
              <w:rPr>
                <w:rFonts w:hint="eastAsia"/>
                <w:color w:val="auto"/>
                <w:szCs w:val="21"/>
                <w:highlight w:val="none"/>
              </w:rPr>
              <w:t>否决投标条款：</w:t>
            </w:r>
          </w:p>
          <w:p>
            <w:pPr>
              <w:spacing w:line="360" w:lineRule="auto"/>
              <w:rPr>
                <w:color w:val="auto"/>
                <w:szCs w:val="21"/>
                <w:highlight w:val="none"/>
              </w:rPr>
            </w:pPr>
            <w:r>
              <w:rPr>
                <w:rFonts w:hint="eastAsia"/>
                <w:color w:val="auto"/>
                <w:szCs w:val="21"/>
                <w:highlight w:val="none"/>
              </w:rPr>
              <w:t>1、在投标截止期后逾期或未在</w:t>
            </w:r>
            <w:r>
              <w:rPr>
                <w:rFonts w:hint="eastAsia"/>
                <w:color w:val="auto"/>
                <w:highlight w:val="none"/>
                <w:u w:val="single"/>
              </w:rPr>
              <w:t>广州交易集团有限公司（广州公共资源交易中心）</w:t>
            </w:r>
            <w:r>
              <w:rPr>
                <w:rFonts w:hint="eastAsia"/>
                <w:color w:val="auto"/>
                <w:szCs w:val="21"/>
                <w:highlight w:val="none"/>
              </w:rPr>
              <w:t>数字交易平台（http://www.gzggzy.cn）递交电子投标文件的，电子招标投标交易平台将拒绝接收其投标文件。</w:t>
            </w:r>
          </w:p>
          <w:p>
            <w:pPr>
              <w:spacing w:line="360" w:lineRule="auto"/>
              <w:rPr>
                <w:color w:val="auto"/>
                <w:szCs w:val="21"/>
                <w:highlight w:val="none"/>
              </w:rPr>
            </w:pPr>
            <w:r>
              <w:rPr>
                <w:rFonts w:hint="eastAsia"/>
                <w:color w:val="auto"/>
                <w:szCs w:val="21"/>
                <w:highlight w:val="none"/>
              </w:rPr>
              <w:t>2、投标文件应当对招标文件的实质性要求和条件作出满足性或更有利于招标人的响应，否则，投标人的投标将被否决。</w:t>
            </w:r>
          </w:p>
          <w:p>
            <w:pPr>
              <w:spacing w:line="360" w:lineRule="auto"/>
              <w:rPr>
                <w:color w:val="auto"/>
                <w:szCs w:val="21"/>
                <w:highlight w:val="none"/>
              </w:rPr>
            </w:pPr>
            <w:r>
              <w:rPr>
                <w:rFonts w:hint="eastAsia"/>
                <w:color w:val="auto"/>
                <w:szCs w:val="21"/>
                <w:highlight w:val="none"/>
              </w:rPr>
              <w:t>3、投标人有以下情形之一的，评标委员会应当否决其投标：</w:t>
            </w:r>
          </w:p>
          <w:p>
            <w:pPr>
              <w:spacing w:line="360" w:lineRule="auto"/>
              <w:rPr>
                <w:color w:val="auto"/>
                <w:szCs w:val="21"/>
                <w:highlight w:val="none"/>
              </w:rPr>
            </w:pPr>
            <w:r>
              <w:rPr>
                <w:rFonts w:hint="eastAsia"/>
                <w:color w:val="auto"/>
                <w:szCs w:val="21"/>
                <w:highlight w:val="none"/>
              </w:rPr>
              <w:t>（1）投标文件没有对招标文件的实质性要求和条件作出响应，或者对招标文件的偏差超出招标文件规定的偏差范围或最高项数；</w:t>
            </w:r>
          </w:p>
          <w:p>
            <w:pPr>
              <w:spacing w:line="360" w:lineRule="auto"/>
              <w:rPr>
                <w:color w:val="auto"/>
                <w:szCs w:val="21"/>
                <w:highlight w:val="none"/>
              </w:rPr>
            </w:pPr>
            <w:r>
              <w:rPr>
                <w:rFonts w:hint="eastAsia"/>
                <w:color w:val="auto"/>
                <w:szCs w:val="21"/>
                <w:highlight w:val="none"/>
              </w:rPr>
              <w:t>（2）有串通投标、弄虚作假、行贿等违法行为。</w:t>
            </w:r>
          </w:p>
          <w:p>
            <w:pPr>
              <w:spacing w:line="360" w:lineRule="auto"/>
              <w:rPr>
                <w:color w:val="auto"/>
                <w:szCs w:val="21"/>
                <w:highlight w:val="none"/>
              </w:rPr>
            </w:pPr>
            <w:r>
              <w:rPr>
                <w:rFonts w:hint="eastAsia"/>
                <w:color w:val="auto"/>
                <w:szCs w:val="21"/>
                <w:highlight w:val="none"/>
              </w:rPr>
              <w:t>4、投标报价有算术错误及其他错误的，评标委员会按以下原则要求投标人对投标报价进行修正，并要求投标人书面澄清确认。投标人拒不澄清确认的，评标委员会应当否决其投标：</w:t>
            </w:r>
          </w:p>
          <w:p>
            <w:pPr>
              <w:spacing w:line="360" w:lineRule="auto"/>
              <w:rPr>
                <w:color w:val="auto"/>
                <w:szCs w:val="21"/>
                <w:highlight w:val="none"/>
              </w:rPr>
            </w:pPr>
            <w:r>
              <w:rPr>
                <w:rFonts w:hint="eastAsia"/>
                <w:color w:val="auto"/>
                <w:szCs w:val="21"/>
                <w:highlight w:val="none"/>
              </w:rPr>
              <w:t>（1）投标文件中的大写金额与小写金额不一致的，以大写金额为准；</w:t>
            </w:r>
          </w:p>
          <w:p>
            <w:pPr>
              <w:spacing w:line="360" w:lineRule="auto"/>
              <w:rPr>
                <w:color w:val="auto"/>
                <w:szCs w:val="21"/>
                <w:highlight w:val="none"/>
              </w:rPr>
            </w:pPr>
            <w:r>
              <w:rPr>
                <w:rFonts w:hint="eastAsia"/>
                <w:color w:val="auto"/>
                <w:szCs w:val="21"/>
                <w:highlight w:val="none"/>
              </w:rPr>
              <w:t>（2）总价金额与单价金额不一致的，以单价金额为准，但单价金额小数点有明显错误的除外。</w:t>
            </w:r>
          </w:p>
          <w:p>
            <w:pPr>
              <w:spacing w:line="360" w:lineRule="auto"/>
              <w:rPr>
                <w:color w:val="auto"/>
                <w:szCs w:val="21"/>
                <w:highlight w:val="none"/>
              </w:rPr>
            </w:pPr>
            <w:r>
              <w:rPr>
                <w:rFonts w:hint="eastAsia"/>
                <w:color w:val="auto"/>
                <w:szCs w:val="21"/>
                <w:highlight w:val="none"/>
              </w:rPr>
              <w:t>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rPr>
                <w:color w:val="auto"/>
                <w:szCs w:val="21"/>
                <w:highlight w:val="none"/>
              </w:rPr>
            </w:pPr>
            <w:r>
              <w:rPr>
                <w:rFonts w:hint="eastAsia"/>
                <w:color w:val="auto"/>
                <w:szCs w:val="21"/>
                <w:highlight w:val="none"/>
              </w:rPr>
              <w:t>6、投标文件中投标报价高于最高投标限价的，其投标文件将被否 决。</w:t>
            </w:r>
          </w:p>
          <w:p>
            <w:pPr>
              <w:spacing w:line="360" w:lineRule="auto"/>
              <w:rPr>
                <w:color w:val="auto"/>
                <w:szCs w:val="21"/>
                <w:highlight w:val="none"/>
              </w:rPr>
            </w:pPr>
            <w:r>
              <w:rPr>
                <w:rFonts w:hint="eastAsia"/>
                <w:color w:val="auto"/>
                <w:szCs w:val="21"/>
                <w:highlight w:val="none"/>
              </w:rPr>
              <w:t>7、按投标报价的算术校核原则及方法调整或修正投标文件的投标报价，调整后的投标报价对投标人起约束作用。如果投标人不接受修正后的报价，则取消其中标资格。</w:t>
            </w:r>
          </w:p>
          <w:p>
            <w:pPr>
              <w:spacing w:line="360" w:lineRule="auto"/>
              <w:rPr>
                <w:color w:val="auto"/>
                <w:szCs w:val="21"/>
                <w:highlight w:val="none"/>
              </w:rPr>
            </w:pPr>
            <w:r>
              <w:rPr>
                <w:rFonts w:hint="eastAsia"/>
                <w:color w:val="auto"/>
                <w:szCs w:val="21"/>
                <w:highlight w:val="none"/>
              </w:rPr>
              <w:t>8、资审合格后，投标人的资格发生变化而不满足投标人合格条件，在发出中标通知书前，资格问题仍未解决的，招标人将取消其中标资格。</w:t>
            </w:r>
          </w:p>
          <w:p>
            <w:pPr>
              <w:spacing w:line="360" w:lineRule="auto"/>
              <w:rPr>
                <w:color w:val="auto"/>
                <w:szCs w:val="21"/>
                <w:highlight w:val="none"/>
              </w:rPr>
            </w:pPr>
            <w:r>
              <w:rPr>
                <w:rFonts w:hint="eastAsia"/>
                <w:color w:val="auto"/>
                <w:szCs w:val="21"/>
                <w:highlight w:val="none"/>
              </w:rPr>
              <w:t>9、中标人未按本招标文件第二章 投标人须知 第7.6.1项规定提交履约担保，视为放弃中标，给招标人造成损失的，中标人还应当予以赔偿。</w:t>
            </w:r>
          </w:p>
          <w:p>
            <w:pPr>
              <w:adjustRightInd w:val="0"/>
              <w:snapToGrid w:val="0"/>
              <w:spacing w:line="400" w:lineRule="exact"/>
              <w:ind w:left="44" w:leftChars="20" w:right="44" w:rightChars="20"/>
              <w:rPr>
                <w:color w:val="auto"/>
                <w:highlight w:val="none"/>
                <w:lang w:val="en-US"/>
              </w:rPr>
            </w:pPr>
            <w:r>
              <w:rPr>
                <w:rFonts w:hint="eastAsia"/>
                <w:color w:val="auto"/>
                <w:szCs w:val="21"/>
                <w:highlight w:val="none"/>
              </w:rPr>
              <w:t>10、投标文件符合列于《评标办法前附表》“形式评审标准”“资格评审标准”“响应性评审标准”中所有情形的，为有效投标文件。任一情形不符合均为无效投标文件，经评标委员会认定后，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lang w:val="en-US"/>
              </w:rPr>
              <w:t>10.7</w:t>
            </w:r>
          </w:p>
        </w:tc>
        <w:tc>
          <w:tcPr>
            <w:tcW w:w="3360" w:type="dxa"/>
            <w:vAlign w:val="center"/>
          </w:tcPr>
          <w:p>
            <w:pPr>
              <w:widowControl/>
              <w:shd w:val="clear" w:color="auto" w:fill="FFFFFF"/>
              <w:adjustRightInd w:val="0"/>
              <w:snapToGrid w:val="0"/>
              <w:spacing w:line="400" w:lineRule="exact"/>
              <w:ind w:left="44" w:leftChars="20" w:right="44" w:rightChars="20"/>
              <w:jc w:val="center"/>
              <w:rPr>
                <w:bCs/>
                <w:color w:val="auto"/>
                <w:kern w:val="2"/>
                <w:sz w:val="21"/>
                <w:szCs w:val="21"/>
                <w:highlight w:val="none"/>
                <w:lang w:val="en-US" w:bidi="ar-SA"/>
              </w:rPr>
            </w:pPr>
            <w:r>
              <w:rPr>
                <w:rFonts w:hint="eastAsia"/>
                <w:color w:val="auto"/>
                <w:sz w:val="21"/>
                <w:szCs w:val="21"/>
                <w:highlight w:val="none"/>
              </w:rPr>
              <w:t>其他</w:t>
            </w:r>
          </w:p>
        </w:tc>
        <w:tc>
          <w:tcPr>
            <w:tcW w:w="5440" w:type="dxa"/>
            <w:vAlign w:val="center"/>
          </w:tcPr>
          <w:p>
            <w:pPr>
              <w:adjustRightInd w:val="0"/>
              <w:snapToGrid w:val="0"/>
              <w:spacing w:line="400" w:lineRule="exact"/>
              <w:ind w:left="44" w:leftChars="20" w:right="44" w:rightChars="20"/>
              <w:rPr>
                <w:color w:val="auto"/>
                <w:highlight w:val="none"/>
              </w:rPr>
            </w:pPr>
            <w:r>
              <w:rPr>
                <w:rFonts w:hint="eastAsia"/>
                <w:color w:val="auto"/>
                <w:highlight w:val="none"/>
                <w:lang w:val="en-US"/>
              </w:rPr>
              <w:t>1、</w:t>
            </w:r>
            <w:r>
              <w:rPr>
                <w:rFonts w:hint="eastAsia"/>
                <w:color w:val="auto"/>
                <w:highlight w:val="none"/>
              </w:rPr>
              <w:t>若发现第一中标候选人或中标人委派的总监理工程师任职数量不符合《穗建规字〔2020〕32号》等文件的规定，将取消第一中标候选人资格或中标资格。招标人可以确定排名第二的中标候选人为中标人。以此类推，如所有中标候选人均出现前款所列的情形，为招标失败，招标人依法重新招标。</w:t>
            </w:r>
          </w:p>
          <w:p>
            <w:pPr>
              <w:adjustRightInd w:val="0"/>
              <w:snapToGrid w:val="0"/>
              <w:spacing w:line="400" w:lineRule="exact"/>
              <w:ind w:left="44" w:leftChars="20" w:right="44" w:rightChars="20"/>
              <w:rPr>
                <w:color w:val="auto"/>
                <w:highlight w:val="none"/>
                <w:lang w:val="en-US"/>
              </w:rPr>
            </w:pPr>
            <w:r>
              <w:rPr>
                <w:rFonts w:hint="eastAsia"/>
                <w:color w:val="auto"/>
                <w:highlight w:val="none"/>
                <w:lang w:val="en-US"/>
              </w:rPr>
              <w:t>2、</w:t>
            </w:r>
            <w:r>
              <w:rPr>
                <w:rFonts w:hint="eastAsia"/>
                <w:color w:val="auto"/>
                <w:szCs w:val="21"/>
                <w:highlight w:val="none"/>
              </w:rPr>
              <w:t>交易服务费：中标人代缴广州交易集团有限公司（广州公共资源交易中心）交易服务费，其费用包含在中标人报价中，由广州交易集团有限公司（广州公共资源交易中心）向中标人开具发票。</w:t>
            </w:r>
          </w:p>
          <w:p>
            <w:pPr>
              <w:spacing w:line="400" w:lineRule="exact"/>
              <w:rPr>
                <w:color w:val="auto"/>
                <w:highlight w:val="none"/>
              </w:rPr>
            </w:pPr>
            <w:r>
              <w:rPr>
                <w:rFonts w:hint="eastAsia"/>
                <w:color w:val="auto"/>
                <w:highlight w:val="none"/>
                <w:lang w:val="en-US"/>
              </w:rPr>
              <w:t>3、</w:t>
            </w:r>
            <w:r>
              <w:rPr>
                <w:rFonts w:hint="eastAsia"/>
                <w:color w:val="auto"/>
                <w:highlight w:val="none"/>
              </w:rPr>
              <w:t>中标人需在领取《中标通知书》前应向招标代理机构缴纳招标代理服务费，招标代理服务费由中标人一次性向国义招标股份有限公司交付，其费用包含在中标人报价中。</w:t>
            </w:r>
          </w:p>
          <w:p>
            <w:pPr>
              <w:spacing w:line="400" w:lineRule="exact"/>
              <w:rPr>
                <w:color w:val="auto"/>
                <w:highlight w:val="none"/>
              </w:rPr>
            </w:pPr>
            <w:r>
              <w:rPr>
                <w:rFonts w:hint="eastAsia"/>
                <w:color w:val="auto"/>
                <w:highlight w:val="none"/>
              </w:rPr>
              <w:t>招标代理服务费递交账户（请在汇款单上写明本项目的项目编号）；</w:t>
            </w:r>
          </w:p>
          <w:p>
            <w:pPr>
              <w:spacing w:line="400" w:lineRule="exact"/>
              <w:rPr>
                <w:color w:val="auto"/>
                <w:highlight w:val="none"/>
              </w:rPr>
            </w:pPr>
            <w:r>
              <w:rPr>
                <w:rFonts w:hint="eastAsia"/>
                <w:color w:val="auto"/>
                <w:highlight w:val="none"/>
              </w:rPr>
              <w:t>开户名：国义招标股份有限公司；</w:t>
            </w:r>
          </w:p>
          <w:p>
            <w:pPr>
              <w:spacing w:line="400" w:lineRule="exact"/>
              <w:rPr>
                <w:color w:val="auto"/>
                <w:highlight w:val="none"/>
              </w:rPr>
            </w:pPr>
            <w:r>
              <w:rPr>
                <w:rFonts w:hint="eastAsia"/>
                <w:color w:val="auto"/>
                <w:highlight w:val="none"/>
              </w:rPr>
              <w:t>开户银行：招商银行股份有限公司广州体育东路支行；</w:t>
            </w:r>
          </w:p>
          <w:p>
            <w:pPr>
              <w:spacing w:line="400" w:lineRule="exact"/>
              <w:rPr>
                <w:color w:val="auto"/>
                <w:highlight w:val="none"/>
              </w:rPr>
            </w:pPr>
            <w:r>
              <w:rPr>
                <w:rFonts w:hint="eastAsia"/>
                <w:color w:val="auto"/>
                <w:highlight w:val="none"/>
              </w:rPr>
              <w:t>地址：广州市东风东路726号7楼；</w:t>
            </w:r>
          </w:p>
          <w:p>
            <w:pPr>
              <w:spacing w:line="400" w:lineRule="exact"/>
              <w:rPr>
                <w:color w:val="auto"/>
                <w:highlight w:val="none"/>
              </w:rPr>
            </w:pPr>
            <w:r>
              <w:rPr>
                <w:rFonts w:hint="eastAsia"/>
                <w:color w:val="auto"/>
                <w:highlight w:val="none"/>
              </w:rPr>
              <w:t>账号：120905690610808；</w:t>
            </w:r>
          </w:p>
          <w:p>
            <w:pPr>
              <w:spacing w:line="400" w:lineRule="exact"/>
              <w:rPr>
                <w:color w:val="auto"/>
                <w:highlight w:val="none"/>
              </w:rPr>
            </w:pPr>
            <w:r>
              <w:rPr>
                <w:rFonts w:hint="eastAsia"/>
                <w:color w:val="auto"/>
                <w:highlight w:val="none"/>
              </w:rPr>
              <w:t>招标代理服务费参照国家发展计划委员会颁发的[2002]1980号文《招标代理服务收费管理暂行办法》及发改价格[2011]534号文规定的服务类标准80%计费。</w:t>
            </w:r>
          </w:p>
          <w:p>
            <w:pPr>
              <w:adjustRightInd w:val="0"/>
              <w:snapToGrid w:val="0"/>
              <w:spacing w:line="400" w:lineRule="exact"/>
              <w:ind w:left="44" w:leftChars="20" w:right="44" w:rightChars="20"/>
              <w:rPr>
                <w:color w:val="auto"/>
                <w:highlight w:val="none"/>
                <w:lang w:val="en-US"/>
              </w:rPr>
            </w:pPr>
            <w:r>
              <w:rPr>
                <w:rFonts w:hint="eastAsia"/>
                <w:color w:val="auto"/>
                <w:highlight w:val="none"/>
              </w:rPr>
              <w:t>此招标代理服务费以中标金额为基数计算，为固定费用，不以后期实际合同金额的变化而增减。如因中标人原因放弃中标的，其所交纳的招标代理服务费有权不予退回。招标代理机构拥有最终解释权。</w:t>
            </w:r>
          </w:p>
          <w:p>
            <w:pPr>
              <w:adjustRightInd w:val="0"/>
              <w:snapToGrid w:val="0"/>
              <w:spacing w:line="400" w:lineRule="exact"/>
              <w:ind w:left="44" w:leftChars="20" w:right="44" w:rightChars="20"/>
              <w:rPr>
                <w:color w:val="auto"/>
                <w:highlight w:val="none"/>
                <w:lang w:val="en-US"/>
              </w:rPr>
            </w:pPr>
            <w:r>
              <w:rPr>
                <w:rFonts w:hint="eastAsia"/>
                <w:color w:val="auto"/>
                <w:highlight w:val="none"/>
                <w:lang w:val="en-US"/>
              </w:rPr>
              <w:t>4、</w:t>
            </w:r>
            <w:r>
              <w:rPr>
                <w:rFonts w:hint="eastAsia"/>
                <w:color w:val="auto"/>
                <w:szCs w:val="21"/>
                <w:highlight w:val="none"/>
              </w:rPr>
              <w:t>中标单位在中标候选人公示后3个工作日内，补送一正一副正式书面投标文件（要求与网上上传电子投标文件完全一致，并加盖公章）及电子文件光盘给招标人。</w:t>
            </w:r>
          </w:p>
        </w:tc>
      </w:tr>
    </w:tbl>
    <w:p>
      <w:pPr>
        <w:rPr>
          <w:color w:val="auto"/>
          <w:sz w:val="21"/>
          <w:highlight w:val="none"/>
        </w:rPr>
      </w:pPr>
      <w:r>
        <w:rPr>
          <w:color w:val="auto"/>
          <w:sz w:val="21"/>
          <w:highlight w:val="none"/>
        </w:rPr>
        <w:br w:type="page"/>
      </w:r>
    </w:p>
    <w:p>
      <w:pPr>
        <w:pStyle w:val="7"/>
        <w:rPr>
          <w:color w:val="auto"/>
          <w:highlight w:val="none"/>
        </w:rPr>
      </w:pPr>
    </w:p>
    <w:p>
      <w:pPr>
        <w:rPr>
          <w:rFonts w:cs="Times New Roman"/>
          <w:b/>
          <w:color w:val="auto"/>
          <w:kern w:val="2"/>
          <w:sz w:val="28"/>
          <w:szCs w:val="20"/>
          <w:highlight w:val="none"/>
          <w:lang w:val="en-US" w:bidi="ar-SA"/>
        </w:rPr>
      </w:pPr>
      <w:bookmarkStart w:id="11" w:name="_bookmark20"/>
      <w:bookmarkEnd w:id="11"/>
      <w:bookmarkStart w:id="12" w:name="_bookmark33"/>
      <w:bookmarkEnd w:id="12"/>
    </w:p>
    <w:p>
      <w:pPr>
        <w:spacing w:line="360" w:lineRule="auto"/>
        <w:rPr>
          <w:rFonts w:cs="Times New Roman"/>
          <w:b/>
          <w:color w:val="auto"/>
          <w:kern w:val="2"/>
          <w:sz w:val="28"/>
          <w:szCs w:val="20"/>
          <w:highlight w:val="none"/>
          <w:lang w:val="en-US" w:bidi="ar-SA"/>
        </w:rPr>
      </w:pPr>
      <w:r>
        <w:rPr>
          <w:rFonts w:hint="eastAsia" w:cs="Times New Roman"/>
          <w:b/>
          <w:color w:val="auto"/>
          <w:kern w:val="2"/>
          <w:sz w:val="28"/>
          <w:szCs w:val="20"/>
          <w:highlight w:val="none"/>
          <w:lang w:val="en-US" w:bidi="ar-SA"/>
        </w:rPr>
        <w:t>1.总则</w:t>
      </w:r>
    </w:p>
    <w:p>
      <w:pPr>
        <w:spacing w:line="360" w:lineRule="auto"/>
        <w:rPr>
          <w:color w:val="auto"/>
          <w:highlight w:val="none"/>
        </w:rPr>
      </w:pPr>
      <w:r>
        <w:rPr>
          <w:rFonts w:hint="eastAsia" w:cs="Times New Roman"/>
          <w:b/>
          <w:bCs/>
          <w:color w:val="auto"/>
          <w:kern w:val="2"/>
          <w:sz w:val="28"/>
          <w:szCs w:val="28"/>
          <w:highlight w:val="none"/>
          <w:lang w:val="en-US" w:bidi="ar-SA"/>
        </w:rPr>
        <w:t>1.1招标项目概况</w:t>
      </w:r>
    </w:p>
    <w:p>
      <w:pPr>
        <w:spacing w:line="360" w:lineRule="auto"/>
        <w:ind w:firstLine="440" w:firstLineChars="200"/>
        <w:rPr>
          <w:color w:val="auto"/>
          <w:highlight w:val="none"/>
        </w:rPr>
      </w:pPr>
      <w:r>
        <w:rPr>
          <w:rFonts w:hint="eastAsia"/>
          <w:color w:val="auto"/>
          <w:highlight w:val="none"/>
        </w:rPr>
        <w:t>1.1.1根据《中华人民共和国招标投标法》、《中华人民共和国招标投标法实施条例》等有关法律、法规和规章的规定，本招标项目已具备招标条件，现对监理进行招标。</w:t>
      </w:r>
    </w:p>
    <w:p>
      <w:pPr>
        <w:spacing w:line="360" w:lineRule="auto"/>
        <w:ind w:firstLine="440" w:firstLineChars="200"/>
        <w:rPr>
          <w:color w:val="auto"/>
          <w:highlight w:val="none"/>
        </w:rPr>
      </w:pPr>
      <w:r>
        <w:rPr>
          <w:rFonts w:hint="eastAsia"/>
          <w:color w:val="auto"/>
          <w:highlight w:val="none"/>
        </w:rPr>
        <w:t>1.1.2招标人：见投标人须知前附表。</w:t>
      </w:r>
    </w:p>
    <w:p>
      <w:pPr>
        <w:spacing w:line="360" w:lineRule="auto"/>
        <w:ind w:firstLine="440" w:firstLineChars="200"/>
        <w:rPr>
          <w:color w:val="auto"/>
          <w:highlight w:val="none"/>
        </w:rPr>
      </w:pPr>
      <w:r>
        <w:rPr>
          <w:rFonts w:hint="eastAsia"/>
          <w:color w:val="auto"/>
          <w:highlight w:val="none"/>
        </w:rPr>
        <w:t>1.1.3招标代理机构：见投标人须知前附表。</w:t>
      </w:r>
    </w:p>
    <w:p>
      <w:pPr>
        <w:spacing w:line="360" w:lineRule="auto"/>
        <w:ind w:firstLine="440" w:firstLineChars="200"/>
        <w:rPr>
          <w:color w:val="auto"/>
          <w:highlight w:val="none"/>
        </w:rPr>
      </w:pPr>
      <w:r>
        <w:rPr>
          <w:rFonts w:hint="eastAsia"/>
          <w:color w:val="auto"/>
          <w:highlight w:val="none"/>
        </w:rPr>
        <w:t>1.1.4招标项目名称：见投标人须知前附表。</w:t>
      </w:r>
    </w:p>
    <w:p>
      <w:pPr>
        <w:spacing w:line="360" w:lineRule="auto"/>
        <w:ind w:firstLine="440" w:firstLineChars="200"/>
        <w:rPr>
          <w:color w:val="auto"/>
          <w:highlight w:val="none"/>
        </w:rPr>
      </w:pPr>
      <w:r>
        <w:rPr>
          <w:rFonts w:hint="eastAsia"/>
          <w:color w:val="auto"/>
          <w:highlight w:val="none"/>
        </w:rPr>
        <w:t>1.1.5项目建设地点：见投标人须知前附表。</w:t>
      </w:r>
    </w:p>
    <w:p>
      <w:pPr>
        <w:spacing w:line="360" w:lineRule="auto"/>
        <w:ind w:firstLine="440" w:firstLineChars="200"/>
        <w:rPr>
          <w:color w:val="auto"/>
          <w:highlight w:val="none"/>
        </w:rPr>
      </w:pPr>
      <w:r>
        <w:rPr>
          <w:rFonts w:hint="eastAsia"/>
          <w:color w:val="auto"/>
          <w:highlight w:val="none"/>
        </w:rPr>
        <w:t>1.1.6项目建设规模：见投标人须知前附表。</w:t>
      </w:r>
    </w:p>
    <w:p>
      <w:pPr>
        <w:spacing w:line="360" w:lineRule="auto"/>
        <w:ind w:firstLine="440" w:firstLineChars="200"/>
        <w:rPr>
          <w:color w:val="auto"/>
          <w:highlight w:val="none"/>
        </w:rPr>
      </w:pPr>
      <w:r>
        <w:rPr>
          <w:rFonts w:hint="eastAsia"/>
          <w:color w:val="auto"/>
          <w:highlight w:val="none"/>
        </w:rPr>
        <w:t>1.1.7工程项目施工预计开工日期和建设周期：见投标人须知前附表。</w:t>
      </w:r>
    </w:p>
    <w:p>
      <w:pPr>
        <w:spacing w:line="360" w:lineRule="auto"/>
        <w:ind w:firstLine="440" w:firstLineChars="200"/>
        <w:rPr>
          <w:color w:val="auto"/>
          <w:highlight w:val="none"/>
        </w:rPr>
      </w:pPr>
      <w:r>
        <w:rPr>
          <w:rFonts w:hint="eastAsia"/>
          <w:color w:val="auto"/>
          <w:highlight w:val="none"/>
        </w:rPr>
        <w:t>1.1.8建筑安装工程费/工程概算：见投标人须知前附表。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1.2招标项目的资金来源和落实情况</w:t>
      </w:r>
    </w:p>
    <w:p>
      <w:pPr>
        <w:spacing w:line="360" w:lineRule="auto"/>
        <w:ind w:firstLine="440" w:firstLineChars="200"/>
        <w:rPr>
          <w:color w:val="auto"/>
          <w:highlight w:val="none"/>
        </w:rPr>
      </w:pPr>
      <w:r>
        <w:rPr>
          <w:rFonts w:hint="eastAsia"/>
          <w:color w:val="auto"/>
          <w:highlight w:val="none"/>
        </w:rPr>
        <w:t>1.2.1资金来源及比例：见投标人须知前附表。</w:t>
      </w:r>
    </w:p>
    <w:p>
      <w:pPr>
        <w:spacing w:line="360" w:lineRule="auto"/>
        <w:ind w:firstLine="440" w:firstLineChars="200"/>
        <w:rPr>
          <w:color w:val="auto"/>
          <w:highlight w:val="none"/>
        </w:rPr>
      </w:pPr>
      <w:r>
        <w:rPr>
          <w:rFonts w:hint="eastAsia"/>
          <w:color w:val="auto"/>
          <w:highlight w:val="none"/>
        </w:rPr>
        <w:t>1.2.2资金落实情况：见投标人须知前附表。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1.3招标范围、监理服务期限和质量标准</w:t>
      </w:r>
    </w:p>
    <w:p>
      <w:pPr>
        <w:spacing w:line="360" w:lineRule="auto"/>
        <w:ind w:firstLine="440" w:firstLineChars="200"/>
        <w:rPr>
          <w:color w:val="auto"/>
          <w:highlight w:val="none"/>
        </w:rPr>
      </w:pPr>
      <w:r>
        <w:rPr>
          <w:rFonts w:hint="eastAsia"/>
          <w:color w:val="auto"/>
          <w:highlight w:val="none"/>
        </w:rPr>
        <w:t>1.3.1招标范围：见投标人须知前附表。</w:t>
      </w:r>
    </w:p>
    <w:p>
      <w:pPr>
        <w:spacing w:line="360" w:lineRule="auto"/>
        <w:ind w:firstLine="440" w:firstLineChars="200"/>
        <w:rPr>
          <w:color w:val="auto"/>
          <w:highlight w:val="none"/>
        </w:rPr>
      </w:pPr>
      <w:r>
        <w:rPr>
          <w:rFonts w:hint="eastAsia"/>
          <w:color w:val="auto"/>
          <w:highlight w:val="none"/>
        </w:rPr>
        <w:t>1.3.2监理服务期限：见投标人须知前附表。</w:t>
      </w:r>
    </w:p>
    <w:p>
      <w:pPr>
        <w:spacing w:line="360" w:lineRule="auto"/>
        <w:ind w:firstLine="440" w:firstLineChars="200"/>
        <w:rPr>
          <w:color w:val="auto"/>
          <w:highlight w:val="none"/>
        </w:rPr>
      </w:pPr>
      <w:r>
        <w:rPr>
          <w:rFonts w:hint="eastAsia"/>
          <w:color w:val="auto"/>
          <w:highlight w:val="none"/>
        </w:rPr>
        <w:t>1.3.3质量标准：见投标人须知前附表。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1.4投标人资格要求</w:t>
      </w:r>
    </w:p>
    <w:p>
      <w:pPr>
        <w:spacing w:line="360" w:lineRule="auto"/>
        <w:ind w:firstLine="440" w:firstLineChars="200"/>
        <w:rPr>
          <w:color w:val="auto"/>
          <w:highlight w:val="none"/>
        </w:rPr>
      </w:pPr>
      <w:r>
        <w:rPr>
          <w:rFonts w:hint="eastAsia"/>
          <w:color w:val="auto"/>
          <w:highlight w:val="none"/>
        </w:rPr>
        <w:t>1.4.1投标人应具备承担本招标项目资质条件、能力和信誉：</w:t>
      </w:r>
    </w:p>
    <w:p>
      <w:pPr>
        <w:spacing w:line="360" w:lineRule="auto"/>
        <w:ind w:firstLine="220" w:firstLineChars="100"/>
        <w:rPr>
          <w:color w:val="auto"/>
          <w:highlight w:val="none"/>
        </w:rPr>
      </w:pPr>
      <w:r>
        <w:rPr>
          <w:rFonts w:hint="eastAsia"/>
          <w:color w:val="auto"/>
          <w:highlight w:val="none"/>
        </w:rPr>
        <w:t>（1）资质要求：见投标人须知前附表；</w:t>
      </w:r>
    </w:p>
    <w:p>
      <w:pPr>
        <w:spacing w:line="360" w:lineRule="auto"/>
        <w:ind w:firstLine="220" w:firstLineChars="100"/>
        <w:rPr>
          <w:color w:val="auto"/>
          <w:highlight w:val="none"/>
        </w:rPr>
      </w:pPr>
      <w:r>
        <w:rPr>
          <w:rFonts w:hint="eastAsia"/>
          <w:color w:val="auto"/>
          <w:highlight w:val="none"/>
        </w:rPr>
        <w:t>（2）财务要求：见投标人须知前附表；</w:t>
      </w:r>
    </w:p>
    <w:p>
      <w:pPr>
        <w:spacing w:line="360" w:lineRule="auto"/>
        <w:ind w:firstLine="220" w:firstLineChars="100"/>
        <w:rPr>
          <w:color w:val="auto"/>
          <w:highlight w:val="none"/>
        </w:rPr>
      </w:pPr>
      <w:r>
        <w:rPr>
          <w:rFonts w:hint="eastAsia"/>
          <w:color w:val="auto"/>
          <w:highlight w:val="none"/>
        </w:rPr>
        <w:t>（3）业绩要求：见投标人须知前附表；</w:t>
      </w:r>
    </w:p>
    <w:p>
      <w:pPr>
        <w:spacing w:line="360" w:lineRule="auto"/>
        <w:ind w:firstLine="220" w:firstLineChars="100"/>
        <w:rPr>
          <w:color w:val="auto"/>
          <w:highlight w:val="none"/>
        </w:rPr>
      </w:pPr>
      <w:r>
        <w:rPr>
          <w:rFonts w:hint="eastAsia"/>
          <w:color w:val="auto"/>
          <w:highlight w:val="none"/>
        </w:rPr>
        <w:t>（4）信誉要求：见投标人须知前附表；</w:t>
      </w:r>
    </w:p>
    <w:p>
      <w:pPr>
        <w:spacing w:line="360" w:lineRule="auto"/>
        <w:ind w:firstLine="220" w:firstLineChars="100"/>
        <w:rPr>
          <w:color w:val="auto"/>
          <w:highlight w:val="none"/>
        </w:rPr>
      </w:pPr>
      <w:r>
        <w:rPr>
          <w:rFonts w:hint="eastAsia"/>
          <w:color w:val="auto"/>
          <w:highlight w:val="none"/>
        </w:rPr>
        <w:t>（5）总监理工程师的资格要求：应当具备工程注册监理工程师执业资格（如有），具体要求见投标人须知前附表；</w:t>
      </w:r>
    </w:p>
    <w:p>
      <w:pPr>
        <w:spacing w:line="360" w:lineRule="auto"/>
        <w:ind w:firstLine="220" w:firstLineChars="100"/>
        <w:rPr>
          <w:color w:val="auto"/>
          <w:highlight w:val="none"/>
        </w:rPr>
      </w:pPr>
      <w:r>
        <w:rPr>
          <w:rFonts w:hint="eastAsia"/>
          <w:color w:val="auto"/>
          <w:highlight w:val="none"/>
        </w:rPr>
        <w:t>（6）其他主要人员要求：见投标人须知前附表。</w:t>
      </w:r>
    </w:p>
    <w:p>
      <w:pPr>
        <w:spacing w:line="360" w:lineRule="auto"/>
        <w:ind w:firstLine="220" w:firstLineChars="100"/>
        <w:rPr>
          <w:color w:val="auto"/>
          <w:highlight w:val="none"/>
        </w:rPr>
      </w:pPr>
      <w:r>
        <w:rPr>
          <w:rFonts w:hint="eastAsia"/>
          <w:color w:val="auto"/>
          <w:highlight w:val="none"/>
        </w:rPr>
        <w:t>（7）试验检测仪器设备要求：见投标人须知前附表。</w:t>
      </w:r>
    </w:p>
    <w:p>
      <w:pPr>
        <w:spacing w:line="360" w:lineRule="auto"/>
        <w:ind w:firstLine="220" w:firstLineChars="100"/>
        <w:rPr>
          <w:color w:val="auto"/>
          <w:highlight w:val="none"/>
        </w:rPr>
      </w:pPr>
      <w:r>
        <w:rPr>
          <w:rFonts w:hint="eastAsia"/>
          <w:color w:val="auto"/>
          <w:highlight w:val="none"/>
        </w:rPr>
        <w:t>（8）其他要求：见投标人须知前附表。</w:t>
      </w:r>
    </w:p>
    <w:p>
      <w:pPr>
        <w:spacing w:line="360" w:lineRule="auto"/>
        <w:rPr>
          <w:color w:val="auto"/>
          <w:highlight w:val="none"/>
        </w:rPr>
      </w:pPr>
      <w:r>
        <w:rPr>
          <w:rFonts w:hint="eastAsia"/>
          <w:color w:val="auto"/>
          <w:highlight w:val="none"/>
        </w:rPr>
        <w:t>需要提交的相关证明材料见本章第 3.5 款的规定。</w:t>
      </w:r>
    </w:p>
    <w:p>
      <w:pPr>
        <w:spacing w:line="360" w:lineRule="auto"/>
        <w:ind w:firstLine="440" w:firstLineChars="200"/>
        <w:rPr>
          <w:color w:val="auto"/>
          <w:highlight w:val="none"/>
        </w:rPr>
      </w:pPr>
      <w:r>
        <w:rPr>
          <w:rFonts w:hint="eastAsia"/>
          <w:color w:val="auto"/>
          <w:highlight w:val="none"/>
        </w:rPr>
        <w:t>1.4.2投标人须知前附表规定接受联合体投标的，联合体除应符合本章第 1.4.1 项和投标人须知前附表的要求外，还应遵守以下规定：</w:t>
      </w:r>
    </w:p>
    <w:p>
      <w:pPr>
        <w:spacing w:line="360" w:lineRule="auto"/>
        <w:ind w:firstLine="440" w:firstLineChars="200"/>
        <w:rPr>
          <w:color w:val="auto"/>
          <w:highlight w:val="none"/>
        </w:rPr>
      </w:pPr>
      <w:r>
        <w:rPr>
          <w:rFonts w:hint="eastAsia"/>
          <w:color w:val="auto"/>
          <w:highlight w:val="none"/>
        </w:rPr>
        <w:t>（1）联合体各方应按招标文件提供的格式签订联合体协议书，明确联合体牵头人和各方权利义务，并承诺就中标项目向招标人承担连带责任；</w:t>
      </w:r>
    </w:p>
    <w:p>
      <w:pPr>
        <w:spacing w:line="360" w:lineRule="auto"/>
        <w:ind w:firstLine="440" w:firstLineChars="200"/>
        <w:rPr>
          <w:color w:val="auto"/>
          <w:highlight w:val="none"/>
        </w:rPr>
      </w:pPr>
      <w:r>
        <w:rPr>
          <w:rFonts w:hint="eastAsia"/>
          <w:color w:val="auto"/>
          <w:highlight w:val="none"/>
        </w:rPr>
        <w:t>（2）由同一专业的单位组成的联合体，按照资质等级较低的单位确定资质等级；</w:t>
      </w:r>
    </w:p>
    <w:p>
      <w:pPr>
        <w:spacing w:line="360" w:lineRule="auto"/>
        <w:ind w:firstLine="440" w:firstLineChars="200"/>
        <w:rPr>
          <w:color w:val="auto"/>
          <w:highlight w:val="none"/>
        </w:rPr>
      </w:pPr>
      <w:r>
        <w:rPr>
          <w:rFonts w:hint="eastAsia"/>
          <w:color w:val="auto"/>
          <w:highlight w:val="none"/>
        </w:rPr>
        <w:t>（3）联合体各方不得再以自己名义单独或参加其他联合体在本招标项目中投标，否则各相关投标均无效。</w:t>
      </w:r>
    </w:p>
    <w:p>
      <w:pPr>
        <w:spacing w:line="360" w:lineRule="auto"/>
        <w:ind w:firstLine="440" w:firstLineChars="200"/>
        <w:rPr>
          <w:color w:val="auto"/>
          <w:highlight w:val="none"/>
        </w:rPr>
      </w:pPr>
      <w:r>
        <w:rPr>
          <w:rFonts w:hint="eastAsia"/>
          <w:color w:val="auto"/>
          <w:highlight w:val="none"/>
        </w:rPr>
        <w:t>1.4.3投标人不得存在下列情形之一：</w:t>
      </w:r>
    </w:p>
    <w:p>
      <w:pPr>
        <w:spacing w:line="360" w:lineRule="auto"/>
        <w:ind w:firstLine="440" w:firstLineChars="200"/>
        <w:rPr>
          <w:color w:val="auto"/>
          <w:highlight w:val="none"/>
        </w:rPr>
      </w:pPr>
      <w:r>
        <w:rPr>
          <w:rFonts w:hint="eastAsia"/>
          <w:color w:val="auto"/>
          <w:highlight w:val="none"/>
        </w:rPr>
        <w:t>（1）为招标人不具有独立法人资格的附属机构（单位）；</w:t>
      </w:r>
    </w:p>
    <w:p>
      <w:pPr>
        <w:spacing w:line="360" w:lineRule="auto"/>
        <w:ind w:firstLine="440" w:firstLineChars="200"/>
        <w:rPr>
          <w:color w:val="auto"/>
          <w:highlight w:val="none"/>
        </w:rPr>
      </w:pPr>
      <w:r>
        <w:rPr>
          <w:rFonts w:hint="eastAsia"/>
          <w:color w:val="auto"/>
          <w:highlight w:val="none"/>
        </w:rPr>
        <w:t>（2）与招标人存在利害关系且可能影响招标公正性；</w:t>
      </w:r>
    </w:p>
    <w:p>
      <w:pPr>
        <w:spacing w:line="360" w:lineRule="auto"/>
        <w:ind w:firstLine="440" w:firstLineChars="200"/>
        <w:rPr>
          <w:color w:val="auto"/>
          <w:highlight w:val="none"/>
        </w:rPr>
      </w:pPr>
      <w:r>
        <w:rPr>
          <w:rFonts w:hint="eastAsia"/>
          <w:color w:val="auto"/>
          <w:highlight w:val="none"/>
        </w:rPr>
        <w:t>（3）与本招标项目的其他投标人为同一个单位负责人；</w:t>
      </w:r>
    </w:p>
    <w:p>
      <w:pPr>
        <w:spacing w:line="360" w:lineRule="auto"/>
        <w:ind w:firstLine="440" w:firstLineChars="200"/>
        <w:rPr>
          <w:color w:val="auto"/>
          <w:highlight w:val="none"/>
        </w:rPr>
      </w:pPr>
      <w:r>
        <w:rPr>
          <w:rFonts w:hint="eastAsia"/>
          <w:color w:val="auto"/>
          <w:highlight w:val="none"/>
        </w:rPr>
        <w:t>（4）与本招标项目的其他投标人存在控股、管理关系；</w:t>
      </w:r>
    </w:p>
    <w:p>
      <w:pPr>
        <w:spacing w:line="360" w:lineRule="auto"/>
        <w:ind w:firstLine="440" w:firstLineChars="200"/>
        <w:rPr>
          <w:color w:val="auto"/>
          <w:highlight w:val="none"/>
        </w:rPr>
      </w:pPr>
      <w:r>
        <w:rPr>
          <w:rFonts w:hint="eastAsia"/>
          <w:color w:val="auto"/>
          <w:highlight w:val="none"/>
        </w:rPr>
        <w:t>（5）为本招标项目的代建人；</w:t>
      </w:r>
    </w:p>
    <w:p>
      <w:pPr>
        <w:spacing w:line="360" w:lineRule="auto"/>
        <w:ind w:firstLine="440" w:firstLineChars="200"/>
        <w:rPr>
          <w:color w:val="auto"/>
          <w:highlight w:val="none"/>
        </w:rPr>
      </w:pPr>
      <w:r>
        <w:rPr>
          <w:rFonts w:hint="eastAsia"/>
          <w:color w:val="auto"/>
          <w:highlight w:val="none"/>
        </w:rPr>
        <w:t>（6）为本招标项目的招标代理机构；</w:t>
      </w:r>
    </w:p>
    <w:p>
      <w:pPr>
        <w:spacing w:line="360" w:lineRule="auto"/>
        <w:ind w:firstLine="440" w:firstLineChars="200"/>
        <w:rPr>
          <w:color w:val="auto"/>
          <w:highlight w:val="none"/>
        </w:rPr>
      </w:pPr>
      <w:r>
        <w:rPr>
          <w:rFonts w:hint="eastAsia"/>
          <w:color w:val="auto"/>
          <w:highlight w:val="none"/>
        </w:rPr>
        <w:t>（7）与本招标项目的代建人或招标代理机构同为一个法定代表人；</w:t>
      </w:r>
    </w:p>
    <w:p>
      <w:pPr>
        <w:spacing w:line="360" w:lineRule="auto"/>
        <w:ind w:firstLine="440" w:firstLineChars="200"/>
        <w:rPr>
          <w:color w:val="auto"/>
          <w:highlight w:val="none"/>
        </w:rPr>
      </w:pPr>
      <w:r>
        <w:rPr>
          <w:rFonts w:hint="eastAsia"/>
          <w:color w:val="auto"/>
          <w:highlight w:val="none"/>
        </w:rPr>
        <w:t>（8）与本招标项目的代建人或招标代理机构存在控股或参股关系；</w:t>
      </w:r>
    </w:p>
    <w:p>
      <w:pPr>
        <w:spacing w:line="360" w:lineRule="auto"/>
        <w:ind w:firstLine="440" w:firstLineChars="200"/>
        <w:rPr>
          <w:color w:val="auto"/>
          <w:highlight w:val="none"/>
        </w:rPr>
      </w:pPr>
      <w:r>
        <w:rPr>
          <w:rFonts w:hint="eastAsia"/>
          <w:color w:val="auto"/>
          <w:highlight w:val="none"/>
        </w:rPr>
        <w:t>（9）与本招标项目的施工承包人以及建筑材料、建筑构配件和设备供应商有隶属关系或 者其他利害关系；</w:t>
      </w:r>
    </w:p>
    <w:p>
      <w:pPr>
        <w:spacing w:line="360" w:lineRule="auto"/>
        <w:ind w:firstLine="440" w:firstLineChars="200"/>
        <w:rPr>
          <w:color w:val="auto"/>
          <w:highlight w:val="none"/>
        </w:rPr>
      </w:pPr>
      <w:r>
        <w:rPr>
          <w:rFonts w:hint="eastAsia"/>
          <w:color w:val="auto"/>
          <w:highlight w:val="none"/>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firstLine="440" w:firstLineChars="200"/>
        <w:rPr>
          <w:color w:val="auto"/>
          <w:highlight w:val="none"/>
        </w:rPr>
      </w:pPr>
      <w:r>
        <w:rPr>
          <w:rFonts w:hint="eastAsia"/>
          <w:color w:val="auto"/>
          <w:highlight w:val="none"/>
        </w:rPr>
        <w:t>（11）被责令停产停业、暂扣或者吊销许可证、暂扣或者吊销执照；（本项事实应当以根据《中华人民共和国行政处罚法》依法作出并已经生效的行政处罚决定为认定依据。）</w:t>
      </w:r>
    </w:p>
    <w:p>
      <w:pPr>
        <w:spacing w:line="360" w:lineRule="auto"/>
        <w:ind w:firstLine="440" w:firstLineChars="200"/>
        <w:rPr>
          <w:color w:val="auto"/>
          <w:highlight w:val="none"/>
        </w:rPr>
      </w:pPr>
      <w:r>
        <w:rPr>
          <w:rFonts w:hint="eastAsia"/>
          <w:color w:val="auto"/>
          <w:highlight w:val="none"/>
        </w:rPr>
        <w:t>（12）进入清算程序，或被宣告破产，或其他丧失履约能力的情形；</w:t>
      </w:r>
    </w:p>
    <w:p>
      <w:pPr>
        <w:spacing w:line="360" w:lineRule="auto"/>
        <w:ind w:firstLine="440" w:firstLineChars="200"/>
        <w:rPr>
          <w:color w:val="auto"/>
          <w:highlight w:val="none"/>
        </w:rPr>
      </w:pPr>
      <w:r>
        <w:rPr>
          <w:rFonts w:hint="eastAsia"/>
          <w:color w:val="auto"/>
          <w:highlight w:val="none"/>
        </w:rPr>
        <w:t>（13）在最近三年内发生重大监理质量问题（以相关行业主管部门的行政处罚决定或司法机关出具的有关法律文书为准）；</w:t>
      </w:r>
    </w:p>
    <w:p>
      <w:pPr>
        <w:spacing w:line="360" w:lineRule="auto"/>
        <w:ind w:firstLine="440" w:firstLineChars="200"/>
        <w:rPr>
          <w:color w:val="auto"/>
          <w:highlight w:val="none"/>
        </w:rPr>
      </w:pPr>
      <w:r>
        <w:rPr>
          <w:rFonts w:hint="eastAsia"/>
          <w:color w:val="auto"/>
          <w:highlight w:val="none"/>
        </w:rPr>
        <w:t>（14）被工商行政管理机关在全国企业信用信息公示系统中列入严重违法失信企业名单；</w:t>
      </w:r>
    </w:p>
    <w:p>
      <w:pPr>
        <w:spacing w:line="360" w:lineRule="auto"/>
        <w:ind w:firstLine="440" w:firstLineChars="200"/>
        <w:rPr>
          <w:color w:val="auto"/>
          <w:highlight w:val="none"/>
        </w:rPr>
      </w:pPr>
      <w:r>
        <w:rPr>
          <w:rFonts w:hint="eastAsia"/>
          <w:color w:val="auto"/>
          <w:highlight w:val="none"/>
        </w:rPr>
        <w:t>（15）被最高人民法院在“信用中国”网站（www.creditchina.gov.cn）或各级信用信息共享 平台中列入失信被执行人名单；</w:t>
      </w:r>
    </w:p>
    <w:p>
      <w:pPr>
        <w:spacing w:line="360" w:lineRule="auto"/>
        <w:ind w:firstLine="440" w:firstLineChars="200"/>
        <w:rPr>
          <w:color w:val="auto"/>
          <w:highlight w:val="none"/>
        </w:rPr>
      </w:pPr>
      <w:r>
        <w:rPr>
          <w:rFonts w:hint="eastAsia"/>
          <w:color w:val="auto"/>
          <w:highlight w:val="none"/>
        </w:rPr>
        <w:t>（16）在近三年内投标人或其法定代表人、拟委任的总监理工程师有行贿犯罪行为的；</w:t>
      </w:r>
    </w:p>
    <w:p>
      <w:pPr>
        <w:spacing w:line="360" w:lineRule="auto"/>
        <w:ind w:firstLine="440" w:firstLineChars="200"/>
        <w:rPr>
          <w:color w:val="auto"/>
          <w:highlight w:val="none"/>
        </w:rPr>
      </w:pPr>
      <w:r>
        <w:rPr>
          <w:rFonts w:hint="eastAsia"/>
          <w:color w:val="auto"/>
          <w:highlight w:val="none"/>
        </w:rPr>
        <w:t>（17）法律法规或投标人须知前附表规定的其他情形。</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1.5费用承担</w:t>
      </w:r>
    </w:p>
    <w:p>
      <w:pPr>
        <w:spacing w:line="360" w:lineRule="auto"/>
        <w:ind w:firstLine="440" w:firstLineChars="200"/>
        <w:rPr>
          <w:color w:val="auto"/>
          <w:highlight w:val="none"/>
        </w:rPr>
      </w:pPr>
      <w:r>
        <w:rPr>
          <w:rFonts w:hint="eastAsia"/>
          <w:color w:val="auto"/>
          <w:highlight w:val="none"/>
        </w:rPr>
        <w:t>投标人准备和参加投标活动发生的费用自理。</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1.6保密</w:t>
      </w:r>
    </w:p>
    <w:p>
      <w:pPr>
        <w:spacing w:line="360" w:lineRule="auto"/>
        <w:ind w:firstLine="440" w:firstLineChars="200"/>
        <w:rPr>
          <w:color w:val="auto"/>
          <w:highlight w:val="none"/>
        </w:rPr>
      </w:pPr>
      <w:r>
        <w:rPr>
          <w:rFonts w:hint="eastAsia"/>
          <w:color w:val="auto"/>
          <w:highlight w:val="none"/>
        </w:rPr>
        <w:t>参与招标投标活动的各方应对招标文件和投标文件中的商业和技术等秘密保密，否则应承担相应的法律责任。</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1.7语言文字</w:t>
      </w:r>
    </w:p>
    <w:p>
      <w:pPr>
        <w:spacing w:line="360" w:lineRule="auto"/>
        <w:ind w:firstLine="440" w:firstLineChars="200"/>
        <w:rPr>
          <w:color w:val="auto"/>
          <w:highlight w:val="none"/>
        </w:rPr>
      </w:pPr>
      <w:r>
        <w:rPr>
          <w:rFonts w:hint="eastAsia"/>
          <w:color w:val="auto"/>
          <w:highlight w:val="none"/>
        </w:rPr>
        <w:t>招标投标文件使用的语言文字为中文。专用术语使用外文的，应附有中文注释。</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1.8计量单位</w:t>
      </w:r>
    </w:p>
    <w:p>
      <w:pPr>
        <w:spacing w:line="360" w:lineRule="auto"/>
        <w:ind w:firstLine="440" w:firstLineChars="200"/>
        <w:rPr>
          <w:color w:val="auto"/>
          <w:highlight w:val="none"/>
        </w:rPr>
      </w:pPr>
      <w:r>
        <w:rPr>
          <w:rFonts w:hint="eastAsia"/>
          <w:color w:val="auto"/>
          <w:highlight w:val="none"/>
        </w:rPr>
        <w:t>所有计量均采用中华人民共和国法定计量单位。</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1.9踏勘现场</w:t>
      </w:r>
    </w:p>
    <w:p>
      <w:pPr>
        <w:spacing w:line="360" w:lineRule="auto"/>
        <w:ind w:firstLine="440" w:firstLineChars="200"/>
        <w:rPr>
          <w:color w:val="auto"/>
          <w:highlight w:val="none"/>
        </w:rPr>
      </w:pPr>
      <w:r>
        <w:rPr>
          <w:rFonts w:hint="eastAsia"/>
          <w:color w:val="auto"/>
          <w:highlight w:val="none"/>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40" w:firstLineChars="200"/>
        <w:rPr>
          <w:color w:val="auto"/>
          <w:highlight w:val="none"/>
        </w:rPr>
      </w:pPr>
      <w:r>
        <w:rPr>
          <w:rFonts w:hint="eastAsia"/>
          <w:color w:val="auto"/>
          <w:highlight w:val="none"/>
        </w:rPr>
        <w:t>1.9.2投标人踏勘现场发生的费用自理。</w:t>
      </w:r>
    </w:p>
    <w:p>
      <w:pPr>
        <w:spacing w:line="360" w:lineRule="auto"/>
        <w:ind w:firstLine="440" w:firstLineChars="200"/>
        <w:rPr>
          <w:color w:val="auto"/>
          <w:highlight w:val="none"/>
        </w:rPr>
      </w:pPr>
      <w:r>
        <w:rPr>
          <w:rFonts w:hint="eastAsia"/>
          <w:color w:val="auto"/>
          <w:highlight w:val="none"/>
        </w:rPr>
        <w:t>1.9.3除招标人的原因外，投标人自行负责在踏勘现场中所发生的人员伤亡和财产损失。</w:t>
      </w:r>
    </w:p>
    <w:p>
      <w:pPr>
        <w:spacing w:line="360" w:lineRule="auto"/>
        <w:ind w:firstLine="440" w:firstLineChars="200"/>
        <w:rPr>
          <w:color w:val="auto"/>
          <w:highlight w:val="none"/>
        </w:rPr>
      </w:pPr>
      <w:r>
        <w:rPr>
          <w:rFonts w:hint="eastAsia"/>
          <w:color w:val="auto"/>
          <w:highlight w:val="none"/>
        </w:rPr>
        <w:t>1.9.4招标人在踏勘现场中介绍的工程场地和相关的周边环境情况，供投标人在编制投标文件时参考，招标人不对投标人据此作出的判断和决策负责。</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1.10投标预备会</w:t>
      </w:r>
    </w:p>
    <w:p>
      <w:pPr>
        <w:spacing w:line="360" w:lineRule="auto"/>
        <w:ind w:firstLine="440" w:firstLineChars="200"/>
        <w:rPr>
          <w:color w:val="auto"/>
          <w:highlight w:val="none"/>
        </w:rPr>
      </w:pPr>
      <w:r>
        <w:rPr>
          <w:rFonts w:hint="eastAsia"/>
          <w:color w:val="auto"/>
          <w:highlight w:val="none"/>
        </w:rPr>
        <w:t>1.10.1投标人须知前附表规定召开投标预备会的，招标人按投标人须知前附表规定的时间和地点召开投标预备会，澄清投标人提出的问题。</w:t>
      </w:r>
    </w:p>
    <w:p>
      <w:pPr>
        <w:spacing w:line="360" w:lineRule="auto"/>
        <w:ind w:firstLine="440" w:firstLineChars="200"/>
        <w:rPr>
          <w:color w:val="auto"/>
          <w:highlight w:val="none"/>
        </w:rPr>
      </w:pPr>
      <w:r>
        <w:rPr>
          <w:rFonts w:hint="eastAsia"/>
          <w:color w:val="auto"/>
          <w:highlight w:val="none"/>
        </w:rPr>
        <w:t>1.10.2投标人应按投标人须知前附表规定的时间和形式将提出的问题送达招标人，以便招标人在会议期间澄清。</w:t>
      </w:r>
    </w:p>
    <w:p>
      <w:pPr>
        <w:spacing w:line="360" w:lineRule="auto"/>
        <w:ind w:firstLine="440" w:firstLineChars="200"/>
        <w:rPr>
          <w:color w:val="auto"/>
          <w:highlight w:val="none"/>
        </w:rPr>
      </w:pPr>
      <w:r>
        <w:rPr>
          <w:rFonts w:hint="eastAsia"/>
          <w:color w:val="auto"/>
          <w:highlight w:val="none"/>
        </w:rPr>
        <w:t>1.10.3投标预备会后，招标人将对投标人所提问题的澄清，以投标人须知前附表规定的形式通知所有购买招标文件的投标人。该澄清内容为招标文件的组成部分。</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1.11分包</w:t>
      </w:r>
    </w:p>
    <w:p>
      <w:pPr>
        <w:spacing w:line="360" w:lineRule="auto"/>
        <w:ind w:firstLine="440" w:firstLineChars="200"/>
        <w:rPr>
          <w:color w:val="auto"/>
          <w:highlight w:val="none"/>
        </w:rPr>
      </w:pPr>
      <w:r>
        <w:rPr>
          <w:rFonts w:hint="eastAsia"/>
          <w:color w:val="auto"/>
          <w:highlight w:val="none"/>
        </w:rPr>
        <w:t>本项目严禁分包。</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1.12响应和偏差</w:t>
      </w:r>
    </w:p>
    <w:p>
      <w:pPr>
        <w:spacing w:line="360" w:lineRule="auto"/>
        <w:ind w:firstLine="440" w:firstLineChars="200"/>
        <w:rPr>
          <w:color w:val="auto"/>
          <w:highlight w:val="none"/>
        </w:rPr>
      </w:pPr>
      <w:r>
        <w:rPr>
          <w:rFonts w:hint="eastAsia"/>
          <w:color w:val="auto"/>
          <w:highlight w:val="none"/>
        </w:rPr>
        <w:t>1.12.1投标文件应当对招标文件的实质性要求和条件作出满足性或更有利于招标人的响应， 否则，投标人的投标将被否决。实质性要求和条件见投标人须知前附表。</w:t>
      </w:r>
    </w:p>
    <w:p>
      <w:pPr>
        <w:spacing w:line="360" w:lineRule="auto"/>
        <w:ind w:firstLine="440" w:firstLineChars="200"/>
        <w:rPr>
          <w:color w:val="auto"/>
          <w:highlight w:val="none"/>
        </w:rPr>
      </w:pPr>
      <w:r>
        <w:rPr>
          <w:rFonts w:hint="eastAsia"/>
          <w:color w:val="auto"/>
          <w:highlight w:val="none"/>
        </w:rPr>
        <w:t>1.12.2投标人应根据招标文件的要求提供投标监理大纲等内容以对招标文件作出响应。</w:t>
      </w:r>
    </w:p>
    <w:p>
      <w:pPr>
        <w:spacing w:line="360" w:lineRule="auto"/>
        <w:ind w:firstLine="440" w:firstLineChars="200"/>
        <w:rPr>
          <w:color w:val="auto"/>
          <w:highlight w:val="none"/>
        </w:rPr>
      </w:pPr>
      <w:r>
        <w:rPr>
          <w:rFonts w:hint="eastAsia"/>
          <w:color w:val="auto"/>
          <w:highlight w:val="none"/>
        </w:rPr>
        <w:t>1.12.3投标人须知前附表允许投标文件偏离招标文件某些要求的，偏差应当符合招标文件规定的偏差范围和幅度。</w:t>
      </w:r>
    </w:p>
    <w:p>
      <w:pPr>
        <w:spacing w:line="360" w:lineRule="auto"/>
        <w:rPr>
          <w:rFonts w:cs="Times New Roman"/>
          <w:b/>
          <w:bCs/>
          <w:color w:val="auto"/>
          <w:kern w:val="2"/>
          <w:sz w:val="28"/>
          <w:szCs w:val="28"/>
          <w:highlight w:val="none"/>
          <w:lang w:val="en-US" w:bidi="ar-SA"/>
        </w:rPr>
      </w:pPr>
      <w:bookmarkStart w:id="13" w:name="_bookmark38"/>
      <w:bookmarkEnd w:id="13"/>
      <w:r>
        <w:rPr>
          <w:rFonts w:hint="eastAsia" w:cs="Times New Roman"/>
          <w:b/>
          <w:bCs/>
          <w:color w:val="auto"/>
          <w:kern w:val="2"/>
          <w:sz w:val="28"/>
          <w:szCs w:val="28"/>
          <w:highlight w:val="none"/>
          <w:lang w:val="en-US" w:bidi="ar-SA"/>
        </w:rPr>
        <w:t>2.招标文件</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2.1招标文件的组成</w:t>
      </w:r>
    </w:p>
    <w:p>
      <w:pPr>
        <w:spacing w:line="360" w:lineRule="auto"/>
        <w:rPr>
          <w:color w:val="auto"/>
          <w:highlight w:val="none"/>
        </w:rPr>
      </w:pPr>
      <w:r>
        <w:rPr>
          <w:rFonts w:hint="eastAsia"/>
          <w:color w:val="auto"/>
          <w:highlight w:val="none"/>
        </w:rPr>
        <w:t>本招标文件包括：</w:t>
      </w:r>
    </w:p>
    <w:p>
      <w:pPr>
        <w:spacing w:line="360" w:lineRule="auto"/>
        <w:rPr>
          <w:color w:val="auto"/>
          <w:highlight w:val="none"/>
        </w:rPr>
      </w:pPr>
      <w:r>
        <w:rPr>
          <w:rFonts w:hint="eastAsia"/>
          <w:color w:val="auto"/>
          <w:highlight w:val="none"/>
        </w:rPr>
        <w:t>（1）招标公告</w:t>
      </w:r>
      <w:r>
        <w:rPr>
          <w:rFonts w:hint="eastAsia"/>
          <w:strike/>
          <w:color w:val="auto"/>
          <w:highlight w:val="none"/>
        </w:rPr>
        <w:t>（或投标邀请书）</w:t>
      </w:r>
      <w:r>
        <w:rPr>
          <w:rFonts w:hint="eastAsia"/>
          <w:color w:val="auto"/>
          <w:highlight w:val="none"/>
        </w:rPr>
        <w:t>；</w:t>
      </w:r>
    </w:p>
    <w:p>
      <w:pPr>
        <w:spacing w:line="360" w:lineRule="auto"/>
        <w:rPr>
          <w:color w:val="auto"/>
          <w:highlight w:val="none"/>
        </w:rPr>
      </w:pPr>
      <w:r>
        <w:rPr>
          <w:rFonts w:hint="eastAsia"/>
          <w:color w:val="auto"/>
          <w:highlight w:val="none"/>
        </w:rPr>
        <w:t>（2）投标人须知；</w:t>
      </w:r>
    </w:p>
    <w:p>
      <w:pPr>
        <w:spacing w:line="360" w:lineRule="auto"/>
        <w:rPr>
          <w:color w:val="auto"/>
          <w:highlight w:val="none"/>
        </w:rPr>
      </w:pPr>
      <w:r>
        <w:rPr>
          <w:rFonts w:hint="eastAsia"/>
          <w:color w:val="auto"/>
          <w:highlight w:val="none"/>
        </w:rPr>
        <w:t>（3）评标办法；</w:t>
      </w:r>
    </w:p>
    <w:p>
      <w:pPr>
        <w:spacing w:line="360" w:lineRule="auto"/>
        <w:rPr>
          <w:color w:val="auto"/>
          <w:highlight w:val="none"/>
        </w:rPr>
      </w:pPr>
      <w:r>
        <w:rPr>
          <w:rFonts w:hint="eastAsia"/>
          <w:color w:val="auto"/>
          <w:highlight w:val="none"/>
        </w:rPr>
        <w:t>（4）合同条款及格式；</w:t>
      </w:r>
    </w:p>
    <w:p>
      <w:pPr>
        <w:spacing w:line="360" w:lineRule="auto"/>
        <w:rPr>
          <w:color w:val="auto"/>
          <w:highlight w:val="none"/>
        </w:rPr>
      </w:pPr>
      <w:r>
        <w:rPr>
          <w:rFonts w:hint="eastAsia"/>
          <w:color w:val="auto"/>
          <w:highlight w:val="none"/>
        </w:rPr>
        <w:t>（5）委托人要求；</w:t>
      </w:r>
    </w:p>
    <w:p>
      <w:pPr>
        <w:spacing w:line="360" w:lineRule="auto"/>
        <w:rPr>
          <w:color w:val="auto"/>
          <w:highlight w:val="none"/>
        </w:rPr>
      </w:pPr>
      <w:r>
        <w:rPr>
          <w:rFonts w:hint="eastAsia"/>
          <w:color w:val="auto"/>
          <w:highlight w:val="none"/>
        </w:rPr>
        <w:t>（6）投标文件格式；</w:t>
      </w:r>
    </w:p>
    <w:p>
      <w:pPr>
        <w:spacing w:line="360" w:lineRule="auto"/>
        <w:rPr>
          <w:color w:val="auto"/>
          <w:highlight w:val="none"/>
        </w:rPr>
      </w:pPr>
      <w:r>
        <w:rPr>
          <w:rFonts w:hint="eastAsia"/>
          <w:color w:val="auto"/>
          <w:highlight w:val="none"/>
        </w:rPr>
        <w:t>（7）投标人须知前附表规定的其他资料。</w:t>
      </w:r>
    </w:p>
    <w:p>
      <w:pPr>
        <w:spacing w:line="360" w:lineRule="auto"/>
        <w:rPr>
          <w:color w:val="auto"/>
          <w:highlight w:val="none"/>
        </w:rPr>
      </w:pPr>
      <w:r>
        <w:rPr>
          <w:rFonts w:hint="eastAsia"/>
          <w:color w:val="auto"/>
          <w:highlight w:val="none"/>
        </w:rPr>
        <w:t>根据本章第 1.10 款、第 2.2 款和第 2.3 款对招标文件所作的澄清、修改，构成招标文件的组成部分。</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2.2招标文件的澄清</w:t>
      </w:r>
    </w:p>
    <w:p>
      <w:pPr>
        <w:spacing w:line="360" w:lineRule="auto"/>
        <w:ind w:firstLine="440" w:firstLineChars="200"/>
        <w:rPr>
          <w:color w:val="auto"/>
          <w:highlight w:val="none"/>
        </w:rPr>
      </w:pPr>
      <w:r>
        <w:rPr>
          <w:rFonts w:hint="eastAsia"/>
          <w:color w:val="auto"/>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40" w:firstLineChars="200"/>
        <w:rPr>
          <w:color w:val="auto"/>
          <w:highlight w:val="none"/>
        </w:rPr>
      </w:pPr>
      <w:r>
        <w:rPr>
          <w:rFonts w:hint="eastAsia"/>
          <w:color w:val="auto"/>
          <w:highlight w:val="non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spacing w:line="360" w:lineRule="auto"/>
        <w:ind w:firstLine="440" w:firstLineChars="200"/>
        <w:rPr>
          <w:color w:val="auto"/>
          <w:highlight w:val="none"/>
        </w:rPr>
      </w:pPr>
      <w:r>
        <w:rPr>
          <w:rFonts w:hint="eastAsia"/>
          <w:color w:val="auto"/>
          <w:highlight w:val="none"/>
        </w:rPr>
        <w:t>2.2.3投标人在收到澄清后，应按投标人须知前附表规定的时间和形式通知招标人，确认已收到该澄清。</w:t>
      </w:r>
    </w:p>
    <w:p>
      <w:pPr>
        <w:spacing w:line="360" w:lineRule="auto"/>
        <w:ind w:firstLine="440" w:firstLineChars="200"/>
        <w:rPr>
          <w:color w:val="auto"/>
          <w:highlight w:val="none"/>
        </w:rPr>
      </w:pPr>
      <w:r>
        <w:rPr>
          <w:rFonts w:hint="eastAsia"/>
          <w:color w:val="auto"/>
          <w:highlight w:val="none"/>
        </w:rPr>
        <w:t>2.2.4除非招标人认为确有必要答复，否则，招标人有权拒绝回复投标人在本章第 2.2.1 项规定的时间后的任何澄清要求。</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2.3招标文件的修改</w:t>
      </w:r>
    </w:p>
    <w:p>
      <w:pPr>
        <w:spacing w:line="360" w:lineRule="auto"/>
        <w:ind w:firstLine="440" w:firstLineChars="200"/>
        <w:rPr>
          <w:color w:val="auto"/>
          <w:highlight w:val="none"/>
        </w:rPr>
      </w:pPr>
      <w:r>
        <w:rPr>
          <w:rFonts w:hint="eastAsia"/>
          <w:color w:val="auto"/>
          <w:highlight w:val="none"/>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firstLine="440" w:firstLineChars="200"/>
        <w:rPr>
          <w:color w:val="auto"/>
          <w:highlight w:val="none"/>
        </w:rPr>
      </w:pPr>
      <w:r>
        <w:rPr>
          <w:rFonts w:hint="eastAsia"/>
          <w:color w:val="auto"/>
          <w:highlight w:val="none"/>
        </w:rPr>
        <w:t>2.3.2投标人收到修改内容后，应按投标人须知前附表规定的时间和形式通知招标人，确认已收到该修改。</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2.4招标文件的异议</w:t>
      </w:r>
    </w:p>
    <w:p>
      <w:pPr>
        <w:spacing w:line="360" w:lineRule="auto"/>
        <w:ind w:firstLine="440" w:firstLineChars="200"/>
        <w:rPr>
          <w:color w:val="auto"/>
          <w:highlight w:val="none"/>
        </w:rPr>
      </w:pPr>
      <w:r>
        <w:rPr>
          <w:rFonts w:hint="eastAsia"/>
          <w:color w:val="auto"/>
          <w:highlight w:val="none"/>
        </w:rPr>
        <w:t>投标人或者其他利害关系人对招标文件有异议的，应当在投标截止时间 10 日前可以通过线下或线上的形式提出向招标人书面提出。线上提出异议的，应通过交易平台提交，招标人也应通过交易平台答复线上提出的异议。具体按照交易平台相关指南进行操作。招标人将在收到异议之日起 3 日内作出答复；作出答复前，将暂停招标投标活动。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3.投标文件</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3.1投标文件的组成</w:t>
      </w:r>
    </w:p>
    <w:p>
      <w:pPr>
        <w:spacing w:line="360" w:lineRule="auto"/>
        <w:ind w:firstLine="440" w:firstLineChars="200"/>
        <w:rPr>
          <w:color w:val="auto"/>
          <w:highlight w:val="none"/>
        </w:rPr>
      </w:pPr>
      <w:r>
        <w:rPr>
          <w:rFonts w:hint="eastAsia"/>
          <w:color w:val="auto"/>
          <w:highlight w:val="none"/>
        </w:rPr>
        <w:t>3.1.1投标文件应包括下列内容：</w:t>
      </w:r>
    </w:p>
    <w:p>
      <w:pPr>
        <w:spacing w:line="360" w:lineRule="auto"/>
        <w:ind w:firstLine="440" w:firstLineChars="200"/>
        <w:rPr>
          <w:color w:val="auto"/>
          <w:highlight w:val="none"/>
        </w:rPr>
      </w:pPr>
      <w:r>
        <w:rPr>
          <w:rFonts w:hint="eastAsia"/>
          <w:color w:val="auto"/>
          <w:highlight w:val="none"/>
        </w:rPr>
        <w:t>（1）投标函及投标函附录；</w:t>
      </w:r>
    </w:p>
    <w:p>
      <w:pPr>
        <w:spacing w:line="360" w:lineRule="auto"/>
        <w:ind w:firstLine="440" w:firstLineChars="200"/>
        <w:rPr>
          <w:color w:val="auto"/>
          <w:highlight w:val="none"/>
        </w:rPr>
      </w:pPr>
      <w:r>
        <w:rPr>
          <w:rFonts w:hint="eastAsia"/>
          <w:color w:val="auto"/>
          <w:highlight w:val="none"/>
        </w:rPr>
        <w:t>（2）法定代表人身份证明或授权委托书；</w:t>
      </w:r>
    </w:p>
    <w:p>
      <w:pPr>
        <w:spacing w:line="360" w:lineRule="auto"/>
        <w:ind w:firstLine="440" w:firstLineChars="200"/>
        <w:rPr>
          <w:strike w:val="0"/>
          <w:color w:val="auto"/>
          <w:highlight w:val="none"/>
        </w:rPr>
      </w:pPr>
      <w:r>
        <w:rPr>
          <w:rFonts w:hint="eastAsia"/>
          <w:strike w:val="0"/>
          <w:color w:val="auto"/>
          <w:highlight w:val="none"/>
        </w:rPr>
        <w:t>（</w:t>
      </w:r>
      <w:r>
        <w:rPr>
          <w:strike w:val="0"/>
          <w:color w:val="auto"/>
          <w:highlight w:val="none"/>
        </w:rPr>
        <w:t>3）联合体协议书</w:t>
      </w:r>
      <w:r>
        <w:rPr>
          <w:rFonts w:hint="eastAsia"/>
          <w:color w:val="auto"/>
          <w:highlight w:val="none"/>
        </w:rPr>
        <w:t>（如有）</w:t>
      </w:r>
      <w:r>
        <w:rPr>
          <w:rFonts w:hint="eastAsia"/>
          <w:strike w:val="0"/>
          <w:color w:val="auto"/>
          <w:highlight w:val="none"/>
        </w:rPr>
        <w:t>；</w:t>
      </w:r>
    </w:p>
    <w:p>
      <w:pPr>
        <w:spacing w:line="360" w:lineRule="auto"/>
        <w:ind w:firstLine="440" w:firstLineChars="200"/>
        <w:rPr>
          <w:strike/>
          <w:color w:val="auto"/>
          <w:highlight w:val="none"/>
        </w:rPr>
      </w:pPr>
      <w:r>
        <w:rPr>
          <w:rFonts w:hint="eastAsia"/>
          <w:strike/>
          <w:color w:val="auto"/>
          <w:highlight w:val="none"/>
        </w:rPr>
        <w:t>（4）投标保证金；</w:t>
      </w:r>
    </w:p>
    <w:p>
      <w:pPr>
        <w:spacing w:line="360" w:lineRule="auto"/>
        <w:ind w:firstLine="440" w:firstLineChars="200"/>
        <w:rPr>
          <w:color w:val="auto"/>
          <w:highlight w:val="none"/>
        </w:rPr>
      </w:pPr>
      <w:r>
        <w:rPr>
          <w:rFonts w:hint="eastAsia"/>
          <w:color w:val="auto"/>
          <w:highlight w:val="none"/>
        </w:rPr>
        <w:t>（5）监理报酬清单；</w:t>
      </w:r>
    </w:p>
    <w:p>
      <w:pPr>
        <w:spacing w:line="360" w:lineRule="auto"/>
        <w:ind w:firstLine="440" w:firstLineChars="200"/>
        <w:rPr>
          <w:color w:val="auto"/>
          <w:highlight w:val="none"/>
        </w:rPr>
      </w:pPr>
      <w:r>
        <w:rPr>
          <w:rFonts w:hint="eastAsia"/>
          <w:color w:val="auto"/>
          <w:highlight w:val="none"/>
        </w:rPr>
        <w:t>（6）资格审查资料；</w:t>
      </w:r>
    </w:p>
    <w:p>
      <w:pPr>
        <w:spacing w:line="360" w:lineRule="auto"/>
        <w:ind w:firstLine="440" w:firstLineChars="200"/>
        <w:rPr>
          <w:color w:val="auto"/>
          <w:highlight w:val="none"/>
        </w:rPr>
      </w:pPr>
      <w:r>
        <w:rPr>
          <w:rFonts w:hint="eastAsia"/>
          <w:color w:val="auto"/>
          <w:highlight w:val="none"/>
        </w:rPr>
        <w:t>（7）监理大纲；</w:t>
      </w:r>
    </w:p>
    <w:p>
      <w:pPr>
        <w:spacing w:line="360" w:lineRule="auto"/>
        <w:ind w:firstLine="440" w:firstLineChars="200"/>
        <w:rPr>
          <w:color w:val="auto"/>
          <w:highlight w:val="none"/>
        </w:rPr>
      </w:pPr>
      <w:r>
        <w:rPr>
          <w:rFonts w:hint="eastAsia"/>
          <w:color w:val="auto"/>
          <w:highlight w:val="none"/>
        </w:rPr>
        <w:t>（8）投标人须知前附表规定的其他资料。</w:t>
      </w:r>
    </w:p>
    <w:p>
      <w:pPr>
        <w:spacing w:line="360" w:lineRule="auto"/>
        <w:ind w:firstLine="440" w:firstLineChars="200"/>
        <w:rPr>
          <w:color w:val="auto"/>
          <w:highlight w:val="none"/>
        </w:rPr>
      </w:pPr>
      <w:r>
        <w:rPr>
          <w:rFonts w:hint="eastAsia"/>
          <w:color w:val="auto"/>
          <w:highlight w:val="none"/>
        </w:rPr>
        <w:t>投标人在评标过程中作出的符合法律法规和招标文件规定的澄清确认，构成投标文件的组成部分。</w:t>
      </w:r>
    </w:p>
    <w:p>
      <w:pPr>
        <w:spacing w:line="360" w:lineRule="auto"/>
        <w:ind w:firstLine="440" w:firstLineChars="200"/>
        <w:rPr>
          <w:color w:val="auto"/>
          <w:highlight w:val="none"/>
        </w:rPr>
      </w:pPr>
      <w:r>
        <w:rPr>
          <w:rFonts w:hint="eastAsia"/>
          <w:color w:val="auto"/>
          <w:highlight w:val="none"/>
          <w:lang w:val="en-US"/>
        </w:rPr>
        <w:t>3.1.2</w:t>
      </w:r>
      <w:r>
        <w:rPr>
          <w:rFonts w:hint="eastAsia"/>
          <w:color w:val="auto"/>
          <w:highlight w:val="none"/>
        </w:rPr>
        <w:t>投标人须知前附表规定不接受联合体投标的，或投标人没有组成联合体的，投标文件不包括本章第 3.1.1（3）目所指的联合体协议书。</w:t>
      </w:r>
    </w:p>
    <w:p>
      <w:pPr>
        <w:spacing w:line="360" w:lineRule="auto"/>
        <w:ind w:firstLine="440" w:firstLineChars="200"/>
        <w:rPr>
          <w:strike/>
          <w:color w:val="auto"/>
          <w:highlight w:val="none"/>
        </w:rPr>
      </w:pPr>
      <w:r>
        <w:rPr>
          <w:rFonts w:hint="eastAsia"/>
          <w:strike/>
          <w:color w:val="auto"/>
          <w:highlight w:val="none"/>
        </w:rPr>
        <w:t>3.1.</w:t>
      </w:r>
      <w:r>
        <w:rPr>
          <w:rFonts w:hint="eastAsia"/>
          <w:strike/>
          <w:color w:val="auto"/>
          <w:highlight w:val="none"/>
          <w:lang w:val="en-US"/>
        </w:rPr>
        <w:t>3</w:t>
      </w:r>
      <w:r>
        <w:rPr>
          <w:rFonts w:hint="eastAsia"/>
          <w:strike/>
          <w:color w:val="auto"/>
          <w:highlight w:val="none"/>
        </w:rPr>
        <w:t>投标人须知前附表未要求提交投标保证金的，投标文件不包括本章第 3.1.1（4）目所指的投标保证金。</w:t>
      </w:r>
    </w:p>
    <w:p>
      <w:pPr>
        <w:spacing w:line="360" w:lineRule="auto"/>
        <w:rPr>
          <w:color w:val="auto"/>
          <w:highlight w:val="none"/>
        </w:rPr>
      </w:pPr>
      <w:r>
        <w:rPr>
          <w:rFonts w:hint="eastAsia" w:cs="Times New Roman"/>
          <w:b/>
          <w:bCs/>
          <w:color w:val="auto"/>
          <w:kern w:val="2"/>
          <w:sz w:val="28"/>
          <w:szCs w:val="28"/>
          <w:highlight w:val="none"/>
          <w:lang w:val="en-US" w:bidi="ar-SA"/>
        </w:rPr>
        <w:t>3.2投标报价</w:t>
      </w:r>
    </w:p>
    <w:p>
      <w:pPr>
        <w:spacing w:line="360" w:lineRule="auto"/>
        <w:ind w:firstLine="440" w:firstLineChars="200"/>
        <w:rPr>
          <w:color w:val="auto"/>
          <w:highlight w:val="none"/>
        </w:rPr>
      </w:pPr>
      <w:r>
        <w:rPr>
          <w:rFonts w:hint="eastAsia"/>
          <w:color w:val="auto"/>
          <w:highlight w:val="none"/>
        </w:rPr>
        <w:t>3.2.1投标报价应包括国家规定的增值税税金，除投标人须知前附表另有规定外，增值税税金按一般计税方法计算。投标人应按第六章“投标文件格式”的要求在投标函中进行报价并填写监理报酬清单。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firstLine="440" w:firstLineChars="200"/>
        <w:rPr>
          <w:color w:val="auto"/>
          <w:highlight w:val="none"/>
        </w:rPr>
      </w:pPr>
      <w:r>
        <w:rPr>
          <w:rFonts w:hint="eastAsia"/>
          <w:color w:val="auto"/>
          <w:highlight w:val="none"/>
        </w:rPr>
        <w:t>3.2.2投标人应充分了解该项目的总体情况以及影响投标报价的其他要素。</w:t>
      </w:r>
    </w:p>
    <w:p>
      <w:pPr>
        <w:spacing w:line="360" w:lineRule="auto"/>
        <w:ind w:firstLine="440" w:firstLineChars="200"/>
        <w:rPr>
          <w:color w:val="auto"/>
          <w:highlight w:val="none"/>
        </w:rPr>
      </w:pPr>
      <w:r>
        <w:rPr>
          <w:rFonts w:hint="eastAsia"/>
          <w:color w:val="auto"/>
          <w:highlight w:val="none"/>
        </w:rPr>
        <w:t>3.2.3本项目的报价方式见投标人须知前附表。投标人在投标截止时间前修改投标函中的投标报价总额，应同时修改投标文件“监理报酬清单”中的相应报价。此修改须符合本章第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firstLine="440" w:firstLineChars="200"/>
        <w:rPr>
          <w:color w:val="auto"/>
          <w:highlight w:val="none"/>
        </w:rPr>
      </w:pPr>
      <w:r>
        <w:rPr>
          <w:rFonts w:hint="eastAsia"/>
          <w:color w:val="auto"/>
          <w:highlight w:val="none"/>
        </w:rPr>
        <w:t>3.2.4招标人设有最高投标限价的，投标人的投标报价不得超过最高投标限价，最高投标限价在投标人须知前附表中载明。</w:t>
      </w:r>
    </w:p>
    <w:p>
      <w:pPr>
        <w:spacing w:line="360" w:lineRule="auto"/>
        <w:ind w:firstLine="440" w:firstLineChars="200"/>
        <w:rPr>
          <w:color w:val="auto"/>
          <w:highlight w:val="none"/>
        </w:rPr>
      </w:pPr>
      <w:r>
        <w:rPr>
          <w:rFonts w:hint="eastAsia"/>
          <w:color w:val="auto"/>
          <w:highlight w:val="none"/>
        </w:rPr>
        <w:t>3.2.5投标报价的其他要求见投标人须知前附表。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3.3投标有效期</w:t>
      </w:r>
    </w:p>
    <w:p>
      <w:pPr>
        <w:spacing w:line="360" w:lineRule="auto"/>
        <w:ind w:firstLine="440" w:firstLineChars="200"/>
        <w:rPr>
          <w:color w:val="auto"/>
          <w:highlight w:val="none"/>
        </w:rPr>
      </w:pPr>
      <w:r>
        <w:rPr>
          <w:rFonts w:hint="eastAsia"/>
          <w:color w:val="auto"/>
          <w:highlight w:val="none"/>
        </w:rPr>
        <w:t>3.3.1除投标人须知前附表另有规定外，投标有效期为 90 天。</w:t>
      </w:r>
    </w:p>
    <w:p>
      <w:pPr>
        <w:spacing w:line="360" w:lineRule="auto"/>
        <w:ind w:firstLine="440" w:firstLineChars="200"/>
        <w:rPr>
          <w:color w:val="auto"/>
          <w:highlight w:val="none"/>
        </w:rPr>
      </w:pPr>
      <w:r>
        <w:rPr>
          <w:rFonts w:hint="eastAsia"/>
          <w:color w:val="auto"/>
          <w:highlight w:val="none"/>
        </w:rPr>
        <w:t>3.3.2在投标有效期内，投标人撤销投标文件的，应承担招标文件和法律规定的责任。</w:t>
      </w:r>
    </w:p>
    <w:p>
      <w:pPr>
        <w:spacing w:line="360" w:lineRule="auto"/>
        <w:ind w:firstLine="440" w:firstLineChars="200"/>
        <w:rPr>
          <w:color w:val="auto"/>
          <w:highlight w:val="none"/>
        </w:rPr>
      </w:pPr>
      <w:r>
        <w:rPr>
          <w:rFonts w:hint="eastAsia"/>
          <w:color w:val="auto"/>
          <w:highlight w:val="none"/>
        </w:rPr>
        <w:t>3.3.3出现特殊情况需要延长投标有效期的，招标人以书面形式通知所有投标人延长投标有效期。投标人应予以书面答复，同意延长的，</w:t>
      </w:r>
      <w:r>
        <w:rPr>
          <w:rFonts w:hint="eastAsia"/>
          <w:strike/>
          <w:color w:val="auto"/>
          <w:highlight w:val="none"/>
        </w:rPr>
        <w:t>应相应延长其投标保证金的有效期，但</w:t>
      </w:r>
      <w:r>
        <w:rPr>
          <w:rFonts w:hint="eastAsia"/>
          <w:color w:val="auto"/>
          <w:highlight w:val="none"/>
        </w:rPr>
        <w:t>不得要求或被允许修改其投标文件；投标人拒绝延长的，其投标失效</w:t>
      </w:r>
      <w:r>
        <w:rPr>
          <w:rFonts w:hint="eastAsia"/>
          <w:strike/>
          <w:color w:val="auto"/>
          <w:highlight w:val="none"/>
        </w:rPr>
        <w:t>，但投标人有权收回其投标保证金及以现金或者支票形式递交的投标保证金的银行同期存款利息</w:t>
      </w:r>
      <w:r>
        <w:rPr>
          <w:rFonts w:hint="eastAsia"/>
          <w:color w:val="auto"/>
          <w:highlight w:val="none"/>
        </w:rPr>
        <w:t>。</w:t>
      </w:r>
    </w:p>
    <w:p>
      <w:pPr>
        <w:spacing w:line="360" w:lineRule="auto"/>
        <w:rPr>
          <w:rFonts w:cs="Times New Roman"/>
          <w:b/>
          <w:bCs/>
          <w:strike/>
          <w:color w:val="auto"/>
          <w:kern w:val="2"/>
          <w:sz w:val="28"/>
          <w:szCs w:val="28"/>
          <w:highlight w:val="none"/>
          <w:lang w:val="en-US" w:bidi="ar-SA"/>
        </w:rPr>
      </w:pPr>
      <w:r>
        <w:rPr>
          <w:rFonts w:hint="eastAsia" w:cs="Times New Roman"/>
          <w:b/>
          <w:bCs/>
          <w:strike/>
          <w:color w:val="auto"/>
          <w:kern w:val="2"/>
          <w:sz w:val="28"/>
          <w:szCs w:val="28"/>
          <w:highlight w:val="none"/>
          <w:lang w:val="en-US" w:bidi="ar-SA"/>
        </w:rPr>
        <w:t>3.4投标保证金</w:t>
      </w:r>
    </w:p>
    <w:p>
      <w:pPr>
        <w:spacing w:line="360" w:lineRule="auto"/>
        <w:ind w:firstLine="440" w:firstLineChars="200"/>
        <w:rPr>
          <w:strike/>
          <w:color w:val="auto"/>
          <w:highlight w:val="none"/>
        </w:rPr>
      </w:pPr>
      <w:r>
        <w:rPr>
          <w:rFonts w:hint="eastAsia"/>
          <w:strike/>
          <w:color w:val="auto"/>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40" w:firstLineChars="200"/>
        <w:rPr>
          <w:strike/>
          <w:color w:val="auto"/>
          <w:highlight w:val="none"/>
        </w:rPr>
      </w:pPr>
      <w:r>
        <w:rPr>
          <w:rFonts w:hint="eastAsia"/>
          <w:strike/>
          <w:color w:val="auto"/>
          <w:highlight w:val="none"/>
        </w:rPr>
        <w:t>3.4.2投标人不按本章第 3.4.1 项要求提交投标保证金的，评标委员会将否决其投标。</w:t>
      </w:r>
    </w:p>
    <w:p>
      <w:pPr>
        <w:spacing w:line="360" w:lineRule="auto"/>
        <w:ind w:firstLine="440" w:firstLineChars="200"/>
        <w:rPr>
          <w:strike/>
          <w:color w:val="auto"/>
          <w:highlight w:val="none"/>
        </w:rPr>
      </w:pPr>
      <w:r>
        <w:rPr>
          <w:rFonts w:hint="eastAsia"/>
          <w:strike/>
          <w:color w:val="auto"/>
          <w:highlight w:val="none"/>
        </w:rPr>
        <w:t>3.4.3</w:t>
      </w:r>
      <w:r>
        <w:rPr>
          <w:rFonts w:hint="eastAsia"/>
          <w:strike/>
          <w:color w:val="auto"/>
          <w:highlight w:val="none"/>
          <w:u w:val="single"/>
        </w:rPr>
        <w:t>投标保证金在中标人签订合同后的5个工作日内，由招标代理机构通知广州公共资源交易中心退还投标保证金。</w:t>
      </w:r>
    </w:p>
    <w:p>
      <w:pPr>
        <w:spacing w:line="360" w:lineRule="auto"/>
        <w:ind w:firstLine="440" w:firstLineChars="200"/>
        <w:rPr>
          <w:strike/>
          <w:color w:val="auto"/>
          <w:highlight w:val="none"/>
        </w:rPr>
      </w:pPr>
      <w:r>
        <w:rPr>
          <w:rFonts w:hint="eastAsia"/>
          <w:strike/>
          <w:color w:val="auto"/>
          <w:highlight w:val="none"/>
        </w:rPr>
        <w:t>3.4.4有下列情形之一的，投标保证金将不予退还：</w:t>
      </w:r>
    </w:p>
    <w:p>
      <w:pPr>
        <w:spacing w:line="360" w:lineRule="auto"/>
        <w:ind w:firstLine="440" w:firstLineChars="200"/>
        <w:rPr>
          <w:strike/>
          <w:color w:val="auto"/>
          <w:highlight w:val="none"/>
        </w:rPr>
      </w:pPr>
      <w:r>
        <w:rPr>
          <w:rFonts w:hint="eastAsia"/>
          <w:strike/>
          <w:color w:val="auto"/>
          <w:highlight w:val="none"/>
        </w:rPr>
        <w:t>（1）投标人在投标有效期内撤销投标文件；</w:t>
      </w:r>
    </w:p>
    <w:p>
      <w:pPr>
        <w:spacing w:line="360" w:lineRule="auto"/>
        <w:ind w:firstLine="440" w:firstLineChars="200"/>
        <w:rPr>
          <w:strike/>
          <w:color w:val="auto"/>
          <w:highlight w:val="none"/>
        </w:rPr>
      </w:pPr>
      <w:r>
        <w:rPr>
          <w:rFonts w:hint="eastAsia"/>
          <w:strike/>
          <w:color w:val="auto"/>
          <w:highlight w:val="none"/>
        </w:rPr>
        <w:t>（2）中标人在收到中标通知书后，无正当理由不与招标人</w:t>
      </w:r>
      <w:r>
        <w:rPr>
          <w:rFonts w:hint="eastAsia"/>
          <w:strike/>
          <w:color w:val="auto"/>
          <w:highlight w:val="none"/>
          <w:u w:val="single"/>
        </w:rPr>
        <w:t>、建设管理单位</w:t>
      </w:r>
      <w:r>
        <w:rPr>
          <w:rFonts w:hint="eastAsia"/>
          <w:strike/>
          <w:color w:val="auto"/>
          <w:highlight w:val="none"/>
        </w:rPr>
        <w:t>订立合同，在签订合同时向招标人</w:t>
      </w:r>
      <w:r>
        <w:rPr>
          <w:rFonts w:hint="eastAsia"/>
          <w:strike/>
          <w:color w:val="auto"/>
          <w:highlight w:val="none"/>
          <w:u w:val="single"/>
        </w:rPr>
        <w:t>或建设管理单位</w:t>
      </w:r>
      <w:r>
        <w:rPr>
          <w:rFonts w:hint="eastAsia"/>
          <w:strike/>
          <w:color w:val="auto"/>
          <w:highlight w:val="none"/>
        </w:rPr>
        <w:t>提出附加条件，或者不按照招标文件要求提交履约保证金；</w:t>
      </w:r>
    </w:p>
    <w:p>
      <w:pPr>
        <w:spacing w:line="360" w:lineRule="auto"/>
        <w:ind w:firstLine="440" w:firstLineChars="200"/>
        <w:rPr>
          <w:strike/>
          <w:color w:val="auto"/>
          <w:highlight w:val="none"/>
        </w:rPr>
      </w:pPr>
      <w:r>
        <w:rPr>
          <w:rFonts w:hint="eastAsia"/>
          <w:strike/>
          <w:color w:val="auto"/>
          <w:highlight w:val="none"/>
        </w:rPr>
        <w:t>（3）发生投标人须知前附表规定的其他可以不予退还投标保证金的情形。</w:t>
      </w:r>
    </w:p>
    <w:p>
      <w:pPr>
        <w:spacing w:line="360" w:lineRule="auto"/>
        <w:rPr>
          <w:rFonts w:cs="Times New Roman"/>
          <w:b/>
          <w:bCs/>
          <w:strike/>
          <w:color w:val="auto"/>
          <w:kern w:val="2"/>
          <w:sz w:val="28"/>
          <w:szCs w:val="28"/>
          <w:highlight w:val="none"/>
          <w:lang w:val="en-US" w:bidi="ar-SA"/>
        </w:rPr>
      </w:pPr>
      <w:r>
        <w:rPr>
          <w:rFonts w:hint="eastAsia" w:cs="Times New Roman"/>
          <w:b/>
          <w:bCs/>
          <w:strike/>
          <w:color w:val="auto"/>
          <w:kern w:val="2"/>
          <w:sz w:val="28"/>
          <w:szCs w:val="28"/>
          <w:highlight w:val="none"/>
          <w:lang w:val="en-US" w:bidi="ar-SA"/>
        </w:rPr>
        <w:t>3.5资格审查资料（适用于已进行资格预审的）</w:t>
      </w:r>
    </w:p>
    <w:p>
      <w:pPr>
        <w:spacing w:line="360" w:lineRule="auto"/>
        <w:ind w:firstLine="440" w:firstLineChars="200"/>
        <w:rPr>
          <w:color w:val="auto"/>
          <w:highlight w:val="none"/>
        </w:rPr>
      </w:pPr>
      <w:r>
        <w:rPr>
          <w:rFonts w:hint="eastAsia"/>
          <w:strike/>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spacing w:line="360" w:lineRule="auto"/>
        <w:rPr>
          <w:color w:val="auto"/>
          <w:highlight w:val="none"/>
        </w:rPr>
      </w:pPr>
      <w:r>
        <w:rPr>
          <w:rFonts w:hint="eastAsia" w:cs="Times New Roman"/>
          <w:b/>
          <w:bCs/>
          <w:color w:val="auto"/>
          <w:kern w:val="2"/>
          <w:sz w:val="28"/>
          <w:szCs w:val="28"/>
          <w:highlight w:val="none"/>
          <w:lang w:val="en-US" w:bidi="ar-SA"/>
        </w:rPr>
        <w:t>3.5资格审查资料（适用于未进行资格预审的）</w:t>
      </w:r>
    </w:p>
    <w:p>
      <w:pPr>
        <w:spacing w:line="360" w:lineRule="auto"/>
        <w:ind w:firstLine="440" w:firstLineChars="200"/>
        <w:rPr>
          <w:color w:val="auto"/>
          <w:highlight w:val="none"/>
        </w:rPr>
      </w:pPr>
      <w:r>
        <w:rPr>
          <w:rFonts w:hint="eastAsia"/>
          <w:color w:val="auto"/>
          <w:highlight w:val="none"/>
        </w:rPr>
        <w:t>除投标人须知前附表另有规定外，投标人应按下列规定提供资格审查资料，以证明其满足本章第 1.4 款规定的资质、财务、业绩、信誉等要求。</w:t>
      </w:r>
    </w:p>
    <w:p>
      <w:pPr>
        <w:spacing w:line="360" w:lineRule="auto"/>
        <w:ind w:firstLine="440" w:firstLineChars="200"/>
        <w:rPr>
          <w:color w:val="auto"/>
          <w:highlight w:val="none"/>
        </w:rPr>
      </w:pPr>
      <w:r>
        <w:rPr>
          <w:rFonts w:hint="eastAsia"/>
          <w:color w:val="auto"/>
          <w:highlight w:val="none"/>
        </w:rPr>
        <w:t>3.5.1“投标人基本情况表”应附投标人营业执照和组织机构代码证的</w:t>
      </w:r>
      <w:r>
        <w:rPr>
          <w:rFonts w:hint="eastAsia"/>
          <w:color w:val="auto"/>
          <w:szCs w:val="21"/>
          <w:highlight w:val="none"/>
          <w:u w:val="single"/>
        </w:rPr>
        <w:t>原件（或副本）清晰扫描件</w:t>
      </w:r>
      <w:r>
        <w:rPr>
          <w:rFonts w:hint="eastAsia"/>
          <w:color w:val="auto"/>
          <w:highlight w:val="none"/>
        </w:rPr>
        <w:t>（按照“三证合一” 或“五证合一”登记制度进行登记的，可仅提供营业执照</w:t>
      </w:r>
      <w:r>
        <w:rPr>
          <w:rFonts w:hint="eastAsia"/>
          <w:color w:val="auto"/>
          <w:szCs w:val="21"/>
          <w:highlight w:val="none"/>
          <w:u w:val="single"/>
        </w:rPr>
        <w:t>原件（或副本）清晰扫描件</w:t>
      </w:r>
      <w:r>
        <w:rPr>
          <w:rFonts w:hint="eastAsia"/>
          <w:color w:val="auto"/>
          <w:highlight w:val="none"/>
        </w:rPr>
        <w:t>）、投标人监理资质证书副本等材料的</w:t>
      </w:r>
      <w:r>
        <w:rPr>
          <w:rFonts w:hint="eastAsia"/>
          <w:color w:val="auto"/>
          <w:szCs w:val="21"/>
          <w:highlight w:val="none"/>
          <w:u w:val="single"/>
        </w:rPr>
        <w:t>原件清晰扫描件</w:t>
      </w:r>
      <w:r>
        <w:rPr>
          <w:rFonts w:hint="eastAsia"/>
          <w:color w:val="auto"/>
          <w:highlight w:val="none"/>
        </w:rPr>
        <w:t>。</w:t>
      </w:r>
    </w:p>
    <w:p>
      <w:pPr>
        <w:spacing w:line="360" w:lineRule="auto"/>
        <w:ind w:firstLine="440" w:firstLineChars="200"/>
        <w:rPr>
          <w:strike/>
          <w:color w:val="auto"/>
          <w:highlight w:val="none"/>
        </w:rPr>
      </w:pPr>
      <w:r>
        <w:rPr>
          <w:rFonts w:hint="eastAsia"/>
          <w:strike/>
          <w:color w:val="auto"/>
          <w:highlight w:val="none"/>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40" w:firstLineChars="200"/>
        <w:rPr>
          <w:strike/>
          <w:color w:val="auto"/>
          <w:highlight w:val="none"/>
        </w:rPr>
      </w:pPr>
      <w:r>
        <w:rPr>
          <w:rFonts w:hint="eastAsia"/>
          <w:strike/>
          <w:color w:val="auto"/>
          <w:highlight w:val="none"/>
        </w:rPr>
        <w:t>3.5.3“近年完成的类似监理项目情况表”应附中标通知书和（或）合同协议书、委托人出具的证明文件；具体时间要求见投标人须知前附表，每张表格只填写一个项目，并标明序号。</w:t>
      </w:r>
    </w:p>
    <w:p>
      <w:pPr>
        <w:spacing w:line="360" w:lineRule="auto"/>
        <w:ind w:firstLine="440" w:firstLineChars="200"/>
        <w:rPr>
          <w:strike/>
          <w:color w:val="auto"/>
          <w:highlight w:val="none"/>
        </w:rPr>
      </w:pPr>
      <w:r>
        <w:rPr>
          <w:rFonts w:hint="eastAsia"/>
          <w:strike/>
          <w:color w:val="auto"/>
          <w:highlight w:val="none"/>
        </w:rPr>
        <w:t>3.5.4“正在监理和新承接的项目情况表”应附中标通知书和（或）合同协议书复印件。每张表格只填写一个项目，并标明序号。</w:t>
      </w:r>
    </w:p>
    <w:p>
      <w:pPr>
        <w:spacing w:line="360" w:lineRule="auto"/>
        <w:ind w:firstLine="440" w:firstLineChars="200"/>
        <w:rPr>
          <w:color w:val="auto"/>
          <w:highlight w:val="none"/>
        </w:rPr>
      </w:pPr>
      <w:r>
        <w:rPr>
          <w:rFonts w:hint="eastAsia"/>
          <w:color w:val="auto"/>
          <w:highlight w:val="none"/>
        </w:rPr>
        <w:t>3.5.</w:t>
      </w:r>
      <w:r>
        <w:rPr>
          <w:rFonts w:hint="eastAsia"/>
          <w:color w:val="auto"/>
          <w:highlight w:val="none"/>
          <w:lang w:val="en-US"/>
        </w:rPr>
        <w:t>2</w:t>
      </w:r>
      <w:r>
        <w:rPr>
          <w:rFonts w:hint="eastAsia"/>
          <w:color w:val="auto"/>
          <w:highlight w:val="none"/>
        </w:rPr>
        <w:t xml:space="preserve"> 投标人在广州市住建行业信用管理平台建立企业信用档案的网页截图。</w:t>
      </w:r>
    </w:p>
    <w:p>
      <w:pPr>
        <w:spacing w:line="360" w:lineRule="auto"/>
        <w:ind w:firstLine="440" w:firstLineChars="200"/>
        <w:rPr>
          <w:color w:val="auto"/>
          <w:highlight w:val="none"/>
        </w:rPr>
      </w:pPr>
      <w:r>
        <w:rPr>
          <w:rFonts w:hint="eastAsia"/>
          <w:color w:val="auto"/>
          <w:highlight w:val="none"/>
          <w:lang w:val="en-US"/>
        </w:rPr>
        <w:t>3.5.3</w:t>
      </w:r>
      <w:r>
        <w:rPr>
          <w:rFonts w:hint="eastAsia"/>
          <w:color w:val="auto"/>
          <w:highlight w:val="none"/>
        </w:rPr>
        <w:t>投标人已按照招标文件提供《投标人声明》。</w:t>
      </w:r>
    </w:p>
    <w:p>
      <w:pPr>
        <w:spacing w:line="360" w:lineRule="auto"/>
        <w:ind w:firstLine="440" w:firstLineChars="200"/>
        <w:rPr>
          <w:color w:val="auto"/>
          <w:highlight w:val="none"/>
        </w:rPr>
      </w:pPr>
      <w:r>
        <w:rPr>
          <w:rFonts w:hint="eastAsia"/>
          <w:color w:val="auto"/>
          <w:highlight w:val="none"/>
        </w:rPr>
        <w:t>3.5.</w:t>
      </w:r>
      <w:r>
        <w:rPr>
          <w:rFonts w:hint="eastAsia"/>
          <w:color w:val="auto"/>
          <w:highlight w:val="none"/>
          <w:lang w:val="en-US"/>
        </w:rPr>
        <w:t>4</w:t>
      </w:r>
      <w:r>
        <w:rPr>
          <w:rFonts w:hint="eastAsia"/>
          <w:color w:val="auto"/>
          <w:highlight w:val="none"/>
        </w:rPr>
        <w:t xml:space="preserve"> 其他符合招标公告“投标人资格要求“规定的证明材料。</w:t>
      </w:r>
    </w:p>
    <w:p>
      <w:pPr>
        <w:spacing w:line="360" w:lineRule="auto"/>
        <w:ind w:firstLine="440" w:firstLineChars="200"/>
        <w:rPr>
          <w:strike/>
          <w:color w:val="auto"/>
          <w:highlight w:val="none"/>
        </w:rPr>
      </w:pPr>
      <w:r>
        <w:rPr>
          <w:rFonts w:hint="eastAsia"/>
          <w:strike/>
          <w:color w:val="auto"/>
          <w:highlight w:val="none"/>
        </w:rPr>
        <w:t>3.5.5“近年发生的诉讼及仲裁情况”应说明投标人败诉的监理合同的相关情况，并附法院或仲裁机构作出的判决、裁决等有关法律文书复印件，具体时间要求见投标人须知前附表。</w:t>
      </w:r>
    </w:p>
    <w:p>
      <w:pPr>
        <w:spacing w:line="360" w:lineRule="auto"/>
        <w:ind w:firstLine="440" w:firstLineChars="200"/>
        <w:rPr>
          <w:strike/>
          <w:color w:val="auto"/>
          <w:highlight w:val="none"/>
        </w:rPr>
      </w:pPr>
      <w:r>
        <w:rPr>
          <w:rFonts w:hint="eastAsia"/>
          <w:color w:val="auto"/>
          <w:highlight w:val="none"/>
        </w:rPr>
        <w:t>3.5.6“拟委任的主要人员汇总表”应填报满足本章第 1.4.1 项规定的总监理工程师</w:t>
      </w:r>
      <w:r>
        <w:rPr>
          <w:rFonts w:hint="eastAsia"/>
          <w:strike/>
          <w:color w:val="auto"/>
          <w:highlight w:val="none"/>
        </w:rPr>
        <w:t>和其他主要人员</w:t>
      </w:r>
      <w:r>
        <w:rPr>
          <w:rFonts w:hint="eastAsia"/>
          <w:color w:val="auto"/>
          <w:highlight w:val="none"/>
        </w:rPr>
        <w:t>的相关信息。“项目总监简历表”中总监理工程师应附</w:t>
      </w:r>
      <w:r>
        <w:rPr>
          <w:rFonts w:hint="eastAsia"/>
          <w:strike/>
          <w:color w:val="auto"/>
          <w:highlight w:val="none"/>
        </w:rPr>
        <w:t>身份证、</w:t>
      </w:r>
      <w:r>
        <w:rPr>
          <w:rFonts w:hint="eastAsia"/>
          <w:color w:val="auto"/>
          <w:highlight w:val="none"/>
        </w:rPr>
        <w:t>学历证、</w:t>
      </w:r>
      <w:r>
        <w:rPr>
          <w:rFonts w:hint="eastAsia"/>
          <w:strike/>
          <w:color w:val="auto"/>
          <w:highlight w:val="none"/>
        </w:rPr>
        <w:t>职称证、</w:t>
      </w:r>
      <w:r>
        <w:rPr>
          <w:rFonts w:hint="eastAsia"/>
          <w:color w:val="auto"/>
          <w:highlight w:val="none"/>
        </w:rPr>
        <w:t>注册监理工程师执业证书和社保缴费证明</w:t>
      </w:r>
      <w:r>
        <w:rPr>
          <w:rFonts w:hint="eastAsia"/>
          <w:color w:val="auto"/>
          <w:szCs w:val="21"/>
          <w:highlight w:val="none"/>
          <w:u w:val="single"/>
        </w:rPr>
        <w:t>扫描件</w:t>
      </w:r>
      <w:r>
        <w:rPr>
          <w:rFonts w:hint="eastAsia"/>
          <w:strike/>
          <w:color w:val="auto"/>
          <w:highlight w:val="none"/>
        </w:rPr>
        <w:t>，管理过的项目业绩须附合同协议书复印件</w:t>
      </w:r>
      <w:r>
        <w:rPr>
          <w:rFonts w:hint="eastAsia"/>
          <w:color w:val="auto"/>
          <w:highlight w:val="none"/>
        </w:rPr>
        <w:t>；</w:t>
      </w:r>
      <w:r>
        <w:rPr>
          <w:rFonts w:hint="eastAsia"/>
          <w:strike/>
          <w:color w:val="auto"/>
          <w:highlight w:val="none"/>
        </w:rPr>
        <w:t>其他主要人员应附身份证、学历证、职称证、有关证书和社保缴费证明复印件。</w:t>
      </w:r>
    </w:p>
    <w:p>
      <w:pPr>
        <w:spacing w:line="360" w:lineRule="auto"/>
        <w:ind w:firstLine="440" w:firstLineChars="200"/>
        <w:rPr>
          <w:strike/>
          <w:color w:val="auto"/>
          <w:highlight w:val="none"/>
        </w:rPr>
      </w:pPr>
      <w:r>
        <w:rPr>
          <w:rFonts w:hint="eastAsia"/>
          <w:strike/>
          <w:color w:val="auto"/>
          <w:highlight w:val="none"/>
        </w:rPr>
        <w:t>3.5.7“拟投入本项目的主要试验检测仪器设备表”应填报满足本章第 1.4.1 项规定的试验检测仪器设备。</w:t>
      </w:r>
    </w:p>
    <w:p>
      <w:pPr>
        <w:spacing w:line="360" w:lineRule="auto"/>
        <w:ind w:firstLine="440" w:firstLineChars="200"/>
        <w:rPr>
          <w:color w:val="auto"/>
          <w:highlight w:val="none"/>
        </w:rPr>
      </w:pPr>
      <w:r>
        <w:rPr>
          <w:rFonts w:hint="eastAsia"/>
          <w:strike/>
          <w:color w:val="auto"/>
          <w:highlight w:val="none"/>
        </w:rPr>
        <w:t>3.5.8投标人须知前附表规定接受联合体投标的，本章第 3.5.1 项至第 3.5.7 项规定的表格和资料应包括联合体各方相关情况。</w:t>
      </w:r>
    </w:p>
    <w:p>
      <w:pPr>
        <w:spacing w:line="360" w:lineRule="auto"/>
        <w:rPr>
          <w:color w:val="auto"/>
          <w:highlight w:val="none"/>
        </w:rPr>
      </w:pPr>
      <w:r>
        <w:rPr>
          <w:rFonts w:hint="eastAsia" w:cs="Times New Roman"/>
          <w:b/>
          <w:bCs/>
          <w:color w:val="auto"/>
          <w:kern w:val="2"/>
          <w:sz w:val="28"/>
          <w:szCs w:val="28"/>
          <w:highlight w:val="none"/>
          <w:lang w:val="en-US" w:bidi="ar-SA"/>
        </w:rPr>
        <w:t>3.6备选投标方案</w:t>
      </w:r>
    </w:p>
    <w:p>
      <w:pPr>
        <w:spacing w:line="360" w:lineRule="auto"/>
        <w:ind w:firstLine="440" w:firstLineChars="200"/>
        <w:rPr>
          <w:color w:val="auto"/>
          <w:highlight w:val="none"/>
        </w:rPr>
      </w:pPr>
      <w:r>
        <w:rPr>
          <w:rFonts w:hint="eastAsia"/>
          <w:color w:val="auto"/>
          <w:highlight w:val="none"/>
        </w:rPr>
        <w:t>3.6.1除投标人须知前附表规定允许外，投标人不得递交备选投标方案，否则其投标将被否决。</w:t>
      </w:r>
    </w:p>
    <w:p>
      <w:pPr>
        <w:spacing w:line="360" w:lineRule="auto"/>
        <w:ind w:firstLine="440" w:firstLineChars="200"/>
        <w:rPr>
          <w:strike/>
          <w:color w:val="auto"/>
          <w:highlight w:val="none"/>
        </w:rPr>
      </w:pPr>
      <w:r>
        <w:rPr>
          <w:rFonts w:hint="eastAsia"/>
          <w:strike/>
          <w:color w:val="auto"/>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40" w:firstLineChars="200"/>
        <w:rPr>
          <w:color w:val="auto"/>
          <w:highlight w:val="none"/>
        </w:rPr>
      </w:pPr>
      <w:r>
        <w:rPr>
          <w:rFonts w:hint="eastAsia"/>
          <w:strike/>
          <w:color w:val="auto"/>
          <w:highlight w:val="none"/>
        </w:rPr>
        <w:t>3.6.3投标人提供两个或两个以上投标报价，或者在投标文件中提供一个报价，但同时提供两个或两个以上监理方案的，视为提供备选方案。</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3.7投标文件的编制</w:t>
      </w:r>
    </w:p>
    <w:p>
      <w:pPr>
        <w:spacing w:line="360" w:lineRule="auto"/>
        <w:ind w:firstLine="440" w:firstLineChars="200"/>
        <w:rPr>
          <w:color w:val="auto"/>
          <w:highlight w:val="none"/>
        </w:rPr>
      </w:pPr>
      <w:r>
        <w:rPr>
          <w:rFonts w:hint="eastAsia"/>
          <w:color w:val="auto"/>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40" w:firstLineChars="200"/>
        <w:rPr>
          <w:color w:val="auto"/>
          <w:highlight w:val="none"/>
        </w:rPr>
      </w:pPr>
      <w:r>
        <w:rPr>
          <w:rFonts w:hint="eastAsia"/>
          <w:color w:val="auto"/>
          <w:highlight w:val="none"/>
        </w:rPr>
        <w:t>3.7.2投标文件应当对招标文件有关监理服务期限、投标有效期、委托人要求、招标范围等实质性内容作出响应。</w:t>
      </w:r>
    </w:p>
    <w:p>
      <w:pPr>
        <w:spacing w:line="360" w:lineRule="auto"/>
        <w:ind w:firstLine="440" w:firstLineChars="200"/>
        <w:rPr>
          <w:strike/>
          <w:color w:val="auto"/>
          <w:highlight w:val="none"/>
        </w:rPr>
      </w:pPr>
      <w:r>
        <w:rPr>
          <w:rFonts w:hint="eastAsia"/>
          <w:strike/>
          <w:color w:val="auto"/>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40" w:firstLineChars="200"/>
        <w:rPr>
          <w:strike/>
          <w:color w:val="auto"/>
          <w:highlight w:val="none"/>
        </w:rPr>
      </w:pPr>
      <w:r>
        <w:rPr>
          <w:rFonts w:hint="eastAsia"/>
          <w:strike/>
          <w:color w:val="auto"/>
          <w:highlight w:val="none"/>
        </w:rPr>
        <w:t>（2）投标文件正本一份，副本份数见投标人须知前附表。正本和副本的封面右上角上应 清楚地标记“正本”或“副本”的字样。投标人应根据投标人须知前附表要求提供电子版文件。当副本和正本不一致或电子版文件和纸质正本文件不一致时，以纸质正本文件为准。</w:t>
      </w:r>
    </w:p>
    <w:p>
      <w:pPr>
        <w:spacing w:line="360" w:lineRule="auto"/>
        <w:ind w:firstLine="440" w:firstLineChars="200"/>
        <w:rPr>
          <w:color w:val="auto"/>
          <w:highlight w:val="none"/>
        </w:rPr>
      </w:pPr>
      <w:r>
        <w:rPr>
          <w:rFonts w:hint="eastAsia"/>
          <w:strike/>
          <w:color w:val="auto"/>
          <w:highlight w:val="none"/>
        </w:rPr>
        <w:t>（3）投标文件的正本与副本应分别装订，并编制目录，投标文件需分册装订的，具体分 册装订要求见投标人须知前附表规定。</w:t>
      </w:r>
    </w:p>
    <w:p>
      <w:pPr>
        <w:spacing w:line="360" w:lineRule="auto"/>
        <w:ind w:firstLine="440" w:firstLineChars="200"/>
        <w:rPr>
          <w:color w:val="auto"/>
          <w:highlight w:val="none"/>
        </w:rPr>
      </w:pPr>
      <w:r>
        <w:rPr>
          <w:rFonts w:hint="eastAsia"/>
          <w:color w:val="auto"/>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4.投标</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4.1投标文件的密封和标记</w:t>
      </w:r>
    </w:p>
    <w:p>
      <w:pPr>
        <w:spacing w:line="360" w:lineRule="auto"/>
        <w:ind w:firstLine="440" w:firstLineChars="200"/>
        <w:rPr>
          <w:color w:val="auto"/>
          <w:highlight w:val="none"/>
        </w:rPr>
      </w:pPr>
      <w:r>
        <w:rPr>
          <w:rFonts w:hint="eastAsia"/>
          <w:strike/>
          <w:color w:val="auto"/>
          <w:highlight w:val="none"/>
        </w:rPr>
        <w:t>4.1.1（A）投标文件应密封包装，并在封套的封口处加盖投标人单位章或由投标人的法定代表人或其授权的代理人签字。</w:t>
      </w:r>
    </w:p>
    <w:p>
      <w:pPr>
        <w:spacing w:line="360" w:lineRule="auto"/>
        <w:ind w:firstLine="440" w:firstLineChars="200"/>
        <w:rPr>
          <w:color w:val="auto"/>
          <w:highlight w:val="none"/>
        </w:rPr>
      </w:pPr>
      <w:r>
        <w:rPr>
          <w:rFonts w:hint="eastAsia"/>
          <w:color w:val="auto"/>
          <w:highlight w:val="none"/>
        </w:rPr>
        <w:t>4.1.1（B）投标人应当按照招标文件和电子招标投标交易平台的要求加密投标文件，具体要求见投标人须知前附表。</w:t>
      </w:r>
    </w:p>
    <w:p>
      <w:pPr>
        <w:spacing w:line="360" w:lineRule="auto"/>
        <w:ind w:firstLine="440" w:firstLineChars="200"/>
        <w:rPr>
          <w:color w:val="auto"/>
          <w:highlight w:val="none"/>
        </w:rPr>
      </w:pPr>
      <w:r>
        <w:rPr>
          <w:rFonts w:hint="eastAsia"/>
          <w:color w:val="auto"/>
          <w:highlight w:val="none"/>
        </w:rPr>
        <w:t>4.1.2投标文件封套上应写明的内容见投标人须知前附表。</w:t>
      </w:r>
    </w:p>
    <w:p>
      <w:pPr>
        <w:spacing w:line="360" w:lineRule="auto"/>
        <w:ind w:firstLine="440" w:firstLineChars="200"/>
        <w:rPr>
          <w:color w:val="auto"/>
          <w:highlight w:val="none"/>
        </w:rPr>
      </w:pPr>
      <w:r>
        <w:rPr>
          <w:rFonts w:hint="eastAsia"/>
          <w:color w:val="auto"/>
          <w:highlight w:val="none"/>
        </w:rPr>
        <w:t>4.1.3未按本章第 4.1.1 项要求密封的投标文件，招标人将予以拒收。</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4.2投标文件的递交</w:t>
      </w:r>
    </w:p>
    <w:p>
      <w:pPr>
        <w:spacing w:line="360" w:lineRule="auto"/>
        <w:ind w:firstLine="440" w:firstLineChars="200"/>
        <w:rPr>
          <w:color w:val="auto"/>
          <w:highlight w:val="none"/>
        </w:rPr>
      </w:pPr>
      <w:r>
        <w:rPr>
          <w:rFonts w:hint="eastAsia"/>
          <w:color w:val="auto"/>
          <w:highlight w:val="none"/>
        </w:rPr>
        <w:t>4.2.1投标人应在投标人须知前附表规定的投标截止时间前递交投标文件。</w:t>
      </w:r>
    </w:p>
    <w:p>
      <w:pPr>
        <w:spacing w:line="360" w:lineRule="auto"/>
        <w:ind w:firstLine="440" w:firstLineChars="200"/>
        <w:rPr>
          <w:color w:val="auto"/>
          <w:highlight w:val="none"/>
        </w:rPr>
      </w:pPr>
      <w:r>
        <w:rPr>
          <w:rFonts w:hint="eastAsia"/>
          <w:strike/>
          <w:color w:val="auto"/>
          <w:highlight w:val="none"/>
        </w:rPr>
        <w:t>4.2.2（A）投标人递交投标文件的地点：见投标人须知前附表。</w:t>
      </w:r>
    </w:p>
    <w:p>
      <w:pPr>
        <w:spacing w:line="360" w:lineRule="auto"/>
        <w:ind w:firstLine="440" w:firstLineChars="200"/>
        <w:rPr>
          <w:color w:val="auto"/>
          <w:highlight w:val="none"/>
        </w:rPr>
      </w:pPr>
      <w:r>
        <w:rPr>
          <w:rFonts w:hint="eastAsia"/>
          <w:color w:val="auto"/>
          <w:highlight w:val="none"/>
        </w:rPr>
        <w:t>4.2.2（B）投标人通过下载招标文件的电子招标投标交易平台递交电子投标文件。</w:t>
      </w:r>
    </w:p>
    <w:p>
      <w:pPr>
        <w:spacing w:line="360" w:lineRule="auto"/>
        <w:ind w:firstLine="440" w:firstLineChars="200"/>
        <w:rPr>
          <w:color w:val="auto"/>
          <w:highlight w:val="none"/>
        </w:rPr>
      </w:pPr>
      <w:r>
        <w:rPr>
          <w:rFonts w:hint="eastAsia"/>
          <w:color w:val="auto"/>
          <w:highlight w:val="none"/>
        </w:rPr>
        <w:t>4.2.3除投标人须知前附表另有规定外，投标人所递交的投标文件不予退还。</w:t>
      </w:r>
    </w:p>
    <w:p>
      <w:pPr>
        <w:spacing w:line="360" w:lineRule="auto"/>
        <w:ind w:firstLine="440" w:firstLineChars="200"/>
        <w:rPr>
          <w:color w:val="auto"/>
          <w:highlight w:val="none"/>
        </w:rPr>
      </w:pPr>
      <w:r>
        <w:rPr>
          <w:rFonts w:hint="eastAsia"/>
          <w:strike/>
          <w:color w:val="auto"/>
          <w:highlight w:val="none"/>
        </w:rPr>
        <w:t>4.2.4（A）招标人收到投标文件后，向投标人出具签收凭证。</w:t>
      </w:r>
    </w:p>
    <w:p>
      <w:pPr>
        <w:spacing w:line="360" w:lineRule="auto"/>
        <w:ind w:firstLine="440" w:firstLineChars="200"/>
        <w:rPr>
          <w:color w:val="auto"/>
          <w:highlight w:val="none"/>
        </w:rPr>
      </w:pPr>
      <w:r>
        <w:rPr>
          <w:rFonts w:hint="eastAsia"/>
          <w:color w:val="auto"/>
          <w:highlight w:val="none"/>
        </w:rPr>
        <w:t>4.2.4（B）投标人完成电子投标文件上传后，电子招标投标交易平台即时向投标人发出递交回执通知。递交时间以递交回执通知载明的传输完成时间为准。</w:t>
      </w:r>
    </w:p>
    <w:p>
      <w:pPr>
        <w:spacing w:line="360" w:lineRule="auto"/>
        <w:ind w:firstLine="440" w:firstLineChars="200"/>
        <w:rPr>
          <w:strike/>
          <w:color w:val="auto"/>
          <w:highlight w:val="none"/>
        </w:rPr>
      </w:pPr>
      <w:r>
        <w:rPr>
          <w:rFonts w:hint="eastAsia"/>
          <w:strike/>
          <w:color w:val="auto"/>
          <w:highlight w:val="none"/>
        </w:rPr>
        <w:t>4.2.5（A）逾期送达的投标文件，招标人将予以拒收。</w:t>
      </w:r>
    </w:p>
    <w:p>
      <w:pPr>
        <w:spacing w:line="360" w:lineRule="auto"/>
        <w:ind w:firstLine="440" w:firstLineChars="200"/>
        <w:rPr>
          <w:color w:val="auto"/>
          <w:highlight w:val="none"/>
        </w:rPr>
      </w:pPr>
      <w:r>
        <w:rPr>
          <w:rFonts w:hint="eastAsia"/>
          <w:color w:val="auto"/>
          <w:highlight w:val="none"/>
        </w:rPr>
        <w:t>4.2.5（B）逾期送达的投标文件，电子招标投标交易平台将予以拒收。</w:t>
      </w:r>
    </w:p>
    <w:p>
      <w:pPr>
        <w:pStyle w:val="10"/>
        <w:kinsoku w:val="0"/>
        <w:overflowPunct w:val="0"/>
        <w:spacing w:line="360" w:lineRule="auto"/>
        <w:ind w:firstLine="440" w:firstLineChars="200"/>
        <w:rPr>
          <w:color w:val="auto"/>
          <w:sz w:val="22"/>
          <w:szCs w:val="22"/>
          <w:highlight w:val="none"/>
          <w:u w:val="single"/>
        </w:rPr>
      </w:pPr>
      <w:r>
        <w:rPr>
          <w:rFonts w:hint="eastAsia"/>
          <w:color w:val="auto"/>
          <w:sz w:val="22"/>
          <w:szCs w:val="22"/>
          <w:highlight w:val="none"/>
          <w:u w:val="single"/>
        </w:rPr>
        <w:t>电子投标文件若出现以下情况之一的，招标人将否决其投标：</w:t>
      </w:r>
    </w:p>
    <w:p>
      <w:pPr>
        <w:pStyle w:val="10"/>
        <w:kinsoku w:val="0"/>
        <w:overflowPunct w:val="0"/>
        <w:spacing w:line="360" w:lineRule="auto"/>
        <w:ind w:firstLine="220" w:firstLineChars="100"/>
        <w:rPr>
          <w:color w:val="auto"/>
          <w:sz w:val="22"/>
          <w:szCs w:val="22"/>
          <w:highlight w:val="none"/>
          <w:u w:val="single"/>
        </w:rPr>
      </w:pPr>
      <w:r>
        <w:rPr>
          <w:rFonts w:hint="eastAsia"/>
          <w:color w:val="auto"/>
          <w:sz w:val="22"/>
          <w:szCs w:val="22"/>
          <w:highlight w:val="none"/>
          <w:u w:val="single"/>
        </w:rPr>
        <w:t>A.电子投标文件未在投标截止时间前成功上传并保存在交易中心数字交易平台；</w:t>
      </w:r>
    </w:p>
    <w:p>
      <w:pPr>
        <w:pStyle w:val="10"/>
        <w:kinsoku w:val="0"/>
        <w:overflowPunct w:val="0"/>
        <w:spacing w:line="360" w:lineRule="auto"/>
        <w:ind w:firstLine="220" w:firstLineChars="100"/>
        <w:rPr>
          <w:color w:val="auto"/>
          <w:sz w:val="22"/>
          <w:szCs w:val="22"/>
          <w:highlight w:val="none"/>
          <w:u w:val="single"/>
        </w:rPr>
      </w:pPr>
      <w:r>
        <w:rPr>
          <w:rFonts w:hint="eastAsia"/>
          <w:color w:val="auto"/>
          <w:sz w:val="22"/>
          <w:szCs w:val="22"/>
          <w:highlight w:val="none"/>
          <w:u w:val="single"/>
        </w:rPr>
        <w:t>B.因投标人原因造成电子投标文件未解密或逾期解密的；</w:t>
      </w:r>
    </w:p>
    <w:p>
      <w:pPr>
        <w:pStyle w:val="10"/>
        <w:kinsoku w:val="0"/>
        <w:overflowPunct w:val="0"/>
        <w:spacing w:line="360" w:lineRule="auto"/>
        <w:ind w:firstLine="220" w:firstLineChars="100"/>
        <w:rPr>
          <w:color w:val="auto"/>
          <w:sz w:val="22"/>
          <w:szCs w:val="22"/>
          <w:highlight w:val="none"/>
          <w:u w:val="single"/>
        </w:rPr>
      </w:pPr>
      <w:r>
        <w:rPr>
          <w:rFonts w:hint="eastAsia"/>
          <w:color w:val="auto"/>
          <w:sz w:val="22"/>
          <w:szCs w:val="22"/>
          <w:highlight w:val="none"/>
          <w:u w:val="single"/>
        </w:rPr>
        <w:t>C</w:t>
      </w:r>
      <w:r>
        <w:rPr>
          <w:rFonts w:hint="eastAsia"/>
          <w:color w:val="auto"/>
          <w:sz w:val="22"/>
          <w:szCs w:val="22"/>
          <w:highlight w:val="none"/>
          <w:u w:val="single"/>
        </w:rPr>
        <w:t xml:space="preserve"> </w:t>
      </w:r>
      <w:r>
        <w:rPr>
          <w:rFonts w:hint="eastAsia"/>
          <w:color w:val="auto"/>
          <w:sz w:val="22"/>
          <w:szCs w:val="22"/>
          <w:highlight w:val="none"/>
          <w:u w:val="single"/>
        </w:rPr>
        <w:t>.两个（含两个）以上的投标人加密打包的电子投标文件电脑机器码一致的；</w:t>
      </w:r>
    </w:p>
    <w:p>
      <w:pPr>
        <w:pStyle w:val="10"/>
        <w:kinsoku w:val="0"/>
        <w:overflowPunct w:val="0"/>
        <w:spacing w:line="360" w:lineRule="auto"/>
        <w:ind w:firstLine="220" w:firstLineChars="100"/>
        <w:rPr>
          <w:color w:val="auto"/>
          <w:sz w:val="22"/>
          <w:szCs w:val="22"/>
          <w:highlight w:val="none"/>
          <w:u w:val="single"/>
        </w:rPr>
      </w:pPr>
      <w:r>
        <w:rPr>
          <w:rFonts w:hint="eastAsia"/>
          <w:color w:val="auto"/>
          <w:sz w:val="22"/>
          <w:szCs w:val="22"/>
          <w:highlight w:val="none"/>
          <w:u w:val="single"/>
        </w:rPr>
        <w:t xml:space="preserve">D </w:t>
      </w:r>
      <w:r>
        <w:rPr>
          <w:rFonts w:hint="eastAsia"/>
          <w:color w:val="auto"/>
          <w:sz w:val="22"/>
          <w:szCs w:val="22"/>
          <w:highlight w:val="none"/>
          <w:u w:val="single"/>
        </w:rPr>
        <w:t>.投标文件中的投标人、项目负责人（总监理工程师）与投标登记时的信息不一致的；</w:t>
      </w:r>
    </w:p>
    <w:p>
      <w:pPr>
        <w:pStyle w:val="10"/>
        <w:kinsoku w:val="0"/>
        <w:overflowPunct w:val="0"/>
        <w:spacing w:line="360" w:lineRule="auto"/>
        <w:ind w:firstLine="440" w:firstLineChars="200"/>
        <w:rPr>
          <w:color w:val="auto"/>
          <w:sz w:val="22"/>
          <w:szCs w:val="22"/>
          <w:highlight w:val="none"/>
          <w:u w:val="single"/>
        </w:rPr>
      </w:pPr>
      <w:r>
        <w:rPr>
          <w:rFonts w:hint="eastAsia"/>
          <w:color w:val="auto"/>
          <w:sz w:val="22"/>
          <w:szCs w:val="22"/>
          <w:highlight w:val="none"/>
          <w:u w:val="single"/>
        </w:rPr>
        <w:t>4.2.6投标文件的解密</w:t>
      </w:r>
    </w:p>
    <w:p>
      <w:pPr>
        <w:pStyle w:val="10"/>
        <w:kinsoku w:val="0"/>
        <w:overflowPunct w:val="0"/>
        <w:spacing w:line="360" w:lineRule="auto"/>
        <w:ind w:firstLine="440" w:firstLineChars="200"/>
        <w:rPr>
          <w:color w:val="auto"/>
          <w:sz w:val="22"/>
          <w:szCs w:val="22"/>
          <w:highlight w:val="none"/>
          <w:u w:val="single"/>
        </w:rPr>
      </w:pPr>
      <w:r>
        <w:rPr>
          <w:rFonts w:hint="eastAsia"/>
          <w:color w:val="auto"/>
          <w:sz w:val="22"/>
          <w:szCs w:val="22"/>
          <w:highlight w:val="none"/>
          <w:u w:val="single"/>
        </w:rPr>
        <w:t>（1）递交投标文件截止时间到达后的半小时内为投标人对电子投标文件解密时间。</w:t>
      </w:r>
    </w:p>
    <w:p>
      <w:pPr>
        <w:pStyle w:val="7"/>
        <w:spacing w:line="360" w:lineRule="auto"/>
        <w:rPr>
          <w:color w:val="auto"/>
          <w:szCs w:val="22"/>
          <w:highlight w:val="none"/>
        </w:rPr>
      </w:pPr>
      <w:r>
        <w:rPr>
          <w:rFonts w:hint="eastAsia"/>
          <w:color w:val="auto"/>
          <w:szCs w:val="22"/>
          <w:highlight w:val="none"/>
          <w:u w:val="single"/>
        </w:rPr>
        <w:t>（2）投标人须在规定解密时间内使用制作该投标文件袋机构业务数字证书对投标文件进行解密。逾期未解密的电子投标文件将被否决。</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4.3投标文件的修改与撤回</w:t>
      </w:r>
    </w:p>
    <w:p>
      <w:pPr>
        <w:spacing w:line="360" w:lineRule="auto"/>
        <w:ind w:firstLine="440" w:firstLineChars="200"/>
        <w:rPr>
          <w:color w:val="auto"/>
          <w:highlight w:val="none"/>
        </w:rPr>
      </w:pPr>
      <w:r>
        <w:rPr>
          <w:rFonts w:hint="eastAsia"/>
          <w:color w:val="auto"/>
          <w:highlight w:val="none"/>
        </w:rPr>
        <w:t>4.3.1在本章第 4.2.1 项规定的投标截止时间前，投标人可以修改或撤回已递交的投标文件， 但应以书面形式通知招标人。</w:t>
      </w:r>
    </w:p>
    <w:p>
      <w:pPr>
        <w:spacing w:line="360" w:lineRule="auto"/>
        <w:ind w:firstLine="440" w:firstLineChars="200"/>
        <w:rPr>
          <w:strike/>
          <w:color w:val="auto"/>
          <w:highlight w:val="none"/>
        </w:rPr>
      </w:pPr>
      <w:r>
        <w:rPr>
          <w:rFonts w:hint="eastAsia"/>
          <w:strike/>
          <w:color w:val="auto"/>
          <w:highlight w:val="none"/>
        </w:rPr>
        <w:t>4.3.2（A）投标人修改或撤回已递交投标文件的书面通知应按照本章第 3.7.3（A）项的要求签字或盖章。招标人收到书面通知后，向投标人出具签收凭证。</w:t>
      </w:r>
    </w:p>
    <w:p>
      <w:pPr>
        <w:spacing w:line="360" w:lineRule="auto"/>
        <w:ind w:firstLine="440" w:firstLineChars="200"/>
        <w:rPr>
          <w:color w:val="auto"/>
          <w:highlight w:val="none"/>
        </w:rPr>
      </w:pPr>
      <w:r>
        <w:rPr>
          <w:rFonts w:hint="eastAsia"/>
          <w:color w:val="auto"/>
          <w:highlight w:val="none"/>
        </w:rPr>
        <w:t>4.3.2（B）投标人修改或撤回已递交投标文件的通知，应按照本章第 3.7.3（B）项的要求加盖电子印章。电子招标投标交易平台收到通知后，即时向投标人发出确认回执通知。</w:t>
      </w:r>
    </w:p>
    <w:p>
      <w:pPr>
        <w:spacing w:line="360" w:lineRule="auto"/>
        <w:ind w:firstLine="440" w:firstLineChars="200"/>
        <w:rPr>
          <w:strike/>
          <w:color w:val="auto"/>
          <w:highlight w:val="none"/>
        </w:rPr>
      </w:pPr>
      <w:r>
        <w:rPr>
          <w:rFonts w:hint="eastAsia"/>
          <w:strike/>
          <w:color w:val="auto"/>
          <w:highlight w:val="none"/>
        </w:rPr>
        <w:t>4.3.3投标人撤回投标文件的，招标人自收到投标人书面撤回通知之日起 5 日内退还已收取的投标保证金。</w:t>
      </w:r>
    </w:p>
    <w:p>
      <w:pPr>
        <w:spacing w:line="360" w:lineRule="auto"/>
        <w:ind w:firstLine="440" w:firstLineChars="200"/>
        <w:rPr>
          <w:color w:val="auto"/>
          <w:highlight w:val="none"/>
        </w:rPr>
      </w:pPr>
      <w:r>
        <w:rPr>
          <w:rFonts w:hint="eastAsia"/>
          <w:color w:val="auto"/>
          <w:highlight w:val="none"/>
        </w:rPr>
        <w:t>4.3.4修改的内容为投标文件的组成部分。修改的投标文件应按照本章第 3 条、第 4 条的规定进行编制、密封、标记和递交，并标明“修改”字样。</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5.开标</w:t>
      </w:r>
    </w:p>
    <w:p>
      <w:pPr>
        <w:spacing w:line="360" w:lineRule="auto"/>
        <w:rPr>
          <w:strike/>
          <w:color w:val="auto"/>
          <w:highlight w:val="none"/>
        </w:rPr>
      </w:pPr>
      <w:r>
        <w:rPr>
          <w:rFonts w:hint="eastAsia" w:cs="Times New Roman"/>
          <w:b/>
          <w:bCs/>
          <w:strike/>
          <w:color w:val="auto"/>
          <w:kern w:val="2"/>
          <w:sz w:val="28"/>
          <w:szCs w:val="28"/>
          <w:highlight w:val="none"/>
          <w:lang w:val="en-US" w:bidi="ar-SA"/>
        </w:rPr>
        <w:t>5.1开标时间和地点（A）</w:t>
      </w:r>
    </w:p>
    <w:p>
      <w:pPr>
        <w:spacing w:line="360" w:lineRule="auto"/>
        <w:ind w:firstLine="440" w:firstLineChars="200"/>
        <w:rPr>
          <w:color w:val="auto"/>
          <w:highlight w:val="none"/>
        </w:rPr>
      </w:pPr>
      <w:r>
        <w:rPr>
          <w:rFonts w:hint="eastAsia"/>
          <w:strike/>
          <w:color w:val="auto"/>
          <w:highlight w:val="none"/>
        </w:rPr>
        <w:t>招标人在本章第 4.2.1 项规定的投标截止时间（开标时间）和投标人须知前附表规定的地点公开开标，并邀请所有投标人的法定代表人或其委托代理人准时参加。</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5.1开标时间和地点（B）</w:t>
      </w:r>
    </w:p>
    <w:p>
      <w:pPr>
        <w:spacing w:line="360" w:lineRule="auto"/>
        <w:ind w:firstLine="440" w:firstLineChars="200"/>
        <w:rPr>
          <w:color w:val="auto"/>
          <w:highlight w:val="none"/>
        </w:rPr>
      </w:pPr>
      <w:r>
        <w:rPr>
          <w:rFonts w:hint="eastAsia"/>
          <w:color w:val="auto"/>
          <w:highlight w:val="none"/>
        </w:rPr>
        <w:t>招标人在本章第 4.2.1 项规定的投标截止时间（开标时间）,通过</w:t>
      </w:r>
      <w:r>
        <w:rPr>
          <w:rFonts w:hint="eastAsia"/>
          <w:color w:val="auto"/>
          <w:szCs w:val="21"/>
          <w:highlight w:val="none"/>
        </w:rPr>
        <w:t>广州交易集团有限公司（广州公共资源交易中心）</w:t>
      </w:r>
      <w:r>
        <w:rPr>
          <w:rFonts w:hint="eastAsia"/>
          <w:color w:val="auto"/>
          <w:highlight w:val="none"/>
        </w:rPr>
        <w:t>公开开标，</w:t>
      </w:r>
      <w:r>
        <w:rPr>
          <w:color w:val="auto"/>
          <w:highlight w:val="none"/>
          <w:u w:val="single"/>
        </w:rPr>
        <w:t>和投标人须知前附表规定的地点公开开标，并邀请所有投标人的法定代表人或其委托代理人准时参加。</w:t>
      </w:r>
      <w:r>
        <w:rPr>
          <w:rFonts w:hint="eastAsia"/>
          <w:color w:val="auto"/>
          <w:highlight w:val="none"/>
          <w:u w:val="single"/>
        </w:rPr>
        <w:t>投标人</w:t>
      </w:r>
      <w:r>
        <w:rPr>
          <w:color w:val="auto"/>
          <w:highlight w:val="none"/>
          <w:u w:val="single"/>
        </w:rPr>
        <w:t>的法定代表人或其委托代理人</w:t>
      </w:r>
      <w:r>
        <w:rPr>
          <w:rFonts w:hint="eastAsia"/>
          <w:color w:val="auto"/>
          <w:highlight w:val="none"/>
          <w:u w:val="single"/>
        </w:rPr>
        <w:t>有权出席开标会，也可以自主决定不参加开标会。</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5.2开标程序</w:t>
      </w:r>
    </w:p>
    <w:p>
      <w:pPr>
        <w:spacing w:line="360" w:lineRule="auto"/>
        <w:rPr>
          <w:color w:val="auto"/>
          <w:highlight w:val="none"/>
        </w:rPr>
      </w:pPr>
      <w:r>
        <w:rPr>
          <w:rFonts w:hint="eastAsia"/>
          <w:color w:val="auto"/>
          <w:highlight w:val="none"/>
        </w:rPr>
        <w:t>主持人按下列程序进行开标：</w:t>
      </w:r>
    </w:p>
    <w:p>
      <w:pPr>
        <w:spacing w:line="360" w:lineRule="auto"/>
        <w:rPr>
          <w:color w:val="auto"/>
          <w:highlight w:val="none"/>
        </w:rPr>
      </w:pPr>
      <w:r>
        <w:rPr>
          <w:rFonts w:hint="eastAsia"/>
          <w:color w:val="auto"/>
          <w:highlight w:val="none"/>
        </w:rPr>
        <w:t>（1）宣布开标纪律；</w:t>
      </w:r>
    </w:p>
    <w:p>
      <w:pPr>
        <w:spacing w:line="360" w:lineRule="auto"/>
        <w:rPr>
          <w:color w:val="auto"/>
          <w:highlight w:val="none"/>
        </w:rPr>
      </w:pPr>
      <w:r>
        <w:rPr>
          <w:rFonts w:hint="eastAsia"/>
          <w:color w:val="auto"/>
          <w:highlight w:val="none"/>
        </w:rPr>
        <w:t>（2）</w:t>
      </w:r>
      <w:r>
        <w:rPr>
          <w:rFonts w:hint="eastAsia"/>
          <w:color w:val="auto"/>
          <w:szCs w:val="21"/>
          <w:highlight w:val="none"/>
        </w:rPr>
        <w:t>投标人通过电子招标投标交易平台对已递交的电子投标文件进行解密，</w:t>
      </w:r>
      <w:r>
        <w:rPr>
          <w:rFonts w:hint="eastAsia"/>
          <w:color w:val="auto"/>
          <w:highlight w:val="none"/>
        </w:rPr>
        <w:t>公布在投标截止时间前递交投标文件的投标人名称；</w:t>
      </w:r>
    </w:p>
    <w:p>
      <w:pPr>
        <w:spacing w:line="360" w:lineRule="auto"/>
        <w:rPr>
          <w:color w:val="auto"/>
          <w:highlight w:val="none"/>
        </w:rPr>
      </w:pPr>
      <w:r>
        <w:rPr>
          <w:rFonts w:hint="eastAsia"/>
          <w:color w:val="auto"/>
          <w:highlight w:val="none"/>
        </w:rPr>
        <w:t>（3）宣布开标人、唱标人、记录人、监标人等有关人员姓名；</w:t>
      </w:r>
    </w:p>
    <w:p>
      <w:pPr>
        <w:spacing w:line="360" w:lineRule="auto"/>
        <w:rPr>
          <w:color w:val="auto"/>
          <w:highlight w:val="none"/>
        </w:rPr>
      </w:pPr>
      <w:r>
        <w:rPr>
          <w:rFonts w:hint="eastAsia"/>
          <w:strike/>
          <w:color w:val="auto"/>
          <w:highlight w:val="none"/>
        </w:rPr>
        <w:t>（4）（A）检查投标文件的密封情况，按照投标人须知前附表规定的开标顺序当众开标，公布招标项目名称、投标人名称、投标保证金的递交情况、投标报价、监理服务期限及其他内容，并记录在案；</w:t>
      </w:r>
    </w:p>
    <w:p>
      <w:pPr>
        <w:spacing w:line="360" w:lineRule="auto"/>
        <w:rPr>
          <w:color w:val="auto"/>
          <w:highlight w:val="none"/>
        </w:rPr>
      </w:pPr>
      <w:r>
        <w:rPr>
          <w:rFonts w:hint="eastAsia"/>
          <w:color w:val="auto"/>
          <w:highlight w:val="none"/>
        </w:rPr>
        <w:t>（4）（B）</w:t>
      </w:r>
      <w:r>
        <w:rPr>
          <w:rFonts w:hint="eastAsia"/>
          <w:color w:val="auto"/>
          <w:sz w:val="21"/>
          <w:szCs w:val="21"/>
          <w:highlight w:val="none"/>
          <w:lang w:val="en-US"/>
        </w:rPr>
        <w:t>招标人（招标代理）</w:t>
      </w:r>
      <w:r>
        <w:rPr>
          <w:rFonts w:hint="eastAsia"/>
          <w:color w:val="auto"/>
          <w:highlight w:val="none"/>
        </w:rPr>
        <w:t>通过电子招标投标交易平台对已递交的电子投标文件进行解密，公布招标项目名称、投标人名称、</w:t>
      </w:r>
      <w:r>
        <w:rPr>
          <w:rFonts w:hint="eastAsia"/>
          <w:strike/>
          <w:color w:val="auto"/>
          <w:highlight w:val="none"/>
        </w:rPr>
        <w:t>投标保证金的递交情况、</w:t>
      </w:r>
      <w:r>
        <w:rPr>
          <w:rFonts w:hint="eastAsia"/>
          <w:color w:val="auto"/>
          <w:highlight w:val="none"/>
        </w:rPr>
        <w:t>投标报价、监理服务期限及其他内容，并记录在案；</w:t>
      </w:r>
    </w:p>
    <w:p>
      <w:pPr>
        <w:spacing w:line="360" w:lineRule="auto"/>
        <w:rPr>
          <w:color w:val="auto"/>
          <w:highlight w:val="none"/>
        </w:rPr>
      </w:pPr>
      <w:r>
        <w:rPr>
          <w:rFonts w:hint="eastAsia"/>
          <w:strike/>
          <w:color w:val="auto"/>
          <w:highlight w:val="none"/>
        </w:rPr>
        <w:t>（5）（A）投标人代表、招标人代表、监标人、记录人等有关人员在开标记录上签字确认；</w:t>
      </w:r>
    </w:p>
    <w:p>
      <w:pPr>
        <w:spacing w:line="360" w:lineRule="auto"/>
        <w:rPr>
          <w:color w:val="auto"/>
          <w:highlight w:val="none"/>
        </w:rPr>
      </w:pPr>
      <w:r>
        <w:rPr>
          <w:rFonts w:hint="eastAsia"/>
          <w:color w:val="auto"/>
          <w:highlight w:val="none"/>
        </w:rPr>
        <w:t>（5）（B）投标人代表、招标人代表、监标人、记录人等有关人员使用本人的电子印章在开标记录上签字确认；</w:t>
      </w:r>
    </w:p>
    <w:p>
      <w:pPr>
        <w:spacing w:line="360" w:lineRule="auto"/>
        <w:rPr>
          <w:color w:val="auto"/>
          <w:highlight w:val="none"/>
        </w:rPr>
      </w:pPr>
      <w:r>
        <w:rPr>
          <w:rFonts w:hint="eastAsia"/>
          <w:color w:val="auto"/>
          <w:highlight w:val="none"/>
        </w:rPr>
        <w:t>（6）开标结束。</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5.3开标异议</w:t>
      </w:r>
    </w:p>
    <w:p>
      <w:pPr>
        <w:spacing w:line="360" w:lineRule="auto"/>
        <w:rPr>
          <w:color w:val="auto"/>
          <w:highlight w:val="none"/>
        </w:rPr>
      </w:pPr>
      <w:r>
        <w:rPr>
          <w:rFonts w:hint="eastAsia"/>
          <w:color w:val="auto"/>
          <w:highlight w:val="none"/>
        </w:rPr>
        <w:t>5.3.1 开标时，投标人代表有权出席开标会，也可以自主决定不参加开标会，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招标人授权招标代理机构工作人员使用招标代理机构数字证书登录交易平台答复异议，异议答复是招标人真实意思表示。未答复的，开标程序不得结束。</w:t>
      </w:r>
    </w:p>
    <w:p>
      <w:pPr>
        <w:spacing w:line="360" w:lineRule="auto"/>
        <w:rPr>
          <w:color w:val="auto"/>
          <w:highlight w:val="none"/>
        </w:rPr>
      </w:pPr>
      <w:r>
        <w:rPr>
          <w:rFonts w:hint="eastAsia"/>
          <w:color w:val="auto"/>
          <w:highlight w:val="none"/>
        </w:rPr>
        <w:t>5.3.2投标人未参加开标或在规定的时间内未提出异议的，视为对开标无异议。</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6.评标</w:t>
      </w:r>
    </w:p>
    <w:p>
      <w:pPr>
        <w:spacing w:line="360" w:lineRule="auto"/>
        <w:rPr>
          <w:color w:val="auto"/>
          <w:highlight w:val="none"/>
        </w:rPr>
      </w:pPr>
      <w:r>
        <w:rPr>
          <w:rFonts w:hint="eastAsia" w:cs="Times New Roman"/>
          <w:b/>
          <w:bCs/>
          <w:color w:val="auto"/>
          <w:kern w:val="2"/>
          <w:sz w:val="28"/>
          <w:szCs w:val="28"/>
          <w:highlight w:val="none"/>
          <w:lang w:val="en-US" w:bidi="ar-SA"/>
        </w:rPr>
        <w:t>6.1评标委员会</w:t>
      </w:r>
    </w:p>
    <w:p>
      <w:pPr>
        <w:spacing w:line="360" w:lineRule="auto"/>
        <w:ind w:firstLine="440" w:firstLineChars="200"/>
        <w:rPr>
          <w:color w:val="auto"/>
          <w:highlight w:val="none"/>
        </w:rPr>
      </w:pPr>
      <w:r>
        <w:rPr>
          <w:rFonts w:hint="eastAsia"/>
          <w:color w:val="auto"/>
          <w:highlight w:val="none"/>
        </w:rPr>
        <w:t>6.1.1评标由招标人依法组建的评标委员会负责。</w:t>
      </w:r>
      <w:r>
        <w:rPr>
          <w:rFonts w:hint="eastAsia"/>
          <w:color w:val="auto"/>
          <w:highlight w:val="none"/>
          <w:u w:val="single"/>
        </w:rPr>
        <w:t>评标委员会由广东省综合评标评审专家库有关技术、经济等方面的专家组成。</w:t>
      </w:r>
      <w:r>
        <w:rPr>
          <w:rFonts w:hint="eastAsia"/>
          <w:color w:val="auto"/>
          <w:highlight w:val="none"/>
        </w:rPr>
        <w:t>评标委员会成员人数以及技术、经济等方面专家的确定方式见投标人须知前附表。</w:t>
      </w:r>
    </w:p>
    <w:p>
      <w:pPr>
        <w:spacing w:line="360" w:lineRule="auto"/>
        <w:ind w:firstLine="440" w:firstLineChars="200"/>
        <w:rPr>
          <w:color w:val="auto"/>
          <w:highlight w:val="none"/>
        </w:rPr>
      </w:pPr>
      <w:r>
        <w:rPr>
          <w:rFonts w:hint="eastAsia"/>
          <w:color w:val="auto"/>
          <w:highlight w:val="none"/>
        </w:rPr>
        <w:t>6.1.</w:t>
      </w:r>
      <w:r>
        <w:rPr>
          <w:rFonts w:hint="eastAsia"/>
          <w:color w:val="auto"/>
          <w:highlight w:val="none"/>
          <w:lang w:val="en-US"/>
        </w:rPr>
        <w:t>2</w:t>
      </w:r>
      <w:r>
        <w:rPr>
          <w:rFonts w:hint="eastAsia"/>
          <w:color w:val="auto"/>
          <w:highlight w:val="none"/>
        </w:rPr>
        <w:t>评标委员会在开始评标前，应了解评标专家的职责及守则，认真阅读</w:t>
      </w:r>
      <w:r>
        <w:rPr>
          <w:rFonts w:hint="eastAsia"/>
          <w:color w:val="auto"/>
          <w:highlight w:val="none"/>
          <w:lang w:val="en-US"/>
        </w:rPr>
        <w:t>本章附件二</w:t>
      </w:r>
      <w:r>
        <w:rPr>
          <w:rFonts w:hint="eastAsia"/>
          <w:color w:val="auto"/>
          <w:highlight w:val="none"/>
        </w:rPr>
        <w:t>《评标委员会成员声明》的内容并签名，签字后方可进行评标；</w:t>
      </w:r>
    </w:p>
    <w:p>
      <w:pPr>
        <w:spacing w:line="360" w:lineRule="auto"/>
        <w:ind w:firstLine="440" w:firstLineChars="200"/>
        <w:rPr>
          <w:color w:val="auto"/>
          <w:highlight w:val="none"/>
        </w:rPr>
      </w:pPr>
      <w:r>
        <w:rPr>
          <w:rFonts w:hint="eastAsia"/>
          <w:color w:val="auto"/>
          <w:highlight w:val="none"/>
        </w:rPr>
        <w:t>6.1.</w:t>
      </w:r>
      <w:r>
        <w:rPr>
          <w:rFonts w:hint="eastAsia"/>
          <w:color w:val="auto"/>
          <w:highlight w:val="none"/>
          <w:lang w:val="en-US"/>
        </w:rPr>
        <w:t>3</w:t>
      </w:r>
      <w:r>
        <w:rPr>
          <w:rFonts w:hint="eastAsia"/>
          <w:color w:val="auto"/>
          <w:highlight w:val="none"/>
        </w:rPr>
        <w:t>评标委员会成员有下列情形之一的，应当回避：</w:t>
      </w:r>
    </w:p>
    <w:p>
      <w:pPr>
        <w:spacing w:line="360" w:lineRule="auto"/>
        <w:ind w:firstLine="440" w:firstLineChars="200"/>
        <w:rPr>
          <w:color w:val="auto"/>
          <w:highlight w:val="none"/>
        </w:rPr>
      </w:pPr>
      <w:r>
        <w:rPr>
          <w:rFonts w:hint="eastAsia"/>
          <w:color w:val="auto"/>
          <w:highlight w:val="none"/>
        </w:rPr>
        <w:t>（1）投标人或投标人主要负责人的近亲属；</w:t>
      </w:r>
    </w:p>
    <w:p>
      <w:pPr>
        <w:spacing w:line="360" w:lineRule="auto"/>
        <w:ind w:firstLine="440" w:firstLineChars="200"/>
        <w:rPr>
          <w:color w:val="auto"/>
          <w:highlight w:val="none"/>
        </w:rPr>
      </w:pPr>
      <w:r>
        <w:rPr>
          <w:rFonts w:hint="eastAsia"/>
          <w:color w:val="auto"/>
          <w:highlight w:val="none"/>
        </w:rPr>
        <w:t>（2）项目主管部门或者行政监督部门的人员；</w:t>
      </w:r>
    </w:p>
    <w:p>
      <w:pPr>
        <w:spacing w:line="360" w:lineRule="auto"/>
        <w:ind w:firstLine="440" w:firstLineChars="200"/>
        <w:rPr>
          <w:color w:val="auto"/>
          <w:highlight w:val="none"/>
        </w:rPr>
      </w:pPr>
      <w:r>
        <w:rPr>
          <w:rFonts w:hint="eastAsia"/>
          <w:color w:val="auto"/>
          <w:highlight w:val="none"/>
        </w:rPr>
        <w:t>（3）与投标人有经济利益关系，可能影响对投标公正评审的；</w:t>
      </w:r>
    </w:p>
    <w:p>
      <w:pPr>
        <w:spacing w:line="360" w:lineRule="auto"/>
        <w:ind w:firstLine="440" w:firstLineChars="200"/>
        <w:rPr>
          <w:color w:val="auto"/>
          <w:highlight w:val="none"/>
        </w:rPr>
      </w:pPr>
      <w:r>
        <w:rPr>
          <w:rFonts w:hint="eastAsia"/>
          <w:color w:val="auto"/>
          <w:highlight w:val="none"/>
        </w:rPr>
        <w:t>（4）曾因在招标、评标以及其他与招标投标有关活动中从事违法行为而受过行政处罚或刑事处罚的；</w:t>
      </w:r>
    </w:p>
    <w:p>
      <w:pPr>
        <w:spacing w:line="360" w:lineRule="auto"/>
        <w:ind w:firstLine="440" w:firstLineChars="200"/>
        <w:rPr>
          <w:color w:val="auto"/>
          <w:highlight w:val="none"/>
        </w:rPr>
      </w:pPr>
      <w:r>
        <w:rPr>
          <w:rFonts w:hint="eastAsia"/>
          <w:color w:val="auto"/>
          <w:highlight w:val="none"/>
        </w:rPr>
        <w:t>（5）与投标人有其他利害关系。</w:t>
      </w:r>
    </w:p>
    <w:p>
      <w:pPr>
        <w:spacing w:line="360" w:lineRule="auto"/>
        <w:ind w:firstLine="440" w:firstLineChars="200"/>
        <w:rPr>
          <w:color w:val="auto"/>
          <w:highlight w:val="none"/>
        </w:rPr>
      </w:pPr>
      <w:r>
        <w:rPr>
          <w:rFonts w:hint="eastAsia"/>
          <w:color w:val="auto"/>
          <w:highlight w:val="none"/>
        </w:rPr>
        <w:t>6.1.</w:t>
      </w:r>
      <w:r>
        <w:rPr>
          <w:rFonts w:hint="eastAsia"/>
          <w:color w:val="auto"/>
          <w:highlight w:val="none"/>
          <w:lang w:val="en-US"/>
        </w:rPr>
        <w:t>4</w:t>
      </w:r>
      <w:r>
        <w:rPr>
          <w:rFonts w:hint="eastAsia"/>
          <w:color w:val="auto"/>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6.2评标原则</w:t>
      </w:r>
    </w:p>
    <w:p>
      <w:pPr>
        <w:spacing w:line="360" w:lineRule="auto"/>
        <w:rPr>
          <w:color w:val="auto"/>
          <w:highlight w:val="none"/>
        </w:rPr>
      </w:pPr>
      <w:r>
        <w:rPr>
          <w:rFonts w:hint="eastAsia"/>
          <w:color w:val="auto"/>
          <w:highlight w:val="none"/>
        </w:rPr>
        <w:t>评标活动遵循公平、公正、科学和择优的原则。</w:t>
      </w:r>
    </w:p>
    <w:p>
      <w:pPr>
        <w:spacing w:line="360" w:lineRule="auto"/>
        <w:rPr>
          <w:color w:val="auto"/>
          <w:highlight w:val="none"/>
        </w:rPr>
      </w:pPr>
      <w:r>
        <w:rPr>
          <w:rFonts w:hint="eastAsia" w:cs="Times New Roman"/>
          <w:b/>
          <w:bCs/>
          <w:color w:val="auto"/>
          <w:kern w:val="2"/>
          <w:sz w:val="28"/>
          <w:szCs w:val="28"/>
          <w:highlight w:val="none"/>
          <w:lang w:val="en-US" w:bidi="ar-SA"/>
        </w:rPr>
        <w:t>6.3评标</w:t>
      </w:r>
    </w:p>
    <w:p>
      <w:pPr>
        <w:spacing w:line="360" w:lineRule="auto"/>
        <w:ind w:firstLine="440" w:firstLineChars="200"/>
        <w:rPr>
          <w:color w:val="auto"/>
          <w:highlight w:val="none"/>
        </w:rPr>
      </w:pPr>
      <w:r>
        <w:rPr>
          <w:rFonts w:hint="eastAsia"/>
          <w:color w:val="auto"/>
          <w:highlight w:val="none"/>
        </w:rPr>
        <w:t>6.3.1评标委员会按照第三章“评标办法”规定的方法、评审因素、标准和程序对投标文件进行评审。第三章“评标办法”没有规定的方法、评审因素和标准，不作为评标依据。</w:t>
      </w:r>
    </w:p>
    <w:p>
      <w:pPr>
        <w:spacing w:line="360" w:lineRule="auto"/>
        <w:ind w:firstLine="440" w:firstLineChars="200"/>
        <w:rPr>
          <w:color w:val="auto"/>
          <w:highlight w:val="none"/>
        </w:rPr>
      </w:pPr>
      <w:r>
        <w:rPr>
          <w:rFonts w:hint="eastAsia"/>
          <w:color w:val="auto"/>
          <w:highlight w:val="none"/>
        </w:rPr>
        <w:t>6.3.2评标完成后，评标委员会应当向招标人提交书面评标报告和中标候选人名单。评标委员会推荐中标候选人的人数见投标人须知前附表。</w:t>
      </w:r>
    </w:p>
    <w:p>
      <w:pPr>
        <w:pStyle w:val="7"/>
        <w:spacing w:line="360" w:lineRule="auto"/>
        <w:rPr>
          <w:color w:val="auto"/>
          <w:highlight w:val="none"/>
        </w:rPr>
      </w:pPr>
      <w:r>
        <w:rPr>
          <w:rFonts w:hint="eastAsia"/>
          <w:color w:val="auto"/>
          <w:highlight w:val="none"/>
          <w:u w:val="single"/>
        </w:rPr>
        <w:t>在电子评标过程中，无论遇到任何系统异常或故障，评标委员会均应出具评标报告。</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7.合同授予</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7.1中标候选人公示</w:t>
      </w:r>
    </w:p>
    <w:p>
      <w:pPr>
        <w:spacing w:line="360" w:lineRule="auto"/>
        <w:ind w:firstLine="440" w:firstLineChars="200"/>
        <w:rPr>
          <w:color w:val="auto"/>
          <w:highlight w:val="none"/>
        </w:rPr>
      </w:pPr>
      <w:r>
        <w:rPr>
          <w:rFonts w:hint="eastAsia"/>
          <w:color w:val="auto"/>
          <w:highlight w:val="none"/>
        </w:rPr>
        <w:t>招标人在收到评标报告之日起 3 日内，按照投标人须知前附表规定的公示媒介和期限公示</w:t>
      </w:r>
    </w:p>
    <w:p>
      <w:pPr>
        <w:spacing w:line="360" w:lineRule="auto"/>
        <w:rPr>
          <w:color w:val="auto"/>
          <w:highlight w:val="none"/>
        </w:rPr>
      </w:pPr>
      <w:r>
        <w:rPr>
          <w:rFonts w:hint="eastAsia"/>
          <w:color w:val="auto"/>
          <w:highlight w:val="none"/>
        </w:rPr>
        <w:t>中标候选人，公示期不得少于 3 天。</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7.2评标结果异议</w:t>
      </w:r>
    </w:p>
    <w:p>
      <w:pPr>
        <w:spacing w:line="360" w:lineRule="auto"/>
        <w:ind w:left="100" w:right="-20"/>
        <w:rPr>
          <w:color w:val="auto"/>
          <w:highlight w:val="none"/>
        </w:rPr>
      </w:pPr>
      <w:r>
        <w:rPr>
          <w:rFonts w:hint="eastAsia"/>
          <w:color w:val="auto"/>
          <w:szCs w:val="21"/>
          <w:highlight w:val="none"/>
        </w:rPr>
        <w:t>7.2.1</w:t>
      </w:r>
      <w:r>
        <w:rPr>
          <w:rFonts w:hint="eastAsia"/>
          <w:color w:val="auto"/>
          <w:highlight w:val="none"/>
        </w:rPr>
        <w:t>投标人或者其他利害关系人对评标结果有异议的，应当在中标候选人公示期间提出。招标人将在收到异议之日起 3 日内作出答复；作出答复前，将暂停招标投标活动。</w:t>
      </w:r>
    </w:p>
    <w:p>
      <w:pPr>
        <w:spacing w:line="360" w:lineRule="auto"/>
        <w:ind w:left="100" w:right="-20"/>
        <w:rPr>
          <w:rFonts w:eastAsia="黑体"/>
          <w:color w:val="auto"/>
          <w:highlight w:val="none"/>
        </w:rPr>
      </w:pPr>
      <w:r>
        <w:rPr>
          <w:rFonts w:hint="eastAsia"/>
          <w:color w:val="auto"/>
          <w:szCs w:val="21"/>
          <w:highlight w:val="none"/>
        </w:rPr>
        <w:t>7.2.2投标人或者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40" w:firstLineChars="200"/>
        <w:rPr>
          <w:color w:val="auto"/>
          <w:highlight w:val="none"/>
        </w:rPr>
      </w:pP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7.3中标候选人履约能力审查</w:t>
      </w:r>
    </w:p>
    <w:p>
      <w:pPr>
        <w:spacing w:line="360" w:lineRule="auto"/>
        <w:ind w:firstLine="440" w:firstLineChars="200"/>
        <w:rPr>
          <w:color w:val="auto"/>
          <w:highlight w:val="none"/>
        </w:rPr>
      </w:pPr>
      <w:r>
        <w:rPr>
          <w:rFonts w:hint="eastAsia"/>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7.4定标</w:t>
      </w:r>
    </w:p>
    <w:p>
      <w:pPr>
        <w:spacing w:line="360" w:lineRule="auto"/>
        <w:ind w:firstLine="440" w:firstLineChars="200"/>
        <w:rPr>
          <w:color w:val="auto"/>
          <w:highlight w:val="none"/>
        </w:rPr>
      </w:pPr>
      <w:r>
        <w:rPr>
          <w:rFonts w:hint="eastAsia"/>
          <w:color w:val="auto"/>
          <w:highlight w:val="none"/>
        </w:rPr>
        <w:t>按照投标人须知前附表的规定，招标人或招标人授权的评标委员会依法确定中标人。</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7.5中标通知</w:t>
      </w:r>
    </w:p>
    <w:p>
      <w:pPr>
        <w:spacing w:line="360" w:lineRule="auto"/>
        <w:ind w:firstLine="440" w:firstLineChars="200"/>
        <w:rPr>
          <w:color w:val="auto"/>
          <w:highlight w:val="none"/>
        </w:rPr>
      </w:pPr>
      <w:r>
        <w:rPr>
          <w:rFonts w:hint="eastAsia"/>
          <w:color w:val="auto"/>
          <w:highlight w:val="none"/>
          <w:lang w:val="en-US"/>
        </w:rPr>
        <w:t>7.5.1</w:t>
      </w:r>
      <w:r>
        <w:rPr>
          <w:rFonts w:hint="eastAsia"/>
          <w:color w:val="auto"/>
          <w:highlight w:val="none"/>
        </w:rPr>
        <w:t>在本章第 3.3 款规定的投标有效期内，</w:t>
      </w:r>
      <w:r>
        <w:rPr>
          <w:rFonts w:hint="eastAsia"/>
          <w:color w:val="auto"/>
          <w:highlight w:val="none"/>
          <w:u w:val="single"/>
        </w:rPr>
        <w:t>中标人自行于广州交易集团有限公司（广州公共资源交易中心）</w:t>
      </w:r>
      <w:r>
        <w:rPr>
          <w:rFonts w:hint="eastAsia"/>
          <w:color w:val="auto"/>
          <w:highlight w:val="none"/>
          <w:u w:val="single"/>
          <w:lang w:val="en-US"/>
        </w:rPr>
        <w:t>网站</w:t>
      </w:r>
      <w:r>
        <w:rPr>
          <w:rFonts w:hint="eastAsia"/>
          <w:color w:val="auto"/>
          <w:highlight w:val="none"/>
          <w:u w:val="single"/>
        </w:rPr>
        <w:t>下载中标通知书，同时招标人将中标结果通过广州交易集团有限公司（广州公共资源交易中心）</w:t>
      </w:r>
      <w:r>
        <w:rPr>
          <w:rFonts w:hint="eastAsia"/>
          <w:color w:val="auto"/>
          <w:highlight w:val="none"/>
          <w:u w:val="single"/>
          <w:lang w:val="en-US"/>
        </w:rPr>
        <w:t>网站</w:t>
      </w:r>
      <w:r>
        <w:rPr>
          <w:rFonts w:hint="eastAsia"/>
          <w:color w:val="auto"/>
          <w:highlight w:val="none"/>
          <w:u w:val="single"/>
        </w:rPr>
        <w:t>公开发布。中标人须对其投标文件真实性负责，并准备投标文件涉及的所有原件待查，如存在弄虚作假情况或原件不齐或与原件不符的，招标人有权取消其中标人资格，并上报建设行政主管部门</w:t>
      </w:r>
      <w:r>
        <w:rPr>
          <w:rFonts w:hint="eastAsia"/>
          <w:strike/>
          <w:color w:val="auto"/>
          <w:highlight w:val="none"/>
        </w:rPr>
        <w:t>，同时将中标结果通知未中标的投标人</w:t>
      </w:r>
      <w:r>
        <w:rPr>
          <w:rFonts w:hint="eastAsia"/>
          <w:color w:val="auto"/>
          <w:highlight w:val="none"/>
        </w:rPr>
        <w:t>。</w:t>
      </w:r>
    </w:p>
    <w:p>
      <w:pPr>
        <w:spacing w:line="360" w:lineRule="auto"/>
        <w:rPr>
          <w:color w:val="auto"/>
          <w:highlight w:val="none"/>
        </w:rPr>
      </w:pPr>
      <w:r>
        <w:rPr>
          <w:rFonts w:hint="eastAsia" w:cs="Times New Roman"/>
          <w:b/>
          <w:bCs/>
          <w:color w:val="auto"/>
          <w:kern w:val="2"/>
          <w:sz w:val="28"/>
          <w:szCs w:val="28"/>
          <w:highlight w:val="none"/>
          <w:lang w:val="en-US" w:bidi="ar-SA"/>
        </w:rPr>
        <w:t>7.6履约保证金</w:t>
      </w:r>
    </w:p>
    <w:p>
      <w:pPr>
        <w:spacing w:line="360" w:lineRule="auto"/>
        <w:ind w:firstLine="440" w:firstLineChars="200"/>
        <w:rPr>
          <w:color w:val="auto"/>
          <w:highlight w:val="none"/>
        </w:rPr>
      </w:pPr>
      <w:r>
        <w:rPr>
          <w:rFonts w:hint="eastAsia"/>
          <w:color w:val="auto"/>
          <w:highlight w:val="none"/>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w:t>
      </w:r>
      <w:r>
        <w:rPr>
          <w:rFonts w:hint="eastAsia"/>
          <w:strike/>
          <w:color w:val="auto"/>
          <w:highlight w:val="none"/>
        </w:rPr>
        <w:t>联合体中标的，其履约保证金以联合体各方或者联合体中牵头人的名义提交。</w:t>
      </w:r>
    </w:p>
    <w:p>
      <w:pPr>
        <w:spacing w:line="360" w:lineRule="auto"/>
        <w:ind w:firstLine="440" w:firstLineChars="200"/>
        <w:rPr>
          <w:color w:val="auto"/>
          <w:highlight w:val="none"/>
        </w:rPr>
      </w:pPr>
      <w:r>
        <w:rPr>
          <w:rFonts w:hint="eastAsia"/>
          <w:color w:val="auto"/>
          <w:highlight w:val="none"/>
        </w:rPr>
        <w:t>7.6.2中标人不能按本章第 7.6.1 项要求提交履约保证金的，视为放弃中标，其投标保证金不予退还，给招标人造成的损失超过投标保证金数额的，中标人还应当对超过部分予以赔偿。</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7.7签订合同</w:t>
      </w:r>
    </w:p>
    <w:p>
      <w:pPr>
        <w:spacing w:line="360" w:lineRule="auto"/>
        <w:ind w:firstLine="440" w:firstLineChars="200"/>
        <w:rPr>
          <w:color w:val="auto"/>
          <w:highlight w:val="none"/>
        </w:rPr>
      </w:pPr>
      <w:r>
        <w:rPr>
          <w:rFonts w:hint="eastAsia"/>
          <w:color w:val="auto"/>
          <w:highlight w:val="none"/>
        </w:rPr>
        <w:t>7.7.1招标人</w:t>
      </w:r>
      <w:r>
        <w:rPr>
          <w:rFonts w:hint="eastAsia"/>
          <w:color w:val="auto"/>
          <w:highlight w:val="none"/>
          <w:u w:val="single"/>
        </w:rPr>
        <w:t>、建设管理单位</w:t>
      </w:r>
      <w:r>
        <w:rPr>
          <w:rFonts w:hint="eastAsia"/>
          <w:color w:val="auto"/>
          <w:highlight w:val="none"/>
        </w:rPr>
        <w:t>和中标人应当在中标通知书发出之日起 30 日内，根据招标文件和中标人的投标文件订立书面合同。中标人无正当理由拒签合同，在签订合同时向招标人</w:t>
      </w:r>
      <w:r>
        <w:rPr>
          <w:rFonts w:hint="eastAsia"/>
          <w:color w:val="auto"/>
          <w:highlight w:val="none"/>
          <w:u w:val="single"/>
        </w:rPr>
        <w:t>或建设管理单位</w:t>
      </w:r>
      <w:r>
        <w:rPr>
          <w:rFonts w:hint="eastAsia"/>
          <w:color w:val="auto"/>
          <w:highlight w:val="none"/>
        </w:rPr>
        <w:t>提出附加条件，或者不按照招标文件要求提交履约保证金的，招标人有权取消其中标资格</w:t>
      </w:r>
      <w:r>
        <w:rPr>
          <w:rFonts w:hint="eastAsia"/>
          <w:strike/>
          <w:color w:val="auto"/>
          <w:highlight w:val="none"/>
        </w:rPr>
        <w:t>，其投标保证金不予退还</w:t>
      </w:r>
      <w:r>
        <w:rPr>
          <w:rFonts w:hint="eastAsia"/>
          <w:color w:val="auto"/>
          <w:highlight w:val="none"/>
        </w:rPr>
        <w:t>；给招标人造成的损失</w:t>
      </w:r>
      <w:r>
        <w:rPr>
          <w:rFonts w:hint="eastAsia"/>
          <w:strike/>
          <w:color w:val="auto"/>
          <w:highlight w:val="none"/>
        </w:rPr>
        <w:t>超过投标保证金数额的</w:t>
      </w:r>
      <w:r>
        <w:rPr>
          <w:rFonts w:hint="eastAsia"/>
          <w:color w:val="auto"/>
          <w:highlight w:val="none"/>
        </w:rPr>
        <w:t>，中标人还应当</w:t>
      </w:r>
      <w:r>
        <w:rPr>
          <w:rFonts w:hint="eastAsia"/>
          <w:strike/>
          <w:color w:val="auto"/>
          <w:highlight w:val="none"/>
        </w:rPr>
        <w:t>对超过部分</w:t>
      </w:r>
      <w:r>
        <w:rPr>
          <w:rFonts w:hint="eastAsia"/>
          <w:color w:val="auto"/>
          <w:highlight w:val="none"/>
        </w:rPr>
        <w:t>予以赔偿。</w:t>
      </w:r>
    </w:p>
    <w:p>
      <w:pPr>
        <w:spacing w:line="360" w:lineRule="auto"/>
        <w:ind w:firstLine="440" w:firstLineChars="200"/>
        <w:rPr>
          <w:color w:val="auto"/>
          <w:highlight w:val="none"/>
        </w:rPr>
      </w:pPr>
      <w:r>
        <w:rPr>
          <w:rFonts w:hint="eastAsia"/>
          <w:color w:val="auto"/>
          <w:highlight w:val="none"/>
        </w:rPr>
        <w:t>7.7.2发出中标通知书后，招标人无正当理由拒签合同，或者在签订合同时向中标人提出附加条件的；给中标人造成损失的，还应当赔偿损失。</w:t>
      </w:r>
    </w:p>
    <w:p>
      <w:pPr>
        <w:spacing w:line="360" w:lineRule="auto"/>
        <w:ind w:firstLine="440" w:firstLineChars="200"/>
        <w:rPr>
          <w:color w:val="auto"/>
          <w:highlight w:val="none"/>
        </w:rPr>
      </w:pPr>
      <w:r>
        <w:rPr>
          <w:rFonts w:hint="eastAsia"/>
          <w:color w:val="auto"/>
          <w:highlight w:val="none"/>
        </w:rPr>
        <w:t>7.7.3</w:t>
      </w:r>
      <w:r>
        <w:rPr>
          <w:rFonts w:hint="eastAsia"/>
          <w:color w:val="auto"/>
          <w:highlight w:val="none"/>
          <w:u w:val="single"/>
        </w:rPr>
        <w:t>招标人或建设管理单位支付监理费时，中标人应提供相应的等额合法有效的增值税发票。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8.纪律和监督</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8.1对招标人的纪律要求</w:t>
      </w:r>
    </w:p>
    <w:p>
      <w:pPr>
        <w:spacing w:line="360" w:lineRule="auto"/>
        <w:ind w:firstLine="440" w:firstLineChars="200"/>
        <w:rPr>
          <w:color w:val="auto"/>
          <w:highlight w:val="none"/>
        </w:rPr>
      </w:pPr>
      <w:r>
        <w:rPr>
          <w:rFonts w:hint="eastAsia"/>
          <w:color w:val="auto"/>
          <w:highlight w:val="none"/>
        </w:rPr>
        <w:t>招标人不得泄露招标投标活动中应当保密的情况和资料，不得与投标人串通损害国家利益、社会公共利益或者他人合法权益。</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8.2对投标人的纪律要求</w:t>
      </w:r>
    </w:p>
    <w:p>
      <w:pPr>
        <w:spacing w:line="360" w:lineRule="auto"/>
        <w:ind w:firstLine="44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8.3对评标委员会成员的纪律要求</w:t>
      </w:r>
    </w:p>
    <w:p>
      <w:pPr>
        <w:spacing w:line="360" w:lineRule="auto"/>
        <w:ind w:firstLine="440" w:firstLineChars="200"/>
        <w:rPr>
          <w:color w:val="auto"/>
          <w:highlight w:val="none"/>
        </w:rPr>
      </w:pPr>
      <w:r>
        <w:rPr>
          <w:rFonts w:hint="eastAsia"/>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8.4对与评标活动有关的工作人员的纪律要求</w:t>
      </w:r>
    </w:p>
    <w:p>
      <w:pPr>
        <w:spacing w:line="360" w:lineRule="auto"/>
        <w:ind w:firstLine="440" w:firstLineChars="200"/>
        <w:rPr>
          <w:color w:val="auto"/>
          <w:highlight w:val="none"/>
        </w:rPr>
      </w:pPr>
      <w:r>
        <w:rPr>
          <w:rFonts w:hint="eastAsia"/>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8.5投诉</w:t>
      </w:r>
    </w:p>
    <w:p>
      <w:pPr>
        <w:spacing w:line="360" w:lineRule="auto"/>
        <w:ind w:firstLine="440" w:firstLineChars="200"/>
        <w:rPr>
          <w:color w:val="auto"/>
          <w:highlight w:val="none"/>
        </w:rPr>
      </w:pPr>
      <w:r>
        <w:rPr>
          <w:rFonts w:hint="eastAsia"/>
          <w:color w:val="auto"/>
          <w:highlight w:val="none"/>
        </w:rPr>
        <w:t>8.5.1投标人或者其他利害关系人认为招标投标活动不符合法律、行政法规规定的，可以自知道或者应当知道之日起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40" w:firstLineChars="200"/>
        <w:rPr>
          <w:color w:val="auto"/>
          <w:highlight w:val="none"/>
        </w:rPr>
      </w:pPr>
      <w:r>
        <w:rPr>
          <w:rFonts w:hint="eastAsia"/>
          <w:color w:val="auto"/>
          <w:highlight w:val="none"/>
        </w:rPr>
        <w:t>8.5.2投标人或者其他利害关系人对招标文件、开标和评标结果提出投诉的，应当按照投标人须知第 2.4 款、第 5.3 款和第 7.2 款的规定先向招标人提出异议。异议答复期间不计算在第 8.5.1 项规定的期限内。</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9.是否采用电子招标投标</w:t>
      </w:r>
    </w:p>
    <w:p>
      <w:pPr>
        <w:spacing w:line="360" w:lineRule="auto"/>
        <w:ind w:firstLine="440" w:firstLineChars="200"/>
        <w:rPr>
          <w:color w:val="auto"/>
          <w:highlight w:val="none"/>
        </w:rPr>
      </w:pPr>
      <w:r>
        <w:rPr>
          <w:rFonts w:hint="eastAsia"/>
          <w:color w:val="auto"/>
          <w:highlight w:val="none"/>
        </w:rPr>
        <w:t>本招标项目是否采用电子招标投标方式，见投标人须知前附表。</w:t>
      </w:r>
    </w:p>
    <w:p>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10.需要补充的其他内容</w:t>
      </w:r>
    </w:p>
    <w:p>
      <w:pPr>
        <w:spacing w:line="360" w:lineRule="auto"/>
        <w:ind w:firstLine="440" w:firstLineChars="200"/>
        <w:rPr>
          <w:color w:val="auto"/>
          <w:highlight w:val="none"/>
        </w:rPr>
        <w:sectPr>
          <w:footerReference r:id="rId5" w:type="default"/>
          <w:pgSz w:w="11906" w:h="16838"/>
          <w:pgMar w:top="1500" w:right="1100" w:bottom="1120" w:left="1560" w:header="0" w:footer="841" w:gutter="0"/>
          <w:cols w:space="720" w:num="1"/>
        </w:sectPr>
      </w:pPr>
      <w:r>
        <w:rPr>
          <w:rFonts w:hint="eastAsia"/>
          <w:color w:val="auto"/>
          <w:highlight w:val="none"/>
        </w:rPr>
        <w:t>需要补充的其他内容：见投标人须知前附表。</w:t>
      </w:r>
    </w:p>
    <w:p>
      <w:pPr>
        <w:spacing w:before="43" w:line="360" w:lineRule="auto"/>
        <w:ind w:left="377"/>
        <w:outlineLvl w:val="0"/>
        <w:rPr>
          <w:color w:val="auto"/>
          <w:sz w:val="28"/>
          <w:highlight w:val="none"/>
        </w:rPr>
      </w:pPr>
      <w:bookmarkStart w:id="14" w:name="_bookmark76"/>
      <w:bookmarkEnd w:id="14"/>
      <w:bookmarkStart w:id="15" w:name="_Toc757"/>
      <w:bookmarkStart w:id="16" w:name="_Toc28169"/>
      <w:r>
        <w:rPr>
          <w:rFonts w:hint="eastAsia"/>
          <w:color w:val="auto"/>
          <w:sz w:val="28"/>
          <w:highlight w:val="none"/>
        </w:rPr>
        <w:t>附件一：开标记录表</w:t>
      </w:r>
      <w:bookmarkEnd w:id="15"/>
      <w:bookmarkEnd w:id="16"/>
    </w:p>
    <w:p>
      <w:pPr>
        <w:pStyle w:val="10"/>
        <w:spacing w:line="360" w:lineRule="auto"/>
        <w:rPr>
          <w:color w:val="auto"/>
          <w:sz w:val="20"/>
          <w:highlight w:val="none"/>
        </w:rPr>
      </w:pPr>
    </w:p>
    <w:p>
      <w:pPr>
        <w:pStyle w:val="10"/>
        <w:spacing w:before="8" w:line="360" w:lineRule="auto"/>
        <w:rPr>
          <w:color w:val="auto"/>
          <w:highlight w:val="none"/>
        </w:rPr>
      </w:pPr>
    </w:p>
    <w:p>
      <w:pPr>
        <w:spacing w:before="61" w:line="360" w:lineRule="auto"/>
        <w:ind w:right="456"/>
        <w:jc w:val="center"/>
        <w:rPr>
          <w:color w:val="auto"/>
          <w:sz w:val="28"/>
          <w:highlight w:val="none"/>
        </w:rPr>
      </w:pPr>
      <w:r>
        <w:rPr>
          <w:rFonts w:hint="eastAsia"/>
          <w:b/>
          <w:bCs/>
          <w:color w:val="auto"/>
          <w:sz w:val="28"/>
          <w:highlight w:val="none"/>
        </w:rPr>
        <w:t>开标记录表（参考格式）</w:t>
      </w:r>
    </w:p>
    <w:p>
      <w:pPr>
        <w:pStyle w:val="10"/>
        <w:tabs>
          <w:tab w:val="left" w:pos="3634"/>
          <w:tab w:val="left" w:pos="4788"/>
          <w:tab w:val="left" w:pos="5943"/>
          <w:tab w:val="left" w:pos="7098"/>
          <w:tab w:val="left" w:pos="8253"/>
        </w:tabs>
        <w:spacing w:before="237" w:line="360" w:lineRule="auto"/>
        <w:ind w:left="1637"/>
        <w:rPr>
          <w:color w:val="auto"/>
          <w:highlight w:val="none"/>
        </w:rPr>
      </w:pPr>
      <w:r>
        <w:rPr>
          <w:rFonts w:hint="eastAsia"/>
          <w:color w:val="auto"/>
          <w:highlight w:val="none"/>
        </w:rPr>
        <w:t>开标</w:t>
      </w:r>
      <w:r>
        <w:rPr>
          <w:rFonts w:hint="eastAsia"/>
          <w:color w:val="auto"/>
          <w:spacing w:val="-3"/>
          <w:highlight w:val="none"/>
        </w:rPr>
        <w:t>时</w:t>
      </w:r>
      <w:r>
        <w:rPr>
          <w:rFonts w:hint="eastAsia"/>
          <w:color w:val="auto"/>
          <w:highlight w:val="none"/>
        </w:rPr>
        <w:t>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月</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日</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时</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分</w:t>
      </w:r>
    </w:p>
    <w:p>
      <w:pPr>
        <w:pStyle w:val="10"/>
        <w:spacing w:before="1" w:line="360" w:lineRule="auto"/>
        <w:rPr>
          <w:color w:val="auto"/>
          <w:sz w:val="11"/>
          <w:highlight w:val="none"/>
        </w:rPr>
      </w:pPr>
    </w:p>
    <w:tbl>
      <w:tblPr>
        <w:tblStyle w:val="24"/>
        <w:tblW w:w="91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19"/>
        <w:gridCol w:w="992"/>
        <w:gridCol w:w="994"/>
        <w:gridCol w:w="853"/>
        <w:gridCol w:w="992"/>
        <w:gridCol w:w="711"/>
        <w:gridCol w:w="992"/>
        <w:gridCol w:w="992"/>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648" w:type="dxa"/>
            <w:vAlign w:val="center"/>
          </w:tcPr>
          <w:p>
            <w:pPr>
              <w:pStyle w:val="33"/>
              <w:adjustRightInd w:val="0"/>
              <w:snapToGrid w:val="0"/>
              <w:spacing w:line="400" w:lineRule="exact"/>
              <w:ind w:left="4" w:right="4"/>
              <w:jc w:val="center"/>
              <w:rPr>
                <w:color w:val="auto"/>
                <w:sz w:val="18"/>
                <w:highlight w:val="none"/>
              </w:rPr>
            </w:pPr>
            <w:r>
              <w:rPr>
                <w:rFonts w:hint="eastAsia"/>
                <w:color w:val="auto"/>
                <w:sz w:val="18"/>
                <w:highlight w:val="none"/>
              </w:rPr>
              <w:t>序号</w:t>
            </w:r>
          </w:p>
        </w:tc>
        <w:tc>
          <w:tcPr>
            <w:tcW w:w="1020" w:type="dxa"/>
            <w:vAlign w:val="center"/>
          </w:tcPr>
          <w:p>
            <w:pPr>
              <w:pStyle w:val="33"/>
              <w:adjustRightInd w:val="0"/>
              <w:snapToGrid w:val="0"/>
              <w:spacing w:line="400" w:lineRule="exact"/>
              <w:ind w:left="4" w:right="4"/>
              <w:jc w:val="center"/>
              <w:rPr>
                <w:color w:val="auto"/>
                <w:sz w:val="18"/>
                <w:highlight w:val="none"/>
              </w:rPr>
            </w:pPr>
            <w:r>
              <w:rPr>
                <w:rFonts w:hint="eastAsia"/>
                <w:color w:val="auto"/>
                <w:sz w:val="18"/>
                <w:highlight w:val="none"/>
              </w:rPr>
              <w:t>投标人</w:t>
            </w:r>
          </w:p>
        </w:tc>
        <w:tc>
          <w:tcPr>
            <w:tcW w:w="992" w:type="dxa"/>
            <w:vAlign w:val="center"/>
          </w:tcPr>
          <w:p>
            <w:pPr>
              <w:pStyle w:val="33"/>
              <w:adjustRightInd w:val="0"/>
              <w:snapToGrid w:val="0"/>
              <w:spacing w:line="400" w:lineRule="exact"/>
              <w:ind w:left="4" w:right="4"/>
              <w:jc w:val="center"/>
              <w:rPr>
                <w:color w:val="auto"/>
                <w:sz w:val="18"/>
                <w:highlight w:val="none"/>
              </w:rPr>
            </w:pPr>
            <w:r>
              <w:rPr>
                <w:rFonts w:hint="eastAsia"/>
                <w:color w:val="auto"/>
                <w:sz w:val="18"/>
                <w:highlight w:val="none"/>
              </w:rPr>
              <w:t>投标保证</w:t>
            </w:r>
          </w:p>
          <w:p>
            <w:pPr>
              <w:pStyle w:val="33"/>
              <w:adjustRightInd w:val="0"/>
              <w:snapToGrid w:val="0"/>
              <w:spacing w:line="400" w:lineRule="exact"/>
              <w:ind w:left="4" w:right="4"/>
              <w:jc w:val="center"/>
              <w:rPr>
                <w:color w:val="auto"/>
                <w:sz w:val="18"/>
                <w:highlight w:val="none"/>
              </w:rPr>
            </w:pPr>
            <w:r>
              <w:rPr>
                <w:rFonts w:hint="eastAsia"/>
                <w:color w:val="auto"/>
                <w:sz w:val="18"/>
                <w:highlight w:val="none"/>
              </w:rPr>
              <w:t>金</w:t>
            </w:r>
          </w:p>
        </w:tc>
        <w:tc>
          <w:tcPr>
            <w:tcW w:w="994" w:type="dxa"/>
            <w:vAlign w:val="center"/>
          </w:tcPr>
          <w:p>
            <w:pPr>
              <w:pStyle w:val="33"/>
              <w:adjustRightInd w:val="0"/>
              <w:snapToGrid w:val="0"/>
              <w:spacing w:line="400" w:lineRule="exact"/>
              <w:ind w:left="4" w:right="4"/>
              <w:jc w:val="center"/>
              <w:rPr>
                <w:color w:val="auto"/>
                <w:sz w:val="18"/>
                <w:highlight w:val="none"/>
              </w:rPr>
            </w:pPr>
            <w:r>
              <w:rPr>
                <w:rFonts w:hint="eastAsia"/>
                <w:color w:val="auto"/>
                <w:sz w:val="18"/>
                <w:highlight w:val="none"/>
              </w:rPr>
              <w:t>投标报价</w:t>
            </w:r>
          </w:p>
          <w:p>
            <w:pPr>
              <w:pStyle w:val="33"/>
              <w:adjustRightInd w:val="0"/>
              <w:snapToGrid w:val="0"/>
              <w:spacing w:line="400" w:lineRule="exact"/>
              <w:ind w:left="4" w:right="4"/>
              <w:jc w:val="center"/>
              <w:rPr>
                <w:color w:val="auto"/>
                <w:sz w:val="18"/>
                <w:highlight w:val="none"/>
              </w:rPr>
            </w:pPr>
            <w:r>
              <w:rPr>
                <w:rFonts w:hint="eastAsia"/>
                <w:color w:val="auto"/>
                <w:sz w:val="18"/>
                <w:highlight w:val="none"/>
              </w:rPr>
              <w:t>（元）</w:t>
            </w:r>
          </w:p>
        </w:tc>
        <w:tc>
          <w:tcPr>
            <w:tcW w:w="853" w:type="dxa"/>
            <w:vAlign w:val="center"/>
          </w:tcPr>
          <w:p>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总监理工程师</w:t>
            </w:r>
          </w:p>
        </w:tc>
        <w:tc>
          <w:tcPr>
            <w:tcW w:w="992" w:type="dxa"/>
            <w:vAlign w:val="center"/>
          </w:tcPr>
          <w:p>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监理服务期限</w:t>
            </w:r>
          </w:p>
        </w:tc>
        <w:tc>
          <w:tcPr>
            <w:tcW w:w="711" w:type="dxa"/>
            <w:vAlign w:val="center"/>
          </w:tcPr>
          <w:p>
            <w:pPr>
              <w:adjustRightInd w:val="0"/>
              <w:snapToGrid w:val="0"/>
              <w:spacing w:line="400" w:lineRule="exact"/>
              <w:ind w:left="4" w:right="4"/>
              <w:jc w:val="center"/>
              <w:rPr>
                <w:color w:val="auto"/>
                <w:sz w:val="18"/>
                <w:highlight w:val="none"/>
              </w:rPr>
            </w:pPr>
            <w:r>
              <w:rPr>
                <w:rFonts w:hint="eastAsia" w:ascii="Times New Roman" w:hAnsi="Times New Roman"/>
                <w:color w:val="auto"/>
                <w:sz w:val="18"/>
                <w:highlight w:val="none"/>
              </w:rPr>
              <w:t>投标文件递交情况</w:t>
            </w:r>
          </w:p>
        </w:tc>
        <w:tc>
          <w:tcPr>
            <w:tcW w:w="992" w:type="dxa"/>
            <w:vAlign w:val="center"/>
          </w:tcPr>
          <w:p>
            <w:pPr>
              <w:adjustRightInd w:val="0"/>
              <w:snapToGrid w:val="0"/>
              <w:spacing w:line="400" w:lineRule="exact"/>
              <w:ind w:left="4" w:right="4"/>
              <w:jc w:val="center"/>
              <w:rPr>
                <w:color w:val="auto"/>
                <w:sz w:val="18"/>
                <w:highlight w:val="none"/>
              </w:rPr>
            </w:pPr>
            <w:r>
              <w:rPr>
                <w:rFonts w:hint="eastAsia" w:ascii="Times New Roman" w:hAnsi="Times New Roman"/>
                <w:color w:val="auto"/>
                <w:sz w:val="18"/>
                <w:highlight w:val="none"/>
              </w:rPr>
              <w:t>投标文件解密情况</w:t>
            </w:r>
          </w:p>
        </w:tc>
        <w:tc>
          <w:tcPr>
            <w:tcW w:w="992" w:type="dxa"/>
            <w:vAlign w:val="center"/>
          </w:tcPr>
          <w:p>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备注</w:t>
            </w:r>
          </w:p>
        </w:tc>
        <w:tc>
          <w:tcPr>
            <w:tcW w:w="992" w:type="dxa"/>
            <w:vAlign w:val="center"/>
          </w:tcPr>
          <w:p>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pPr>
              <w:pStyle w:val="33"/>
              <w:spacing w:line="360" w:lineRule="auto"/>
              <w:jc w:val="center"/>
              <w:rPr>
                <w:color w:val="auto"/>
                <w:sz w:val="20"/>
                <w:highlight w:val="none"/>
              </w:rPr>
            </w:pPr>
          </w:p>
        </w:tc>
        <w:tc>
          <w:tcPr>
            <w:tcW w:w="1020"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4" w:type="dxa"/>
            <w:vAlign w:val="center"/>
          </w:tcPr>
          <w:p>
            <w:pPr>
              <w:pStyle w:val="33"/>
              <w:spacing w:line="360" w:lineRule="auto"/>
              <w:jc w:val="center"/>
              <w:rPr>
                <w:color w:val="auto"/>
                <w:sz w:val="20"/>
                <w:highlight w:val="none"/>
              </w:rPr>
            </w:pPr>
          </w:p>
        </w:tc>
        <w:tc>
          <w:tcPr>
            <w:tcW w:w="853"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711"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c>
          <w:tcPr>
            <w:tcW w:w="992"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2660" w:type="dxa"/>
            <w:gridSpan w:val="3"/>
            <w:vAlign w:val="center"/>
          </w:tcPr>
          <w:p>
            <w:pPr>
              <w:pStyle w:val="33"/>
              <w:spacing w:line="360" w:lineRule="auto"/>
              <w:ind w:left="107"/>
              <w:jc w:val="center"/>
              <w:rPr>
                <w:color w:val="auto"/>
                <w:sz w:val="21"/>
                <w:highlight w:val="none"/>
              </w:rPr>
            </w:pPr>
            <w:r>
              <w:rPr>
                <w:rFonts w:hint="eastAsia"/>
                <w:color w:val="auto"/>
                <w:sz w:val="21"/>
                <w:highlight w:val="none"/>
              </w:rPr>
              <w:t>最高投标限价：</w:t>
            </w:r>
          </w:p>
        </w:tc>
        <w:tc>
          <w:tcPr>
            <w:tcW w:w="992" w:type="dxa"/>
            <w:vAlign w:val="center"/>
          </w:tcPr>
          <w:p>
            <w:pPr>
              <w:pStyle w:val="33"/>
              <w:spacing w:line="360" w:lineRule="auto"/>
              <w:jc w:val="center"/>
              <w:rPr>
                <w:color w:val="auto"/>
                <w:sz w:val="20"/>
                <w:highlight w:val="none"/>
              </w:rPr>
            </w:pPr>
          </w:p>
        </w:tc>
        <w:tc>
          <w:tcPr>
            <w:tcW w:w="5534" w:type="dxa"/>
            <w:gridSpan w:val="6"/>
            <w:vAlign w:val="center"/>
          </w:tcPr>
          <w:p>
            <w:pPr>
              <w:pStyle w:val="33"/>
              <w:spacing w:line="360" w:lineRule="auto"/>
              <w:jc w:val="center"/>
              <w:rPr>
                <w:color w:val="auto"/>
                <w:sz w:val="20"/>
                <w:highlight w:val="none"/>
              </w:rPr>
            </w:pPr>
          </w:p>
        </w:tc>
      </w:tr>
    </w:tbl>
    <w:p>
      <w:pPr>
        <w:pStyle w:val="10"/>
        <w:spacing w:line="360" w:lineRule="auto"/>
        <w:rPr>
          <w:color w:val="auto"/>
          <w:sz w:val="22"/>
          <w:highlight w:val="none"/>
        </w:rPr>
      </w:pPr>
    </w:p>
    <w:p>
      <w:pPr>
        <w:pStyle w:val="10"/>
        <w:spacing w:line="360" w:lineRule="auto"/>
        <w:rPr>
          <w:color w:val="auto"/>
          <w:sz w:val="22"/>
          <w:highlight w:val="none"/>
        </w:rPr>
      </w:pPr>
    </w:p>
    <w:p>
      <w:pPr>
        <w:pStyle w:val="10"/>
        <w:tabs>
          <w:tab w:val="left" w:pos="2284"/>
          <w:tab w:val="left" w:pos="3077"/>
          <w:tab w:val="left" w:pos="4699"/>
          <w:tab w:val="left" w:pos="5386"/>
          <w:tab w:val="left" w:pos="7009"/>
        </w:tabs>
        <w:spacing w:before="163" w:line="360" w:lineRule="auto"/>
        <w:ind w:left="240"/>
        <w:rPr>
          <w:color w:val="auto"/>
          <w:highlight w:val="none"/>
        </w:rPr>
      </w:pPr>
      <w:r>
        <w:rPr>
          <w:rFonts w:hint="eastAsia"/>
          <w:color w:val="auto"/>
          <w:highlight w:val="none"/>
        </w:rPr>
        <w:t>招标</w:t>
      </w:r>
      <w:r>
        <w:rPr>
          <w:rFonts w:hint="eastAsia"/>
          <w:color w:val="auto"/>
          <w:spacing w:val="-3"/>
          <w:highlight w:val="none"/>
        </w:rPr>
        <w:t>人</w:t>
      </w:r>
      <w:r>
        <w:rPr>
          <w:rFonts w:hint="eastAsia"/>
          <w:color w:val="auto"/>
          <w:highlight w:val="none"/>
        </w:rPr>
        <w:t>代</w:t>
      </w:r>
      <w:r>
        <w:rPr>
          <w:rFonts w:hint="eastAsia"/>
          <w:color w:val="auto"/>
          <w:spacing w:val="-3"/>
          <w:highlight w:val="none"/>
        </w:rPr>
        <w:t>表</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ab/>
      </w:r>
      <w:r>
        <w:rPr>
          <w:rFonts w:hint="eastAsia"/>
          <w:color w:val="auto"/>
          <w:spacing w:val="-3"/>
          <w:highlight w:val="none"/>
        </w:rPr>
        <w:t>记</w:t>
      </w:r>
      <w:r>
        <w:rPr>
          <w:rFonts w:hint="eastAsia"/>
          <w:color w:val="auto"/>
          <w:highlight w:val="none"/>
        </w:rPr>
        <w:t>录</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ab/>
      </w:r>
      <w:r>
        <w:rPr>
          <w:rFonts w:hint="eastAsia"/>
          <w:color w:val="auto"/>
          <w:spacing w:val="-3"/>
          <w:highlight w:val="none"/>
        </w:rPr>
        <w:t>监</w:t>
      </w:r>
      <w:r>
        <w:rPr>
          <w:rFonts w:hint="eastAsia"/>
          <w:color w:val="auto"/>
          <w:spacing w:val="-1"/>
          <w:highlight w:val="none"/>
        </w:rPr>
        <w:t>标</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pPr>
        <w:pStyle w:val="10"/>
        <w:spacing w:before="4" w:line="360" w:lineRule="auto"/>
        <w:rPr>
          <w:color w:val="auto"/>
          <w:sz w:val="24"/>
          <w:highlight w:val="none"/>
        </w:rPr>
      </w:pPr>
    </w:p>
    <w:p>
      <w:pPr>
        <w:pStyle w:val="10"/>
        <w:tabs>
          <w:tab w:val="left" w:pos="6783"/>
          <w:tab w:val="left" w:pos="7729"/>
          <w:tab w:val="left" w:pos="8673"/>
        </w:tabs>
        <w:spacing w:before="72" w:line="360" w:lineRule="auto"/>
        <w:ind w:left="6047"/>
        <w:rPr>
          <w:color w:val="auto"/>
          <w:highlight w:val="none"/>
        </w:rPr>
      </w:pP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spacing w:val="-3"/>
          <w:highlight w:val="none"/>
        </w:rPr>
        <w:t>月</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日</w:t>
      </w:r>
    </w:p>
    <w:p>
      <w:pPr>
        <w:spacing w:line="276" w:lineRule="auto"/>
        <w:ind w:right="-20"/>
        <w:rPr>
          <w:color w:val="auto"/>
          <w:highlight w:val="none"/>
          <w:u w:val="single"/>
        </w:rPr>
      </w:pPr>
      <w:r>
        <w:rPr>
          <w:rFonts w:hint="eastAsia"/>
          <w:color w:val="auto"/>
          <w:highlight w:val="none"/>
          <w:u w:val="single"/>
        </w:rPr>
        <w:t>本表仅供参考，具体以开标时广州交易集团有限公司（广州公共资源交易中心）系统的开标记录表为准。</w:t>
      </w:r>
    </w:p>
    <w:p>
      <w:pPr>
        <w:rPr>
          <w:color w:val="auto"/>
          <w:highlight w:val="none"/>
          <w:u w:val="single"/>
        </w:rPr>
      </w:pPr>
      <w:r>
        <w:rPr>
          <w:rFonts w:hint="eastAsia"/>
          <w:color w:val="auto"/>
          <w:highlight w:val="none"/>
          <w:u w:val="single"/>
        </w:rPr>
        <w:br w:type="page"/>
      </w:r>
    </w:p>
    <w:p>
      <w:pPr>
        <w:spacing w:line="276" w:lineRule="auto"/>
        <w:ind w:right="-20"/>
        <w:rPr>
          <w:color w:val="auto"/>
          <w:sz w:val="24"/>
          <w:szCs w:val="24"/>
          <w:highlight w:val="none"/>
        </w:rPr>
      </w:pPr>
      <w:r>
        <w:rPr>
          <w:color w:val="auto"/>
          <w:position w:val="-4"/>
          <w:sz w:val="28"/>
          <w:szCs w:val="24"/>
          <w:highlight w:val="none"/>
        </w:rPr>
        <w:t>附件二</w:t>
      </w:r>
      <w:r>
        <w:rPr>
          <w:color w:val="auto"/>
          <w:spacing w:val="-3"/>
          <w:position w:val="-4"/>
          <w:sz w:val="28"/>
          <w:szCs w:val="24"/>
          <w:highlight w:val="none"/>
        </w:rPr>
        <w:t>：</w:t>
      </w:r>
      <w:r>
        <w:rPr>
          <w:rFonts w:hint="eastAsia"/>
          <w:color w:val="auto"/>
          <w:spacing w:val="-3"/>
          <w:position w:val="-4"/>
          <w:sz w:val="28"/>
          <w:szCs w:val="24"/>
          <w:highlight w:val="none"/>
        </w:rPr>
        <w:t>评标委员会成员声明</w:t>
      </w:r>
    </w:p>
    <w:p>
      <w:pPr>
        <w:pStyle w:val="20"/>
        <w:widowControl w:val="0"/>
        <w:spacing w:before="0" w:beforeAutospacing="0" w:after="0" w:afterAutospacing="0" w:line="360" w:lineRule="auto"/>
        <w:ind w:firstLine="640"/>
        <w:jc w:val="center"/>
        <w:rPr>
          <w:b/>
          <w:bCs/>
          <w:color w:val="auto"/>
          <w:sz w:val="32"/>
          <w:szCs w:val="32"/>
          <w:highlight w:val="none"/>
        </w:rPr>
      </w:pPr>
      <w:r>
        <w:rPr>
          <w:rFonts w:hint="eastAsia"/>
          <w:b/>
          <w:bCs/>
          <w:color w:val="auto"/>
          <w:sz w:val="32"/>
          <w:szCs w:val="32"/>
          <w:highlight w:val="none"/>
        </w:rPr>
        <w:t>评标委员会成员声明</w:t>
      </w:r>
    </w:p>
    <w:p>
      <w:pPr>
        <w:pStyle w:val="20"/>
        <w:widowControl w:val="0"/>
        <w:spacing w:before="0" w:beforeAutospacing="0" w:after="0" w:afterAutospacing="0" w:line="360" w:lineRule="auto"/>
        <w:jc w:val="both"/>
        <w:rPr>
          <w:color w:val="auto"/>
          <w:sz w:val="21"/>
          <w:szCs w:val="21"/>
          <w:highlight w:val="none"/>
        </w:rPr>
      </w:pPr>
      <w:r>
        <w:rPr>
          <w:rFonts w:hint="eastAsia"/>
          <w:color w:val="auto"/>
          <w:sz w:val="21"/>
          <w:szCs w:val="21"/>
          <w:highlight w:val="none"/>
          <w:u w:val="single"/>
        </w:rPr>
        <w:t xml:space="preserve">   本项目招标人  </w:t>
      </w:r>
      <w:r>
        <w:rPr>
          <w:rFonts w:hint="eastAsia"/>
          <w:color w:val="auto"/>
          <w:sz w:val="21"/>
          <w:szCs w:val="21"/>
          <w:highlight w:val="none"/>
        </w:rPr>
        <w:t>：</w:t>
      </w:r>
    </w:p>
    <w:p>
      <w:pPr>
        <w:pStyle w:val="20"/>
        <w:widowControl w:val="0"/>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rPr>
        <w:t>本人就参与</w:t>
      </w:r>
      <w:r>
        <w:rPr>
          <w:rFonts w:hint="eastAsia"/>
          <w:color w:val="auto"/>
          <w:sz w:val="21"/>
          <w:szCs w:val="21"/>
          <w:highlight w:val="none"/>
          <w:u w:val="single"/>
        </w:rPr>
        <w:t xml:space="preserve">               </w:t>
      </w:r>
      <w:r>
        <w:rPr>
          <w:rFonts w:hint="eastAsia"/>
          <w:color w:val="auto"/>
          <w:sz w:val="21"/>
          <w:szCs w:val="21"/>
          <w:highlight w:val="none"/>
        </w:rPr>
        <w:t>项目的评标工作，作出郑重声明：</w:t>
      </w:r>
    </w:p>
    <w:p>
      <w:pPr>
        <w:pStyle w:val="20"/>
        <w:widowControl w:val="0"/>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pStyle w:val="20"/>
        <w:widowControl w:val="0"/>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pStyle w:val="20"/>
        <w:widowControl w:val="0"/>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pStyle w:val="20"/>
        <w:widowControl w:val="0"/>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pStyle w:val="20"/>
        <w:widowControl w:val="0"/>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pStyle w:val="20"/>
        <w:widowControl w:val="0"/>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rPr>
        <w:t>如果本人违反上述声明内容，造成的后果由本人自行承担。</w:t>
      </w:r>
    </w:p>
    <w:p>
      <w:pPr>
        <w:pStyle w:val="20"/>
        <w:widowControl w:val="0"/>
        <w:spacing w:before="0" w:beforeAutospacing="0" w:after="0" w:afterAutospacing="0" w:line="360" w:lineRule="auto"/>
        <w:ind w:firstLine="640"/>
        <w:jc w:val="both"/>
        <w:rPr>
          <w:color w:val="auto"/>
          <w:sz w:val="21"/>
          <w:szCs w:val="21"/>
          <w:highlight w:val="none"/>
          <w:u w:val="single"/>
        </w:rPr>
      </w:pPr>
      <w:r>
        <w:rPr>
          <w:rFonts w:hint="eastAsia"/>
          <w:color w:val="auto"/>
          <w:sz w:val="21"/>
          <w:szCs w:val="21"/>
          <w:highlight w:val="none"/>
        </w:rPr>
        <w:t>                   声明人：</w:t>
      </w:r>
      <w:r>
        <w:rPr>
          <w:rFonts w:hint="eastAsia"/>
          <w:color w:val="auto"/>
          <w:sz w:val="21"/>
          <w:szCs w:val="21"/>
          <w:highlight w:val="none"/>
          <w:u w:val="single"/>
        </w:rPr>
        <w:t xml:space="preserve">（签名）  </w:t>
      </w:r>
    </w:p>
    <w:p>
      <w:pPr>
        <w:spacing w:line="360" w:lineRule="auto"/>
        <w:rPr>
          <w:color w:val="auto"/>
          <w:highlight w:val="none"/>
        </w:rPr>
        <w:sectPr>
          <w:pgSz w:w="11906" w:h="16838"/>
          <w:pgMar w:top="1400" w:right="1100" w:bottom="1120" w:left="1560" w:header="0" w:footer="841" w:gutter="0"/>
          <w:cols w:space="720" w:num="1"/>
        </w:sectPr>
      </w:pPr>
      <w:r>
        <w:rPr>
          <w:rFonts w:hint="eastAsia"/>
          <w:color w:val="auto"/>
          <w:spacing w:val="-3"/>
          <w:position w:val="-4"/>
          <w:sz w:val="28"/>
          <w:szCs w:val="24"/>
          <w:highlight w:val="none"/>
          <w:lang w:val="en-US"/>
        </w:rPr>
        <w:br w:type="page"/>
      </w:r>
    </w:p>
    <w:p>
      <w:pPr>
        <w:pStyle w:val="10"/>
        <w:spacing w:before="12" w:line="360" w:lineRule="auto"/>
        <w:rPr>
          <w:color w:val="auto"/>
          <w:sz w:val="18"/>
          <w:highlight w:val="none"/>
        </w:rPr>
      </w:pPr>
      <w:bookmarkStart w:id="17" w:name="_bookmark77"/>
      <w:bookmarkEnd w:id="17"/>
    </w:p>
    <w:p>
      <w:pPr>
        <w:keepNext/>
        <w:keepLines/>
        <w:autoSpaceDE/>
        <w:autoSpaceDN/>
        <w:spacing w:line="408" w:lineRule="auto"/>
        <w:ind w:firstLine="643" w:firstLineChars="200"/>
        <w:jc w:val="center"/>
        <w:outlineLvl w:val="0"/>
        <w:rPr>
          <w:rFonts w:cs="Times New Roman"/>
          <w:b/>
          <w:bCs/>
          <w:color w:val="auto"/>
          <w:sz w:val="32"/>
          <w:szCs w:val="32"/>
          <w:highlight w:val="none"/>
          <w:lang w:val="en-US" w:bidi="ar-SA"/>
        </w:rPr>
      </w:pPr>
      <w:bookmarkStart w:id="18" w:name="_Toc484"/>
      <w:bookmarkStart w:id="19" w:name="_Toc20324"/>
      <w:r>
        <w:rPr>
          <w:rFonts w:hint="eastAsia" w:cs="Times New Roman"/>
          <w:b/>
          <w:bCs/>
          <w:color w:val="auto"/>
          <w:sz w:val="32"/>
          <w:szCs w:val="32"/>
          <w:highlight w:val="none"/>
          <w:lang w:val="en-US" w:bidi="ar-SA"/>
        </w:rPr>
        <w:t>第三章  评标办法（综合评估法）</w:t>
      </w:r>
      <w:bookmarkEnd w:id="18"/>
      <w:bookmarkEnd w:id="19"/>
    </w:p>
    <w:p>
      <w:pPr>
        <w:keepNext/>
        <w:keepLines/>
        <w:autoSpaceDE/>
        <w:autoSpaceDN/>
        <w:spacing w:line="408" w:lineRule="auto"/>
        <w:jc w:val="center"/>
        <w:outlineLvl w:val="1"/>
        <w:rPr>
          <w:b/>
          <w:bCs/>
          <w:color w:val="auto"/>
          <w:sz w:val="28"/>
          <w:szCs w:val="28"/>
          <w:highlight w:val="none"/>
          <w:lang w:val="en-US" w:bidi="ar-SA"/>
        </w:rPr>
      </w:pPr>
      <w:r>
        <w:rPr>
          <w:rFonts w:hint="eastAsia" w:eastAsia="黑体" w:cs="Times New Roman"/>
          <w:b/>
          <w:bCs/>
          <w:color w:val="auto"/>
          <w:sz w:val="32"/>
          <w:szCs w:val="32"/>
          <w:highlight w:val="none"/>
          <w:lang w:val="en-US" w:bidi="ar-SA"/>
        </w:rPr>
        <w:t>评标办法前附表</w:t>
      </w:r>
      <w:bookmarkStart w:id="20" w:name="_Toc22155"/>
      <w:bookmarkEnd w:id="20"/>
      <w:bookmarkStart w:id="21" w:name="_Toc13470"/>
      <w:bookmarkEnd w:id="21"/>
      <w:bookmarkStart w:id="22" w:name="_Toc12886"/>
      <w:bookmarkEnd w:id="22"/>
      <w:bookmarkStart w:id="23" w:name="_Toc24248"/>
      <w:bookmarkEnd w:id="23"/>
      <w:bookmarkStart w:id="24" w:name="_Toc514170133"/>
      <w:bookmarkEnd w:id="24"/>
      <w:bookmarkStart w:id="25" w:name="_Toc19290"/>
      <w:bookmarkEnd w:id="25"/>
    </w:p>
    <w:tbl>
      <w:tblPr>
        <w:tblStyle w:val="24"/>
        <w:tblW w:w="91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76"/>
        <w:gridCol w:w="1216"/>
        <w:gridCol w:w="1939"/>
        <w:gridCol w:w="5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84" w:type="dxa"/>
            <w:gridSpan w:val="3"/>
            <w:tcBorders>
              <w:top w:val="single" w:color="auto" w:sz="4" w:space="0"/>
              <w:bottom w:val="single" w:color="auto" w:sz="4" w:space="0"/>
              <w:right w:val="single" w:color="auto" w:sz="4" w:space="0"/>
            </w:tcBorders>
            <w:noWrap/>
            <w:vAlign w:val="center"/>
          </w:tcPr>
          <w:p>
            <w:pPr>
              <w:autoSpaceDE/>
              <w:autoSpaceDN/>
              <w:spacing w:line="300" w:lineRule="exact"/>
              <w:jc w:val="center"/>
              <w:rPr>
                <w:b/>
                <w:color w:val="auto"/>
                <w:kern w:val="2"/>
                <w:sz w:val="21"/>
                <w:szCs w:val="21"/>
                <w:highlight w:val="none"/>
                <w:lang w:val="en-US" w:bidi="ar-SA"/>
              </w:rPr>
            </w:pPr>
            <w:bookmarkStart w:id="26" w:name="_Hlk122978448"/>
            <w:r>
              <w:rPr>
                <w:rFonts w:hint="eastAsia"/>
                <w:b/>
                <w:color w:val="auto"/>
                <w:kern w:val="2"/>
                <w:sz w:val="21"/>
                <w:szCs w:val="21"/>
                <w:highlight w:val="none"/>
                <w:lang w:val="en-US" w:bidi="ar-SA"/>
              </w:rPr>
              <w:t>条款号</w:t>
            </w: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b/>
                <w:color w:val="auto"/>
                <w:kern w:val="2"/>
                <w:sz w:val="21"/>
                <w:szCs w:val="21"/>
                <w:highlight w:val="none"/>
                <w:lang w:val="en-US" w:bidi="ar-SA"/>
              </w:rPr>
            </w:pPr>
            <w:r>
              <w:rPr>
                <w:rFonts w:hint="eastAsia"/>
                <w:b/>
                <w:color w:val="auto"/>
                <w:kern w:val="2"/>
                <w:sz w:val="21"/>
                <w:szCs w:val="21"/>
                <w:highlight w:val="none"/>
                <w:lang w:val="en-US" w:bidi="ar-SA"/>
              </w:rPr>
              <w:t>评审因素</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center"/>
              <w:rPr>
                <w:b/>
                <w:color w:val="auto"/>
                <w:kern w:val="2"/>
                <w:sz w:val="21"/>
                <w:szCs w:val="21"/>
                <w:highlight w:val="none"/>
                <w:lang w:val="en-US" w:bidi="ar-SA"/>
              </w:rPr>
            </w:pPr>
            <w:r>
              <w:rPr>
                <w:rFonts w:hint="eastAsia"/>
                <w:b/>
                <w:color w:val="auto"/>
                <w:kern w:val="2"/>
                <w:sz w:val="21"/>
                <w:szCs w:val="21"/>
                <w:highlight w:val="none"/>
                <w:lang w:val="en-US" w:bidi="ar-SA"/>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68" w:type="dxa"/>
            <w:gridSpan w:val="2"/>
            <w:tcBorders>
              <w:top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color w:val="auto"/>
                <w:kern w:val="2"/>
                <w:sz w:val="21"/>
                <w:szCs w:val="21"/>
                <w:highlight w:val="none"/>
                <w:lang w:val="en-US" w:bidi="ar-SA"/>
              </w:rPr>
              <w:t>1</w:t>
            </w:r>
          </w:p>
        </w:tc>
        <w:tc>
          <w:tcPr>
            <w:tcW w:w="1216"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评标方法</w:t>
            </w: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中标候选人排序方法</w:t>
            </w:r>
          </w:p>
        </w:tc>
        <w:tc>
          <w:tcPr>
            <w:tcW w:w="5062" w:type="dxa"/>
            <w:tcBorders>
              <w:top w:val="single" w:color="auto" w:sz="4" w:space="0"/>
              <w:left w:val="single" w:color="auto" w:sz="4" w:space="0"/>
              <w:bottom w:val="single" w:color="auto" w:sz="4" w:space="0"/>
            </w:tcBorders>
            <w:noWrap/>
          </w:tcPr>
          <w:p>
            <w:pPr>
              <w:autoSpaceDE/>
              <w:autoSpaceDN/>
              <w:spacing w:line="300" w:lineRule="exact"/>
              <w:jc w:val="both"/>
              <w:rPr>
                <w:color w:val="auto"/>
                <w:kern w:val="2"/>
                <w:sz w:val="21"/>
                <w:szCs w:val="21"/>
                <w:highlight w:val="none"/>
                <w:lang w:val="en-US" w:bidi="ar-SA"/>
              </w:rPr>
            </w:pPr>
            <w:r>
              <w:rPr>
                <w:rFonts w:hint="eastAsia"/>
                <w:color w:val="auto"/>
                <w:sz w:val="21"/>
                <w:szCs w:val="21"/>
                <w:highlight w:val="none"/>
                <w:lang w:val="en-US" w:bidi="ar-SA"/>
              </w:rPr>
              <w:t>本次评标采用综合评估法。评标委员会对满足招标文件实质性要求的投标文件，按照本章规定的评分标准进行打分，并按得分由高到低顺序推荐前三名作为中标候选人，综合评分相等的，以投标报价低的优先；投标报价也相等的，以监理大纲得分高的优先；如果监理大纲得分也相等，则由评委采用记名投票方式，确定相等得分的中标候选人的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restart"/>
            <w:tcBorders>
              <w:top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color w:val="auto"/>
                <w:kern w:val="2"/>
                <w:sz w:val="21"/>
                <w:szCs w:val="21"/>
                <w:highlight w:val="none"/>
                <w:lang w:val="en-US" w:bidi="ar-SA"/>
              </w:rPr>
              <w:t>2.1.1</w:t>
            </w:r>
          </w:p>
        </w:tc>
        <w:tc>
          <w:tcPr>
            <w:tcW w:w="1216" w:type="dxa"/>
            <w:vMerge w:val="restart"/>
            <w:tcBorders>
              <w:top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形式评审标准</w:t>
            </w: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投标人名称</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与营业执照、资质证书一致；香港企业独立参加投标的，须与在广东省住房和城乡建设主管部门备案的证明扫描件一致。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投标函及投标函附录</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投标文件格式</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符合第六章“投标文件格式”的规定（评审格式为格式一、格式二</w:t>
            </w:r>
            <w:r>
              <w:rPr>
                <w:color w:val="auto"/>
                <w:kern w:val="2"/>
                <w:sz w:val="21"/>
                <w:szCs w:val="21"/>
                <w:highlight w:val="none"/>
                <w:lang w:val="en-US" w:bidi="ar-SA"/>
              </w:rPr>
              <w:t>）</w:t>
            </w:r>
            <w:r>
              <w:rPr>
                <w:rFonts w:hint="eastAsia"/>
                <w:color w:val="auto"/>
                <w:kern w:val="2"/>
                <w:sz w:val="21"/>
                <w:szCs w:val="21"/>
                <w:highlight w:val="none"/>
                <w:lang w:val="en-US" w:bidi="ar-SA"/>
              </w:rPr>
              <w:t>。</w:t>
            </w:r>
          </w:p>
        </w:tc>
      </w:tr>
      <w:bookmarkEnd w:id="2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投标人机器码</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本项目不同投标人</w:t>
            </w:r>
            <w:r>
              <w:rPr>
                <w:rFonts w:hint="eastAsia"/>
                <w:color w:val="auto"/>
                <w:kern w:val="2"/>
                <w:sz w:val="21"/>
                <w:szCs w:val="21"/>
                <w:highlight w:val="none"/>
                <w:u w:val="single"/>
                <w:lang w:val="en-US" w:bidi="ar-SA"/>
              </w:rPr>
              <w:t>加密打包投标文件电脑机器特征码</w:t>
            </w:r>
            <w:r>
              <w:rPr>
                <w:rFonts w:hint="eastAsia"/>
                <w:color w:val="auto"/>
                <w:kern w:val="2"/>
                <w:sz w:val="21"/>
                <w:szCs w:val="21"/>
                <w:highlight w:val="none"/>
                <w:lang w:val="en-US" w:bidi="ar-SA"/>
              </w:rPr>
              <w:t>相同，视为不合格。</w:t>
            </w:r>
            <w:r>
              <w:rPr>
                <w:color w:val="auto"/>
                <w:kern w:val="2"/>
                <w:sz w:val="21"/>
                <w:szCs w:val="21"/>
                <w:highlight w:val="none"/>
                <w:lang w:val="en-US" w:bidi="ar-SA"/>
              </w:rPr>
              <w:t>(以</w:t>
            </w:r>
            <w:r>
              <w:rPr>
                <w:rFonts w:hint="eastAsia"/>
                <w:color w:val="auto"/>
                <w:kern w:val="2"/>
                <w:sz w:val="21"/>
                <w:szCs w:val="21"/>
                <w:highlight w:val="none"/>
                <w:lang w:val="en-US" w:bidi="ar-SA"/>
              </w:rPr>
              <w:t>广州交易集团有限公司（广州公共资源交易中心）</w:t>
            </w:r>
            <w:r>
              <w:rPr>
                <w:color w:val="auto"/>
                <w:kern w:val="2"/>
                <w:sz w:val="21"/>
                <w:szCs w:val="21"/>
                <w:highlight w:val="none"/>
                <w:lang w:val="en-US" w:bidi="ar-SA"/>
              </w:rPr>
              <w:t>评标系统的检索信息为准)</w:t>
            </w:r>
            <w:r>
              <w:rPr>
                <w:rFonts w:hint="eastAsia"/>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968" w:type="dxa"/>
            <w:gridSpan w:val="2"/>
            <w:vMerge w:val="continue"/>
            <w:tcBorders>
              <w:top w:val="nil"/>
              <w:bottom w:val="single" w:color="auto" w:sz="4" w:space="0"/>
              <w:right w:val="single" w:color="auto" w:sz="4" w:space="0"/>
            </w:tcBorders>
            <w:noWrap/>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right w:val="single" w:color="auto" w:sz="4" w:space="0"/>
            </w:tcBorders>
            <w:noWrap/>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备选投标方案</w:t>
            </w:r>
          </w:p>
        </w:tc>
        <w:tc>
          <w:tcPr>
            <w:tcW w:w="5062" w:type="dxa"/>
            <w:tcBorders>
              <w:left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restart"/>
            <w:tcBorders>
              <w:top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color w:val="auto"/>
                <w:kern w:val="2"/>
                <w:sz w:val="21"/>
                <w:szCs w:val="21"/>
                <w:highlight w:val="none"/>
                <w:lang w:val="en-US" w:bidi="ar-SA"/>
              </w:rPr>
              <w:t>2.1.2</w:t>
            </w:r>
          </w:p>
        </w:tc>
        <w:tc>
          <w:tcPr>
            <w:tcW w:w="1216" w:type="dxa"/>
            <w:vMerge w:val="restart"/>
            <w:tcBorders>
              <w:top w:val="single" w:color="auto" w:sz="4" w:space="0"/>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资格评审标准</w:t>
            </w: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营业执照和组织机构代码证</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符合招标公告第3.4 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资质要求</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符合招标公告第3.1条要求。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财务要求</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业绩要求</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信誉要求</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总监理工程师</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符合招标公告第3.3条要求。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其他主要人员</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试验检测仪器设备</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其他要求</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符合招标公告第3.4条要求。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联合体投标人</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符合招标公告第3.</w:t>
            </w:r>
            <w:r>
              <w:rPr>
                <w:color w:val="auto"/>
                <w:kern w:val="2"/>
                <w:sz w:val="21"/>
                <w:szCs w:val="21"/>
                <w:highlight w:val="none"/>
                <w:lang w:val="en-US" w:bidi="ar-SA"/>
              </w:rPr>
              <w:t>2</w:t>
            </w:r>
            <w:r>
              <w:rPr>
                <w:rFonts w:hint="eastAsia"/>
                <w:color w:val="auto"/>
                <w:kern w:val="2"/>
                <w:sz w:val="21"/>
                <w:szCs w:val="21"/>
                <w:highlight w:val="none"/>
                <w:lang w:val="en-US" w:bidi="ar-SA"/>
              </w:rPr>
              <w:t>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不存在禁止投标的情形</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u w:val="single"/>
                <w:lang w:val="en-US" w:bidi="ar-SA"/>
              </w:rPr>
            </w:pPr>
            <w:r>
              <w:rPr>
                <w:rFonts w:hint="eastAsia"/>
                <w:color w:val="auto"/>
                <w:kern w:val="2"/>
                <w:sz w:val="21"/>
                <w:szCs w:val="21"/>
                <w:highlight w:val="none"/>
                <w:lang w:val="en-US" w:bidi="ar-SA"/>
              </w:rPr>
              <w:t>不存在第二章“投标人须知”第</w:t>
            </w:r>
            <w:r>
              <w:rPr>
                <w:color w:val="auto"/>
                <w:kern w:val="2"/>
                <w:sz w:val="21"/>
                <w:szCs w:val="21"/>
                <w:highlight w:val="none"/>
                <w:lang w:val="en-US" w:bidi="ar-SA"/>
              </w:rPr>
              <w:t>1.4.3项规定的任何一种情形（以《投标人声明》</w:t>
            </w:r>
            <w:r>
              <w:rPr>
                <w:rFonts w:hint="eastAsia"/>
                <w:color w:val="auto"/>
                <w:kern w:val="2"/>
                <w:sz w:val="21"/>
                <w:szCs w:val="21"/>
                <w:highlight w:val="none"/>
                <w:lang w:val="en-US" w:bidi="ar-SA"/>
              </w:rPr>
              <w:t>进行评审</w:t>
            </w:r>
            <w:r>
              <w:rPr>
                <w:color w:val="auto"/>
                <w:kern w:val="2"/>
                <w:sz w:val="21"/>
                <w:szCs w:val="21"/>
                <w:highlight w:val="none"/>
                <w:lang w:val="en-US" w:bidi="ar-SA"/>
              </w:rPr>
              <w:t>）</w:t>
            </w:r>
            <w:r>
              <w:rPr>
                <w:rFonts w:hint="eastAsia"/>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bottom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bottom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ascii="Times New Roman" w:hAnsi="Times New Roman" w:cs="Times New Roman"/>
                <w:color w:val="auto"/>
                <w:kern w:val="2"/>
                <w:sz w:val="21"/>
                <w:szCs w:val="21"/>
                <w:highlight w:val="none"/>
                <w:lang w:val="en-US" w:bidi="ar-SA"/>
              </w:rPr>
              <w:t>未被列入拖欠农民工工资失信联合惩戒对象名单</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投标人无需提供资料，按投标截止时间交易系统比对的结果进行评审。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jc w:val="center"/>
        </w:trPr>
        <w:tc>
          <w:tcPr>
            <w:tcW w:w="968" w:type="dxa"/>
            <w:gridSpan w:val="2"/>
            <w:vMerge w:val="restart"/>
            <w:tcBorders>
              <w:top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color w:val="auto"/>
                <w:kern w:val="2"/>
                <w:sz w:val="21"/>
                <w:szCs w:val="21"/>
                <w:highlight w:val="none"/>
                <w:lang w:val="en-US" w:bidi="ar-SA"/>
              </w:rPr>
              <w:t>2.1.3</w:t>
            </w:r>
          </w:p>
        </w:tc>
        <w:tc>
          <w:tcPr>
            <w:tcW w:w="1216" w:type="dxa"/>
            <w:vMerge w:val="restart"/>
            <w:tcBorders>
              <w:top w:val="single" w:color="auto" w:sz="4" w:space="0"/>
              <w:left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响应性评审标准</w:t>
            </w:r>
          </w:p>
        </w:tc>
        <w:tc>
          <w:tcPr>
            <w:tcW w:w="1939" w:type="dxa"/>
            <w:tcBorders>
              <w:top w:val="single" w:color="auto" w:sz="4" w:space="0"/>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投标文件</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投标文件所列投标人名称、总监理工程师与投标登记时一致；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jc w:val="center"/>
        </w:trPr>
        <w:tc>
          <w:tcPr>
            <w:tcW w:w="968" w:type="dxa"/>
            <w:gridSpan w:val="2"/>
            <w:vMerge w:val="continue"/>
            <w:tcBorders>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p>
        </w:tc>
        <w:tc>
          <w:tcPr>
            <w:tcW w:w="1939" w:type="dxa"/>
            <w:tcBorders>
              <w:top w:val="single" w:color="auto" w:sz="4" w:space="0"/>
              <w:left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投标报价</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3.2款规定进行投标报价的；对同一招标项目没有出现两个或以上的投标报价，且修正无依据</w:t>
            </w:r>
            <w:r>
              <w:rPr>
                <w:rFonts w:hint="eastAsia"/>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投标内容</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1.3.1项规定</w:t>
            </w:r>
            <w:r>
              <w:rPr>
                <w:rFonts w:hint="eastAsia"/>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监理服务期限</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1.3.2项规定</w:t>
            </w:r>
            <w:r>
              <w:rPr>
                <w:rFonts w:hint="eastAsia"/>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质量标准</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1.3.3项规定</w:t>
            </w:r>
            <w:r>
              <w:rPr>
                <w:rFonts w:hint="eastAsia"/>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tcPr>
          <w:p>
            <w:pPr>
              <w:autoSpaceDE/>
              <w:autoSpaceDN/>
              <w:spacing w:line="300" w:lineRule="exact"/>
              <w:jc w:val="center"/>
              <w:rPr>
                <w:color w:val="auto"/>
                <w:kern w:val="2"/>
                <w:sz w:val="21"/>
                <w:szCs w:val="21"/>
                <w:highlight w:val="none"/>
                <w:lang w:val="en-US" w:bidi="ar-SA"/>
              </w:rPr>
            </w:pPr>
            <w:r>
              <w:rPr>
                <w:rFonts w:hint="eastAsia" w:cs="Times New Roman"/>
                <w:color w:val="auto"/>
                <w:kern w:val="2"/>
                <w:sz w:val="21"/>
                <w:szCs w:val="21"/>
                <w:highlight w:val="none"/>
                <w:lang w:val="en-US" w:bidi="ar-SA"/>
              </w:rPr>
              <w:t>投标有效期</w:t>
            </w:r>
          </w:p>
        </w:tc>
        <w:tc>
          <w:tcPr>
            <w:tcW w:w="5062" w:type="dxa"/>
            <w:tcBorders>
              <w:top w:val="single" w:color="auto" w:sz="4" w:space="0"/>
              <w:left w:val="single" w:color="auto" w:sz="4" w:space="0"/>
              <w:bottom w:val="single" w:color="auto" w:sz="4" w:space="0"/>
            </w:tcBorders>
            <w:noWrap/>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3.3.1项规定</w:t>
            </w:r>
            <w:r>
              <w:rPr>
                <w:rFonts w:hint="eastAsia"/>
                <w:color w:val="auto"/>
                <w:kern w:val="2"/>
                <w:sz w:val="21"/>
                <w:szCs w:val="21"/>
                <w:highlight w:val="none"/>
                <w:lang w:val="en-US"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968" w:type="dxa"/>
            <w:gridSpan w:val="2"/>
            <w:vMerge w:val="continue"/>
            <w:tcBorders>
              <w:bottom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216" w:type="dxa"/>
            <w:vMerge w:val="continue"/>
            <w:tcBorders>
              <w:left w:val="single" w:color="auto" w:sz="4" w:space="0"/>
              <w:bottom w:val="single" w:color="auto" w:sz="4" w:space="0"/>
              <w:right w:val="single" w:color="auto" w:sz="4" w:space="0"/>
            </w:tcBorders>
            <w:noWrap/>
            <w:vAlign w:val="center"/>
          </w:tcPr>
          <w:p>
            <w:pPr>
              <w:autoSpaceDE/>
              <w:autoSpaceDN/>
              <w:spacing w:line="300" w:lineRule="exact"/>
              <w:jc w:val="both"/>
              <w:rPr>
                <w:color w:val="auto"/>
                <w:kern w:val="2"/>
                <w:sz w:val="21"/>
                <w:szCs w:val="21"/>
                <w:highlight w:val="none"/>
                <w:lang w:val="en-US" w:bidi="ar-SA"/>
              </w:rPr>
            </w:pPr>
          </w:p>
        </w:tc>
        <w:tc>
          <w:tcPr>
            <w:tcW w:w="1939" w:type="dxa"/>
            <w:tcBorders>
              <w:top w:val="single" w:color="auto" w:sz="4" w:space="0"/>
              <w:left w:val="single" w:color="auto" w:sz="4" w:space="0"/>
              <w:right w:val="single" w:color="auto" w:sz="4" w:space="0"/>
            </w:tcBorders>
            <w:noWrap/>
          </w:tcPr>
          <w:p>
            <w:pPr>
              <w:autoSpaceDE/>
              <w:autoSpaceDN/>
              <w:spacing w:line="300" w:lineRule="exact"/>
              <w:jc w:val="center"/>
              <w:rPr>
                <w:color w:val="auto"/>
                <w:kern w:val="2"/>
                <w:sz w:val="21"/>
                <w:szCs w:val="21"/>
                <w:highlight w:val="none"/>
                <w:lang w:val="en-US" w:bidi="ar-SA"/>
              </w:rPr>
            </w:pPr>
            <w:r>
              <w:rPr>
                <w:rFonts w:hint="eastAsia"/>
                <w:color w:val="auto"/>
                <w:kern w:val="2"/>
                <w:sz w:val="21"/>
                <w:szCs w:val="21"/>
                <w:highlight w:val="none"/>
                <w:lang w:val="en-US" w:bidi="ar-SA"/>
              </w:rPr>
              <w:t>串通投标情形</w:t>
            </w:r>
          </w:p>
        </w:tc>
        <w:tc>
          <w:tcPr>
            <w:tcW w:w="5062" w:type="dxa"/>
            <w:tcBorders>
              <w:top w:val="single" w:color="auto" w:sz="4" w:space="0"/>
              <w:left w:val="single" w:color="auto" w:sz="4" w:space="0"/>
            </w:tcBorders>
            <w:noWrap/>
          </w:tcPr>
          <w:p>
            <w:pPr>
              <w:autoSpaceDE/>
              <w:autoSpaceDN/>
              <w:spacing w:line="300" w:lineRule="exact"/>
              <w:jc w:val="both"/>
              <w:rPr>
                <w:color w:val="auto"/>
                <w:kern w:val="2"/>
                <w:sz w:val="21"/>
                <w:szCs w:val="21"/>
                <w:highlight w:val="none"/>
                <w:lang w:val="en-US" w:bidi="ar-SA"/>
              </w:rPr>
            </w:pPr>
            <w:r>
              <w:rPr>
                <w:rFonts w:hint="eastAsia"/>
                <w:color w:val="auto"/>
                <w:kern w:val="2"/>
                <w:sz w:val="21"/>
                <w:szCs w:val="21"/>
                <w:highlight w:val="none"/>
                <w:lang w:val="en-US" w:bidi="ar-SA"/>
              </w:rPr>
              <w:t>投标人之间不存在《广东省实施&lt;中华人民共和国招标投标法&gt;办法》第十六条所禁止的情形的。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184" w:type="dxa"/>
            <w:gridSpan w:val="3"/>
            <w:tcBorders>
              <w:top w:val="single" w:color="auto" w:sz="4" w:space="0"/>
              <w:bottom w:val="single" w:color="auto" w:sz="4" w:space="0"/>
              <w:right w:val="single" w:color="auto" w:sz="4" w:space="0"/>
            </w:tcBorders>
            <w:noWrap/>
            <w:vAlign w:val="center"/>
          </w:tcPr>
          <w:p>
            <w:pPr>
              <w:autoSpaceDE/>
              <w:autoSpaceDN/>
              <w:spacing w:line="300" w:lineRule="exact"/>
              <w:jc w:val="center"/>
              <w:rPr>
                <w:b/>
                <w:color w:val="auto"/>
                <w:kern w:val="2"/>
                <w:sz w:val="21"/>
                <w:szCs w:val="21"/>
                <w:highlight w:val="none"/>
                <w:lang w:val="en-US" w:bidi="ar-SA"/>
              </w:rPr>
            </w:pPr>
            <w:bookmarkStart w:id="27" w:name="_Hlk123837703"/>
            <w:r>
              <w:rPr>
                <w:rFonts w:hint="eastAsia"/>
                <w:b/>
                <w:color w:val="auto"/>
                <w:kern w:val="2"/>
                <w:sz w:val="21"/>
                <w:szCs w:val="21"/>
                <w:highlight w:val="none"/>
                <w:lang w:val="en-US" w:bidi="ar-SA"/>
              </w:rPr>
              <w:t>条款号</w:t>
            </w:r>
          </w:p>
        </w:tc>
        <w:tc>
          <w:tcPr>
            <w:tcW w:w="1939" w:type="dxa"/>
            <w:tcBorders>
              <w:top w:val="single" w:color="auto" w:sz="4" w:space="0"/>
              <w:left w:val="single" w:color="auto" w:sz="4" w:space="0"/>
              <w:bottom w:val="single" w:color="auto" w:sz="4" w:space="0"/>
              <w:right w:val="single" w:color="auto" w:sz="4" w:space="0"/>
            </w:tcBorders>
            <w:noWrap/>
            <w:vAlign w:val="center"/>
          </w:tcPr>
          <w:p>
            <w:pPr>
              <w:autoSpaceDE/>
              <w:autoSpaceDN/>
              <w:spacing w:line="300" w:lineRule="exact"/>
              <w:jc w:val="center"/>
              <w:rPr>
                <w:b/>
                <w:color w:val="auto"/>
                <w:kern w:val="2"/>
                <w:sz w:val="21"/>
                <w:szCs w:val="21"/>
                <w:highlight w:val="none"/>
                <w:lang w:val="en-US" w:bidi="ar-SA"/>
              </w:rPr>
            </w:pPr>
            <w:r>
              <w:rPr>
                <w:rFonts w:hint="eastAsia"/>
                <w:b/>
                <w:color w:val="auto"/>
                <w:kern w:val="2"/>
                <w:sz w:val="21"/>
                <w:szCs w:val="21"/>
                <w:highlight w:val="none"/>
                <w:lang w:val="en-US" w:bidi="ar-SA"/>
              </w:rPr>
              <w:t>评审因素</w:t>
            </w:r>
          </w:p>
        </w:tc>
        <w:tc>
          <w:tcPr>
            <w:tcW w:w="5062" w:type="dxa"/>
            <w:tcBorders>
              <w:top w:val="single" w:color="auto" w:sz="4" w:space="0"/>
              <w:left w:val="single" w:color="auto" w:sz="4" w:space="0"/>
              <w:bottom w:val="single" w:color="auto" w:sz="4" w:space="0"/>
            </w:tcBorders>
            <w:noWrap/>
            <w:vAlign w:val="center"/>
          </w:tcPr>
          <w:p>
            <w:pPr>
              <w:autoSpaceDE/>
              <w:autoSpaceDN/>
              <w:spacing w:line="300" w:lineRule="exact"/>
              <w:jc w:val="center"/>
              <w:rPr>
                <w:b/>
                <w:color w:val="auto"/>
                <w:kern w:val="2"/>
                <w:sz w:val="21"/>
                <w:szCs w:val="21"/>
                <w:highlight w:val="none"/>
                <w:lang w:val="en-US" w:bidi="ar-SA"/>
              </w:rPr>
            </w:pPr>
            <w:r>
              <w:rPr>
                <w:rFonts w:hint="eastAsia"/>
                <w:b/>
                <w:color w:val="auto"/>
                <w:kern w:val="2"/>
                <w:sz w:val="21"/>
                <w:szCs w:val="21"/>
                <w:highlight w:val="none"/>
                <w:lang w:val="en-US" w:bidi="ar-SA"/>
              </w:rPr>
              <w:t>评审标准</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4" w:type="dxa"/>
            <w:gridSpan w:val="3"/>
            <w:vAlign w:val="center"/>
          </w:tcPr>
          <w:p>
            <w:pPr>
              <w:autoSpaceDE/>
              <w:autoSpaceDN/>
              <w:jc w:val="both"/>
              <w:rPr>
                <w:color w:val="auto"/>
                <w:kern w:val="2"/>
                <w:sz w:val="21"/>
                <w:szCs w:val="21"/>
                <w:highlight w:val="none"/>
                <w:lang w:val="en-US" w:bidi="ar-SA"/>
              </w:rPr>
            </w:pPr>
            <w:r>
              <w:rPr>
                <w:color w:val="auto"/>
                <w:kern w:val="2"/>
                <w:sz w:val="21"/>
                <w:szCs w:val="21"/>
                <w:highlight w:val="none"/>
                <w:lang w:val="en-US" w:bidi="ar-SA"/>
              </w:rPr>
              <w:t>2.2.1</w:t>
            </w:r>
          </w:p>
        </w:tc>
        <w:tc>
          <w:tcPr>
            <w:tcW w:w="1939" w:type="dxa"/>
            <w:vAlign w:val="center"/>
          </w:tcPr>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分值构成</w:t>
            </w:r>
          </w:p>
          <w:p>
            <w:pPr>
              <w:autoSpaceDE/>
              <w:autoSpaceDN/>
              <w:jc w:val="both"/>
              <w:rPr>
                <w:color w:val="auto"/>
                <w:kern w:val="2"/>
                <w:sz w:val="21"/>
                <w:szCs w:val="21"/>
                <w:highlight w:val="none"/>
                <w:lang w:val="en-US" w:bidi="ar-SA"/>
              </w:rPr>
            </w:pPr>
            <w:r>
              <w:rPr>
                <w:color w:val="auto"/>
                <w:kern w:val="2"/>
                <w:sz w:val="21"/>
                <w:szCs w:val="21"/>
                <w:highlight w:val="none"/>
                <w:lang w:val="en-US" w:bidi="ar-SA"/>
              </w:rPr>
              <w:t>(</w:t>
            </w:r>
            <w:r>
              <w:rPr>
                <w:rFonts w:hint="eastAsia"/>
                <w:color w:val="auto"/>
                <w:kern w:val="2"/>
                <w:sz w:val="21"/>
                <w:szCs w:val="21"/>
                <w:highlight w:val="none"/>
                <w:lang w:val="en-US" w:bidi="ar-SA"/>
              </w:rPr>
              <w:t>总分</w:t>
            </w:r>
            <w:r>
              <w:rPr>
                <w:color w:val="auto"/>
                <w:kern w:val="2"/>
                <w:sz w:val="21"/>
                <w:szCs w:val="21"/>
                <w:highlight w:val="none"/>
                <w:lang w:val="en-US" w:bidi="ar-SA"/>
              </w:rPr>
              <w:t>100</w:t>
            </w:r>
            <w:r>
              <w:rPr>
                <w:rFonts w:hint="eastAsia"/>
                <w:color w:val="auto"/>
                <w:kern w:val="2"/>
                <w:sz w:val="21"/>
                <w:szCs w:val="21"/>
                <w:highlight w:val="none"/>
                <w:lang w:val="en-US" w:bidi="ar-SA"/>
              </w:rPr>
              <w:t>分</w:t>
            </w:r>
            <w:r>
              <w:rPr>
                <w:color w:val="auto"/>
                <w:kern w:val="2"/>
                <w:sz w:val="21"/>
                <w:szCs w:val="21"/>
                <w:highlight w:val="none"/>
                <w:lang w:val="en-US" w:bidi="ar-SA"/>
              </w:rPr>
              <w:t>)</w:t>
            </w:r>
          </w:p>
        </w:tc>
        <w:tc>
          <w:tcPr>
            <w:tcW w:w="5062" w:type="dxa"/>
            <w:vAlign w:val="center"/>
          </w:tcPr>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资信业绩部分：</w:t>
            </w:r>
            <w:r>
              <w:rPr>
                <w:rFonts w:hint="eastAsia"/>
                <w:color w:val="auto"/>
                <w:kern w:val="2"/>
                <w:sz w:val="21"/>
                <w:szCs w:val="21"/>
                <w:highlight w:val="none"/>
                <w:u w:val="single"/>
                <w:lang w:val="en-US" w:bidi="ar-SA"/>
              </w:rPr>
              <w:t>45</w:t>
            </w:r>
            <w:r>
              <w:rPr>
                <w:rFonts w:hint="eastAsia"/>
                <w:color w:val="auto"/>
                <w:kern w:val="2"/>
                <w:sz w:val="21"/>
                <w:szCs w:val="21"/>
                <w:highlight w:val="none"/>
                <w:lang w:val="en-US" w:bidi="ar-SA"/>
              </w:rPr>
              <w:t>分</w:t>
            </w:r>
          </w:p>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监理大纲部分：</w:t>
            </w:r>
            <w:r>
              <w:rPr>
                <w:rFonts w:hint="eastAsia"/>
                <w:color w:val="auto"/>
                <w:kern w:val="2"/>
                <w:sz w:val="21"/>
                <w:szCs w:val="21"/>
                <w:highlight w:val="none"/>
                <w:u w:val="single"/>
                <w:lang w:val="en-US" w:bidi="ar-SA"/>
              </w:rPr>
              <w:t>35</w:t>
            </w:r>
            <w:r>
              <w:rPr>
                <w:rFonts w:hint="eastAsia"/>
                <w:color w:val="auto"/>
                <w:kern w:val="2"/>
                <w:sz w:val="21"/>
                <w:szCs w:val="21"/>
                <w:highlight w:val="none"/>
                <w:lang w:val="en-US" w:bidi="ar-SA"/>
              </w:rPr>
              <w:t>分</w:t>
            </w:r>
          </w:p>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投标报价：</w:t>
            </w:r>
            <w:r>
              <w:rPr>
                <w:rFonts w:hint="eastAsia"/>
                <w:color w:val="auto"/>
                <w:kern w:val="2"/>
                <w:sz w:val="21"/>
                <w:szCs w:val="21"/>
                <w:highlight w:val="none"/>
                <w:u w:val="single"/>
                <w:lang w:val="en-US" w:bidi="ar-SA"/>
              </w:rPr>
              <w:t>2</w:t>
            </w:r>
            <w:r>
              <w:rPr>
                <w:rFonts w:hint="eastAsia"/>
                <w:color w:val="auto"/>
                <w:kern w:val="2"/>
                <w:sz w:val="21"/>
                <w:szCs w:val="21"/>
                <w:highlight w:val="none"/>
                <w:u w:val="single"/>
                <w:lang w:val="en-US" w:bidi="ar-SA"/>
              </w:rPr>
              <w:t>0</w:t>
            </w:r>
            <w:r>
              <w:rPr>
                <w:rFonts w:hint="eastAsia"/>
                <w:color w:val="auto"/>
                <w:kern w:val="2"/>
                <w:sz w:val="21"/>
                <w:szCs w:val="21"/>
                <w:highlight w:val="none"/>
                <w:lang w:val="en-US" w:bidi="ar-SA"/>
              </w:rPr>
              <w:t>分</w:t>
            </w:r>
          </w:p>
          <w:p>
            <w:pPr>
              <w:autoSpaceDE/>
              <w:autoSpaceDN/>
              <w:jc w:val="both"/>
              <w:rPr>
                <w:color w:val="auto"/>
                <w:kern w:val="2"/>
                <w:sz w:val="21"/>
                <w:szCs w:val="21"/>
                <w:highlight w:val="none"/>
                <w:lang w:val="en-US" w:bidi="ar-SA"/>
              </w:rPr>
            </w:pPr>
            <w:bookmarkStart w:id="28" w:name="_Toc134715439"/>
            <w:r>
              <w:rPr>
                <w:rFonts w:hint="eastAsia"/>
                <w:color w:val="auto"/>
                <w:kern w:val="2"/>
                <w:sz w:val="21"/>
                <w:szCs w:val="21"/>
                <w:highlight w:val="none"/>
                <w:lang w:val="en-US" w:bidi="ar-SA"/>
              </w:rPr>
              <w:t>综合得分＝资信业绩部分得分+监理大纲部分得分+投标报价得分</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4" w:type="dxa"/>
            <w:gridSpan w:val="3"/>
            <w:vAlign w:val="center"/>
          </w:tcPr>
          <w:p>
            <w:pPr>
              <w:autoSpaceDE/>
              <w:autoSpaceDN/>
              <w:jc w:val="both"/>
              <w:rPr>
                <w:color w:val="auto"/>
                <w:kern w:val="2"/>
                <w:sz w:val="21"/>
                <w:szCs w:val="21"/>
                <w:highlight w:val="none"/>
                <w:lang w:val="en-US" w:bidi="ar-SA"/>
              </w:rPr>
            </w:pPr>
            <w:r>
              <w:rPr>
                <w:color w:val="auto"/>
                <w:kern w:val="2"/>
                <w:sz w:val="21"/>
                <w:szCs w:val="21"/>
                <w:highlight w:val="none"/>
                <w:lang w:val="en-US" w:bidi="ar-SA"/>
              </w:rPr>
              <w:t>2.2.2</w:t>
            </w:r>
          </w:p>
        </w:tc>
        <w:tc>
          <w:tcPr>
            <w:tcW w:w="1939" w:type="dxa"/>
            <w:vAlign w:val="center"/>
          </w:tcPr>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评标基准价计算方法</w:t>
            </w:r>
          </w:p>
        </w:tc>
        <w:tc>
          <w:tcPr>
            <w:tcW w:w="5062" w:type="dxa"/>
            <w:vAlign w:val="center"/>
          </w:tcPr>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通过初步评审且经算术校核的投标报价中，位于[本项目最高投标限价×</w:t>
            </w:r>
            <w:r>
              <w:rPr>
                <w:color w:val="auto"/>
                <w:kern w:val="2"/>
                <w:sz w:val="21"/>
                <w:szCs w:val="21"/>
                <w:highlight w:val="none"/>
                <w:lang w:val="en-US" w:bidi="ar-SA"/>
              </w:rPr>
              <w:t>90</w:t>
            </w:r>
            <w:r>
              <w:rPr>
                <w:rFonts w:hint="eastAsia"/>
                <w:color w:val="auto"/>
                <w:kern w:val="2"/>
                <w:sz w:val="21"/>
                <w:szCs w:val="21"/>
                <w:highlight w:val="none"/>
                <w:lang w:val="en-US" w:bidi="ar-SA"/>
              </w:rPr>
              <w:t>%，本项目最高投标限价]区间的投标人大于或等于5家时，去掉一个最高价和一个最低价后，剩余投标报价的算术平均值为评标基准价；通过初步评审且经算术校核的投标报价中，位于[本项目最高投标限价×</w:t>
            </w:r>
            <w:r>
              <w:rPr>
                <w:color w:val="auto"/>
                <w:kern w:val="2"/>
                <w:sz w:val="21"/>
                <w:szCs w:val="21"/>
                <w:highlight w:val="none"/>
                <w:lang w:val="en-US" w:bidi="ar-SA"/>
              </w:rPr>
              <w:t>9</w:t>
            </w:r>
            <w:r>
              <w:rPr>
                <w:rFonts w:hint="eastAsia"/>
                <w:color w:val="auto"/>
                <w:kern w:val="2"/>
                <w:sz w:val="21"/>
                <w:szCs w:val="21"/>
                <w:highlight w:val="none"/>
                <w:lang w:val="en-US" w:bidi="ar-SA"/>
              </w:rPr>
              <w:t>0%，本项目最高投标限价]区间的投标人少于5家时，取区间中投标人的投标报价的算术平均值为评标基准价。若没有投标报价位于[最高投标限价×</w:t>
            </w:r>
            <w:r>
              <w:rPr>
                <w:color w:val="auto"/>
                <w:kern w:val="2"/>
                <w:sz w:val="21"/>
                <w:szCs w:val="21"/>
                <w:highlight w:val="none"/>
                <w:lang w:val="en-US" w:bidi="ar-SA"/>
              </w:rPr>
              <w:t>9</w:t>
            </w:r>
            <w:r>
              <w:rPr>
                <w:rFonts w:hint="eastAsia"/>
                <w:color w:val="auto"/>
                <w:kern w:val="2"/>
                <w:sz w:val="21"/>
                <w:szCs w:val="21"/>
                <w:highlight w:val="none"/>
                <w:lang w:val="en-US" w:bidi="ar-SA"/>
              </w:rPr>
              <w:t>0%，最高投标限价]区间则取最高投标限价×</w:t>
            </w:r>
            <w:r>
              <w:rPr>
                <w:color w:val="auto"/>
                <w:kern w:val="2"/>
                <w:sz w:val="21"/>
                <w:szCs w:val="21"/>
                <w:highlight w:val="none"/>
                <w:lang w:val="en-US" w:bidi="ar-SA"/>
              </w:rPr>
              <w:t>9</w:t>
            </w:r>
            <w:r>
              <w:rPr>
                <w:rFonts w:hint="eastAsia"/>
                <w:color w:val="auto"/>
                <w:kern w:val="2"/>
                <w:sz w:val="21"/>
                <w:szCs w:val="21"/>
                <w:highlight w:val="none"/>
                <w:lang w:val="en-US" w:bidi="ar-SA"/>
              </w:rPr>
              <w:t>0%作为评标基准价。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4" w:type="dxa"/>
            <w:gridSpan w:val="3"/>
            <w:vAlign w:val="center"/>
          </w:tcPr>
          <w:p>
            <w:pPr>
              <w:autoSpaceDE/>
              <w:autoSpaceDN/>
              <w:jc w:val="both"/>
              <w:rPr>
                <w:color w:val="auto"/>
                <w:kern w:val="2"/>
                <w:sz w:val="21"/>
                <w:szCs w:val="21"/>
                <w:highlight w:val="none"/>
                <w:lang w:val="en-US" w:bidi="ar-SA"/>
              </w:rPr>
            </w:pPr>
            <w:r>
              <w:rPr>
                <w:color w:val="auto"/>
                <w:kern w:val="2"/>
                <w:sz w:val="21"/>
                <w:szCs w:val="21"/>
                <w:highlight w:val="none"/>
                <w:lang w:val="en-US" w:bidi="ar-SA"/>
              </w:rPr>
              <w:t>2.2.3</w:t>
            </w:r>
          </w:p>
        </w:tc>
        <w:tc>
          <w:tcPr>
            <w:tcW w:w="1939" w:type="dxa"/>
            <w:vAlign w:val="center"/>
          </w:tcPr>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投标报价的偏差率</w:t>
            </w:r>
          </w:p>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计算公式</w:t>
            </w:r>
          </w:p>
        </w:tc>
        <w:tc>
          <w:tcPr>
            <w:tcW w:w="5062" w:type="dxa"/>
            <w:vAlign w:val="center"/>
          </w:tcPr>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偏差率=100% ×|（投标人有效投标报价(经算术校核的投标报价)-评标基准价）|/评标基准价</w:t>
            </w:r>
          </w:p>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（偏差率四舍五入保留2位小数，报价偏差率不足1%的，按直线内插法计算投标报价得分）。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4" w:type="dxa"/>
            <w:gridSpan w:val="3"/>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center"/>
              <w:rPr>
                <w:b/>
                <w:color w:val="auto"/>
                <w:kern w:val="2"/>
                <w:sz w:val="21"/>
                <w:szCs w:val="21"/>
                <w:highlight w:val="none"/>
                <w:lang w:val="en-US" w:bidi="ar-SA"/>
              </w:rPr>
            </w:pPr>
            <w:r>
              <w:rPr>
                <w:rFonts w:hint="eastAsia"/>
                <w:b/>
                <w:color w:val="auto"/>
                <w:kern w:val="2"/>
                <w:sz w:val="21"/>
                <w:szCs w:val="21"/>
                <w:highlight w:val="none"/>
                <w:lang w:val="en-US" w:bidi="ar-SA"/>
              </w:rPr>
              <w:t>条款号</w:t>
            </w: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center"/>
              <w:rPr>
                <w:b/>
                <w:color w:val="auto"/>
                <w:kern w:val="2"/>
                <w:sz w:val="21"/>
                <w:szCs w:val="21"/>
                <w:highlight w:val="none"/>
                <w:lang w:val="en-US" w:bidi="ar-SA"/>
              </w:rPr>
            </w:pPr>
            <w:r>
              <w:rPr>
                <w:rFonts w:hint="eastAsia"/>
                <w:b/>
                <w:color w:val="auto"/>
                <w:kern w:val="2"/>
                <w:sz w:val="21"/>
                <w:szCs w:val="21"/>
                <w:highlight w:val="none"/>
                <w:lang w:val="en-US" w:bidi="ar-SA"/>
              </w:rPr>
              <w:t>评分因素（偏差率）</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spacing w:before="100" w:beforeAutospacing="1" w:after="100" w:afterAutospacing="1"/>
              <w:jc w:val="center"/>
              <w:rPr>
                <w:b/>
                <w:color w:val="auto"/>
                <w:sz w:val="21"/>
                <w:szCs w:val="21"/>
                <w:highlight w:val="none"/>
                <w:lang w:val="en-US" w:bidi="ar-SA"/>
              </w:rPr>
            </w:pPr>
            <w:r>
              <w:rPr>
                <w:rFonts w:hint="eastAsia"/>
                <w:b/>
                <w:color w:val="auto"/>
                <w:sz w:val="21"/>
                <w:szCs w:val="21"/>
                <w:highlight w:val="none"/>
                <w:lang w:val="en-US"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spacing w:before="100" w:beforeAutospacing="1" w:after="100" w:afterAutospacing="1"/>
              <w:rPr>
                <w:color w:val="auto"/>
                <w:sz w:val="21"/>
                <w:szCs w:val="21"/>
                <w:highlight w:val="none"/>
                <w:lang w:val="en-US" w:bidi="ar-SA"/>
              </w:rPr>
            </w:pPr>
            <w:r>
              <w:rPr>
                <w:color w:val="auto"/>
                <w:sz w:val="21"/>
                <w:szCs w:val="21"/>
                <w:highlight w:val="none"/>
                <w:lang w:val="en-US" w:bidi="ar-SA"/>
              </w:rPr>
              <w:t>2.2.4（1）</w:t>
            </w:r>
          </w:p>
        </w:tc>
        <w:tc>
          <w:tcPr>
            <w:tcW w:w="1392" w:type="dxa"/>
            <w:gridSpan w:val="2"/>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资信业绩部分</w:t>
            </w:r>
          </w:p>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w:t>
            </w:r>
            <w:r>
              <w:rPr>
                <w:rFonts w:hint="eastAsia"/>
                <w:color w:val="auto"/>
                <w:kern w:val="2"/>
                <w:sz w:val="21"/>
                <w:szCs w:val="21"/>
                <w:highlight w:val="none"/>
                <w:lang w:val="en-US" w:bidi="ar-SA"/>
              </w:rPr>
              <w:t>45</w:t>
            </w:r>
            <w:r>
              <w:rPr>
                <w:color w:val="auto"/>
                <w:kern w:val="2"/>
                <w:sz w:val="21"/>
                <w:szCs w:val="21"/>
                <w:highlight w:val="none"/>
                <w:lang w:val="en-US" w:bidi="ar-SA"/>
              </w:rPr>
              <w:t>分）</w:t>
            </w: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类似监理业绩</w:t>
            </w:r>
          </w:p>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w:t>
            </w:r>
            <w:r>
              <w:rPr>
                <w:rFonts w:hint="eastAsia"/>
                <w:color w:val="auto"/>
                <w:kern w:val="2"/>
                <w:sz w:val="21"/>
                <w:szCs w:val="21"/>
                <w:highlight w:val="none"/>
                <w:lang w:val="en-US" w:bidi="ar-SA"/>
              </w:rPr>
              <w:t>8</w:t>
            </w:r>
            <w:r>
              <w:rPr>
                <w:rFonts w:hint="eastAsia"/>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adjustRightInd w:val="0"/>
              <w:snapToGrid w:val="0"/>
              <w:spacing w:before="100" w:beforeAutospacing="1" w:after="100" w:afterAutospacing="1"/>
              <w:jc w:val="both"/>
              <w:rPr>
                <w:color w:val="auto"/>
                <w:sz w:val="21"/>
                <w:szCs w:val="21"/>
                <w:highlight w:val="none"/>
                <w:lang w:val="en-US" w:bidi="ar-SA"/>
              </w:rPr>
            </w:pPr>
            <w:r>
              <w:rPr>
                <w:rFonts w:hint="eastAsia"/>
                <w:color w:val="auto"/>
                <w:kern w:val="2"/>
                <w:sz w:val="21"/>
                <w:szCs w:val="21"/>
                <w:highlight w:val="none"/>
                <w:lang w:val="en-US" w:bidi="ar-SA"/>
              </w:rPr>
              <w:t>投标人</w:t>
            </w:r>
            <w:r>
              <w:rPr>
                <w:color w:val="auto"/>
                <w:kern w:val="2"/>
                <w:sz w:val="21"/>
                <w:szCs w:val="21"/>
                <w:highlight w:val="none"/>
                <w:lang w:val="en-US" w:bidi="ar-SA"/>
              </w:rPr>
              <w:t>2022年1月1日至今，完成过质量合格的类似监理业绩</w:t>
            </w:r>
            <w:r>
              <w:rPr>
                <w:rFonts w:hint="eastAsia"/>
                <w:color w:val="auto"/>
                <w:kern w:val="2"/>
                <w:sz w:val="21"/>
                <w:szCs w:val="21"/>
                <w:highlight w:val="none"/>
                <w:lang w:val="en-US" w:bidi="ar-SA"/>
              </w:rPr>
              <w:t>的每项得2分，最多得</w:t>
            </w:r>
            <w:r>
              <w:rPr>
                <w:rFonts w:hint="eastAsia"/>
                <w:color w:val="auto"/>
                <w:kern w:val="2"/>
                <w:sz w:val="21"/>
                <w:szCs w:val="21"/>
                <w:highlight w:val="none"/>
                <w:lang w:val="en-US" w:bidi="ar-SA"/>
              </w:rPr>
              <w:t>8</w:t>
            </w:r>
            <w:r>
              <w:rPr>
                <w:rFonts w:hint="eastAsia"/>
                <w:color w:val="auto"/>
                <w:kern w:val="2"/>
                <w:sz w:val="21"/>
                <w:szCs w:val="21"/>
                <w:highlight w:val="none"/>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监理业绩获奖</w:t>
            </w:r>
          </w:p>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w:t>
            </w:r>
            <w:r>
              <w:rPr>
                <w:rFonts w:hint="eastAsia"/>
                <w:color w:val="auto"/>
                <w:kern w:val="2"/>
                <w:sz w:val="21"/>
                <w:szCs w:val="21"/>
                <w:highlight w:val="none"/>
                <w:lang w:val="en-US" w:bidi="ar-SA"/>
              </w:rPr>
              <w:t>8</w:t>
            </w:r>
            <w:r>
              <w:rPr>
                <w:rFonts w:hint="eastAsia"/>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adjustRightInd w:val="0"/>
              <w:snapToGrid w:val="0"/>
              <w:spacing w:after="100" w:afterAutospacing="1"/>
              <w:jc w:val="both"/>
              <w:rPr>
                <w:color w:val="auto"/>
                <w:sz w:val="21"/>
                <w:szCs w:val="21"/>
                <w:highlight w:val="none"/>
                <w:lang w:val="en-US" w:bidi="ar-SA"/>
              </w:rPr>
            </w:pPr>
            <w:r>
              <w:rPr>
                <w:rFonts w:hint="eastAsia"/>
                <w:color w:val="auto"/>
                <w:kern w:val="2"/>
                <w:sz w:val="21"/>
                <w:szCs w:val="21"/>
                <w:highlight w:val="none"/>
                <w:lang w:val="en-US" w:bidi="ar-SA"/>
              </w:rPr>
              <w:t>投标人2022年1月1日至今，监理过的</w:t>
            </w:r>
            <w:r>
              <w:rPr>
                <w:rFonts w:hint="eastAsia"/>
                <w:color w:val="auto"/>
                <w:kern w:val="2"/>
                <w:sz w:val="21"/>
                <w:szCs w:val="21"/>
                <w:highlight w:val="none"/>
                <w:lang w:val="en-US" w:bidi="ar-SA"/>
              </w:rPr>
              <w:t>市政公用</w:t>
            </w:r>
            <w:r>
              <w:rPr>
                <w:rFonts w:hint="eastAsia"/>
                <w:color w:val="auto"/>
                <w:kern w:val="2"/>
                <w:sz w:val="21"/>
                <w:szCs w:val="21"/>
                <w:highlight w:val="none"/>
                <w:lang w:val="en-US" w:bidi="ar-SA"/>
              </w:rPr>
              <w:t>项目获得国家级奖项每项得</w:t>
            </w:r>
            <w:r>
              <w:rPr>
                <w:rFonts w:hint="eastAsia"/>
                <w:color w:val="auto"/>
                <w:kern w:val="2"/>
                <w:sz w:val="21"/>
                <w:szCs w:val="21"/>
                <w:highlight w:val="none"/>
                <w:lang w:val="en-US" w:bidi="ar-SA"/>
              </w:rPr>
              <w:t>2</w:t>
            </w:r>
            <w:r>
              <w:rPr>
                <w:rFonts w:hint="eastAsia"/>
                <w:color w:val="auto"/>
                <w:kern w:val="2"/>
                <w:sz w:val="21"/>
                <w:szCs w:val="21"/>
                <w:highlight w:val="none"/>
                <w:lang w:val="en-US" w:bidi="ar-SA"/>
              </w:rPr>
              <w:t>分，省级奖项每项得1分，市级奖项每项得0.5分。本项最多得</w:t>
            </w:r>
            <w:r>
              <w:rPr>
                <w:rFonts w:hint="eastAsia"/>
                <w:color w:val="auto"/>
                <w:kern w:val="2"/>
                <w:sz w:val="21"/>
                <w:szCs w:val="21"/>
                <w:highlight w:val="none"/>
                <w:lang w:val="en-US" w:bidi="ar-SA"/>
              </w:rPr>
              <w:t>8</w:t>
            </w:r>
            <w:r>
              <w:rPr>
                <w:rFonts w:hint="eastAsia"/>
                <w:color w:val="auto"/>
                <w:kern w:val="2"/>
                <w:sz w:val="21"/>
                <w:szCs w:val="21"/>
                <w:highlight w:val="none"/>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after="100" w:afterAutospacing="1"/>
              <w:rPr>
                <w:color w:val="auto"/>
                <w:kern w:val="2"/>
                <w:sz w:val="21"/>
                <w:szCs w:val="21"/>
                <w:highlight w:val="none"/>
                <w:lang w:val="en-US" w:bidi="ar-SA"/>
              </w:rPr>
            </w:pPr>
            <w:r>
              <w:rPr>
                <w:rFonts w:hint="eastAsia"/>
                <w:color w:val="auto"/>
                <w:kern w:val="2"/>
                <w:sz w:val="21"/>
                <w:szCs w:val="21"/>
                <w:highlight w:val="none"/>
                <w:lang w:val="en-US" w:bidi="ar-SA"/>
              </w:rPr>
              <w:t>企业技术管理、创新能力（9分）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rPr>
                <w:color w:val="auto"/>
                <w:kern w:val="2"/>
                <w:sz w:val="21"/>
                <w:szCs w:val="21"/>
                <w:highlight w:val="none"/>
                <w:lang w:val="en-US" w:bidi="ar-SA"/>
              </w:rPr>
            </w:pPr>
            <w:r>
              <w:rPr>
                <w:color w:val="auto"/>
                <w:kern w:val="2"/>
                <w:sz w:val="21"/>
                <w:szCs w:val="21"/>
                <w:highlight w:val="none"/>
                <w:lang w:val="en-US" w:bidi="ar-SA"/>
              </w:rPr>
              <w:t>投标人</w:t>
            </w:r>
            <w:r>
              <w:rPr>
                <w:rFonts w:hint="eastAsia"/>
                <w:color w:val="auto"/>
                <w:kern w:val="2"/>
                <w:sz w:val="21"/>
                <w:szCs w:val="21"/>
                <w:highlight w:val="none"/>
                <w:lang w:val="en-US" w:bidi="ar-SA"/>
              </w:rPr>
              <w:t>被认定为“高新技术企业”且在有效期内的得3分，没有不得分。</w:t>
            </w:r>
          </w:p>
          <w:p>
            <w:pPr>
              <w:pStyle w:val="18"/>
              <w:ind w:right="0"/>
              <w:jc w:val="left"/>
              <w:rPr>
                <w:color w:val="auto"/>
                <w:kern w:val="2"/>
                <w:highlight w:val="none"/>
                <w:lang w:val="en-US" w:bidi="ar-SA"/>
              </w:rPr>
            </w:pPr>
            <w:r>
              <w:rPr>
                <w:rFonts w:hint="eastAsia"/>
                <w:color w:val="auto"/>
                <w:kern w:val="2"/>
                <w:highlight w:val="none"/>
                <w:lang w:val="en-US" w:bidi="ar-SA"/>
              </w:rPr>
              <w:t>投标人</w:t>
            </w:r>
            <w:r>
              <w:rPr>
                <w:rFonts w:hint="eastAsia"/>
                <w:color w:val="auto"/>
                <w:highlight w:val="none"/>
                <w:lang w:val="en-US" w:bidi="ar-SA"/>
              </w:rPr>
              <w:t>2022年1月1日至今投标人获得过省级或以上工程类科学技术奖的，每个奖项得2分，最多得6分。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纳税情况</w:t>
            </w:r>
          </w:p>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w:t>
            </w:r>
            <w:r>
              <w:rPr>
                <w:rFonts w:hint="eastAsia"/>
                <w:color w:val="auto"/>
                <w:kern w:val="2"/>
                <w:sz w:val="21"/>
                <w:szCs w:val="21"/>
                <w:highlight w:val="none"/>
                <w:lang w:val="en-US" w:bidi="ar-SA"/>
              </w:rPr>
              <w:t>6</w:t>
            </w:r>
            <w:r>
              <w:rPr>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line="300" w:lineRule="exact"/>
              <w:rPr>
                <w:color w:val="auto"/>
                <w:kern w:val="2"/>
                <w:sz w:val="21"/>
                <w:szCs w:val="21"/>
                <w:highlight w:val="none"/>
                <w:lang w:val="en-US" w:bidi="ar-SA"/>
              </w:rPr>
            </w:pPr>
            <w:r>
              <w:rPr>
                <w:rFonts w:hint="eastAsia"/>
                <w:color w:val="auto"/>
                <w:kern w:val="2"/>
                <w:sz w:val="21"/>
                <w:szCs w:val="21"/>
                <w:highlight w:val="none"/>
                <w:lang w:val="en-US" w:bidi="ar-SA"/>
              </w:rPr>
              <w:t>投标人（含最近评审年度</w:t>
            </w:r>
            <w:r>
              <w:rPr>
                <w:color w:val="auto"/>
                <w:kern w:val="2"/>
                <w:sz w:val="21"/>
                <w:szCs w:val="21"/>
                <w:highlight w:val="none"/>
                <w:lang w:val="en-US" w:bidi="ar-SA"/>
              </w:rPr>
              <w:t>202</w:t>
            </w:r>
            <w:r>
              <w:rPr>
                <w:rFonts w:hint="eastAsia"/>
                <w:color w:val="auto"/>
                <w:kern w:val="2"/>
                <w:sz w:val="21"/>
                <w:szCs w:val="21"/>
                <w:highlight w:val="none"/>
                <w:lang w:val="en-US" w:bidi="ar-SA"/>
              </w:rPr>
              <w:t>4</w:t>
            </w:r>
            <w:r>
              <w:rPr>
                <w:color w:val="auto"/>
                <w:kern w:val="2"/>
                <w:sz w:val="21"/>
                <w:szCs w:val="21"/>
                <w:highlight w:val="none"/>
                <w:lang w:val="en-US" w:bidi="ar-SA"/>
              </w:rPr>
              <w:t>年度）获得“纳税信用A级纳税人”称号情况：</w:t>
            </w:r>
          </w:p>
          <w:p>
            <w:pPr>
              <w:autoSpaceDE/>
              <w:autoSpaceDN/>
              <w:spacing w:line="300" w:lineRule="exact"/>
              <w:rPr>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1）连续获得5个年度或以上的，得</w:t>
            </w:r>
            <w:r>
              <w:rPr>
                <w:rFonts w:hint="eastAsia"/>
                <w:color w:val="auto"/>
                <w:kern w:val="2"/>
                <w:sz w:val="21"/>
                <w:szCs w:val="21"/>
                <w:highlight w:val="none"/>
                <w:lang w:val="en-US" w:bidi="ar-SA"/>
              </w:rPr>
              <w:t>6</w:t>
            </w:r>
            <w:r>
              <w:rPr>
                <w:color w:val="auto"/>
                <w:kern w:val="2"/>
                <w:sz w:val="21"/>
                <w:szCs w:val="21"/>
                <w:highlight w:val="none"/>
                <w:lang w:val="en-US" w:bidi="ar-SA"/>
              </w:rPr>
              <w:t>分；</w:t>
            </w:r>
          </w:p>
          <w:p>
            <w:pPr>
              <w:autoSpaceDE/>
              <w:autoSpaceDN/>
              <w:spacing w:line="300" w:lineRule="exact"/>
              <w:rPr>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2）连续获得4个年度的，得</w:t>
            </w:r>
            <w:r>
              <w:rPr>
                <w:rFonts w:hint="eastAsia"/>
                <w:color w:val="auto"/>
                <w:kern w:val="2"/>
                <w:sz w:val="21"/>
                <w:szCs w:val="21"/>
                <w:highlight w:val="none"/>
                <w:lang w:val="en-US" w:bidi="ar-SA"/>
              </w:rPr>
              <w:t>4</w:t>
            </w:r>
            <w:r>
              <w:rPr>
                <w:color w:val="auto"/>
                <w:kern w:val="2"/>
                <w:sz w:val="21"/>
                <w:szCs w:val="21"/>
                <w:highlight w:val="none"/>
                <w:lang w:val="en-US" w:bidi="ar-SA"/>
              </w:rPr>
              <w:t>分；</w:t>
            </w:r>
          </w:p>
          <w:p>
            <w:pPr>
              <w:autoSpaceDE/>
              <w:autoSpaceDN/>
              <w:spacing w:line="300" w:lineRule="exact"/>
              <w:rPr>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3）连续获得3个年度的，得</w:t>
            </w:r>
            <w:r>
              <w:rPr>
                <w:rFonts w:hint="eastAsia"/>
                <w:color w:val="auto"/>
                <w:kern w:val="2"/>
                <w:sz w:val="21"/>
                <w:szCs w:val="21"/>
                <w:highlight w:val="none"/>
                <w:lang w:val="en-US" w:bidi="ar-SA"/>
              </w:rPr>
              <w:t>2</w:t>
            </w:r>
            <w:r>
              <w:rPr>
                <w:color w:val="auto"/>
                <w:kern w:val="2"/>
                <w:sz w:val="21"/>
                <w:szCs w:val="21"/>
                <w:highlight w:val="none"/>
                <w:lang w:val="en-US" w:bidi="ar-SA"/>
              </w:rPr>
              <w:t>分；</w:t>
            </w:r>
          </w:p>
          <w:p>
            <w:pPr>
              <w:autoSpaceDE/>
              <w:autoSpaceDN/>
              <w:spacing w:line="300" w:lineRule="exact"/>
              <w:rPr>
                <w:color w:val="auto"/>
                <w:kern w:val="2"/>
                <w:sz w:val="21"/>
                <w:szCs w:val="21"/>
                <w:highlight w:val="none"/>
                <w:lang w:val="en-US" w:bidi="ar-SA"/>
              </w:rPr>
            </w:pPr>
            <w:r>
              <w:rPr>
                <w:rFonts w:hint="eastAsia"/>
                <w:color w:val="auto"/>
                <w:kern w:val="2"/>
                <w:sz w:val="21"/>
                <w:szCs w:val="21"/>
                <w:highlight w:val="none"/>
                <w:lang w:val="en-US" w:bidi="ar-SA"/>
              </w:rPr>
              <w:t>（4）连续获得2个年度或以下的，得</w:t>
            </w:r>
            <w:r>
              <w:rPr>
                <w:rFonts w:hint="eastAsia"/>
                <w:color w:val="auto"/>
                <w:kern w:val="2"/>
                <w:sz w:val="21"/>
                <w:szCs w:val="21"/>
                <w:highlight w:val="none"/>
                <w:lang w:val="en-US" w:bidi="ar-SA"/>
              </w:rPr>
              <w:t>1</w:t>
            </w:r>
            <w:r>
              <w:rPr>
                <w:rFonts w:hint="eastAsia"/>
                <w:color w:val="auto"/>
                <w:kern w:val="2"/>
                <w:sz w:val="21"/>
                <w:szCs w:val="21"/>
                <w:highlight w:val="none"/>
                <w:lang w:val="en-US" w:bidi="ar-SA"/>
              </w:rPr>
              <w:t>分；</w:t>
            </w:r>
          </w:p>
          <w:p>
            <w:pPr>
              <w:autoSpaceDE/>
              <w:autoSpaceDN/>
              <w:spacing w:line="300" w:lineRule="exact"/>
              <w:jc w:val="both"/>
              <w:rPr>
                <w:color w:val="auto"/>
                <w:sz w:val="21"/>
                <w:szCs w:val="21"/>
                <w:highlight w:val="none"/>
                <w:lang w:val="en-US" w:bidi="ar-SA"/>
              </w:rPr>
            </w:pPr>
            <w:r>
              <w:rPr>
                <w:rFonts w:hint="eastAsia"/>
                <w:color w:val="auto"/>
                <w:kern w:val="2"/>
                <w:sz w:val="21"/>
                <w:szCs w:val="21"/>
                <w:highlight w:val="none"/>
                <w:lang w:val="en-US" w:bidi="ar-SA"/>
              </w:rPr>
              <w:t>不具备以上条件不得分。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center"/>
              <w:rPr>
                <w:color w:val="auto"/>
                <w:kern w:val="2"/>
                <w:sz w:val="21"/>
                <w:szCs w:val="21"/>
                <w:highlight w:val="none"/>
                <w:lang w:val="en-US" w:bidi="ar-SA"/>
              </w:rPr>
            </w:pPr>
            <w:r>
              <w:rPr>
                <w:color w:val="auto"/>
                <w:kern w:val="2"/>
                <w:sz w:val="21"/>
                <w:szCs w:val="21"/>
                <w:highlight w:val="none"/>
                <w:lang w:val="en-US" w:bidi="ar-SA"/>
              </w:rPr>
              <w:t>ISO体系认证</w:t>
            </w:r>
          </w:p>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w:t>
            </w:r>
            <w:r>
              <w:rPr>
                <w:rFonts w:hint="eastAsia"/>
                <w:color w:val="auto"/>
                <w:kern w:val="2"/>
                <w:sz w:val="21"/>
                <w:szCs w:val="21"/>
                <w:highlight w:val="none"/>
                <w:lang w:val="en-US" w:bidi="ar-SA"/>
              </w:rPr>
              <w:t>5</w:t>
            </w:r>
            <w:r>
              <w:rPr>
                <w:rFonts w:hint="eastAsia"/>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投标人具有有效的质量管理体系、环境管理体系、职业健康安全管理体系</w:t>
            </w:r>
            <w:r>
              <w:rPr>
                <w:rFonts w:hint="eastAsia" w:cs="Calibri"/>
                <w:color w:val="auto"/>
                <w:kern w:val="2"/>
                <w:sz w:val="21"/>
                <w:szCs w:val="21"/>
                <w:highlight w:val="none"/>
                <w:lang w:val="en-US" w:bidi="ar-SA"/>
              </w:rPr>
              <w:t>认证证书，全部具备的得</w:t>
            </w:r>
            <w:r>
              <w:rPr>
                <w:rFonts w:hint="eastAsia" w:cs="Calibri"/>
                <w:color w:val="auto"/>
                <w:kern w:val="2"/>
                <w:sz w:val="21"/>
                <w:szCs w:val="21"/>
                <w:highlight w:val="none"/>
                <w:lang w:val="en-US" w:bidi="ar-SA"/>
              </w:rPr>
              <w:t>5</w:t>
            </w:r>
            <w:r>
              <w:rPr>
                <w:rFonts w:hint="eastAsia" w:cs="Calibri"/>
                <w:color w:val="auto"/>
                <w:kern w:val="2"/>
                <w:sz w:val="21"/>
                <w:szCs w:val="21"/>
                <w:highlight w:val="none"/>
                <w:lang w:val="en-US" w:bidi="ar-SA"/>
              </w:rPr>
              <w:t>分，具备</w:t>
            </w:r>
            <w:r>
              <w:rPr>
                <w:rFonts w:hint="eastAsia" w:cs="Calibri"/>
                <w:color w:val="auto"/>
                <w:kern w:val="2"/>
                <w:sz w:val="21"/>
                <w:szCs w:val="21"/>
                <w:highlight w:val="none"/>
                <w:lang w:val="en-US" w:bidi="ar-SA"/>
              </w:rPr>
              <w:t>2</w:t>
            </w:r>
            <w:r>
              <w:rPr>
                <w:rFonts w:cs="Calibri"/>
                <w:color w:val="auto"/>
                <w:kern w:val="2"/>
                <w:sz w:val="21"/>
                <w:szCs w:val="21"/>
                <w:highlight w:val="none"/>
                <w:lang w:val="en-US" w:bidi="ar-SA"/>
              </w:rPr>
              <w:t>项认证证书的</w:t>
            </w:r>
            <w:r>
              <w:rPr>
                <w:color w:val="auto"/>
                <w:kern w:val="2"/>
                <w:sz w:val="21"/>
                <w:szCs w:val="21"/>
                <w:highlight w:val="none"/>
                <w:lang w:val="en-US" w:bidi="ar-SA"/>
              </w:rPr>
              <w:t>得</w:t>
            </w:r>
            <w:r>
              <w:rPr>
                <w:rFonts w:hint="eastAsia"/>
                <w:color w:val="auto"/>
                <w:kern w:val="2"/>
                <w:sz w:val="21"/>
                <w:szCs w:val="21"/>
                <w:highlight w:val="none"/>
                <w:lang w:val="en-US" w:bidi="ar-SA"/>
              </w:rPr>
              <w:t>3</w:t>
            </w:r>
            <w:r>
              <w:rPr>
                <w:rFonts w:hint="eastAsia"/>
                <w:color w:val="auto"/>
                <w:kern w:val="2"/>
                <w:sz w:val="21"/>
                <w:szCs w:val="21"/>
                <w:highlight w:val="none"/>
                <w:lang w:val="en-US" w:bidi="ar-SA"/>
              </w:rPr>
              <w:t>分，具备1</w:t>
            </w:r>
            <w:r>
              <w:rPr>
                <w:color w:val="auto"/>
                <w:kern w:val="2"/>
                <w:sz w:val="21"/>
                <w:szCs w:val="21"/>
                <w:highlight w:val="none"/>
                <w:lang w:val="en-US" w:bidi="ar-SA"/>
              </w:rPr>
              <w:t>项认证证书的得</w:t>
            </w:r>
            <w:r>
              <w:rPr>
                <w:rFonts w:hint="eastAsia"/>
                <w:color w:val="auto"/>
                <w:kern w:val="2"/>
                <w:sz w:val="21"/>
                <w:szCs w:val="21"/>
                <w:highlight w:val="none"/>
                <w:lang w:val="en-US" w:bidi="ar-SA"/>
              </w:rPr>
              <w:t>1分，无或其他不得分。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总监理工程师</w:t>
            </w:r>
          </w:p>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w:t>
            </w:r>
            <w:r>
              <w:rPr>
                <w:rFonts w:hint="eastAsia"/>
                <w:color w:val="auto"/>
                <w:kern w:val="2"/>
                <w:sz w:val="21"/>
                <w:szCs w:val="21"/>
                <w:highlight w:val="none"/>
                <w:lang w:val="en-US" w:bidi="ar-SA"/>
              </w:rPr>
              <w:t>3</w:t>
            </w:r>
            <w:r>
              <w:rPr>
                <w:rFonts w:hint="eastAsia"/>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line="273" w:lineRule="auto"/>
              <w:jc w:val="both"/>
              <w:rPr>
                <w:color w:val="auto"/>
                <w:kern w:val="2"/>
                <w:sz w:val="21"/>
                <w:szCs w:val="21"/>
                <w:highlight w:val="none"/>
                <w:lang w:val="en-US" w:bidi="ar-SA"/>
              </w:rPr>
            </w:pPr>
            <w:r>
              <w:rPr>
                <w:rFonts w:hint="eastAsia"/>
                <w:color w:val="auto"/>
                <w:kern w:val="2"/>
                <w:sz w:val="21"/>
                <w:szCs w:val="21"/>
                <w:highlight w:val="none"/>
                <w:lang w:val="en-US" w:bidi="ar-SA"/>
              </w:rPr>
              <w:t>1、具有工程师或以上技术职称得1分，不满足的不得分。</w:t>
            </w:r>
          </w:p>
          <w:p>
            <w:pPr>
              <w:autoSpaceDE/>
              <w:autoSpaceDN/>
              <w:spacing w:line="273" w:lineRule="auto"/>
              <w:jc w:val="both"/>
              <w:rPr>
                <w:b/>
                <w:bCs/>
                <w:color w:val="auto"/>
                <w:kern w:val="2"/>
                <w:sz w:val="21"/>
                <w:szCs w:val="21"/>
                <w:highlight w:val="none"/>
                <w:lang w:val="en-US" w:bidi="ar-SA"/>
              </w:rPr>
            </w:pPr>
            <w:r>
              <w:rPr>
                <w:rFonts w:hint="eastAsia"/>
                <w:color w:val="auto"/>
                <w:kern w:val="2"/>
                <w:sz w:val="21"/>
                <w:szCs w:val="21"/>
                <w:highlight w:val="none"/>
                <w:lang w:val="en-US" w:bidi="ar-SA"/>
              </w:rPr>
              <w:t>2、</w:t>
            </w:r>
            <w:r>
              <w:rPr>
                <w:rFonts w:hint="eastAsia"/>
                <w:color w:val="auto"/>
                <w:sz w:val="21"/>
                <w:szCs w:val="21"/>
                <w:highlight w:val="none"/>
              </w:rPr>
              <w:t>担任过</w:t>
            </w:r>
            <w:r>
              <w:rPr>
                <w:rFonts w:hint="eastAsia"/>
                <w:color w:val="auto"/>
                <w:sz w:val="21"/>
                <w:szCs w:val="21"/>
                <w:highlight w:val="none"/>
              </w:rPr>
              <w:t>市政公用</w:t>
            </w:r>
            <w:r>
              <w:rPr>
                <w:rFonts w:hint="eastAsia"/>
                <w:color w:val="auto"/>
                <w:sz w:val="21"/>
                <w:szCs w:val="21"/>
                <w:highlight w:val="none"/>
              </w:rPr>
              <w:t>工程监理项目总监理工程师的得</w:t>
            </w:r>
            <w:r>
              <w:rPr>
                <w:rFonts w:hint="eastAsia"/>
                <w:color w:val="auto"/>
                <w:sz w:val="21"/>
                <w:szCs w:val="21"/>
                <w:highlight w:val="none"/>
                <w:lang w:val="en-US"/>
              </w:rPr>
              <w:t>2</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监理人员的配备</w:t>
            </w:r>
          </w:p>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w:t>
            </w:r>
            <w:r>
              <w:rPr>
                <w:rFonts w:hint="eastAsia"/>
                <w:color w:val="auto"/>
                <w:kern w:val="2"/>
                <w:sz w:val="21"/>
                <w:szCs w:val="21"/>
                <w:highlight w:val="none"/>
                <w:lang w:val="en-US" w:bidi="ar-SA"/>
              </w:rPr>
              <w:t>6</w:t>
            </w:r>
            <w:r>
              <w:rPr>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line="300" w:lineRule="exact"/>
              <w:jc w:val="both"/>
              <w:rPr>
                <w:color w:val="auto"/>
                <w:kern w:val="2"/>
                <w:sz w:val="21"/>
                <w:szCs w:val="21"/>
                <w:highlight w:val="none"/>
                <w:lang w:val="en-US" w:bidi="ar-SA"/>
              </w:rPr>
            </w:pPr>
            <w:r>
              <w:rPr>
                <w:color w:val="auto"/>
                <w:kern w:val="2"/>
                <w:sz w:val="21"/>
                <w:szCs w:val="21"/>
                <w:highlight w:val="none"/>
                <w:lang w:val="en-US" w:bidi="ar-SA"/>
              </w:rPr>
              <w:t>(1)人员配备均满足本招标文件第五章委托人要求中《项目监理人员组成配备要求表》要求的，得</w:t>
            </w:r>
            <w:r>
              <w:rPr>
                <w:rFonts w:hint="eastAsia"/>
                <w:color w:val="auto"/>
                <w:kern w:val="2"/>
                <w:sz w:val="21"/>
                <w:szCs w:val="21"/>
                <w:highlight w:val="none"/>
                <w:lang w:val="en-US" w:bidi="ar-SA"/>
              </w:rPr>
              <w:t>3</w:t>
            </w:r>
            <w:r>
              <w:rPr>
                <w:color w:val="auto"/>
                <w:kern w:val="2"/>
                <w:sz w:val="21"/>
                <w:szCs w:val="21"/>
                <w:highlight w:val="none"/>
                <w:lang w:val="en-US" w:bidi="ar-SA"/>
              </w:rPr>
              <w:t>分；不满足的不得分。</w:t>
            </w:r>
          </w:p>
          <w:p>
            <w:pPr>
              <w:autoSpaceDE/>
              <w:autoSpaceDN/>
              <w:spacing w:line="300" w:lineRule="exact"/>
              <w:jc w:val="both"/>
              <w:rPr>
                <w:color w:val="auto"/>
                <w:kern w:val="2"/>
                <w:sz w:val="21"/>
                <w:szCs w:val="21"/>
                <w:highlight w:val="none"/>
                <w:lang w:val="en-US" w:bidi="ar-SA"/>
              </w:rPr>
            </w:pPr>
            <w:r>
              <w:rPr>
                <w:color w:val="auto"/>
                <w:kern w:val="2"/>
                <w:sz w:val="21"/>
                <w:szCs w:val="21"/>
                <w:highlight w:val="none"/>
                <w:lang w:val="en-US" w:bidi="ar-SA"/>
              </w:rPr>
              <w:t>(2)</w:t>
            </w:r>
            <w:bookmarkStart w:id="29" w:name="OLE_LINK2"/>
            <w:r>
              <w:rPr>
                <w:rFonts w:hint="eastAsia"/>
                <w:color w:val="auto"/>
                <w:kern w:val="2"/>
                <w:sz w:val="21"/>
                <w:szCs w:val="21"/>
                <w:highlight w:val="none"/>
                <w:lang w:val="en-US" w:bidi="ar-SA"/>
              </w:rPr>
              <w:t>在满足《项目监理人员组成配备要求表》基础上，配备的监理人员（总监理工程师除外）具有注册监理工程师执业资格证书或具有一级注册建造师证书或具有一级注册造价工程师证书的，每人得</w:t>
            </w:r>
            <w:r>
              <w:rPr>
                <w:color w:val="auto"/>
                <w:kern w:val="2"/>
                <w:sz w:val="21"/>
                <w:szCs w:val="21"/>
                <w:highlight w:val="none"/>
                <w:lang w:val="en-US" w:bidi="ar-SA"/>
              </w:rPr>
              <w:t>1分，本小项最高得3分；一人多证不累计计分。</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spacing w:before="100" w:beforeAutospacing="1" w:after="100" w:afterAutospacing="1"/>
              <w:rPr>
                <w:color w:val="auto"/>
                <w:sz w:val="21"/>
                <w:szCs w:val="21"/>
                <w:highlight w:val="none"/>
                <w:lang w:val="en-US" w:bidi="ar-SA"/>
              </w:rPr>
            </w:pPr>
            <w:r>
              <w:rPr>
                <w:color w:val="auto"/>
                <w:sz w:val="21"/>
                <w:szCs w:val="21"/>
                <w:highlight w:val="none"/>
                <w:lang w:val="en-US" w:bidi="ar-SA"/>
              </w:rPr>
              <w:t>2.2.4（2）</w:t>
            </w:r>
          </w:p>
        </w:tc>
        <w:tc>
          <w:tcPr>
            <w:tcW w:w="1392" w:type="dxa"/>
            <w:gridSpan w:val="2"/>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监理大纲部分</w:t>
            </w:r>
          </w:p>
          <w:p>
            <w:pPr>
              <w:autoSpaceDE/>
              <w:autoSpaceDN/>
              <w:jc w:val="center"/>
              <w:rPr>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3</w:t>
            </w:r>
            <w:r>
              <w:rPr>
                <w:rFonts w:hint="eastAsia"/>
                <w:color w:val="auto"/>
                <w:kern w:val="2"/>
                <w:sz w:val="21"/>
                <w:szCs w:val="21"/>
                <w:highlight w:val="none"/>
                <w:lang w:val="en-US" w:bidi="ar-SA"/>
              </w:rPr>
              <w:t>5</w:t>
            </w:r>
            <w:r>
              <w:rPr>
                <w:color w:val="auto"/>
                <w:kern w:val="2"/>
                <w:sz w:val="21"/>
                <w:szCs w:val="21"/>
                <w:highlight w:val="none"/>
                <w:lang w:val="en-US" w:bidi="ar-SA"/>
              </w:rPr>
              <w:t>分）</w:t>
            </w: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napToGrid w:val="0"/>
              <w:spacing w:line="273" w:lineRule="auto"/>
              <w:rPr>
                <w:color w:val="auto"/>
                <w:kern w:val="2"/>
                <w:sz w:val="21"/>
                <w:szCs w:val="21"/>
                <w:highlight w:val="none"/>
                <w:lang w:val="en-US" w:bidi="ar-SA"/>
              </w:rPr>
            </w:pPr>
            <w:r>
              <w:rPr>
                <w:rFonts w:hint="eastAsia"/>
                <w:color w:val="auto"/>
                <w:kern w:val="2"/>
                <w:sz w:val="21"/>
                <w:szCs w:val="21"/>
                <w:highlight w:val="none"/>
                <w:lang w:val="en-US" w:bidi="ar-SA"/>
              </w:rPr>
              <w:t>监理工作程序、方法和制度（</w:t>
            </w:r>
            <w:r>
              <w:rPr>
                <w:color w:val="auto"/>
                <w:kern w:val="2"/>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tcPr>
          <w:p>
            <w:pPr>
              <w:autoSpaceDE/>
              <w:autoSpaceDN/>
              <w:snapToGrid w:val="0"/>
              <w:spacing w:line="273" w:lineRule="auto"/>
              <w:rPr>
                <w:color w:val="auto"/>
                <w:kern w:val="2"/>
                <w:sz w:val="21"/>
                <w:szCs w:val="21"/>
                <w:highlight w:val="none"/>
                <w:lang w:val="en-US" w:bidi="ar-SA"/>
              </w:rPr>
            </w:pPr>
            <w:r>
              <w:rPr>
                <w:rFonts w:hint="eastAsia"/>
                <w:color w:val="auto"/>
                <w:kern w:val="2"/>
                <w:sz w:val="21"/>
                <w:szCs w:val="21"/>
                <w:highlight w:val="none"/>
                <w:lang w:val="en-US" w:bidi="ar-SA"/>
              </w:rPr>
              <w:t>有清晰的工作流程图、工作准则。满足要求得</w:t>
            </w:r>
            <w:r>
              <w:rPr>
                <w:color w:val="auto"/>
                <w:kern w:val="2"/>
                <w:sz w:val="21"/>
                <w:szCs w:val="21"/>
                <w:highlight w:val="none"/>
                <w:lang w:val="en-US" w:bidi="ar-SA"/>
              </w:rPr>
              <w:t>3分；基本满足要求得2分；不满足要求不得分。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before="100" w:beforeAutospacing="1" w:line="273" w:lineRule="auto"/>
              <w:jc w:val="center"/>
              <w:rPr>
                <w:color w:val="auto"/>
                <w:sz w:val="21"/>
                <w:szCs w:val="21"/>
                <w:highlight w:val="none"/>
                <w:lang w:val="en-US" w:bidi="ar-SA"/>
              </w:rPr>
            </w:pPr>
            <w:r>
              <w:rPr>
                <w:rFonts w:hint="eastAsia"/>
                <w:color w:val="auto"/>
                <w:sz w:val="21"/>
                <w:szCs w:val="21"/>
                <w:highlight w:val="none"/>
                <w:lang w:val="en-US" w:bidi="ar-SA"/>
              </w:rPr>
              <w:t>进度控制措施</w:t>
            </w:r>
          </w:p>
          <w:p>
            <w:pPr>
              <w:autoSpaceDE/>
              <w:autoSpaceDN/>
              <w:spacing w:after="100" w:afterAutospacing="1" w:line="273" w:lineRule="auto"/>
              <w:jc w:val="center"/>
              <w:rPr>
                <w:color w:val="auto"/>
                <w:kern w:val="2"/>
                <w:sz w:val="21"/>
                <w:szCs w:val="21"/>
                <w:highlight w:val="none"/>
                <w:lang w:val="en-US" w:bidi="ar-SA"/>
              </w:rPr>
            </w:pPr>
            <w:r>
              <w:rPr>
                <w:rFonts w:hint="eastAsia"/>
                <w:color w:val="auto"/>
                <w:sz w:val="21"/>
                <w:szCs w:val="21"/>
                <w:highlight w:val="none"/>
                <w:lang w:val="en-US" w:bidi="ar-SA"/>
              </w:rPr>
              <w:t>（</w:t>
            </w:r>
            <w:r>
              <w:rPr>
                <w:rFonts w:hint="eastAsia"/>
                <w:color w:val="auto"/>
                <w:sz w:val="21"/>
                <w:szCs w:val="21"/>
                <w:highlight w:val="none"/>
                <w:lang w:val="en-US" w:bidi="ar-SA"/>
              </w:rPr>
              <w:t>4</w:t>
            </w:r>
            <w:r>
              <w:rPr>
                <w:color w:val="auto"/>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tcPr>
          <w:p>
            <w:pPr>
              <w:pStyle w:val="38"/>
              <w:autoSpaceDE/>
              <w:autoSpaceDN/>
              <w:spacing w:line="312" w:lineRule="auto"/>
              <w:ind w:firstLine="0" w:firstLineChars="0"/>
              <w:rPr>
                <w:color w:val="auto"/>
                <w:kern w:val="2"/>
                <w:sz w:val="21"/>
                <w:szCs w:val="21"/>
                <w:highlight w:val="none"/>
                <w:lang w:val="en-US" w:bidi="ar-SA"/>
              </w:rPr>
            </w:pPr>
            <w:r>
              <w:rPr>
                <w:rFonts w:hint="eastAsia" w:ascii="宋体" w:hAnsi="宋体" w:cs="宋体"/>
                <w:color w:val="auto"/>
                <w:spacing w:val="0"/>
                <w:kern w:val="2"/>
                <w:sz w:val="21"/>
                <w:szCs w:val="21"/>
                <w:highlight w:val="none"/>
              </w:rPr>
              <w:t>针对本项目的特点，提出切实可行的进度计划，对进度控制的重点、难点，逐一提出可行的进度控制方法及针对性的措施。措施优得</w:t>
            </w:r>
            <w:r>
              <w:rPr>
                <w:rFonts w:hint="eastAsia" w:ascii="宋体" w:hAnsi="宋体" w:cs="宋体"/>
                <w:color w:val="auto"/>
                <w:spacing w:val="0"/>
                <w:kern w:val="2"/>
                <w:sz w:val="21"/>
                <w:szCs w:val="21"/>
                <w:highlight w:val="none"/>
                <w:lang w:val="en-US"/>
              </w:rPr>
              <w:t>4</w:t>
            </w:r>
            <w:r>
              <w:rPr>
                <w:rFonts w:hint="eastAsia" w:ascii="宋体" w:hAnsi="宋体" w:cs="宋体"/>
                <w:color w:val="auto"/>
                <w:spacing w:val="0"/>
                <w:kern w:val="2"/>
                <w:sz w:val="21"/>
                <w:szCs w:val="21"/>
                <w:highlight w:val="none"/>
              </w:rPr>
              <w:t>分；措施良得2分；措施一般得1分；差或无措施不得分。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before="100" w:beforeAutospacing="1" w:line="273" w:lineRule="auto"/>
              <w:jc w:val="center"/>
              <w:rPr>
                <w:color w:val="auto"/>
                <w:sz w:val="21"/>
                <w:szCs w:val="21"/>
                <w:highlight w:val="none"/>
                <w:lang w:val="en-US" w:bidi="ar-SA"/>
              </w:rPr>
            </w:pPr>
            <w:r>
              <w:rPr>
                <w:rFonts w:hint="eastAsia"/>
                <w:color w:val="auto"/>
                <w:sz w:val="21"/>
                <w:szCs w:val="21"/>
                <w:highlight w:val="none"/>
                <w:lang w:val="en-US" w:bidi="ar-SA"/>
              </w:rPr>
              <w:t>质量控制措施</w:t>
            </w:r>
          </w:p>
          <w:p>
            <w:pPr>
              <w:autoSpaceDE/>
              <w:autoSpaceDN/>
              <w:spacing w:line="273" w:lineRule="auto"/>
              <w:jc w:val="center"/>
              <w:rPr>
                <w:color w:val="auto"/>
                <w:kern w:val="2"/>
                <w:sz w:val="21"/>
                <w:szCs w:val="21"/>
                <w:highlight w:val="none"/>
                <w:lang w:val="en-US" w:bidi="ar-SA"/>
              </w:rPr>
            </w:pPr>
            <w:r>
              <w:rPr>
                <w:rFonts w:hint="eastAsia"/>
                <w:color w:val="auto"/>
                <w:sz w:val="21"/>
                <w:szCs w:val="21"/>
                <w:highlight w:val="none"/>
                <w:lang w:val="en-US" w:bidi="ar-SA"/>
              </w:rPr>
              <w:t>（</w:t>
            </w:r>
            <w:r>
              <w:rPr>
                <w:rFonts w:hint="eastAsia"/>
                <w:color w:val="auto"/>
                <w:sz w:val="21"/>
                <w:szCs w:val="21"/>
                <w:highlight w:val="none"/>
                <w:lang w:val="en-US" w:bidi="ar-SA"/>
              </w:rPr>
              <w:t>4</w:t>
            </w:r>
            <w:r>
              <w:rPr>
                <w:color w:val="auto"/>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tcPr>
          <w:p>
            <w:pPr>
              <w:autoSpaceDE/>
              <w:autoSpaceDN/>
              <w:spacing w:line="273" w:lineRule="auto"/>
              <w:rPr>
                <w:color w:val="auto"/>
                <w:kern w:val="2"/>
                <w:sz w:val="21"/>
                <w:szCs w:val="21"/>
                <w:highlight w:val="none"/>
                <w:lang w:val="en-US" w:bidi="ar-SA"/>
              </w:rPr>
            </w:pPr>
            <w:r>
              <w:rPr>
                <w:rFonts w:hint="eastAsia"/>
                <w:color w:val="auto"/>
                <w:kern w:val="2"/>
                <w:sz w:val="21"/>
                <w:szCs w:val="21"/>
                <w:highlight w:val="none"/>
                <w:lang w:val="en-US" w:bidi="ar-SA"/>
              </w:rPr>
              <w:t>要求目标明确、方法合理可行、措施具体、针对性强。措施为优得</w:t>
            </w:r>
            <w:r>
              <w:rPr>
                <w:rFonts w:hint="eastAsia"/>
                <w:color w:val="auto"/>
                <w:kern w:val="2"/>
                <w:sz w:val="21"/>
                <w:szCs w:val="21"/>
                <w:highlight w:val="none"/>
                <w:lang w:val="en-US" w:bidi="ar-SA"/>
              </w:rPr>
              <w:t>4</w:t>
            </w:r>
            <w:r>
              <w:rPr>
                <w:color w:val="auto"/>
                <w:kern w:val="2"/>
                <w:sz w:val="21"/>
                <w:szCs w:val="21"/>
                <w:highlight w:val="none"/>
                <w:lang w:val="en-US" w:bidi="ar-SA"/>
              </w:rPr>
              <w:t>分；措施为良得2分；措施为一般得1分；差或无措施不得分。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line="273" w:lineRule="auto"/>
              <w:jc w:val="center"/>
              <w:rPr>
                <w:color w:val="auto"/>
                <w:sz w:val="21"/>
                <w:szCs w:val="21"/>
                <w:highlight w:val="none"/>
                <w:lang w:val="en-US" w:bidi="ar-SA"/>
              </w:rPr>
            </w:pPr>
            <w:r>
              <w:rPr>
                <w:rFonts w:hint="eastAsia"/>
                <w:color w:val="auto"/>
                <w:sz w:val="21"/>
                <w:szCs w:val="21"/>
                <w:highlight w:val="none"/>
                <w:lang w:val="en-US" w:bidi="ar-SA"/>
              </w:rPr>
              <w:t>投资控制措施</w:t>
            </w:r>
          </w:p>
          <w:p>
            <w:pPr>
              <w:autoSpaceDE/>
              <w:autoSpaceDN/>
              <w:spacing w:line="273" w:lineRule="auto"/>
              <w:jc w:val="center"/>
              <w:rPr>
                <w:color w:val="auto"/>
                <w:kern w:val="2"/>
                <w:sz w:val="21"/>
                <w:szCs w:val="21"/>
                <w:highlight w:val="none"/>
                <w:lang w:val="en-US" w:bidi="ar-SA"/>
              </w:rPr>
            </w:pPr>
            <w:r>
              <w:rPr>
                <w:rFonts w:hint="eastAsia"/>
                <w:color w:val="auto"/>
                <w:sz w:val="21"/>
                <w:szCs w:val="21"/>
                <w:highlight w:val="none"/>
                <w:lang w:val="en-US" w:bidi="ar-SA"/>
              </w:rPr>
              <w:t>（</w:t>
            </w:r>
            <w:r>
              <w:rPr>
                <w:rFonts w:hint="eastAsia"/>
                <w:color w:val="auto"/>
                <w:sz w:val="21"/>
                <w:szCs w:val="21"/>
                <w:highlight w:val="none"/>
                <w:lang w:val="en-US" w:bidi="ar-SA"/>
              </w:rPr>
              <w:t>4</w:t>
            </w:r>
            <w:r>
              <w:rPr>
                <w:color w:val="auto"/>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tcPr>
          <w:p>
            <w:pPr>
              <w:autoSpaceDE/>
              <w:autoSpaceDN/>
              <w:snapToGrid w:val="0"/>
              <w:spacing w:line="273" w:lineRule="auto"/>
              <w:rPr>
                <w:color w:val="auto"/>
                <w:kern w:val="2"/>
                <w:sz w:val="21"/>
                <w:szCs w:val="21"/>
                <w:highlight w:val="none"/>
                <w:lang w:val="en-US" w:bidi="ar-SA"/>
              </w:rPr>
            </w:pPr>
            <w:r>
              <w:rPr>
                <w:rFonts w:hint="eastAsia"/>
                <w:color w:val="auto"/>
                <w:sz w:val="21"/>
                <w:szCs w:val="20"/>
                <w:highlight w:val="none"/>
              </w:rPr>
              <w:t>针对本项目特点，制定投资控制服务方案。具体、透彻的分析投资控制的重点、难点，提出各主要专业工程投资控制切实可行的方法、措施及合理化建议。措施优得</w:t>
            </w:r>
            <w:r>
              <w:rPr>
                <w:rFonts w:hint="eastAsia"/>
                <w:color w:val="auto"/>
                <w:sz w:val="21"/>
                <w:szCs w:val="20"/>
                <w:highlight w:val="none"/>
                <w:lang w:val="en-US"/>
              </w:rPr>
              <w:t>4</w:t>
            </w:r>
            <w:r>
              <w:rPr>
                <w:rFonts w:hint="eastAsia"/>
                <w:color w:val="auto"/>
                <w:sz w:val="21"/>
                <w:szCs w:val="20"/>
                <w:highlight w:val="none"/>
              </w:rPr>
              <w:t>分；措施良得</w:t>
            </w:r>
            <w:r>
              <w:rPr>
                <w:color w:val="auto"/>
                <w:sz w:val="21"/>
                <w:szCs w:val="20"/>
                <w:highlight w:val="none"/>
              </w:rPr>
              <w:t>2分；措施一般得1分；差或无措施不得分。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napToGrid w:val="0"/>
              <w:spacing w:line="273" w:lineRule="auto"/>
              <w:jc w:val="center"/>
              <w:rPr>
                <w:color w:val="auto"/>
                <w:kern w:val="2"/>
                <w:sz w:val="21"/>
                <w:szCs w:val="21"/>
                <w:highlight w:val="none"/>
                <w:lang w:val="en-US" w:bidi="ar-SA"/>
              </w:rPr>
            </w:pPr>
            <w:r>
              <w:rPr>
                <w:rFonts w:hint="eastAsia"/>
                <w:color w:val="auto"/>
                <w:kern w:val="2"/>
                <w:sz w:val="21"/>
                <w:szCs w:val="21"/>
                <w:highlight w:val="none"/>
                <w:lang w:val="en-US" w:bidi="ar-SA"/>
              </w:rPr>
              <w:t>合同管理（</w:t>
            </w:r>
            <w:r>
              <w:rPr>
                <w:color w:val="auto"/>
                <w:kern w:val="2"/>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line="273" w:lineRule="auto"/>
              <w:jc w:val="both"/>
              <w:rPr>
                <w:color w:val="auto"/>
                <w:kern w:val="2"/>
                <w:sz w:val="21"/>
                <w:szCs w:val="21"/>
                <w:highlight w:val="none"/>
                <w:lang w:val="en-US" w:bidi="ar-SA"/>
              </w:rPr>
            </w:pPr>
            <w:r>
              <w:rPr>
                <w:rFonts w:hint="eastAsia"/>
                <w:color w:val="auto"/>
                <w:kern w:val="2"/>
                <w:sz w:val="21"/>
                <w:szCs w:val="21"/>
                <w:highlight w:val="none"/>
                <w:lang w:val="en-US" w:bidi="ar-SA"/>
              </w:rPr>
              <w:t>合同管理方法合理可行、措施具体、针对性强，措施为优得</w:t>
            </w:r>
            <w:r>
              <w:rPr>
                <w:color w:val="auto"/>
                <w:kern w:val="2"/>
                <w:sz w:val="21"/>
                <w:szCs w:val="21"/>
                <w:highlight w:val="none"/>
                <w:lang w:val="en-US" w:bidi="ar-SA"/>
              </w:rPr>
              <w:t>3分；措施为良得2分；措施为一般得1分；差或无措施不得分。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noWrap/>
            <w:tcMar>
              <w:top w:w="0" w:type="dxa"/>
              <w:left w:w="108" w:type="dxa"/>
              <w:bottom w:w="0" w:type="dxa"/>
              <w:right w:w="108" w:type="dxa"/>
            </w:tcMar>
            <w:vAlign w:val="center"/>
          </w:tcPr>
          <w:p>
            <w:pPr>
              <w:autoSpaceDE/>
              <w:autoSpaceDN/>
              <w:spacing w:line="288" w:lineRule="auto"/>
              <w:jc w:val="center"/>
              <w:rPr>
                <w:color w:val="auto"/>
                <w:kern w:val="2"/>
                <w:sz w:val="21"/>
                <w:szCs w:val="21"/>
                <w:highlight w:val="none"/>
                <w:lang w:val="en-US" w:bidi="ar-SA"/>
              </w:rPr>
            </w:pPr>
            <w:r>
              <w:rPr>
                <w:rFonts w:hint="eastAsia"/>
                <w:color w:val="auto"/>
                <w:kern w:val="2"/>
                <w:sz w:val="21"/>
                <w:szCs w:val="21"/>
                <w:highlight w:val="none"/>
                <w:lang w:val="en-US" w:bidi="ar-SA"/>
              </w:rPr>
              <w:t>信息管理（3分）</w:t>
            </w:r>
          </w:p>
        </w:tc>
        <w:tc>
          <w:tcPr>
            <w:tcW w:w="5062" w:type="dxa"/>
            <w:noWrap/>
            <w:tcMar>
              <w:top w:w="0" w:type="dxa"/>
              <w:left w:w="108" w:type="dxa"/>
              <w:bottom w:w="0" w:type="dxa"/>
              <w:right w:w="108" w:type="dxa"/>
            </w:tcMar>
            <w:vAlign w:val="center"/>
          </w:tcPr>
          <w:p>
            <w:pPr>
              <w:rPr>
                <w:color w:val="auto"/>
                <w:kern w:val="2"/>
                <w:sz w:val="21"/>
                <w:szCs w:val="21"/>
                <w:highlight w:val="none"/>
                <w:lang w:val="en-US" w:bidi="ar-SA"/>
              </w:rPr>
            </w:pPr>
            <w:r>
              <w:rPr>
                <w:rFonts w:hint="eastAsia"/>
                <w:color w:val="auto"/>
                <w:kern w:val="2"/>
                <w:sz w:val="21"/>
                <w:szCs w:val="21"/>
                <w:highlight w:val="none"/>
                <w:lang w:val="en-US" w:bidi="ar-SA"/>
              </w:rPr>
              <w:t>信息管理方法合理有效，投标人自有完备的工程信息化管理系统，提供质量控制系统、进度控制系统、安全管控系统、预算工作管控系统。完全具备得</w:t>
            </w:r>
            <w:r>
              <w:rPr>
                <w:color w:val="auto"/>
                <w:kern w:val="2"/>
                <w:sz w:val="21"/>
                <w:szCs w:val="21"/>
                <w:highlight w:val="none"/>
                <w:lang w:val="en-US" w:bidi="ar-SA"/>
              </w:rPr>
              <w:t>3分；一般得1分；不提供不得分。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napToGrid w:val="0"/>
              <w:spacing w:line="273" w:lineRule="auto"/>
              <w:jc w:val="center"/>
              <w:rPr>
                <w:color w:val="auto"/>
                <w:kern w:val="2"/>
                <w:sz w:val="21"/>
                <w:szCs w:val="21"/>
                <w:highlight w:val="none"/>
                <w:lang w:val="en-US" w:bidi="ar-SA"/>
              </w:rPr>
            </w:pPr>
            <w:r>
              <w:rPr>
                <w:rFonts w:hint="eastAsia"/>
                <w:color w:val="auto"/>
                <w:kern w:val="2"/>
                <w:sz w:val="21"/>
                <w:szCs w:val="21"/>
                <w:highlight w:val="none"/>
                <w:lang w:val="en-US" w:bidi="ar-SA"/>
              </w:rPr>
              <w:t>监理组织协调内容及措施</w:t>
            </w:r>
            <w:r>
              <w:rPr>
                <w:rFonts w:hint="eastAsia"/>
                <w:color w:val="auto"/>
                <w:sz w:val="21"/>
                <w:szCs w:val="21"/>
                <w:highlight w:val="none"/>
                <w:lang w:val="en-US" w:bidi="ar-SA"/>
              </w:rPr>
              <w:t>（</w:t>
            </w:r>
            <w:r>
              <w:rPr>
                <w:color w:val="auto"/>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line="273" w:lineRule="auto"/>
              <w:jc w:val="both"/>
              <w:rPr>
                <w:color w:val="auto"/>
                <w:kern w:val="2"/>
                <w:sz w:val="21"/>
                <w:szCs w:val="21"/>
                <w:highlight w:val="none"/>
                <w:lang w:val="en-US" w:bidi="ar-SA"/>
              </w:rPr>
            </w:pPr>
            <w:r>
              <w:rPr>
                <w:rFonts w:hint="eastAsia"/>
                <w:color w:val="auto"/>
                <w:kern w:val="2"/>
                <w:sz w:val="21"/>
                <w:szCs w:val="21"/>
                <w:highlight w:val="none"/>
                <w:lang w:val="en-US" w:bidi="ar-SA"/>
              </w:rPr>
              <w:t>组织协调方法清晰合理、有具体措施、针对性强，优得</w:t>
            </w:r>
            <w:r>
              <w:rPr>
                <w:color w:val="auto"/>
                <w:kern w:val="2"/>
                <w:sz w:val="21"/>
                <w:szCs w:val="21"/>
                <w:highlight w:val="none"/>
                <w:lang w:val="en-US" w:bidi="ar-SA"/>
              </w:rPr>
              <w:t>3分；良得2分；一般得1分；差或无不得分。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napToGrid w:val="0"/>
              <w:spacing w:line="273" w:lineRule="auto"/>
              <w:jc w:val="center"/>
              <w:rPr>
                <w:color w:val="auto"/>
                <w:kern w:val="2"/>
                <w:sz w:val="21"/>
                <w:szCs w:val="21"/>
                <w:highlight w:val="none"/>
                <w:lang w:val="en-US" w:bidi="ar-SA"/>
              </w:rPr>
            </w:pPr>
            <w:r>
              <w:rPr>
                <w:rFonts w:hint="eastAsia"/>
                <w:color w:val="auto"/>
                <w:kern w:val="2"/>
                <w:sz w:val="21"/>
                <w:szCs w:val="21"/>
                <w:highlight w:val="none"/>
                <w:lang w:val="en-US" w:bidi="ar-SA"/>
              </w:rPr>
              <w:t>安全、文明施工管理（</w:t>
            </w:r>
            <w:r>
              <w:rPr>
                <w:rFonts w:hint="eastAsia"/>
                <w:color w:val="auto"/>
                <w:kern w:val="2"/>
                <w:sz w:val="21"/>
                <w:szCs w:val="21"/>
                <w:highlight w:val="none"/>
                <w:lang w:val="en-US" w:bidi="ar-SA"/>
              </w:rPr>
              <w:t>4</w:t>
            </w:r>
            <w:r>
              <w:rPr>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line="273" w:lineRule="auto"/>
              <w:jc w:val="both"/>
              <w:rPr>
                <w:color w:val="auto"/>
                <w:kern w:val="2"/>
                <w:sz w:val="21"/>
                <w:szCs w:val="21"/>
                <w:highlight w:val="none"/>
                <w:lang w:val="en-US" w:bidi="ar-SA"/>
              </w:rPr>
            </w:pPr>
            <w:r>
              <w:rPr>
                <w:rFonts w:hint="eastAsia"/>
                <w:color w:val="auto"/>
                <w:kern w:val="2"/>
                <w:sz w:val="21"/>
                <w:szCs w:val="21"/>
                <w:highlight w:val="none"/>
                <w:lang w:val="en-US" w:bidi="ar-SA"/>
              </w:rPr>
              <w:t>安全、文明施工管理方法合理可行、措施具体、针对性强，措施为优得</w:t>
            </w:r>
            <w:r>
              <w:rPr>
                <w:rFonts w:hint="eastAsia"/>
                <w:color w:val="auto"/>
                <w:kern w:val="2"/>
                <w:sz w:val="21"/>
                <w:szCs w:val="21"/>
                <w:highlight w:val="none"/>
                <w:lang w:val="en-US" w:bidi="ar-SA"/>
              </w:rPr>
              <w:t>4</w:t>
            </w:r>
            <w:r>
              <w:rPr>
                <w:color w:val="auto"/>
                <w:kern w:val="2"/>
                <w:sz w:val="21"/>
                <w:szCs w:val="21"/>
                <w:highlight w:val="none"/>
                <w:lang w:val="en-US" w:bidi="ar-SA"/>
              </w:rPr>
              <w:t>分；措施为良得2分；措施为一般得</w:t>
            </w:r>
            <w:r>
              <w:rPr>
                <w:rFonts w:hint="eastAsia"/>
                <w:color w:val="auto"/>
                <w:kern w:val="2"/>
                <w:sz w:val="21"/>
                <w:szCs w:val="21"/>
                <w:highlight w:val="none"/>
                <w:lang w:val="en-US" w:bidi="ar-SA"/>
              </w:rPr>
              <w:t>1</w:t>
            </w:r>
            <w:r>
              <w:rPr>
                <w:color w:val="auto"/>
                <w:kern w:val="2"/>
                <w:sz w:val="21"/>
                <w:szCs w:val="21"/>
                <w:highlight w:val="none"/>
                <w:lang w:val="en-US" w:bidi="ar-SA"/>
              </w:rPr>
              <w:t>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napToGrid w:val="0"/>
              <w:spacing w:line="273" w:lineRule="auto"/>
              <w:jc w:val="center"/>
              <w:rPr>
                <w:color w:val="auto"/>
                <w:kern w:val="2"/>
                <w:sz w:val="21"/>
                <w:szCs w:val="21"/>
                <w:highlight w:val="none"/>
                <w:lang w:val="en-US" w:bidi="ar-SA"/>
              </w:rPr>
            </w:pPr>
            <w:r>
              <w:rPr>
                <w:rFonts w:hint="eastAsia"/>
                <w:color w:val="auto"/>
                <w:kern w:val="2"/>
                <w:sz w:val="21"/>
                <w:szCs w:val="21"/>
                <w:highlight w:val="none"/>
                <w:lang w:val="en-US" w:bidi="ar-SA"/>
              </w:rPr>
              <w:t>重点难点监控措施</w:t>
            </w:r>
          </w:p>
          <w:p>
            <w:pPr>
              <w:autoSpaceDE/>
              <w:autoSpaceDN/>
              <w:snapToGrid w:val="0"/>
              <w:spacing w:line="273" w:lineRule="auto"/>
              <w:jc w:val="center"/>
              <w:rPr>
                <w:color w:val="auto"/>
                <w:kern w:val="2"/>
                <w:sz w:val="21"/>
                <w:szCs w:val="21"/>
                <w:highlight w:val="none"/>
                <w:lang w:val="en-US" w:bidi="ar-SA"/>
              </w:rPr>
            </w:pPr>
            <w:r>
              <w:rPr>
                <w:rFonts w:hint="eastAsia"/>
                <w:color w:val="auto"/>
                <w:kern w:val="2"/>
                <w:sz w:val="21"/>
                <w:szCs w:val="21"/>
                <w:highlight w:val="none"/>
                <w:lang w:val="en-US" w:bidi="ar-SA"/>
              </w:rPr>
              <w:t>（</w:t>
            </w:r>
            <w:r>
              <w:rPr>
                <w:rFonts w:hint="eastAsia"/>
                <w:color w:val="auto"/>
                <w:kern w:val="2"/>
                <w:sz w:val="21"/>
                <w:szCs w:val="21"/>
                <w:highlight w:val="none"/>
                <w:lang w:val="en-US" w:bidi="ar-SA"/>
              </w:rPr>
              <w:t>4</w:t>
            </w:r>
            <w:r>
              <w:rPr>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line="273" w:lineRule="auto"/>
              <w:jc w:val="both"/>
              <w:rPr>
                <w:color w:val="auto"/>
                <w:kern w:val="2"/>
                <w:sz w:val="21"/>
                <w:szCs w:val="21"/>
                <w:highlight w:val="none"/>
                <w:lang w:val="en-US" w:bidi="ar-SA"/>
              </w:rPr>
            </w:pPr>
            <w:r>
              <w:rPr>
                <w:rFonts w:hint="eastAsia"/>
                <w:color w:val="auto"/>
                <w:kern w:val="2"/>
                <w:sz w:val="21"/>
                <w:szCs w:val="21"/>
                <w:highlight w:val="none"/>
                <w:lang w:val="en-US" w:bidi="ar-SA"/>
              </w:rPr>
              <w:t>要求方法合理可行、措施具体、针对性强、可操作。措施为优得</w:t>
            </w:r>
            <w:r>
              <w:rPr>
                <w:rFonts w:hint="eastAsia"/>
                <w:color w:val="auto"/>
                <w:kern w:val="2"/>
                <w:sz w:val="21"/>
                <w:szCs w:val="21"/>
                <w:highlight w:val="none"/>
                <w:lang w:val="en-US" w:bidi="ar-SA"/>
              </w:rPr>
              <w:t>4</w:t>
            </w:r>
            <w:r>
              <w:rPr>
                <w:color w:val="auto"/>
                <w:kern w:val="2"/>
                <w:sz w:val="21"/>
                <w:szCs w:val="21"/>
                <w:highlight w:val="none"/>
                <w:lang w:val="en-US" w:bidi="ar-SA"/>
              </w:rPr>
              <w:t>分；措施为良得2分；措施为一般得1分；差或无措施不得分。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spacing w:line="288" w:lineRule="auto"/>
              <w:jc w:val="center"/>
              <w:rPr>
                <w:color w:val="auto"/>
                <w:kern w:val="2"/>
                <w:sz w:val="21"/>
                <w:szCs w:val="21"/>
                <w:highlight w:val="none"/>
                <w:lang w:val="en-US" w:bidi="ar-SA"/>
              </w:rPr>
            </w:pPr>
            <w:r>
              <w:rPr>
                <w:rFonts w:hint="eastAsia"/>
                <w:color w:val="auto"/>
                <w:kern w:val="2"/>
                <w:sz w:val="21"/>
                <w:szCs w:val="21"/>
                <w:highlight w:val="none"/>
                <w:lang w:val="en-US" w:bidi="ar-SA"/>
              </w:rPr>
              <w:t>合理化建议（3</w:t>
            </w:r>
            <w:r>
              <w:rPr>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autoSpaceDE/>
              <w:autoSpaceDN/>
              <w:jc w:val="both"/>
              <w:rPr>
                <w:color w:val="auto"/>
                <w:kern w:val="2"/>
                <w:sz w:val="21"/>
                <w:szCs w:val="21"/>
                <w:highlight w:val="none"/>
                <w:lang w:val="en-US" w:bidi="ar-SA"/>
              </w:rPr>
            </w:pPr>
            <w:r>
              <w:rPr>
                <w:rFonts w:hint="eastAsia"/>
                <w:color w:val="auto"/>
                <w:kern w:val="2"/>
                <w:sz w:val="21"/>
                <w:szCs w:val="21"/>
                <w:highlight w:val="none"/>
                <w:lang w:val="en-US" w:bidi="ar-SA"/>
              </w:rPr>
              <w:t>具有科学、合理、可行及具体措施的建议得3分，基本可行的得1分，否则不得分。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spacing w:before="100" w:beforeAutospacing="1" w:after="100" w:afterAutospacing="1"/>
              <w:rPr>
                <w:color w:val="auto"/>
                <w:sz w:val="21"/>
                <w:szCs w:val="21"/>
                <w:highlight w:val="none"/>
                <w:lang w:val="en-US" w:bidi="ar-SA"/>
              </w:rPr>
            </w:pPr>
            <w:r>
              <w:rPr>
                <w:color w:val="auto"/>
                <w:sz w:val="21"/>
                <w:szCs w:val="21"/>
                <w:highlight w:val="none"/>
                <w:lang w:val="en-US" w:bidi="ar-SA"/>
              </w:rPr>
              <w:t>2.2.4（3）</w:t>
            </w:r>
          </w:p>
        </w:tc>
        <w:tc>
          <w:tcPr>
            <w:tcW w:w="3331" w:type="dxa"/>
            <w:gridSpan w:val="3"/>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spacing w:before="100" w:beforeAutospacing="1" w:after="100" w:afterAutospacing="1"/>
              <w:jc w:val="center"/>
              <w:rPr>
                <w:color w:val="auto"/>
                <w:sz w:val="21"/>
                <w:szCs w:val="21"/>
                <w:highlight w:val="none"/>
                <w:lang w:val="en-US" w:bidi="ar-SA"/>
              </w:rPr>
            </w:pPr>
            <w:r>
              <w:rPr>
                <w:rFonts w:hint="eastAsia"/>
                <w:color w:val="auto"/>
                <w:sz w:val="21"/>
                <w:szCs w:val="21"/>
                <w:highlight w:val="none"/>
                <w:lang w:val="en-US" w:bidi="ar-SA"/>
              </w:rPr>
              <w:t>报价得分（</w:t>
            </w:r>
            <w:r>
              <w:rPr>
                <w:rFonts w:hint="eastAsia"/>
                <w:color w:val="auto"/>
                <w:sz w:val="21"/>
                <w:szCs w:val="21"/>
                <w:highlight w:val="none"/>
                <w:lang w:val="en-US" w:bidi="ar-SA"/>
              </w:rPr>
              <w:t>2</w:t>
            </w:r>
            <w:r>
              <w:rPr>
                <w:color w:val="auto"/>
                <w:sz w:val="21"/>
                <w:szCs w:val="21"/>
                <w:highlight w:val="none"/>
                <w:lang w:val="en-US" w:bidi="ar-SA"/>
              </w:rPr>
              <w:t>0分）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adjustRightInd w:val="0"/>
              <w:snapToGrid w:val="0"/>
              <w:spacing w:before="100" w:beforeAutospacing="1"/>
              <w:jc w:val="both"/>
              <w:rPr>
                <w:color w:val="auto"/>
                <w:sz w:val="21"/>
                <w:szCs w:val="21"/>
                <w:highlight w:val="none"/>
                <w:lang w:val="en-US" w:bidi="ar-SA"/>
              </w:rPr>
            </w:pPr>
            <w:r>
              <w:rPr>
                <w:rFonts w:hint="eastAsia"/>
                <w:color w:val="auto"/>
                <w:sz w:val="21"/>
                <w:szCs w:val="21"/>
                <w:highlight w:val="none"/>
                <w:lang w:val="en-US" w:bidi="ar-SA"/>
              </w:rPr>
              <w:t>以评标基准价作为计算各有效投标价得分的基础，当有效投标报价等于评标基准价时得</w:t>
            </w:r>
            <w:r>
              <w:rPr>
                <w:rFonts w:hint="eastAsia"/>
                <w:color w:val="auto"/>
                <w:sz w:val="21"/>
                <w:szCs w:val="21"/>
                <w:highlight w:val="none"/>
                <w:lang w:val="en-US" w:bidi="ar-SA"/>
              </w:rPr>
              <w:t>2</w:t>
            </w:r>
            <w:r>
              <w:rPr>
                <w:color w:val="auto"/>
                <w:sz w:val="21"/>
                <w:szCs w:val="21"/>
                <w:highlight w:val="none"/>
                <w:lang w:val="en-US" w:bidi="ar-SA"/>
              </w:rPr>
              <w:t>0分；投标报价偏差率，每上偏1%扣</w:t>
            </w:r>
            <w:r>
              <w:rPr>
                <w:rFonts w:hint="default"/>
                <w:color w:val="auto"/>
                <w:sz w:val="21"/>
                <w:szCs w:val="21"/>
                <w:highlight w:val="none"/>
                <w:lang w:val="en-US" w:bidi="ar-SA"/>
              </w:rPr>
              <w:t>1</w:t>
            </w:r>
            <w:r>
              <w:rPr>
                <w:rFonts w:hint="eastAsia"/>
                <w:color w:val="auto"/>
                <w:sz w:val="21"/>
                <w:szCs w:val="21"/>
                <w:highlight w:val="none"/>
                <w:lang w:val="en-US" w:bidi="ar-SA"/>
              </w:rPr>
              <w:t>分，每下偏</w:t>
            </w:r>
            <w:r>
              <w:rPr>
                <w:color w:val="auto"/>
                <w:sz w:val="21"/>
                <w:szCs w:val="21"/>
                <w:highlight w:val="none"/>
                <w:lang w:val="en-US" w:bidi="ar-SA"/>
              </w:rPr>
              <w:t>1%扣</w:t>
            </w:r>
            <w:r>
              <w:rPr>
                <w:rFonts w:hint="eastAsia"/>
                <w:color w:val="auto"/>
                <w:sz w:val="21"/>
                <w:szCs w:val="21"/>
                <w:highlight w:val="none"/>
                <w:lang w:val="en-US" w:bidi="ar-SA"/>
              </w:rPr>
              <w:t>0.</w:t>
            </w:r>
            <w:r>
              <w:rPr>
                <w:rFonts w:hint="default"/>
                <w:color w:val="auto"/>
                <w:sz w:val="21"/>
                <w:szCs w:val="21"/>
                <w:highlight w:val="none"/>
                <w:lang w:val="en-US" w:bidi="ar-SA"/>
              </w:rPr>
              <w:t>5</w:t>
            </w:r>
            <w:r>
              <w:rPr>
                <w:rFonts w:hint="eastAsia"/>
                <w:color w:val="auto"/>
                <w:sz w:val="21"/>
                <w:szCs w:val="21"/>
                <w:highlight w:val="none"/>
                <w:lang w:val="en-US" w:bidi="ar-SA"/>
              </w:rPr>
              <w:t>分，最多扣</w:t>
            </w:r>
            <w:r>
              <w:rPr>
                <w:rFonts w:hint="eastAsia"/>
                <w:color w:val="auto"/>
                <w:sz w:val="21"/>
                <w:szCs w:val="21"/>
                <w:highlight w:val="none"/>
                <w:lang w:val="en-US" w:bidi="ar-SA"/>
              </w:rPr>
              <w:t>2</w:t>
            </w:r>
            <w:r>
              <w:rPr>
                <w:color w:val="auto"/>
                <w:sz w:val="21"/>
                <w:szCs w:val="21"/>
                <w:highlight w:val="none"/>
                <w:lang w:val="en-US" w:bidi="ar-S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spacing w:before="100" w:beforeAutospacing="1" w:after="100" w:afterAutospacing="1"/>
              <w:rPr>
                <w:color w:val="auto"/>
                <w:sz w:val="21"/>
                <w:szCs w:val="21"/>
                <w:highlight w:val="none"/>
                <w:lang w:val="en-US" w:bidi="ar-SA"/>
              </w:rPr>
            </w:pPr>
            <w:r>
              <w:rPr>
                <w:color w:val="auto"/>
                <w:sz w:val="21"/>
                <w:szCs w:val="21"/>
                <w:highlight w:val="none"/>
                <w:lang w:val="en-US" w:bidi="ar-SA"/>
              </w:rPr>
              <w:t>2.2.4说明</w:t>
            </w:r>
          </w:p>
        </w:tc>
        <w:tc>
          <w:tcPr>
            <w:tcW w:w="8393" w:type="dxa"/>
            <w:gridSpan w:val="4"/>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autoSpaceDE/>
              <w:autoSpaceDN/>
              <w:adjustRightInd w:val="0"/>
              <w:snapToGrid w:val="0"/>
              <w:ind w:firstLine="420" w:firstLineChars="200"/>
              <w:jc w:val="both"/>
              <w:rPr>
                <w:color w:val="auto"/>
                <w:sz w:val="21"/>
                <w:szCs w:val="21"/>
                <w:highlight w:val="none"/>
                <w:lang w:val="en-US" w:bidi="ar-SA"/>
              </w:rPr>
            </w:pPr>
            <w:r>
              <w:rPr>
                <w:rFonts w:hint="eastAsia"/>
                <w:color w:val="auto"/>
                <w:sz w:val="21"/>
                <w:szCs w:val="21"/>
                <w:highlight w:val="none"/>
                <w:lang w:val="en-US" w:bidi="ar-SA"/>
              </w:rPr>
              <w:t>说明：</w:t>
            </w:r>
          </w:p>
          <w:p>
            <w:pPr>
              <w:widowControl/>
              <w:autoSpaceDE/>
              <w:autoSpaceDN/>
              <w:adjustRightInd w:val="0"/>
              <w:snapToGrid w:val="0"/>
              <w:ind w:firstLine="420" w:firstLineChars="200"/>
              <w:jc w:val="both"/>
              <w:rPr>
                <w:color w:val="auto"/>
                <w:sz w:val="21"/>
                <w:szCs w:val="21"/>
                <w:highlight w:val="none"/>
                <w:lang w:val="en-US" w:bidi="ar-SA"/>
              </w:rPr>
            </w:pPr>
            <w:r>
              <w:rPr>
                <w:rFonts w:hint="eastAsia"/>
                <w:color w:val="auto"/>
                <w:sz w:val="21"/>
                <w:szCs w:val="21"/>
                <w:highlight w:val="none"/>
                <w:lang w:val="en-US" w:bidi="ar-SA"/>
              </w:rPr>
              <w:t>（</w:t>
            </w:r>
            <w:r>
              <w:rPr>
                <w:color w:val="auto"/>
                <w:sz w:val="21"/>
                <w:szCs w:val="21"/>
                <w:highlight w:val="none"/>
                <w:lang w:val="en-US" w:bidi="ar-SA"/>
              </w:rPr>
              <w:t>1）类似监理业绩：是指招标公告中3.1点所述资质</w:t>
            </w:r>
            <w:r>
              <w:rPr>
                <w:rFonts w:hint="eastAsia"/>
                <w:color w:val="auto"/>
                <w:sz w:val="21"/>
                <w:szCs w:val="21"/>
                <w:highlight w:val="none"/>
                <w:lang w:val="en-US" w:bidi="ar-SA"/>
              </w:rPr>
              <w:t>方能承接的</w:t>
            </w:r>
            <w:r>
              <w:rPr>
                <w:rFonts w:hint="eastAsia"/>
                <w:color w:val="auto"/>
                <w:sz w:val="21"/>
                <w:szCs w:val="21"/>
                <w:highlight w:val="none"/>
                <w:lang w:val="en-US" w:bidi="ar-SA"/>
              </w:rPr>
              <w:t>市政公用</w:t>
            </w:r>
            <w:r>
              <w:rPr>
                <w:rFonts w:hint="eastAsia"/>
                <w:color w:val="auto"/>
                <w:sz w:val="21"/>
                <w:szCs w:val="21"/>
                <w:highlight w:val="none"/>
                <w:lang w:val="en-US" w:bidi="ar-SA"/>
              </w:rPr>
              <w:t>工程监理业绩</w:t>
            </w:r>
            <w:r>
              <w:rPr>
                <w:color w:val="auto"/>
                <w:sz w:val="21"/>
                <w:szCs w:val="21"/>
                <w:highlight w:val="none"/>
                <w:lang w:val="en-US" w:bidi="ar-SA"/>
              </w:rPr>
              <w:t xml:space="preserve">，需同时提供中标通知书（或免招标的相关证明）、施工监理合同、竣工验收报告（或竣工验收证明）的清晰扫描件并加盖投标人电子印章，业绩时间以竣工验收报告（或竣工验收证明）出具时间为准（竣工验收报告或竣工验收证明材料至少包含建设单位、设计单位、施工单位、监理单位四方主体盖章，否则不予以认可）。 </w:t>
            </w:r>
          </w:p>
          <w:p>
            <w:pPr>
              <w:widowControl/>
              <w:autoSpaceDE/>
              <w:autoSpaceDN/>
              <w:adjustRightInd w:val="0"/>
              <w:snapToGrid w:val="0"/>
              <w:ind w:firstLine="420" w:firstLineChars="200"/>
              <w:jc w:val="both"/>
              <w:rPr>
                <w:color w:val="auto"/>
                <w:sz w:val="21"/>
                <w:szCs w:val="21"/>
                <w:highlight w:val="none"/>
                <w:lang w:val="en-US" w:bidi="ar-SA"/>
              </w:rPr>
            </w:pPr>
            <w:r>
              <w:rPr>
                <w:rFonts w:hint="eastAsia"/>
                <w:color w:val="auto"/>
                <w:sz w:val="21"/>
                <w:szCs w:val="21"/>
                <w:highlight w:val="none"/>
                <w:lang w:val="en-US" w:bidi="ar-SA"/>
              </w:rPr>
              <w:t>（</w:t>
            </w:r>
            <w:r>
              <w:rPr>
                <w:color w:val="auto"/>
                <w:sz w:val="21"/>
                <w:szCs w:val="21"/>
                <w:highlight w:val="none"/>
                <w:lang w:val="en-US" w:bidi="ar-SA"/>
              </w:rPr>
              <w:t>2）监理业绩获奖：国家级奖指</w:t>
            </w:r>
            <w:r>
              <w:rPr>
                <w:rFonts w:hint="eastAsia"/>
                <w:bCs/>
                <w:color w:val="auto"/>
                <w:kern w:val="2"/>
                <w:sz w:val="21"/>
                <w:szCs w:val="21"/>
                <w:highlight w:val="none"/>
                <w:lang w:val="en-US" w:bidi="ar-SA"/>
              </w:rPr>
              <w:t>中国建设工程</w:t>
            </w:r>
            <w:r>
              <w:rPr>
                <w:rFonts w:hint="eastAsia"/>
                <w:color w:val="auto"/>
                <w:sz w:val="21"/>
                <w:szCs w:val="21"/>
                <w:highlight w:val="none"/>
                <w:lang w:val="en-US" w:bidi="ar-SA"/>
              </w:rPr>
              <w:t>鲁班奖、中国土木工程詹天佑奖、国家优质工程奖、国家优质工程金质奖；省级或市级奖项是指由建设行政主管部门或行业协会（行业协会须在民政部门备案）颁发的工程质量类奖项；非质量类获奖不予计算。同一工程项目获得多个奖项的，按最高奖项计取，不重复计算。须提供获奖证书或获奖通报证明材料的清晰扫描件并加盖投标人电子印章、时间以获奖证书或获奖通报发出日期为准。</w:t>
            </w:r>
          </w:p>
          <w:p>
            <w:pPr>
              <w:pStyle w:val="22"/>
              <w:rPr>
                <w:color w:val="auto"/>
                <w:highlight w:val="none"/>
                <w:lang w:bidi="ar-SA"/>
              </w:rPr>
            </w:pPr>
            <w:r>
              <w:rPr>
                <w:rFonts w:hint="eastAsia"/>
                <w:color w:val="auto"/>
                <w:highlight w:val="none"/>
                <w:lang w:bidi="ar-SA"/>
              </w:rPr>
              <w:t>（3）“总监理工程师”中“担任过</w:t>
            </w:r>
            <w:r>
              <w:rPr>
                <w:rFonts w:hint="eastAsia"/>
                <w:color w:val="auto"/>
                <w:highlight w:val="none"/>
                <w:lang w:bidi="ar-SA"/>
              </w:rPr>
              <w:t>市政公用</w:t>
            </w:r>
            <w:r>
              <w:rPr>
                <w:rFonts w:hint="eastAsia"/>
                <w:color w:val="auto"/>
                <w:highlight w:val="none"/>
                <w:lang w:bidi="ar-SA"/>
              </w:rPr>
              <w:t>工程监理项目”，需提供中标通知书或免招标的相关证明或总监变更证明或监理合同或竣工验收报告或竣工验收证明。</w:t>
            </w:r>
          </w:p>
          <w:p>
            <w:pPr>
              <w:widowControl/>
              <w:autoSpaceDE/>
              <w:autoSpaceDN/>
              <w:adjustRightInd w:val="0"/>
              <w:snapToGrid w:val="0"/>
              <w:ind w:firstLine="420" w:firstLineChars="200"/>
              <w:jc w:val="both"/>
              <w:rPr>
                <w:color w:val="auto"/>
                <w:kern w:val="0"/>
                <w:sz w:val="21"/>
                <w:szCs w:val="21"/>
                <w:highlight w:val="none"/>
                <w:lang w:val="en-US" w:bidi="ar-SA"/>
              </w:rPr>
            </w:pPr>
            <w:r>
              <w:rPr>
                <w:rFonts w:hint="eastAsia"/>
                <w:color w:val="auto"/>
                <w:sz w:val="21"/>
                <w:szCs w:val="21"/>
                <w:highlight w:val="none"/>
                <w:lang w:val="en-US" w:bidi="ar-SA"/>
              </w:rPr>
              <w:t>（4</w:t>
            </w:r>
            <w:r>
              <w:rPr>
                <w:color w:val="auto"/>
                <w:sz w:val="21"/>
                <w:szCs w:val="21"/>
                <w:highlight w:val="none"/>
                <w:lang w:val="en-US" w:bidi="ar-SA"/>
              </w:rPr>
              <w:t>）</w:t>
            </w:r>
            <w:r>
              <w:rPr>
                <w:rFonts w:hint="eastAsia"/>
                <w:color w:val="auto"/>
                <w:kern w:val="2"/>
                <w:sz w:val="21"/>
                <w:szCs w:val="21"/>
                <w:highlight w:val="none"/>
                <w:lang w:val="en-US" w:bidi="ar-SA"/>
              </w:rPr>
              <w:t>高新技术企业：须提供科技部门、财政部门和税务局联合颁发的“高新技术企业”</w:t>
            </w:r>
            <w:r>
              <w:rPr>
                <w:rFonts w:hint="eastAsia"/>
                <w:color w:val="auto"/>
                <w:kern w:val="0"/>
                <w:sz w:val="21"/>
                <w:szCs w:val="21"/>
                <w:highlight w:val="none"/>
                <w:lang w:val="en-US" w:bidi="ar-SA"/>
              </w:rPr>
              <w:t>证书扫描件</w:t>
            </w:r>
            <w:r>
              <w:rPr>
                <w:rFonts w:hint="eastAsia"/>
                <w:color w:val="auto"/>
                <w:sz w:val="21"/>
                <w:szCs w:val="21"/>
                <w:highlight w:val="none"/>
                <w:lang w:val="en-US" w:bidi="ar-SA"/>
              </w:rPr>
              <w:t>并加盖投标人电子印章</w:t>
            </w:r>
            <w:r>
              <w:rPr>
                <w:rFonts w:hint="eastAsia"/>
                <w:color w:val="auto"/>
                <w:kern w:val="0"/>
                <w:sz w:val="21"/>
                <w:szCs w:val="21"/>
                <w:highlight w:val="none"/>
                <w:lang w:val="en-US" w:bidi="ar-SA"/>
              </w:rPr>
              <w:t>。</w:t>
            </w:r>
          </w:p>
          <w:p>
            <w:pPr>
              <w:widowControl/>
              <w:autoSpaceDE/>
              <w:autoSpaceDN/>
              <w:adjustRightInd w:val="0"/>
              <w:snapToGrid w:val="0"/>
              <w:ind w:firstLine="420" w:firstLineChars="200"/>
              <w:jc w:val="both"/>
              <w:rPr>
                <w:color w:val="auto"/>
                <w:sz w:val="21"/>
                <w:szCs w:val="21"/>
                <w:highlight w:val="none"/>
                <w:lang w:val="en-US" w:bidi="ar-SA"/>
              </w:rPr>
            </w:pPr>
            <w:r>
              <w:rPr>
                <w:rFonts w:hint="eastAsia"/>
                <w:color w:val="auto"/>
                <w:sz w:val="21"/>
                <w:szCs w:val="21"/>
                <w:highlight w:val="none"/>
                <w:lang w:val="en-US" w:bidi="ar-SA"/>
              </w:rPr>
              <w:t>（</w:t>
            </w:r>
            <w:r>
              <w:rPr>
                <w:color w:val="auto"/>
                <w:sz w:val="21"/>
                <w:szCs w:val="21"/>
                <w:highlight w:val="none"/>
                <w:lang w:val="en-US" w:bidi="ar-SA"/>
              </w:rPr>
              <w:t>5）科学技术奖项：科学技术类奖项以省级或以上人民政府[或行政部门或行业协会或学会（行业协会或学会须在民政部门备案）]颁发的表彰证书或表彰正式文件为准。提供获奖证书或表彰正式文件原件扫描件，时间以证书或表彰正式文件中载明的时间为准。颁发机构如为行业协会或学会的还需同时提供该行业协会或学会在“中国社会组织政务服务平台”的登记信息查询结果网页截图，否则不予计分。</w:t>
            </w:r>
          </w:p>
          <w:p>
            <w:pPr>
              <w:widowControl/>
              <w:autoSpaceDE/>
              <w:autoSpaceDN/>
              <w:adjustRightInd w:val="0"/>
              <w:snapToGrid w:val="0"/>
              <w:ind w:firstLine="420" w:firstLineChars="200"/>
              <w:jc w:val="both"/>
              <w:rPr>
                <w:color w:val="auto"/>
                <w:sz w:val="21"/>
                <w:szCs w:val="21"/>
                <w:highlight w:val="none"/>
                <w:lang w:val="en-US" w:bidi="ar-SA"/>
              </w:rPr>
            </w:pPr>
            <w:r>
              <w:rPr>
                <w:rFonts w:hint="eastAsia"/>
                <w:color w:val="auto"/>
                <w:sz w:val="21"/>
                <w:szCs w:val="21"/>
                <w:highlight w:val="none"/>
                <w:lang w:val="en-US" w:bidi="ar-SA"/>
              </w:rPr>
              <w:t>（6</w:t>
            </w:r>
            <w:r>
              <w:rPr>
                <w:color w:val="auto"/>
                <w:sz w:val="21"/>
                <w:szCs w:val="21"/>
                <w:highlight w:val="none"/>
                <w:lang w:val="en-US" w:bidi="ar-SA"/>
              </w:rPr>
              <w:t>）纳税信用等级情况：投标人（只计算投标人自身，不计算投标人的分公司、子公司和分支机构）须提供纳税信用A级纳税人</w:t>
            </w:r>
            <w:r>
              <w:rPr>
                <w:rFonts w:hint="eastAsia"/>
                <w:bCs/>
                <w:color w:val="auto"/>
                <w:kern w:val="2"/>
                <w:sz w:val="21"/>
                <w:szCs w:val="21"/>
                <w:highlight w:val="none"/>
                <w:lang w:val="en-US" w:bidi="ar-SA"/>
              </w:rPr>
              <w:t>证书扫描件</w:t>
            </w:r>
            <w:r>
              <w:rPr>
                <w:rFonts w:hint="eastAsia"/>
                <w:color w:val="auto"/>
                <w:sz w:val="21"/>
                <w:szCs w:val="21"/>
                <w:highlight w:val="none"/>
                <w:lang w:val="en-US" w:bidi="ar-SA"/>
              </w:rPr>
              <w:t>或省级（或以上）</w:t>
            </w:r>
            <w:r>
              <w:rPr>
                <w:rFonts w:hint="eastAsia"/>
                <w:bCs/>
                <w:color w:val="auto"/>
                <w:kern w:val="2"/>
                <w:sz w:val="21"/>
                <w:szCs w:val="21"/>
                <w:highlight w:val="none"/>
                <w:lang w:val="en-US" w:bidi="ar-SA"/>
              </w:rPr>
              <w:t>国家税务局官网（含在国家税务局官网单列的城市）</w:t>
            </w:r>
            <w:r>
              <w:rPr>
                <w:rFonts w:hint="eastAsia"/>
                <w:color w:val="auto"/>
                <w:sz w:val="21"/>
                <w:szCs w:val="21"/>
                <w:highlight w:val="none"/>
                <w:lang w:val="en-US" w:bidi="ar-SA"/>
              </w:rPr>
              <w:t>纳税信用信息查询结果的网页截图并加盖投标人电子印章，时间以证书或网页截图上注明的公示评价（评定）年度为准。不符合上述条件或未按要求提供上述材料或无加盖投标人企业电子印章的不计分。</w:t>
            </w:r>
          </w:p>
          <w:p>
            <w:pPr>
              <w:widowControl/>
              <w:autoSpaceDE/>
              <w:autoSpaceDN/>
              <w:adjustRightInd w:val="0"/>
              <w:snapToGrid w:val="0"/>
              <w:ind w:firstLine="420" w:firstLineChars="200"/>
              <w:jc w:val="both"/>
              <w:rPr>
                <w:color w:val="auto"/>
                <w:kern w:val="2"/>
                <w:sz w:val="21"/>
                <w:szCs w:val="21"/>
                <w:highlight w:val="none"/>
                <w:lang w:val="en-US" w:bidi="ar-SA"/>
              </w:rPr>
            </w:pPr>
            <w:r>
              <w:rPr>
                <w:rFonts w:hint="eastAsia"/>
                <w:color w:val="auto"/>
                <w:sz w:val="21"/>
                <w:szCs w:val="21"/>
                <w:highlight w:val="none"/>
                <w:lang w:val="en-US" w:bidi="ar-SA"/>
              </w:rPr>
              <w:t>（7</w:t>
            </w:r>
            <w:r>
              <w:rPr>
                <w:color w:val="auto"/>
                <w:sz w:val="21"/>
                <w:szCs w:val="21"/>
                <w:highlight w:val="none"/>
                <w:lang w:val="en-US" w:bidi="ar-SA"/>
              </w:rPr>
              <w:t>）</w:t>
            </w:r>
            <w:r>
              <w:rPr>
                <w:rFonts w:hint="eastAsia"/>
                <w:color w:val="auto"/>
                <w:kern w:val="2"/>
                <w:sz w:val="21"/>
                <w:szCs w:val="21"/>
                <w:highlight w:val="none"/>
                <w:lang w:val="en-US" w:bidi="ar-SA"/>
              </w:rPr>
              <w:t>管理体系认证证书须同时提供认证证书扫描件以及全国认证认可信息公共服务平台（</w:t>
            </w:r>
            <w:r>
              <w:rPr>
                <w:color w:val="auto"/>
                <w:kern w:val="2"/>
                <w:sz w:val="21"/>
                <w:szCs w:val="21"/>
                <w:highlight w:val="none"/>
                <w:lang w:val="en-US" w:bidi="ar-SA"/>
              </w:rPr>
              <w:t>http://cx.cnca.cn/</w:t>
            </w:r>
            <w:r>
              <w:rPr>
                <w:rFonts w:hint="eastAsia"/>
                <w:color w:val="auto"/>
                <w:kern w:val="2"/>
                <w:sz w:val="21"/>
                <w:szCs w:val="21"/>
                <w:highlight w:val="none"/>
                <w:lang w:val="en-US" w:bidi="ar-SA"/>
              </w:rPr>
              <w:t>）查询结果网页截图，认证证书须在有效期内，否则不得分。</w:t>
            </w:r>
          </w:p>
          <w:p>
            <w:pPr>
              <w:widowControl/>
              <w:autoSpaceDE/>
              <w:autoSpaceDN/>
              <w:adjustRightInd w:val="0"/>
              <w:snapToGrid w:val="0"/>
              <w:ind w:firstLine="420" w:firstLineChars="200"/>
              <w:jc w:val="both"/>
              <w:rPr>
                <w:color w:val="auto"/>
                <w:kern w:val="2"/>
                <w:sz w:val="21"/>
                <w:szCs w:val="21"/>
                <w:highlight w:val="none"/>
                <w:lang w:val="en-US" w:bidi="ar-SA"/>
              </w:rPr>
            </w:pPr>
            <w:r>
              <w:rPr>
                <w:rFonts w:hint="eastAsia"/>
                <w:color w:val="auto"/>
                <w:kern w:val="2"/>
                <w:sz w:val="21"/>
                <w:szCs w:val="21"/>
                <w:highlight w:val="none"/>
                <w:lang w:val="en-US" w:bidi="ar-SA"/>
              </w:rPr>
              <w:t>（8）</w:t>
            </w:r>
            <w:r>
              <w:rPr>
                <w:rFonts w:hint="eastAsia"/>
                <w:color w:val="auto"/>
                <w:sz w:val="21"/>
                <w:szCs w:val="21"/>
                <w:highlight w:val="none"/>
                <w:lang w:val="en-US" w:bidi="ar-SA"/>
              </w:rPr>
              <w:t>《项目监理人员组成配备要求表》详见委托人要求，</w:t>
            </w:r>
            <w:r>
              <w:rPr>
                <w:rFonts w:hint="eastAsia"/>
                <w:color w:val="auto"/>
                <w:kern w:val="2"/>
                <w:sz w:val="21"/>
                <w:szCs w:val="21"/>
                <w:highlight w:val="none"/>
                <w:lang w:val="en-US" w:bidi="ar-SA"/>
              </w:rPr>
              <w:t>总监理工程师及监理机构人员资格、认证证书及社保证明等方面内容必须提供相应的证明材料；所投入人员必须为投标人本单位人员，所有人员须提供近</w:t>
            </w:r>
            <w:r>
              <w:rPr>
                <w:rFonts w:hint="eastAsia"/>
                <w:color w:val="auto"/>
                <w:kern w:val="2"/>
                <w:sz w:val="21"/>
                <w:szCs w:val="21"/>
                <w:highlight w:val="none"/>
                <w:lang w:val="en-US" w:eastAsia="zh-CN" w:bidi="ar-SA"/>
              </w:rPr>
              <w:t>1</w:t>
            </w:r>
            <w:r>
              <w:rPr>
                <w:rFonts w:hint="eastAsia"/>
                <w:color w:val="auto"/>
                <w:kern w:val="2"/>
                <w:sz w:val="21"/>
                <w:szCs w:val="21"/>
                <w:highlight w:val="none"/>
                <w:lang w:val="en-US" w:bidi="ar-SA"/>
              </w:rPr>
              <w:t>个月（2025年</w:t>
            </w:r>
            <w:r>
              <w:rPr>
                <w:rFonts w:hint="eastAsia"/>
                <w:color w:val="auto"/>
                <w:kern w:val="2"/>
                <w:sz w:val="21"/>
                <w:szCs w:val="21"/>
                <w:highlight w:val="none"/>
                <w:lang w:val="en-US" w:eastAsia="zh-CN" w:bidi="ar-SA"/>
              </w:rPr>
              <w:t>6</w:t>
            </w:r>
            <w:r>
              <w:rPr>
                <w:rFonts w:hint="eastAsia"/>
                <w:color w:val="auto"/>
                <w:kern w:val="2"/>
                <w:sz w:val="21"/>
                <w:szCs w:val="21"/>
                <w:highlight w:val="none"/>
                <w:lang w:val="en-US" w:bidi="ar-SA"/>
              </w:rPr>
              <w:t>月</w:t>
            </w:r>
            <w:r>
              <w:rPr>
                <w:color w:val="auto"/>
                <w:kern w:val="2"/>
                <w:sz w:val="21"/>
                <w:szCs w:val="21"/>
                <w:highlight w:val="none"/>
                <w:lang w:val="en-US" w:bidi="ar-SA"/>
              </w:rPr>
              <w:t>）在本投标单位购买社保缴纳证明材料，提供证明资料的清晰扫描件并加盖投标单位电子印章，否则不计分。</w:t>
            </w:r>
          </w:p>
          <w:p>
            <w:pPr>
              <w:widowControl/>
              <w:autoSpaceDE/>
              <w:autoSpaceDN/>
              <w:adjustRightInd w:val="0"/>
              <w:snapToGrid w:val="0"/>
              <w:ind w:firstLine="420" w:firstLineChars="200"/>
              <w:jc w:val="both"/>
              <w:rPr>
                <w:color w:val="auto"/>
                <w:sz w:val="21"/>
                <w:szCs w:val="21"/>
                <w:highlight w:val="none"/>
                <w:lang w:val="en-US" w:bidi="ar-SA"/>
              </w:rPr>
            </w:pPr>
            <w:r>
              <w:rPr>
                <w:rFonts w:hint="eastAsia"/>
                <w:color w:val="auto"/>
                <w:sz w:val="21"/>
                <w:szCs w:val="21"/>
                <w:highlight w:val="none"/>
                <w:lang w:val="en-US" w:bidi="ar-SA"/>
              </w:rPr>
              <w:t>（9</w:t>
            </w:r>
            <w:r>
              <w:rPr>
                <w:color w:val="auto"/>
                <w:sz w:val="21"/>
                <w:szCs w:val="21"/>
                <w:highlight w:val="none"/>
                <w:lang w:val="en-US" w:bidi="ar-SA"/>
              </w:rPr>
              <w:t>）投标人的综合得分为各评委的评分计取的算术平均分，评分如出现小数点，则保留小数点后两位，第三位四舍五入。</w:t>
            </w:r>
          </w:p>
        </w:tc>
      </w:tr>
    </w:tbl>
    <w:p>
      <w:pPr>
        <w:autoSpaceDE/>
        <w:autoSpaceDN/>
        <w:jc w:val="both"/>
        <w:rPr>
          <w:rFonts w:ascii="Times New Roman" w:hAnsi="Times New Roman" w:cs="Times New Roman"/>
          <w:color w:val="auto"/>
          <w:kern w:val="2"/>
          <w:sz w:val="21"/>
          <w:szCs w:val="21"/>
          <w:highlight w:val="none"/>
          <w:lang w:val="en-US" w:bidi="ar-SA"/>
        </w:rPr>
      </w:pPr>
    </w:p>
    <w:p>
      <w:pPr>
        <w:rPr>
          <w:color w:val="auto"/>
          <w:sz w:val="21"/>
          <w:szCs w:val="21"/>
          <w:highlight w:val="none"/>
        </w:rPr>
      </w:pPr>
      <w:r>
        <w:rPr>
          <w:rFonts w:hint="eastAsia"/>
          <w:color w:val="auto"/>
          <w:sz w:val="21"/>
          <w:szCs w:val="21"/>
          <w:highlight w:val="none"/>
        </w:rPr>
        <w:br w:type="page"/>
      </w:r>
    </w:p>
    <w:p>
      <w:pPr>
        <w:spacing w:line="360" w:lineRule="auto"/>
        <w:rPr>
          <w:b/>
          <w:color w:val="auto"/>
          <w:sz w:val="32"/>
          <w:highlight w:val="none"/>
        </w:rPr>
      </w:pPr>
      <w:r>
        <w:rPr>
          <w:rFonts w:hint="eastAsia"/>
          <w:b/>
          <w:color w:val="auto"/>
          <w:sz w:val="32"/>
          <w:highlight w:val="none"/>
        </w:rPr>
        <w:t>1.评标方法</w:t>
      </w:r>
    </w:p>
    <w:p>
      <w:pPr>
        <w:spacing w:line="360" w:lineRule="auto"/>
        <w:ind w:left="80" w:firstLine="420"/>
        <w:rPr>
          <w:color w:val="auto"/>
          <w:sz w:val="21"/>
          <w:szCs w:val="21"/>
          <w:highlight w:val="none"/>
        </w:rPr>
      </w:pPr>
      <w:r>
        <w:rPr>
          <w:rFonts w:hint="eastAsia"/>
          <w:color w:val="auto"/>
          <w:sz w:val="21"/>
          <w:szCs w:val="21"/>
          <w:highlight w:val="none"/>
        </w:rPr>
        <w:t>本次评标采用综合评估法。评标委员会对满足招标文件实质性要求的投标文件，按照本章第 2.2 款规定的评分标准进行打分，并按总得分由高到低顺序推荐中标候选人，或根据招标人授权直接确定中标人，但投标报价低于其成本的除外。若两家或以上的投标人总得分相同时，则投标报价得分高的排前；若投标人总得分和投标报价得分均相同，则监理大纲得分高的排前；若投标人总得分、投标报价得分和监理大纲得分均相同，则由评标委员会投票表决推荐排名优先的投标人。</w:t>
      </w:r>
    </w:p>
    <w:p>
      <w:pPr>
        <w:spacing w:line="360" w:lineRule="auto"/>
        <w:rPr>
          <w:b/>
          <w:color w:val="auto"/>
          <w:sz w:val="32"/>
          <w:highlight w:val="none"/>
        </w:rPr>
      </w:pPr>
      <w:r>
        <w:rPr>
          <w:rFonts w:hint="eastAsia"/>
          <w:b/>
          <w:color w:val="auto"/>
          <w:sz w:val="32"/>
          <w:highlight w:val="none"/>
        </w:rPr>
        <w:t>2.评审标准</w:t>
      </w:r>
    </w:p>
    <w:p>
      <w:pPr>
        <w:spacing w:line="360" w:lineRule="auto"/>
        <w:ind w:firstLine="210" w:firstLineChars="100"/>
        <w:rPr>
          <w:color w:val="auto"/>
          <w:sz w:val="21"/>
          <w:highlight w:val="none"/>
        </w:rPr>
      </w:pPr>
      <w:r>
        <w:rPr>
          <w:rFonts w:hint="eastAsia"/>
          <w:color w:val="auto"/>
          <w:sz w:val="21"/>
          <w:highlight w:val="none"/>
        </w:rPr>
        <w:t>2.1初步评审标准</w:t>
      </w:r>
    </w:p>
    <w:p>
      <w:pPr>
        <w:spacing w:line="360" w:lineRule="auto"/>
        <w:ind w:firstLine="210" w:firstLineChars="100"/>
        <w:rPr>
          <w:color w:val="auto"/>
          <w:sz w:val="21"/>
          <w:highlight w:val="none"/>
        </w:rPr>
      </w:pPr>
      <w:r>
        <w:rPr>
          <w:rFonts w:hint="eastAsia"/>
          <w:color w:val="auto"/>
          <w:sz w:val="21"/>
          <w:highlight w:val="none"/>
        </w:rPr>
        <w:t>2.1.1形式评审标准：见评标办法前附表。</w:t>
      </w:r>
    </w:p>
    <w:p>
      <w:pPr>
        <w:spacing w:line="360" w:lineRule="auto"/>
        <w:ind w:firstLine="210" w:firstLineChars="100"/>
        <w:rPr>
          <w:color w:val="auto"/>
          <w:sz w:val="21"/>
          <w:highlight w:val="none"/>
        </w:rPr>
      </w:pPr>
      <w:r>
        <w:rPr>
          <w:rFonts w:hint="eastAsia"/>
          <w:color w:val="auto"/>
          <w:sz w:val="21"/>
          <w:highlight w:val="none"/>
        </w:rPr>
        <w:t>2.1.2资格评审标准：见评标办法前附表。</w:t>
      </w:r>
    </w:p>
    <w:p>
      <w:pPr>
        <w:spacing w:line="360" w:lineRule="auto"/>
        <w:ind w:firstLine="210" w:firstLineChars="100"/>
        <w:rPr>
          <w:color w:val="auto"/>
          <w:sz w:val="21"/>
          <w:highlight w:val="none"/>
        </w:rPr>
      </w:pPr>
      <w:r>
        <w:rPr>
          <w:rFonts w:hint="eastAsia"/>
          <w:color w:val="auto"/>
          <w:sz w:val="21"/>
          <w:highlight w:val="none"/>
        </w:rPr>
        <w:t>2.1.3响应性评审标准：见评标办法前附表。</w:t>
      </w:r>
    </w:p>
    <w:p>
      <w:pPr>
        <w:spacing w:line="360" w:lineRule="auto"/>
        <w:rPr>
          <w:b/>
          <w:color w:val="auto"/>
          <w:sz w:val="32"/>
          <w:highlight w:val="none"/>
        </w:rPr>
      </w:pPr>
      <w:r>
        <w:rPr>
          <w:rFonts w:hint="eastAsia"/>
          <w:b/>
          <w:color w:val="auto"/>
          <w:sz w:val="32"/>
          <w:highlight w:val="none"/>
        </w:rPr>
        <w:t>2.2分值构成与评分标准</w:t>
      </w:r>
    </w:p>
    <w:p>
      <w:pPr>
        <w:spacing w:line="360" w:lineRule="auto"/>
        <w:ind w:firstLine="210" w:firstLineChars="100"/>
        <w:rPr>
          <w:color w:val="auto"/>
          <w:sz w:val="21"/>
          <w:highlight w:val="none"/>
        </w:rPr>
      </w:pPr>
      <w:r>
        <w:rPr>
          <w:rFonts w:hint="eastAsia"/>
          <w:color w:val="auto"/>
          <w:sz w:val="21"/>
          <w:highlight w:val="none"/>
        </w:rPr>
        <w:t>2.2.1分值构成</w:t>
      </w:r>
    </w:p>
    <w:p>
      <w:pPr>
        <w:spacing w:line="360" w:lineRule="auto"/>
        <w:rPr>
          <w:color w:val="auto"/>
          <w:sz w:val="21"/>
          <w:highlight w:val="none"/>
        </w:rPr>
      </w:pPr>
      <w:r>
        <w:rPr>
          <w:rFonts w:hint="eastAsia"/>
          <w:color w:val="auto"/>
          <w:sz w:val="21"/>
          <w:highlight w:val="none"/>
        </w:rPr>
        <w:t>（1）资信业绩部分：见评标办法前附表；</w:t>
      </w:r>
    </w:p>
    <w:p>
      <w:pPr>
        <w:spacing w:line="360" w:lineRule="auto"/>
        <w:rPr>
          <w:color w:val="auto"/>
          <w:sz w:val="21"/>
          <w:highlight w:val="none"/>
        </w:rPr>
      </w:pPr>
      <w:r>
        <w:rPr>
          <w:rFonts w:hint="eastAsia"/>
          <w:color w:val="auto"/>
          <w:sz w:val="21"/>
          <w:highlight w:val="none"/>
        </w:rPr>
        <w:t>（2）监理大纲部分：见评标办法前附表；</w:t>
      </w:r>
    </w:p>
    <w:p>
      <w:pPr>
        <w:spacing w:line="360" w:lineRule="auto"/>
        <w:rPr>
          <w:color w:val="auto"/>
          <w:sz w:val="21"/>
          <w:highlight w:val="none"/>
        </w:rPr>
      </w:pPr>
      <w:r>
        <w:rPr>
          <w:rFonts w:hint="eastAsia"/>
          <w:color w:val="auto"/>
          <w:sz w:val="21"/>
          <w:highlight w:val="none"/>
        </w:rPr>
        <w:t>（3）投标报价：见评标办法前附表；</w:t>
      </w:r>
    </w:p>
    <w:p>
      <w:pPr>
        <w:spacing w:line="360" w:lineRule="auto"/>
        <w:rPr>
          <w:color w:val="auto"/>
          <w:sz w:val="21"/>
          <w:highlight w:val="none"/>
        </w:rPr>
      </w:pPr>
      <w:r>
        <w:rPr>
          <w:rFonts w:hint="eastAsia"/>
          <w:color w:val="auto"/>
          <w:sz w:val="21"/>
          <w:highlight w:val="none"/>
        </w:rPr>
        <w:t>（4）其他评分因素：见评标办法前附表。</w:t>
      </w:r>
    </w:p>
    <w:p>
      <w:pPr>
        <w:spacing w:line="360" w:lineRule="auto"/>
        <w:ind w:firstLine="210" w:firstLineChars="100"/>
        <w:rPr>
          <w:color w:val="auto"/>
          <w:sz w:val="21"/>
          <w:highlight w:val="none"/>
        </w:rPr>
      </w:pPr>
      <w:r>
        <w:rPr>
          <w:rFonts w:hint="eastAsia"/>
          <w:color w:val="auto"/>
          <w:sz w:val="21"/>
          <w:highlight w:val="none"/>
        </w:rPr>
        <w:t>2.2.2评标基准价计算</w:t>
      </w:r>
    </w:p>
    <w:p>
      <w:pPr>
        <w:spacing w:line="360" w:lineRule="auto"/>
        <w:rPr>
          <w:color w:val="auto"/>
          <w:sz w:val="21"/>
          <w:highlight w:val="none"/>
        </w:rPr>
      </w:pPr>
      <w:r>
        <w:rPr>
          <w:rFonts w:hint="eastAsia"/>
          <w:color w:val="auto"/>
          <w:sz w:val="21"/>
          <w:highlight w:val="none"/>
        </w:rPr>
        <w:t>评标基准价计算方法：见评标办法前附表。</w:t>
      </w:r>
    </w:p>
    <w:p>
      <w:pPr>
        <w:spacing w:line="360" w:lineRule="auto"/>
        <w:ind w:firstLine="210" w:firstLineChars="100"/>
        <w:rPr>
          <w:color w:val="auto"/>
          <w:sz w:val="21"/>
          <w:highlight w:val="none"/>
        </w:rPr>
      </w:pPr>
      <w:r>
        <w:rPr>
          <w:rFonts w:hint="eastAsia"/>
          <w:color w:val="auto"/>
          <w:sz w:val="21"/>
          <w:highlight w:val="none"/>
        </w:rPr>
        <w:t>2.2.3投标报价的偏差率计算</w:t>
      </w:r>
    </w:p>
    <w:p>
      <w:pPr>
        <w:spacing w:line="360" w:lineRule="auto"/>
        <w:rPr>
          <w:color w:val="auto"/>
          <w:sz w:val="21"/>
          <w:highlight w:val="none"/>
        </w:rPr>
      </w:pPr>
      <w:r>
        <w:rPr>
          <w:rFonts w:hint="eastAsia"/>
          <w:color w:val="auto"/>
          <w:sz w:val="21"/>
          <w:highlight w:val="none"/>
        </w:rPr>
        <w:t>投标报价的偏差率计算公式：见评标办法前附表。</w:t>
      </w:r>
    </w:p>
    <w:p>
      <w:pPr>
        <w:spacing w:line="360" w:lineRule="auto"/>
        <w:ind w:firstLine="210" w:firstLineChars="100"/>
        <w:rPr>
          <w:color w:val="auto"/>
          <w:sz w:val="21"/>
          <w:highlight w:val="none"/>
        </w:rPr>
      </w:pPr>
      <w:r>
        <w:rPr>
          <w:rFonts w:hint="eastAsia"/>
          <w:color w:val="auto"/>
          <w:sz w:val="21"/>
          <w:highlight w:val="none"/>
        </w:rPr>
        <w:t>2.2.4评分标准</w:t>
      </w:r>
    </w:p>
    <w:p>
      <w:pPr>
        <w:spacing w:line="360" w:lineRule="auto"/>
        <w:rPr>
          <w:color w:val="auto"/>
          <w:sz w:val="21"/>
          <w:highlight w:val="none"/>
        </w:rPr>
      </w:pPr>
      <w:r>
        <w:rPr>
          <w:rFonts w:hint="eastAsia"/>
          <w:color w:val="auto"/>
          <w:sz w:val="21"/>
          <w:highlight w:val="none"/>
        </w:rPr>
        <w:t>（1）资信业绩评分标准：见评标办法前附表；</w:t>
      </w:r>
    </w:p>
    <w:p>
      <w:pPr>
        <w:spacing w:line="360" w:lineRule="auto"/>
        <w:rPr>
          <w:color w:val="auto"/>
          <w:sz w:val="21"/>
          <w:highlight w:val="none"/>
        </w:rPr>
      </w:pPr>
      <w:r>
        <w:rPr>
          <w:rFonts w:hint="eastAsia"/>
          <w:color w:val="auto"/>
          <w:sz w:val="21"/>
          <w:highlight w:val="none"/>
        </w:rPr>
        <w:t>（2）监理大纲评分标准：见评标办法前附表；</w:t>
      </w:r>
    </w:p>
    <w:p>
      <w:pPr>
        <w:spacing w:line="360" w:lineRule="auto"/>
        <w:rPr>
          <w:color w:val="auto"/>
          <w:sz w:val="21"/>
          <w:highlight w:val="none"/>
        </w:rPr>
      </w:pPr>
      <w:r>
        <w:rPr>
          <w:rFonts w:hint="eastAsia"/>
          <w:color w:val="auto"/>
          <w:sz w:val="21"/>
          <w:highlight w:val="none"/>
        </w:rPr>
        <w:t>（3）投标报价评分标准：见评标办法前附表；</w:t>
      </w:r>
    </w:p>
    <w:p>
      <w:pPr>
        <w:spacing w:line="360" w:lineRule="auto"/>
        <w:rPr>
          <w:color w:val="auto"/>
          <w:sz w:val="21"/>
          <w:highlight w:val="none"/>
        </w:rPr>
      </w:pPr>
      <w:r>
        <w:rPr>
          <w:rFonts w:hint="eastAsia"/>
          <w:color w:val="auto"/>
          <w:sz w:val="21"/>
          <w:highlight w:val="none"/>
        </w:rPr>
        <w:t>（4）其他因素评分标准：见评标办法前附表。</w:t>
      </w:r>
    </w:p>
    <w:p>
      <w:pPr>
        <w:spacing w:line="360" w:lineRule="auto"/>
        <w:rPr>
          <w:b/>
          <w:color w:val="auto"/>
          <w:sz w:val="32"/>
          <w:highlight w:val="none"/>
        </w:rPr>
      </w:pPr>
      <w:r>
        <w:rPr>
          <w:rFonts w:hint="eastAsia"/>
          <w:b/>
          <w:color w:val="auto"/>
          <w:sz w:val="32"/>
          <w:highlight w:val="none"/>
        </w:rPr>
        <w:t>3.评标程序</w:t>
      </w:r>
    </w:p>
    <w:p>
      <w:pPr>
        <w:spacing w:line="360" w:lineRule="auto"/>
        <w:rPr>
          <w:color w:val="auto"/>
          <w:sz w:val="21"/>
          <w:highlight w:val="none"/>
        </w:rPr>
      </w:pPr>
      <w:r>
        <w:rPr>
          <w:rFonts w:hint="eastAsia"/>
          <w:b/>
          <w:color w:val="auto"/>
          <w:sz w:val="32"/>
          <w:highlight w:val="none"/>
        </w:rPr>
        <w:t>3.1初步评审</w:t>
      </w:r>
    </w:p>
    <w:p>
      <w:pPr>
        <w:spacing w:line="360" w:lineRule="auto"/>
        <w:ind w:firstLine="210" w:firstLineChars="100"/>
        <w:rPr>
          <w:color w:val="auto"/>
          <w:sz w:val="21"/>
          <w:highlight w:val="none"/>
        </w:rPr>
      </w:pPr>
      <w:r>
        <w:rPr>
          <w:rFonts w:hint="eastAsia"/>
          <w:color w:val="auto"/>
          <w:sz w:val="21"/>
          <w:highlight w:val="none"/>
        </w:rPr>
        <w:t>3.1.1评标委员会可以要求投标人提交第二章“投标人须知”规定的有关证明和证件的原件，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pPr>
        <w:spacing w:line="360" w:lineRule="auto"/>
        <w:ind w:firstLine="210" w:firstLineChars="100"/>
        <w:rPr>
          <w:color w:val="auto"/>
          <w:sz w:val="21"/>
          <w:highlight w:val="none"/>
        </w:rPr>
      </w:pPr>
      <w:r>
        <w:rPr>
          <w:rFonts w:hint="eastAsia"/>
          <w:color w:val="auto"/>
          <w:sz w:val="21"/>
          <w:highlight w:val="none"/>
        </w:rPr>
        <w:t>3.1.2投标人有以下情形之一的，评标委员会应当否决其投标：</w:t>
      </w:r>
    </w:p>
    <w:p>
      <w:pPr>
        <w:spacing w:line="360" w:lineRule="auto"/>
        <w:rPr>
          <w:color w:val="auto"/>
          <w:sz w:val="21"/>
          <w:highlight w:val="none"/>
        </w:rPr>
      </w:pPr>
      <w:r>
        <w:rPr>
          <w:rFonts w:hint="eastAsia"/>
          <w:color w:val="auto"/>
          <w:sz w:val="21"/>
          <w:highlight w:val="none"/>
        </w:rPr>
        <w:t>（1）投标文件没有对招标文件的实质性要求和条件作出响应，或者对招标文件的偏差超出招标文件规定的偏差范围或最高项数；</w:t>
      </w:r>
    </w:p>
    <w:p>
      <w:pPr>
        <w:spacing w:line="360" w:lineRule="auto"/>
        <w:rPr>
          <w:color w:val="auto"/>
          <w:sz w:val="21"/>
          <w:highlight w:val="none"/>
        </w:rPr>
      </w:pPr>
      <w:r>
        <w:rPr>
          <w:rFonts w:hint="eastAsia"/>
          <w:color w:val="auto"/>
          <w:sz w:val="21"/>
          <w:highlight w:val="none"/>
        </w:rPr>
        <w:t>（2）有串通投标、弄虚作假、行贿等违法行为。</w:t>
      </w:r>
    </w:p>
    <w:p>
      <w:pPr>
        <w:spacing w:line="360" w:lineRule="auto"/>
        <w:ind w:firstLine="210" w:firstLineChars="100"/>
        <w:rPr>
          <w:color w:val="auto"/>
          <w:sz w:val="21"/>
          <w:highlight w:val="none"/>
        </w:rPr>
      </w:pPr>
      <w:r>
        <w:rPr>
          <w:rFonts w:hint="eastAsia"/>
          <w:color w:val="auto"/>
          <w:sz w:val="21"/>
          <w:highlight w:val="none"/>
        </w:rPr>
        <w:t>3.1.3投标报价有算术错误及其他错误的，评标委员会按以下原则要求投标人对投标报价进行修正，并要求投标人书面澄清确认。投标人拒不澄清确认的，评标委员会应当否决其投标：</w:t>
      </w:r>
    </w:p>
    <w:p>
      <w:pPr>
        <w:spacing w:line="360" w:lineRule="auto"/>
        <w:rPr>
          <w:color w:val="auto"/>
          <w:sz w:val="21"/>
          <w:szCs w:val="21"/>
          <w:highlight w:val="none"/>
        </w:rPr>
      </w:pPr>
      <w:r>
        <w:rPr>
          <w:rFonts w:hint="eastAsia"/>
          <w:color w:val="auto"/>
          <w:sz w:val="21"/>
          <w:szCs w:val="21"/>
          <w:highlight w:val="none"/>
        </w:rPr>
        <w:t>（1）投标文件中的大写金额与小写金额不一致的，以大写金额为准；</w:t>
      </w:r>
    </w:p>
    <w:p>
      <w:pPr>
        <w:spacing w:line="360" w:lineRule="auto"/>
        <w:rPr>
          <w:color w:val="auto"/>
          <w:sz w:val="21"/>
          <w:szCs w:val="21"/>
          <w:highlight w:val="none"/>
        </w:rPr>
      </w:pPr>
      <w:r>
        <w:rPr>
          <w:rFonts w:hint="eastAsia"/>
          <w:color w:val="auto"/>
          <w:sz w:val="21"/>
          <w:szCs w:val="21"/>
          <w:highlight w:val="none"/>
        </w:rPr>
        <w:t>（2）总价金额与单价金额不一致的，以单价金额为准，但单价金额小数点有明显错误的除外。</w:t>
      </w:r>
    </w:p>
    <w:p>
      <w:pPr>
        <w:pStyle w:val="7"/>
        <w:spacing w:line="360" w:lineRule="auto"/>
        <w:ind w:firstLine="220" w:firstLineChars="100"/>
        <w:rPr>
          <w:color w:val="auto"/>
          <w:highlight w:val="none"/>
        </w:rPr>
      </w:pPr>
      <w:r>
        <w:rPr>
          <w:rFonts w:hint="eastAsia" w:cs="Arial"/>
          <w:color w:val="auto"/>
          <w:highlight w:val="none"/>
          <w:u w:val="single"/>
        </w:rPr>
        <w:t>3.1.4 招标人需将开标异议提交给评标委员会的评审确认时，评标委员会须进行评审确认，不得以任何理由拒绝。</w:t>
      </w:r>
    </w:p>
    <w:p>
      <w:pPr>
        <w:spacing w:line="360" w:lineRule="auto"/>
        <w:rPr>
          <w:color w:val="auto"/>
          <w:sz w:val="21"/>
          <w:highlight w:val="none"/>
        </w:rPr>
      </w:pPr>
      <w:r>
        <w:rPr>
          <w:rFonts w:hint="eastAsia"/>
          <w:b/>
          <w:color w:val="auto"/>
          <w:sz w:val="32"/>
          <w:highlight w:val="none"/>
        </w:rPr>
        <w:t>3.2详细评审</w:t>
      </w:r>
    </w:p>
    <w:p>
      <w:pPr>
        <w:spacing w:line="360" w:lineRule="auto"/>
        <w:ind w:firstLine="210" w:firstLineChars="100"/>
        <w:rPr>
          <w:color w:val="auto"/>
          <w:sz w:val="21"/>
          <w:highlight w:val="none"/>
        </w:rPr>
      </w:pPr>
      <w:r>
        <w:rPr>
          <w:rFonts w:hint="eastAsia"/>
          <w:color w:val="auto"/>
          <w:sz w:val="21"/>
          <w:highlight w:val="none"/>
        </w:rPr>
        <w:t>3.2.1评标委员会按本章第 2.2 款规定的量化因素和分值进行打分，并计算出综合评估得分。</w:t>
      </w:r>
    </w:p>
    <w:p>
      <w:pPr>
        <w:spacing w:line="360" w:lineRule="auto"/>
        <w:rPr>
          <w:color w:val="auto"/>
          <w:sz w:val="21"/>
          <w:highlight w:val="none"/>
        </w:rPr>
      </w:pPr>
      <w:r>
        <w:rPr>
          <w:rFonts w:hint="eastAsia"/>
          <w:color w:val="auto"/>
          <w:sz w:val="21"/>
          <w:highlight w:val="none"/>
        </w:rPr>
        <w:t>（1）按本章第 2.2.4（1）目规定的评审因素和分值对资信业绩部分计算出得分A；</w:t>
      </w:r>
    </w:p>
    <w:p>
      <w:pPr>
        <w:spacing w:line="360" w:lineRule="auto"/>
        <w:rPr>
          <w:color w:val="auto"/>
          <w:sz w:val="21"/>
          <w:highlight w:val="none"/>
        </w:rPr>
      </w:pPr>
      <w:r>
        <w:rPr>
          <w:rFonts w:hint="eastAsia"/>
          <w:color w:val="auto"/>
          <w:sz w:val="21"/>
          <w:highlight w:val="none"/>
        </w:rPr>
        <w:t>（2）按本章第 2.2.4（2）目规定的评审因素和分值对监理大纲部分计算出得分B；</w:t>
      </w:r>
    </w:p>
    <w:p>
      <w:pPr>
        <w:spacing w:line="360" w:lineRule="auto"/>
        <w:rPr>
          <w:color w:val="auto"/>
          <w:sz w:val="21"/>
          <w:highlight w:val="none"/>
        </w:rPr>
      </w:pPr>
      <w:r>
        <w:rPr>
          <w:rFonts w:hint="eastAsia"/>
          <w:color w:val="auto"/>
          <w:sz w:val="21"/>
          <w:highlight w:val="none"/>
        </w:rPr>
        <w:t>（3）按本章第 2.2.4（3）目规定的评审因素和分值对投标报价计算出得分C；</w:t>
      </w:r>
    </w:p>
    <w:p>
      <w:pPr>
        <w:spacing w:line="360" w:lineRule="auto"/>
        <w:rPr>
          <w:color w:val="auto"/>
          <w:sz w:val="21"/>
          <w:highlight w:val="none"/>
        </w:rPr>
      </w:pPr>
      <w:r>
        <w:rPr>
          <w:rFonts w:hint="eastAsia"/>
          <w:color w:val="auto"/>
          <w:sz w:val="21"/>
          <w:highlight w:val="none"/>
        </w:rPr>
        <w:t>（4）按本章第 2.2.4（4）目规定的评审因素和分值对其他部分计算出得分D。</w:t>
      </w:r>
    </w:p>
    <w:p>
      <w:pPr>
        <w:spacing w:line="360" w:lineRule="auto"/>
        <w:ind w:firstLine="210" w:firstLineChars="100"/>
        <w:rPr>
          <w:color w:val="auto"/>
          <w:sz w:val="21"/>
          <w:highlight w:val="none"/>
        </w:rPr>
      </w:pPr>
      <w:r>
        <w:rPr>
          <w:rFonts w:hint="eastAsia"/>
          <w:color w:val="auto"/>
          <w:sz w:val="21"/>
          <w:highlight w:val="none"/>
        </w:rPr>
        <w:t>3.2.2评分分值计算保留小数点后两位，小数点后第三位“四舍五入”。</w:t>
      </w:r>
    </w:p>
    <w:p>
      <w:pPr>
        <w:spacing w:line="360" w:lineRule="auto"/>
        <w:ind w:firstLine="210" w:firstLineChars="100"/>
        <w:rPr>
          <w:color w:val="auto"/>
          <w:sz w:val="21"/>
          <w:highlight w:val="none"/>
        </w:rPr>
      </w:pPr>
      <w:r>
        <w:rPr>
          <w:rFonts w:hint="eastAsia"/>
          <w:color w:val="auto"/>
          <w:sz w:val="21"/>
          <w:highlight w:val="none"/>
        </w:rPr>
        <w:t>3.2.3投标人得分=A+B+C+D。</w:t>
      </w:r>
    </w:p>
    <w:p>
      <w:pPr>
        <w:spacing w:line="360" w:lineRule="auto"/>
        <w:ind w:firstLine="210" w:firstLineChars="100"/>
        <w:rPr>
          <w:color w:val="auto"/>
          <w:sz w:val="21"/>
          <w:highlight w:val="none"/>
        </w:rPr>
      </w:pPr>
      <w:r>
        <w:rPr>
          <w:rFonts w:hint="eastAsia"/>
          <w:color w:val="auto"/>
          <w:sz w:val="21"/>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rPr>
          <w:color w:val="auto"/>
          <w:sz w:val="21"/>
          <w:highlight w:val="none"/>
        </w:rPr>
      </w:pPr>
      <w:r>
        <w:rPr>
          <w:rFonts w:hint="eastAsia"/>
          <w:b/>
          <w:color w:val="auto"/>
          <w:sz w:val="32"/>
          <w:highlight w:val="none"/>
        </w:rPr>
        <w:t>3.3投标文件的澄清</w:t>
      </w:r>
    </w:p>
    <w:p>
      <w:pPr>
        <w:spacing w:line="360" w:lineRule="auto"/>
        <w:ind w:firstLine="210" w:firstLineChars="100"/>
        <w:rPr>
          <w:color w:val="auto"/>
          <w:sz w:val="21"/>
          <w:highlight w:val="none"/>
        </w:rPr>
      </w:pPr>
      <w:r>
        <w:rPr>
          <w:rFonts w:hint="eastAsia"/>
          <w:color w:val="auto"/>
          <w:sz w:val="21"/>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210" w:firstLineChars="100"/>
        <w:rPr>
          <w:color w:val="auto"/>
          <w:sz w:val="21"/>
          <w:highlight w:val="none"/>
        </w:rPr>
      </w:pPr>
      <w:r>
        <w:rPr>
          <w:rFonts w:hint="eastAsia"/>
          <w:color w:val="auto"/>
          <w:sz w:val="21"/>
          <w:highlight w:val="none"/>
        </w:rPr>
        <w:t>3.3.2澄清、说明或补正不得超出投标文件的范围且不得改变投标文件的实质性内容，并构成投标文件的组成部分。</w:t>
      </w:r>
    </w:p>
    <w:p>
      <w:pPr>
        <w:spacing w:line="360" w:lineRule="auto"/>
        <w:ind w:firstLine="210" w:firstLineChars="100"/>
        <w:rPr>
          <w:color w:val="auto"/>
          <w:sz w:val="21"/>
          <w:highlight w:val="none"/>
        </w:rPr>
      </w:pPr>
      <w:r>
        <w:rPr>
          <w:rFonts w:hint="eastAsia"/>
          <w:color w:val="auto"/>
          <w:sz w:val="21"/>
          <w:highlight w:val="none"/>
        </w:rPr>
        <w:t>3.3.3评标委员会对投标人提交的澄清、说明或补正有疑问的，可以要求投标人进一步澄清、说明或补正，直至满足评标委员会的要求。</w:t>
      </w:r>
    </w:p>
    <w:p>
      <w:pPr>
        <w:spacing w:line="360" w:lineRule="auto"/>
        <w:rPr>
          <w:color w:val="auto"/>
          <w:sz w:val="21"/>
          <w:highlight w:val="none"/>
        </w:rPr>
      </w:pPr>
      <w:r>
        <w:rPr>
          <w:rFonts w:hint="eastAsia"/>
          <w:b/>
          <w:color w:val="auto"/>
          <w:sz w:val="32"/>
          <w:highlight w:val="none"/>
        </w:rPr>
        <w:t>3.4评标结果</w:t>
      </w:r>
    </w:p>
    <w:p>
      <w:pPr>
        <w:spacing w:line="360" w:lineRule="auto"/>
        <w:ind w:firstLine="210" w:firstLineChars="100"/>
        <w:rPr>
          <w:color w:val="auto"/>
          <w:sz w:val="21"/>
          <w:highlight w:val="none"/>
        </w:rPr>
      </w:pPr>
      <w:r>
        <w:rPr>
          <w:rFonts w:hint="eastAsia"/>
          <w:color w:val="auto"/>
          <w:sz w:val="21"/>
          <w:highlight w:val="none"/>
        </w:rPr>
        <w:t>3.4.1除第二章“投标人须知”前附表授权直接确定中标人外，评标委员会按照得分由高到低的顺序推荐中标候选人，并标明排序。</w:t>
      </w:r>
    </w:p>
    <w:p>
      <w:pPr>
        <w:spacing w:line="360" w:lineRule="auto"/>
        <w:ind w:firstLine="210" w:firstLineChars="100"/>
        <w:rPr>
          <w:color w:val="auto"/>
          <w:sz w:val="21"/>
          <w:highlight w:val="none"/>
        </w:rPr>
      </w:pPr>
      <w:r>
        <w:rPr>
          <w:rFonts w:hint="eastAsia"/>
          <w:color w:val="auto"/>
          <w:sz w:val="21"/>
          <w:highlight w:val="none"/>
        </w:rPr>
        <w:t>评标委员会完成评标后，应当向招标人提交书面评标报告和中标候选人名单。</w:t>
      </w:r>
    </w:p>
    <w:p>
      <w:pPr>
        <w:spacing w:line="360" w:lineRule="auto"/>
        <w:rPr>
          <w:color w:val="auto"/>
          <w:sz w:val="21"/>
          <w:highlight w:val="none"/>
        </w:rPr>
        <w:sectPr>
          <w:pgSz w:w="11906" w:h="16838"/>
          <w:pgMar w:top="1500" w:right="1100" w:bottom="1120" w:left="1560" w:header="0" w:footer="841" w:gutter="0"/>
          <w:cols w:space="720" w:num="1"/>
        </w:sectPr>
      </w:pPr>
    </w:p>
    <w:p>
      <w:pPr>
        <w:pStyle w:val="3"/>
        <w:spacing w:line="360" w:lineRule="auto"/>
        <w:rPr>
          <w:rFonts w:ascii="宋体" w:hAnsi="宋体" w:eastAsia="宋体" w:cs="宋体"/>
          <w:color w:val="auto"/>
          <w:highlight w:val="none"/>
        </w:rPr>
      </w:pPr>
      <w:bookmarkStart w:id="30" w:name="_Toc1476"/>
      <w:bookmarkStart w:id="31" w:name="_Toc24117"/>
      <w:r>
        <w:rPr>
          <w:rFonts w:hint="eastAsia" w:ascii="宋体" w:hAnsi="宋体" w:eastAsia="宋体" w:cs="宋体"/>
          <w:color w:val="auto"/>
          <w:highlight w:val="none"/>
        </w:rPr>
        <w:t>第四章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合同条款及格式</w:t>
      </w:r>
      <w:bookmarkEnd w:id="30"/>
      <w:bookmarkEnd w:id="31"/>
    </w:p>
    <w:p>
      <w:pPr>
        <w:pStyle w:val="10"/>
        <w:spacing w:line="360" w:lineRule="auto"/>
        <w:rPr>
          <w:b/>
          <w:color w:val="auto"/>
          <w:sz w:val="20"/>
          <w:highlight w:val="none"/>
        </w:rPr>
      </w:pPr>
    </w:p>
    <w:p>
      <w:pPr>
        <w:pStyle w:val="10"/>
        <w:spacing w:line="360" w:lineRule="auto"/>
        <w:rPr>
          <w:b/>
          <w:color w:val="auto"/>
          <w:sz w:val="20"/>
          <w:highlight w:val="none"/>
        </w:rPr>
      </w:pPr>
    </w:p>
    <w:p>
      <w:pPr>
        <w:pStyle w:val="10"/>
        <w:spacing w:before="5" w:line="360" w:lineRule="auto"/>
        <w:rPr>
          <w:b/>
          <w:color w:val="auto"/>
          <w:sz w:val="19"/>
          <w:highlight w:val="none"/>
        </w:rPr>
      </w:pPr>
    </w:p>
    <w:p>
      <w:pPr>
        <w:spacing w:line="360" w:lineRule="auto"/>
        <w:jc w:val="center"/>
        <w:rPr>
          <w:color w:val="auto"/>
          <w:highlight w:val="none"/>
        </w:rPr>
        <w:sectPr>
          <w:pgSz w:w="11906" w:h="16838"/>
          <w:pgMar w:top="1420" w:right="1100" w:bottom="1120" w:left="1560" w:header="0" w:footer="841" w:gutter="0"/>
          <w:cols w:space="720" w:num="1"/>
        </w:sectPr>
      </w:pPr>
      <w:r>
        <w:rPr>
          <w:rFonts w:hint="eastAsia"/>
          <w:b/>
          <w:color w:val="auto"/>
          <w:sz w:val="24"/>
          <w:szCs w:val="24"/>
          <w:highlight w:val="none"/>
        </w:rPr>
        <w:t>[另册]</w:t>
      </w:r>
    </w:p>
    <w:p>
      <w:pPr>
        <w:spacing w:line="360" w:lineRule="auto"/>
        <w:rPr>
          <w:color w:val="auto"/>
          <w:highlight w:val="none"/>
        </w:rPr>
        <w:sectPr>
          <w:type w:val="continuous"/>
          <w:pgSz w:w="11906" w:h="16838"/>
          <w:pgMar w:top="1500" w:right="1100" w:bottom="280" w:left="1560" w:header="720" w:footer="720" w:gutter="0"/>
          <w:cols w:space="720" w:num="1"/>
        </w:sectPr>
      </w:pPr>
      <w:bookmarkStart w:id="32" w:name="_bookmark94"/>
      <w:bookmarkEnd w:id="32"/>
    </w:p>
    <w:p>
      <w:pPr>
        <w:pStyle w:val="3"/>
        <w:spacing w:before="68" w:line="360" w:lineRule="auto"/>
        <w:ind w:right="458"/>
        <w:rPr>
          <w:rFonts w:ascii="宋体" w:hAnsi="宋体" w:eastAsia="宋体" w:cs="宋体"/>
          <w:color w:val="auto"/>
          <w:highlight w:val="none"/>
        </w:rPr>
      </w:pPr>
      <w:bookmarkStart w:id="33" w:name="_Toc7448"/>
      <w:bookmarkStart w:id="34" w:name="_Toc14336"/>
      <w:r>
        <w:rPr>
          <w:rFonts w:hint="eastAsia" w:ascii="宋体" w:hAnsi="宋体" w:eastAsia="宋体" w:cs="宋体"/>
          <w:color w:val="auto"/>
          <w:highlight w:val="none"/>
        </w:rPr>
        <w:t>第二卷</w:t>
      </w:r>
      <w:bookmarkEnd w:id="33"/>
      <w:bookmarkEnd w:id="34"/>
    </w:p>
    <w:p>
      <w:pPr>
        <w:pStyle w:val="3"/>
        <w:spacing w:line="360" w:lineRule="auto"/>
        <w:ind w:right="6"/>
        <w:rPr>
          <w:rFonts w:ascii="宋体" w:hAnsi="宋体" w:eastAsia="宋体" w:cs="宋体"/>
          <w:color w:val="auto"/>
          <w:highlight w:val="none"/>
        </w:rPr>
      </w:pPr>
      <w:bookmarkStart w:id="35" w:name="_Toc12073"/>
      <w:bookmarkStart w:id="36" w:name="_Toc13096"/>
      <w:r>
        <w:rPr>
          <w:rFonts w:hint="eastAsia" w:ascii="宋体" w:hAnsi="宋体" w:eastAsia="宋体" w:cs="宋体"/>
          <w:color w:val="auto"/>
          <w:highlight w:val="none"/>
        </w:rPr>
        <w:t>第五章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委托人要求</w:t>
      </w:r>
      <w:bookmarkEnd w:id="35"/>
      <w:bookmarkEnd w:id="36"/>
    </w:p>
    <w:p>
      <w:pPr>
        <w:pStyle w:val="10"/>
        <w:spacing w:before="5" w:line="360" w:lineRule="auto"/>
        <w:jc w:val="center"/>
        <w:rPr>
          <w:color w:val="auto"/>
          <w:sz w:val="22"/>
          <w:highlight w:val="none"/>
        </w:rPr>
      </w:pPr>
    </w:p>
    <w:p>
      <w:pPr>
        <w:spacing w:line="360" w:lineRule="auto"/>
        <w:jc w:val="center"/>
        <w:rPr>
          <w:color w:val="auto"/>
          <w:sz w:val="28"/>
          <w:szCs w:val="28"/>
          <w:highlight w:val="none"/>
        </w:rPr>
        <w:sectPr>
          <w:pgSz w:w="11906" w:h="16838"/>
          <w:pgMar w:top="1420" w:right="1100" w:bottom="1120" w:left="1560" w:header="0" w:footer="841" w:gutter="0"/>
          <w:cols w:space="720" w:num="1"/>
        </w:sectPr>
      </w:pPr>
      <w:bookmarkStart w:id="37" w:name="_bookmark163"/>
      <w:bookmarkEnd w:id="37"/>
      <w:r>
        <w:rPr>
          <w:rFonts w:hint="eastAsia"/>
          <w:b/>
          <w:bCs/>
          <w:color w:val="auto"/>
          <w:sz w:val="28"/>
          <w:szCs w:val="28"/>
          <w:highlight w:val="none"/>
          <w:lang w:val="en-US"/>
        </w:rPr>
        <w:t>详见《</w:t>
      </w:r>
      <w:r>
        <w:rPr>
          <w:rFonts w:hint="eastAsia"/>
          <w:b/>
          <w:bCs/>
          <w:color w:val="auto"/>
          <w:sz w:val="28"/>
          <w:szCs w:val="28"/>
          <w:highlight w:val="none"/>
        </w:rPr>
        <w:t>监理任务书</w:t>
      </w:r>
      <w:r>
        <w:rPr>
          <w:rFonts w:hint="eastAsia"/>
          <w:b/>
          <w:bCs/>
          <w:color w:val="auto"/>
          <w:sz w:val="28"/>
          <w:szCs w:val="28"/>
          <w:highlight w:val="none"/>
          <w:lang w:val="en-US"/>
        </w:rPr>
        <w:t>》</w:t>
      </w:r>
      <w:r>
        <w:rPr>
          <w:rFonts w:hint="eastAsia"/>
          <w:b/>
          <w:color w:val="auto"/>
          <w:sz w:val="28"/>
          <w:szCs w:val="28"/>
          <w:highlight w:val="none"/>
        </w:rPr>
        <w:t>[另册]</w:t>
      </w:r>
    </w:p>
    <w:p>
      <w:pPr>
        <w:pStyle w:val="3"/>
        <w:spacing w:line="360" w:lineRule="auto"/>
        <w:ind w:right="458"/>
        <w:rPr>
          <w:rFonts w:ascii="宋体" w:hAnsi="宋体" w:eastAsia="宋体" w:cs="宋体"/>
          <w:color w:val="auto"/>
          <w:highlight w:val="none"/>
        </w:rPr>
      </w:pPr>
      <w:bookmarkStart w:id="38" w:name="_Toc5706"/>
      <w:bookmarkStart w:id="39" w:name="_Toc31926"/>
      <w:r>
        <w:rPr>
          <w:rFonts w:hint="eastAsia" w:ascii="宋体" w:hAnsi="宋体" w:eastAsia="宋体" w:cs="宋体"/>
          <w:color w:val="auto"/>
          <w:highlight w:val="none"/>
        </w:rPr>
        <w:t>第三卷</w:t>
      </w:r>
      <w:bookmarkEnd w:id="38"/>
      <w:bookmarkEnd w:id="39"/>
    </w:p>
    <w:p>
      <w:pPr>
        <w:pStyle w:val="3"/>
        <w:spacing w:line="360" w:lineRule="auto"/>
        <w:rPr>
          <w:rFonts w:ascii="宋体" w:hAnsi="宋体" w:eastAsia="宋体" w:cs="宋体"/>
          <w:color w:val="auto"/>
          <w:highlight w:val="none"/>
        </w:rPr>
      </w:pPr>
      <w:bookmarkStart w:id="40" w:name="_Toc4230"/>
      <w:bookmarkStart w:id="41" w:name="_Toc30980"/>
      <w:r>
        <w:rPr>
          <w:rFonts w:hint="eastAsia" w:ascii="宋体" w:hAnsi="宋体" w:eastAsia="宋体" w:cs="宋体"/>
          <w:color w:val="auto"/>
          <w:highlight w:val="none"/>
        </w:rPr>
        <w:t>第六章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投标文件格式</w:t>
      </w:r>
      <w:bookmarkEnd w:id="40"/>
      <w:bookmarkEnd w:id="41"/>
    </w:p>
    <w:p>
      <w:pPr>
        <w:spacing w:line="360" w:lineRule="auto"/>
        <w:rPr>
          <w:color w:val="auto"/>
          <w:highlight w:val="none"/>
        </w:rPr>
        <w:sectPr>
          <w:pgSz w:w="11906" w:h="16838"/>
          <w:pgMar w:top="1420" w:right="1100" w:bottom="1120" w:left="1560" w:header="0" w:footer="841" w:gutter="0"/>
          <w:cols w:space="720" w:num="1"/>
        </w:sectPr>
      </w:pPr>
    </w:p>
    <w:p>
      <w:pPr>
        <w:pStyle w:val="10"/>
        <w:spacing w:line="360" w:lineRule="auto"/>
        <w:rPr>
          <w:b/>
          <w:color w:val="auto"/>
          <w:sz w:val="20"/>
          <w:highlight w:val="none"/>
        </w:rPr>
      </w:pPr>
    </w:p>
    <w:p>
      <w:pPr>
        <w:pStyle w:val="10"/>
        <w:spacing w:line="360" w:lineRule="auto"/>
        <w:rPr>
          <w:b/>
          <w:color w:val="auto"/>
          <w:sz w:val="20"/>
          <w:highlight w:val="none"/>
        </w:rPr>
      </w:pPr>
    </w:p>
    <w:p>
      <w:pPr>
        <w:pStyle w:val="10"/>
        <w:spacing w:before="4" w:line="360" w:lineRule="auto"/>
        <w:rPr>
          <w:b/>
          <w:color w:val="auto"/>
          <w:sz w:val="18"/>
          <w:highlight w:val="none"/>
        </w:rPr>
      </w:pPr>
    </w:p>
    <w:p>
      <w:pPr>
        <w:tabs>
          <w:tab w:val="left" w:pos="1118"/>
        </w:tabs>
        <w:spacing w:before="70" w:line="360" w:lineRule="auto"/>
        <w:ind w:right="453"/>
        <w:jc w:val="center"/>
        <w:rPr>
          <w:color w:val="auto"/>
          <w:sz w:val="28"/>
          <w:highlight w:val="none"/>
        </w:rPr>
      </w:pP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u w:val="single"/>
        </w:rPr>
        <w:t>（</w:t>
      </w:r>
      <w:r>
        <w:rPr>
          <w:rFonts w:hint="eastAsia"/>
          <w:color w:val="auto"/>
          <w:spacing w:val="-1"/>
          <w:sz w:val="28"/>
          <w:highlight w:val="none"/>
        </w:rPr>
        <w:t>项目名称）</w:t>
      </w:r>
    </w:p>
    <w:p>
      <w:pPr>
        <w:pStyle w:val="10"/>
        <w:spacing w:line="360" w:lineRule="auto"/>
        <w:rPr>
          <w:color w:val="auto"/>
          <w:sz w:val="20"/>
          <w:highlight w:val="none"/>
        </w:rPr>
      </w:pPr>
    </w:p>
    <w:p>
      <w:pPr>
        <w:spacing w:before="209" w:line="360" w:lineRule="auto"/>
        <w:ind w:right="455"/>
        <w:jc w:val="center"/>
        <w:rPr>
          <w:color w:val="auto"/>
          <w:sz w:val="44"/>
          <w:highlight w:val="none"/>
        </w:rPr>
      </w:pPr>
      <w:r>
        <w:rPr>
          <w:rFonts w:hint="eastAsia"/>
          <w:color w:val="auto"/>
          <w:sz w:val="44"/>
          <w:highlight w:val="none"/>
        </w:rPr>
        <w:t>投 标 文 件</w:t>
      </w:r>
    </w:p>
    <w:p>
      <w:pPr>
        <w:pStyle w:val="10"/>
        <w:spacing w:line="360" w:lineRule="auto"/>
        <w:rPr>
          <w:color w:val="auto"/>
          <w:sz w:val="44"/>
          <w:highlight w:val="none"/>
        </w:rPr>
      </w:pPr>
    </w:p>
    <w:p>
      <w:pPr>
        <w:pStyle w:val="10"/>
        <w:spacing w:line="360" w:lineRule="auto"/>
        <w:rPr>
          <w:color w:val="auto"/>
          <w:sz w:val="44"/>
          <w:highlight w:val="none"/>
        </w:rPr>
      </w:pPr>
    </w:p>
    <w:p>
      <w:pPr>
        <w:pStyle w:val="10"/>
        <w:spacing w:line="360" w:lineRule="auto"/>
        <w:rPr>
          <w:color w:val="auto"/>
          <w:sz w:val="44"/>
          <w:highlight w:val="none"/>
        </w:rPr>
      </w:pPr>
    </w:p>
    <w:p>
      <w:pPr>
        <w:pStyle w:val="10"/>
        <w:spacing w:line="360" w:lineRule="auto"/>
        <w:rPr>
          <w:color w:val="auto"/>
          <w:sz w:val="44"/>
          <w:highlight w:val="none"/>
        </w:rPr>
      </w:pPr>
    </w:p>
    <w:p>
      <w:pPr>
        <w:pStyle w:val="10"/>
        <w:spacing w:line="360" w:lineRule="auto"/>
        <w:rPr>
          <w:color w:val="auto"/>
          <w:sz w:val="44"/>
          <w:highlight w:val="none"/>
        </w:rPr>
      </w:pPr>
    </w:p>
    <w:p>
      <w:pPr>
        <w:pStyle w:val="10"/>
        <w:spacing w:line="360" w:lineRule="auto"/>
        <w:rPr>
          <w:color w:val="auto"/>
          <w:sz w:val="44"/>
          <w:highlight w:val="none"/>
        </w:rPr>
      </w:pPr>
    </w:p>
    <w:p>
      <w:pPr>
        <w:pStyle w:val="10"/>
        <w:spacing w:line="360" w:lineRule="auto"/>
        <w:rPr>
          <w:color w:val="auto"/>
          <w:sz w:val="44"/>
          <w:highlight w:val="none"/>
        </w:rPr>
      </w:pPr>
    </w:p>
    <w:p>
      <w:pPr>
        <w:pStyle w:val="10"/>
        <w:spacing w:before="3" w:line="360" w:lineRule="auto"/>
        <w:rPr>
          <w:color w:val="auto"/>
          <w:sz w:val="52"/>
          <w:highlight w:val="none"/>
        </w:rPr>
      </w:pPr>
    </w:p>
    <w:p>
      <w:pPr>
        <w:tabs>
          <w:tab w:val="left" w:pos="5737"/>
          <w:tab w:val="left" w:pos="7102"/>
        </w:tabs>
        <w:spacing w:line="360" w:lineRule="auto"/>
        <w:ind w:left="1361" w:right="795"/>
        <w:rPr>
          <w:color w:val="auto"/>
          <w:spacing w:val="-16"/>
          <w:sz w:val="28"/>
          <w:highlight w:val="none"/>
        </w:rPr>
      </w:pPr>
      <w:r>
        <w:rPr>
          <w:rFonts w:hint="eastAsia"/>
          <w:color w:val="auto"/>
          <w:sz w:val="28"/>
          <w:highlight w:val="none"/>
        </w:rPr>
        <w:t>投标人：</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（盖</w:t>
      </w:r>
      <w:r>
        <w:rPr>
          <w:rFonts w:hint="eastAsia"/>
          <w:color w:val="auto"/>
          <w:spacing w:val="-3"/>
          <w:sz w:val="28"/>
          <w:highlight w:val="none"/>
        </w:rPr>
        <w:t>单</w:t>
      </w:r>
      <w:r>
        <w:rPr>
          <w:rFonts w:hint="eastAsia"/>
          <w:color w:val="auto"/>
          <w:sz w:val="28"/>
          <w:highlight w:val="none"/>
        </w:rPr>
        <w:t>位</w:t>
      </w:r>
      <w:r>
        <w:rPr>
          <w:rFonts w:hint="eastAsia"/>
          <w:color w:val="auto"/>
          <w:spacing w:val="-3"/>
          <w:sz w:val="28"/>
          <w:highlight w:val="none"/>
        </w:rPr>
        <w:t>章</w:t>
      </w:r>
      <w:r>
        <w:rPr>
          <w:rFonts w:hint="eastAsia"/>
          <w:color w:val="auto"/>
          <w:spacing w:val="-16"/>
          <w:sz w:val="28"/>
          <w:highlight w:val="none"/>
        </w:rPr>
        <w:t xml:space="preserve">） </w:t>
      </w:r>
    </w:p>
    <w:p>
      <w:pPr>
        <w:pStyle w:val="10"/>
        <w:spacing w:before="5" w:line="360" w:lineRule="auto"/>
        <w:rPr>
          <w:color w:val="auto"/>
          <w:sz w:val="23"/>
          <w:highlight w:val="none"/>
        </w:rPr>
      </w:pPr>
    </w:p>
    <w:p>
      <w:pPr>
        <w:tabs>
          <w:tab w:val="left" w:pos="734"/>
          <w:tab w:val="left" w:pos="1749"/>
          <w:tab w:val="left" w:pos="2765"/>
        </w:tabs>
        <w:spacing w:before="62" w:line="360" w:lineRule="auto"/>
        <w:ind w:right="459"/>
        <w:jc w:val="center"/>
        <w:rPr>
          <w:color w:val="auto"/>
          <w:sz w:val="28"/>
          <w:highlight w:val="none"/>
        </w:rPr>
      </w:pP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年</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月</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日</w:t>
      </w:r>
    </w:p>
    <w:p>
      <w:pPr>
        <w:spacing w:line="360" w:lineRule="auto"/>
        <w:jc w:val="center"/>
        <w:rPr>
          <w:color w:val="auto"/>
          <w:sz w:val="28"/>
          <w:highlight w:val="none"/>
        </w:rPr>
        <w:sectPr>
          <w:pgSz w:w="11906" w:h="16838"/>
          <w:pgMar w:top="1500" w:right="1100" w:bottom="1120" w:left="1560" w:header="0" w:footer="841" w:gutter="0"/>
          <w:cols w:space="720" w:num="1"/>
        </w:sectPr>
      </w:pPr>
    </w:p>
    <w:p>
      <w:pPr>
        <w:pStyle w:val="2"/>
        <w:spacing w:line="360" w:lineRule="auto"/>
        <w:ind w:left="0" w:right="457" w:firstLine="0"/>
        <w:jc w:val="center"/>
        <w:rPr>
          <w:rFonts w:ascii="宋体" w:hAnsi="宋体" w:eastAsia="宋体" w:cs="宋体"/>
          <w:color w:val="auto"/>
          <w:highlight w:val="none"/>
        </w:rPr>
      </w:pPr>
      <w:bookmarkStart w:id="42" w:name="_bookmark175"/>
      <w:bookmarkEnd w:id="42"/>
      <w:r>
        <w:rPr>
          <w:rFonts w:hint="eastAsia" w:ascii="宋体" w:hAnsi="宋体" w:eastAsia="宋体" w:cs="宋体"/>
          <w:color w:val="auto"/>
          <w:highlight w:val="none"/>
        </w:rPr>
        <w:t>目录</w:t>
      </w:r>
    </w:p>
    <w:p>
      <w:pPr>
        <w:pStyle w:val="10"/>
        <w:spacing w:line="360" w:lineRule="auto"/>
        <w:rPr>
          <w:b/>
          <w:color w:val="auto"/>
          <w:sz w:val="20"/>
          <w:highlight w:val="none"/>
        </w:rPr>
      </w:pPr>
    </w:p>
    <w:p>
      <w:pPr>
        <w:pStyle w:val="10"/>
        <w:spacing w:line="360" w:lineRule="auto"/>
        <w:rPr>
          <w:b/>
          <w:color w:val="auto"/>
          <w:sz w:val="20"/>
          <w:highlight w:val="none"/>
        </w:rPr>
      </w:pPr>
    </w:p>
    <w:p>
      <w:pPr>
        <w:pStyle w:val="10"/>
        <w:spacing w:before="1" w:line="360" w:lineRule="auto"/>
        <w:rPr>
          <w:b/>
          <w:color w:val="auto"/>
          <w:sz w:val="24"/>
          <w:highlight w:val="none"/>
        </w:rPr>
      </w:pPr>
    </w:p>
    <w:p>
      <w:pPr>
        <w:pStyle w:val="10"/>
        <w:spacing w:before="71" w:line="360" w:lineRule="auto"/>
        <w:ind w:left="240" w:right="6"/>
        <w:rPr>
          <w:color w:val="auto"/>
          <w:highlight w:val="none"/>
        </w:rPr>
      </w:pPr>
      <w:bookmarkStart w:id="43" w:name="_bookmark176"/>
      <w:bookmarkEnd w:id="43"/>
      <w:r>
        <w:rPr>
          <w:rFonts w:hint="eastAsia"/>
          <w:color w:val="auto"/>
          <w:highlight w:val="none"/>
        </w:rPr>
        <w:t>一、投标函及投标函附录</w:t>
      </w:r>
    </w:p>
    <w:p>
      <w:pPr>
        <w:pStyle w:val="10"/>
        <w:spacing w:line="360" w:lineRule="auto"/>
        <w:ind w:left="240" w:right="6"/>
        <w:rPr>
          <w:color w:val="auto"/>
          <w:highlight w:val="none"/>
        </w:rPr>
      </w:pPr>
      <w:r>
        <w:rPr>
          <w:rFonts w:hint="eastAsia"/>
          <w:color w:val="auto"/>
          <w:highlight w:val="none"/>
        </w:rPr>
        <w:t>二、法定代表人身份证明</w:t>
      </w:r>
    </w:p>
    <w:p>
      <w:pPr>
        <w:pStyle w:val="10"/>
        <w:spacing w:line="360" w:lineRule="auto"/>
        <w:ind w:left="240" w:right="6"/>
        <w:rPr>
          <w:color w:val="auto"/>
          <w:highlight w:val="none"/>
        </w:rPr>
      </w:pPr>
      <w:r>
        <w:rPr>
          <w:rFonts w:hint="eastAsia"/>
          <w:color w:val="auto"/>
          <w:highlight w:val="none"/>
        </w:rPr>
        <w:t>三、授权委托书</w:t>
      </w:r>
    </w:p>
    <w:p>
      <w:pPr>
        <w:pStyle w:val="10"/>
        <w:spacing w:line="360" w:lineRule="auto"/>
        <w:ind w:left="240" w:right="6"/>
        <w:rPr>
          <w:strike/>
          <w:color w:val="auto"/>
          <w:spacing w:val="-2"/>
          <w:highlight w:val="none"/>
        </w:rPr>
      </w:pPr>
      <w:r>
        <w:rPr>
          <w:rFonts w:hint="eastAsia"/>
          <w:strike/>
          <w:color w:val="auto"/>
          <w:spacing w:val="-5"/>
          <w:highlight w:val="none"/>
        </w:rPr>
        <w:t>四、</w:t>
      </w:r>
      <w:r>
        <w:rPr>
          <w:rFonts w:hint="eastAsia"/>
          <w:strike/>
          <w:color w:val="auto"/>
          <w:spacing w:val="-2"/>
          <w:highlight w:val="none"/>
        </w:rPr>
        <w:t xml:space="preserve">投标保证金 </w:t>
      </w:r>
    </w:p>
    <w:p>
      <w:pPr>
        <w:pStyle w:val="10"/>
        <w:spacing w:line="360" w:lineRule="auto"/>
        <w:ind w:left="240" w:right="6"/>
        <w:rPr>
          <w:color w:val="auto"/>
          <w:spacing w:val="-5"/>
          <w:highlight w:val="none"/>
        </w:rPr>
      </w:pPr>
      <w:r>
        <w:rPr>
          <w:rFonts w:hint="eastAsia"/>
          <w:color w:val="auto"/>
          <w:spacing w:val="-5"/>
          <w:highlight w:val="none"/>
        </w:rPr>
        <w:t>五、监理报酬清单</w:t>
      </w:r>
    </w:p>
    <w:p>
      <w:pPr>
        <w:pStyle w:val="10"/>
        <w:spacing w:line="360" w:lineRule="auto"/>
        <w:ind w:left="240" w:right="6"/>
        <w:rPr>
          <w:color w:val="auto"/>
          <w:spacing w:val="-5"/>
          <w:highlight w:val="none"/>
        </w:rPr>
      </w:pPr>
      <w:r>
        <w:rPr>
          <w:rFonts w:hint="eastAsia"/>
          <w:color w:val="auto"/>
          <w:spacing w:val="-5"/>
          <w:highlight w:val="none"/>
        </w:rPr>
        <w:t>六、资格审查资料</w:t>
      </w:r>
    </w:p>
    <w:p>
      <w:pPr>
        <w:pStyle w:val="10"/>
        <w:spacing w:line="360" w:lineRule="auto"/>
        <w:ind w:left="240" w:right="6"/>
        <w:rPr>
          <w:color w:val="auto"/>
          <w:spacing w:val="-5"/>
          <w:highlight w:val="none"/>
        </w:rPr>
      </w:pPr>
      <w:r>
        <w:rPr>
          <w:rFonts w:hint="eastAsia"/>
          <w:color w:val="auto"/>
          <w:spacing w:val="-5"/>
          <w:highlight w:val="none"/>
        </w:rPr>
        <w:t>七、类似工程监理业绩及获奖情况</w:t>
      </w:r>
    </w:p>
    <w:p>
      <w:pPr>
        <w:pStyle w:val="10"/>
        <w:spacing w:line="360" w:lineRule="auto"/>
        <w:ind w:left="240" w:right="6"/>
        <w:rPr>
          <w:color w:val="auto"/>
          <w:spacing w:val="-5"/>
          <w:highlight w:val="none"/>
        </w:rPr>
      </w:pPr>
      <w:r>
        <w:rPr>
          <w:rFonts w:hint="eastAsia"/>
          <w:color w:val="auto"/>
          <w:spacing w:val="-5"/>
          <w:highlight w:val="none"/>
        </w:rPr>
        <w:t>八、</w:t>
      </w:r>
      <w:r>
        <w:rPr>
          <w:rFonts w:hint="eastAsia"/>
          <w:color w:val="auto"/>
          <w:spacing w:val="-5"/>
          <w:highlight w:val="none"/>
          <w:lang w:val="en-US"/>
        </w:rPr>
        <w:t>拟投入项目的人员架构</w:t>
      </w:r>
    </w:p>
    <w:p>
      <w:pPr>
        <w:pStyle w:val="10"/>
        <w:spacing w:line="360" w:lineRule="auto"/>
        <w:ind w:left="240" w:right="6"/>
        <w:rPr>
          <w:color w:val="auto"/>
          <w:highlight w:val="none"/>
        </w:rPr>
      </w:pPr>
      <w:r>
        <w:rPr>
          <w:rFonts w:hint="eastAsia"/>
          <w:color w:val="auto"/>
          <w:spacing w:val="-3"/>
          <w:highlight w:val="none"/>
        </w:rPr>
        <w:t>九、</w:t>
      </w:r>
      <w:r>
        <w:rPr>
          <w:rFonts w:hint="eastAsia"/>
          <w:color w:val="auto"/>
          <w:highlight w:val="none"/>
        </w:rPr>
        <w:t>拟投入的试验检测仪器设备汇总表</w:t>
      </w:r>
    </w:p>
    <w:p>
      <w:pPr>
        <w:pStyle w:val="10"/>
        <w:spacing w:line="360" w:lineRule="auto"/>
        <w:ind w:left="240" w:right="6"/>
        <w:rPr>
          <w:color w:val="auto"/>
          <w:highlight w:val="none"/>
        </w:rPr>
      </w:pPr>
      <w:r>
        <w:rPr>
          <w:rFonts w:hint="eastAsia"/>
          <w:color w:val="auto"/>
          <w:highlight w:val="none"/>
        </w:rPr>
        <w:t>十、监理大纲</w:t>
      </w:r>
    </w:p>
    <w:p>
      <w:pPr>
        <w:pStyle w:val="10"/>
        <w:spacing w:line="360" w:lineRule="auto"/>
        <w:ind w:left="240" w:right="6"/>
        <w:rPr>
          <w:color w:val="auto"/>
          <w:highlight w:val="none"/>
        </w:rPr>
        <w:sectPr>
          <w:pgSz w:w="11906" w:h="16838"/>
          <w:pgMar w:top="1400" w:right="1100" w:bottom="1120" w:left="1560" w:header="0" w:footer="841" w:gutter="0"/>
          <w:cols w:space="720" w:num="1"/>
        </w:sectPr>
      </w:pPr>
      <w:r>
        <w:rPr>
          <w:rFonts w:hint="eastAsia"/>
          <w:color w:val="auto"/>
          <w:highlight w:val="none"/>
        </w:rPr>
        <w:t>十</w:t>
      </w:r>
      <w:r>
        <w:rPr>
          <w:rFonts w:hint="eastAsia"/>
          <w:color w:val="auto"/>
          <w:highlight w:val="none"/>
          <w:lang w:val="en-US"/>
        </w:rPr>
        <w:t>一</w:t>
      </w:r>
      <w:r>
        <w:rPr>
          <w:rFonts w:hint="eastAsia"/>
          <w:color w:val="auto"/>
          <w:highlight w:val="none"/>
        </w:rPr>
        <w:t>、其他资料</w:t>
      </w:r>
    </w:p>
    <w:p>
      <w:pPr>
        <w:spacing w:line="360" w:lineRule="auto"/>
        <w:ind w:right="456"/>
        <w:jc w:val="center"/>
        <w:outlineLvl w:val="1"/>
        <w:rPr>
          <w:b/>
          <w:color w:val="auto"/>
          <w:sz w:val="32"/>
          <w:highlight w:val="none"/>
        </w:rPr>
      </w:pPr>
      <w:r>
        <w:rPr>
          <w:rFonts w:hint="eastAsia"/>
          <w:b/>
          <w:color w:val="auto"/>
          <w:sz w:val="32"/>
          <w:highlight w:val="none"/>
        </w:rPr>
        <w:t>一、投标函及投标函附录</w:t>
      </w:r>
    </w:p>
    <w:p>
      <w:pPr>
        <w:pStyle w:val="10"/>
        <w:spacing w:before="6" w:line="360" w:lineRule="auto"/>
        <w:rPr>
          <w:b/>
          <w:color w:val="auto"/>
          <w:sz w:val="23"/>
          <w:highlight w:val="none"/>
        </w:rPr>
      </w:pPr>
    </w:p>
    <w:p>
      <w:pPr>
        <w:spacing w:before="62" w:line="360" w:lineRule="auto"/>
        <w:ind w:left="377"/>
        <w:jc w:val="both"/>
        <w:rPr>
          <w:color w:val="auto"/>
          <w:sz w:val="28"/>
          <w:highlight w:val="none"/>
        </w:rPr>
      </w:pPr>
      <w:bookmarkStart w:id="44" w:name="_bookmark177"/>
      <w:bookmarkEnd w:id="44"/>
      <w:r>
        <w:rPr>
          <w:rFonts w:hint="eastAsia"/>
          <w:color w:val="auto"/>
          <w:sz w:val="28"/>
          <w:highlight w:val="none"/>
        </w:rPr>
        <w:t>（一）投标函</w:t>
      </w:r>
    </w:p>
    <w:p>
      <w:pPr>
        <w:pStyle w:val="10"/>
        <w:spacing w:line="360" w:lineRule="auto"/>
        <w:rPr>
          <w:color w:val="auto"/>
          <w:sz w:val="28"/>
          <w:highlight w:val="none"/>
        </w:rPr>
      </w:pPr>
    </w:p>
    <w:p>
      <w:pPr>
        <w:rPr>
          <w:color w:val="auto"/>
          <w:szCs w:val="21"/>
          <w:highlight w:val="none"/>
        </w:rPr>
      </w:pPr>
      <w:r>
        <w:rPr>
          <w:rFonts w:hint="eastAsia"/>
          <w:color w:val="auto"/>
          <w:szCs w:val="21"/>
          <w:highlight w:val="none"/>
          <w:u w:val="single"/>
        </w:rPr>
        <w:t xml:space="preserve">                  </w:t>
      </w:r>
      <w:r>
        <w:rPr>
          <w:rFonts w:hint="eastAsia"/>
          <w:color w:val="auto"/>
          <w:szCs w:val="21"/>
          <w:highlight w:val="none"/>
        </w:rPr>
        <w:t>（招标人名称）：</w:t>
      </w:r>
    </w:p>
    <w:p>
      <w:pPr>
        <w:rPr>
          <w:color w:val="auto"/>
          <w:szCs w:val="21"/>
          <w:highlight w:val="none"/>
        </w:rPr>
      </w:pPr>
      <w:r>
        <w:rPr>
          <w:rFonts w:hint="eastAsia"/>
          <w:color w:val="auto"/>
          <w:szCs w:val="21"/>
          <w:highlight w:val="none"/>
        </w:rPr>
        <w:t>1．我方已仔细研究了</w:t>
      </w:r>
      <w:r>
        <w:rPr>
          <w:rFonts w:hint="eastAsia"/>
          <w:color w:val="auto"/>
          <w:szCs w:val="21"/>
          <w:highlight w:val="none"/>
          <w:u w:val="single"/>
        </w:rPr>
        <w:t xml:space="preserve">                  </w:t>
      </w:r>
      <w:r>
        <w:rPr>
          <w:rFonts w:hint="eastAsia"/>
          <w:color w:val="auto"/>
          <w:szCs w:val="21"/>
          <w:highlight w:val="none"/>
        </w:rPr>
        <w:t>（项目名称）招标文件的全部内容，愿意以《开标一览表》中的投标总报价和监理服务期限，按合同约定完成监理工作。</w:t>
      </w:r>
    </w:p>
    <w:p>
      <w:pPr>
        <w:rPr>
          <w:color w:val="auto"/>
          <w:szCs w:val="21"/>
          <w:highlight w:val="none"/>
        </w:rPr>
      </w:pPr>
      <w:r>
        <w:rPr>
          <w:rFonts w:hint="eastAsia"/>
          <w:color w:val="auto"/>
          <w:szCs w:val="21"/>
          <w:highlight w:val="none"/>
        </w:rPr>
        <w:t>2. 我方的投标文件包括下列内容：</w:t>
      </w:r>
    </w:p>
    <w:p>
      <w:pPr>
        <w:rPr>
          <w:color w:val="auto"/>
          <w:szCs w:val="21"/>
          <w:highlight w:val="none"/>
        </w:rPr>
      </w:pPr>
      <w:r>
        <w:rPr>
          <w:rFonts w:hint="eastAsia"/>
          <w:color w:val="auto"/>
          <w:szCs w:val="21"/>
          <w:highlight w:val="none"/>
        </w:rPr>
        <w:t>（1）投标函及投标函附录；</w:t>
      </w:r>
    </w:p>
    <w:p>
      <w:pPr>
        <w:rPr>
          <w:color w:val="auto"/>
          <w:szCs w:val="21"/>
          <w:highlight w:val="none"/>
        </w:rPr>
      </w:pPr>
      <w:r>
        <w:rPr>
          <w:rFonts w:hint="eastAsia"/>
          <w:color w:val="auto"/>
          <w:szCs w:val="21"/>
          <w:highlight w:val="none"/>
        </w:rPr>
        <w:t>（2）法定代表人身份证明或授权委托书；</w:t>
      </w:r>
    </w:p>
    <w:p>
      <w:pPr>
        <w:rPr>
          <w:strike/>
          <w:color w:val="auto"/>
          <w:szCs w:val="21"/>
          <w:highlight w:val="none"/>
        </w:rPr>
      </w:pPr>
      <w:r>
        <w:rPr>
          <w:rFonts w:hint="eastAsia"/>
          <w:strike/>
          <w:color w:val="auto"/>
          <w:szCs w:val="21"/>
          <w:highlight w:val="none"/>
        </w:rPr>
        <w:t>（3）投标保证金（如有）；</w:t>
      </w:r>
    </w:p>
    <w:p>
      <w:pPr>
        <w:rPr>
          <w:color w:val="auto"/>
          <w:szCs w:val="21"/>
          <w:highlight w:val="none"/>
        </w:rPr>
      </w:pPr>
      <w:r>
        <w:rPr>
          <w:rFonts w:hint="eastAsia"/>
          <w:color w:val="auto"/>
          <w:szCs w:val="21"/>
          <w:highlight w:val="none"/>
        </w:rPr>
        <w:t>（</w:t>
      </w:r>
      <w:r>
        <w:rPr>
          <w:rFonts w:hint="eastAsia"/>
          <w:color w:val="auto"/>
          <w:szCs w:val="21"/>
          <w:highlight w:val="none"/>
          <w:lang w:val="en-US"/>
        </w:rPr>
        <w:t>4</w:t>
      </w:r>
      <w:r>
        <w:rPr>
          <w:rFonts w:hint="eastAsia"/>
          <w:color w:val="auto"/>
          <w:szCs w:val="21"/>
          <w:highlight w:val="none"/>
        </w:rPr>
        <w:t>）监理报酬清单；</w:t>
      </w:r>
    </w:p>
    <w:p>
      <w:pPr>
        <w:rPr>
          <w:color w:val="auto"/>
          <w:szCs w:val="21"/>
          <w:highlight w:val="none"/>
        </w:rPr>
      </w:pPr>
      <w:r>
        <w:rPr>
          <w:rFonts w:hint="eastAsia"/>
          <w:color w:val="auto"/>
          <w:szCs w:val="21"/>
          <w:highlight w:val="none"/>
        </w:rPr>
        <w:t>（</w:t>
      </w:r>
      <w:r>
        <w:rPr>
          <w:rFonts w:hint="eastAsia"/>
          <w:color w:val="auto"/>
          <w:szCs w:val="21"/>
          <w:highlight w:val="none"/>
          <w:lang w:val="en-US"/>
        </w:rPr>
        <w:t>5</w:t>
      </w:r>
      <w:r>
        <w:rPr>
          <w:rFonts w:hint="eastAsia"/>
          <w:color w:val="auto"/>
          <w:szCs w:val="21"/>
          <w:highlight w:val="none"/>
        </w:rPr>
        <w:t>）资格审查资料；</w:t>
      </w:r>
    </w:p>
    <w:p>
      <w:pPr>
        <w:rPr>
          <w:color w:val="auto"/>
          <w:szCs w:val="21"/>
          <w:highlight w:val="none"/>
        </w:rPr>
      </w:pPr>
      <w:r>
        <w:rPr>
          <w:rFonts w:hint="eastAsia"/>
          <w:color w:val="auto"/>
          <w:szCs w:val="21"/>
          <w:highlight w:val="none"/>
        </w:rPr>
        <w:t>（</w:t>
      </w:r>
      <w:r>
        <w:rPr>
          <w:rFonts w:hint="eastAsia"/>
          <w:color w:val="auto"/>
          <w:szCs w:val="21"/>
          <w:highlight w:val="none"/>
          <w:lang w:val="en-US"/>
        </w:rPr>
        <w:t>6</w:t>
      </w:r>
      <w:r>
        <w:rPr>
          <w:rFonts w:hint="eastAsia"/>
          <w:color w:val="auto"/>
          <w:szCs w:val="21"/>
          <w:highlight w:val="none"/>
        </w:rPr>
        <w:t>）监理大纲；</w:t>
      </w:r>
    </w:p>
    <w:p>
      <w:pPr>
        <w:rPr>
          <w:color w:val="auto"/>
          <w:szCs w:val="21"/>
          <w:highlight w:val="none"/>
        </w:rPr>
      </w:pPr>
      <w:r>
        <w:rPr>
          <w:rFonts w:hint="eastAsia"/>
          <w:color w:val="auto"/>
          <w:szCs w:val="21"/>
          <w:highlight w:val="none"/>
        </w:rPr>
        <w:t>（</w:t>
      </w:r>
      <w:r>
        <w:rPr>
          <w:rFonts w:hint="eastAsia"/>
          <w:color w:val="auto"/>
          <w:szCs w:val="21"/>
          <w:highlight w:val="none"/>
          <w:lang w:val="en-US"/>
        </w:rPr>
        <w:t>7</w:t>
      </w:r>
      <w:r>
        <w:rPr>
          <w:rFonts w:hint="eastAsia"/>
          <w:color w:val="auto"/>
          <w:szCs w:val="21"/>
          <w:highlight w:val="none"/>
        </w:rPr>
        <w:t>）其他资料。</w:t>
      </w:r>
    </w:p>
    <w:p>
      <w:pPr>
        <w:rPr>
          <w:color w:val="auto"/>
          <w:szCs w:val="21"/>
          <w:highlight w:val="none"/>
        </w:rPr>
      </w:pPr>
      <w:r>
        <w:rPr>
          <w:rFonts w:hint="eastAsia"/>
          <w:color w:val="auto"/>
          <w:szCs w:val="21"/>
          <w:highlight w:val="none"/>
        </w:rPr>
        <w:t>投标文件的上述组成部分如存在内容不一致的，以投标函为准。</w:t>
      </w:r>
    </w:p>
    <w:p>
      <w:pPr>
        <w:rPr>
          <w:color w:val="auto"/>
          <w:szCs w:val="21"/>
          <w:highlight w:val="none"/>
        </w:rPr>
      </w:pPr>
      <w:r>
        <w:rPr>
          <w:rFonts w:hint="eastAsia"/>
          <w:color w:val="auto"/>
          <w:szCs w:val="21"/>
          <w:highlight w:val="none"/>
        </w:rPr>
        <w:t>3．我方承诺在招标文件规定的投标有效期内不撤销投标文件。</w:t>
      </w:r>
    </w:p>
    <w:p>
      <w:pPr>
        <w:rPr>
          <w:color w:val="auto"/>
          <w:szCs w:val="21"/>
          <w:highlight w:val="none"/>
        </w:rPr>
      </w:pPr>
      <w:r>
        <w:rPr>
          <w:rFonts w:hint="eastAsia"/>
          <w:color w:val="auto"/>
          <w:szCs w:val="21"/>
          <w:highlight w:val="none"/>
        </w:rPr>
        <w:t>4．如我方中标，我方承诺：</w:t>
      </w:r>
    </w:p>
    <w:p>
      <w:pPr>
        <w:rPr>
          <w:color w:val="auto"/>
          <w:szCs w:val="21"/>
          <w:highlight w:val="none"/>
        </w:rPr>
      </w:pPr>
      <w:r>
        <w:rPr>
          <w:rFonts w:hint="eastAsia"/>
          <w:color w:val="auto"/>
          <w:szCs w:val="21"/>
          <w:highlight w:val="none"/>
        </w:rPr>
        <w:t>（1）在收到中标通知书后，在中标通知书规定的期限内与你方签订合同；</w:t>
      </w:r>
    </w:p>
    <w:p>
      <w:pPr>
        <w:rPr>
          <w:color w:val="auto"/>
          <w:szCs w:val="21"/>
          <w:highlight w:val="none"/>
        </w:rPr>
      </w:pPr>
      <w:r>
        <w:rPr>
          <w:rFonts w:hint="eastAsia"/>
          <w:color w:val="auto"/>
          <w:szCs w:val="21"/>
          <w:highlight w:val="none"/>
        </w:rPr>
        <w:t>（2）在签订合同时不向你方提出附加条件；</w:t>
      </w:r>
    </w:p>
    <w:p>
      <w:pPr>
        <w:rPr>
          <w:color w:val="auto"/>
          <w:szCs w:val="21"/>
          <w:highlight w:val="none"/>
        </w:rPr>
      </w:pPr>
      <w:r>
        <w:rPr>
          <w:rFonts w:hint="eastAsia"/>
          <w:color w:val="auto"/>
          <w:szCs w:val="21"/>
          <w:highlight w:val="none"/>
        </w:rPr>
        <w:t>（3）按照招标文件要求提交履约保证金；</w:t>
      </w:r>
    </w:p>
    <w:p>
      <w:pPr>
        <w:rPr>
          <w:color w:val="auto"/>
          <w:szCs w:val="21"/>
          <w:highlight w:val="none"/>
        </w:rPr>
      </w:pPr>
      <w:r>
        <w:rPr>
          <w:rFonts w:hint="eastAsia"/>
          <w:color w:val="auto"/>
          <w:szCs w:val="21"/>
          <w:highlight w:val="none"/>
        </w:rPr>
        <w:t>（4）在合同约定的期限内完成合同规定的全部义务。</w:t>
      </w:r>
    </w:p>
    <w:p>
      <w:pPr>
        <w:rPr>
          <w:color w:val="auto"/>
          <w:szCs w:val="21"/>
          <w:highlight w:val="none"/>
        </w:rPr>
      </w:pPr>
      <w:r>
        <w:rPr>
          <w:rFonts w:hint="eastAsia"/>
          <w:color w:val="auto"/>
          <w:szCs w:val="21"/>
          <w:highlight w:val="none"/>
        </w:rPr>
        <w:t>5．我方在此声明，所递交的投标文件及有关资料内容完整、真实和准确，且不存在第二章“投标人须知”第1.4.3项规定的任何一种情形。</w:t>
      </w:r>
    </w:p>
    <w:p>
      <w:pPr>
        <w:rPr>
          <w:color w:val="auto"/>
          <w:szCs w:val="21"/>
          <w:highlight w:val="none"/>
        </w:rPr>
      </w:pPr>
      <w:r>
        <w:rPr>
          <w:rFonts w:hint="eastAsia"/>
          <w:color w:val="auto"/>
          <w:szCs w:val="21"/>
          <w:highlight w:val="none"/>
        </w:rPr>
        <w:t>6．</w:t>
      </w:r>
      <w:r>
        <w:rPr>
          <w:rFonts w:hint="eastAsia"/>
          <w:color w:val="auto"/>
          <w:szCs w:val="21"/>
          <w:highlight w:val="none"/>
          <w:u w:val="single"/>
        </w:rPr>
        <w:t xml:space="preserve">                            </w:t>
      </w:r>
      <w:r>
        <w:rPr>
          <w:rFonts w:hint="eastAsia"/>
          <w:color w:val="auto"/>
          <w:szCs w:val="21"/>
          <w:highlight w:val="none"/>
          <w:u w:val="single"/>
        </w:rPr>
        <w:tab/>
      </w:r>
      <w:r>
        <w:rPr>
          <w:rFonts w:hint="eastAsia"/>
          <w:color w:val="auto"/>
          <w:szCs w:val="21"/>
          <w:highlight w:val="none"/>
        </w:rPr>
        <w:t>（其他补充说明）。</w:t>
      </w:r>
    </w:p>
    <w:p>
      <w:pPr>
        <w:rPr>
          <w:color w:val="auto"/>
          <w:szCs w:val="21"/>
          <w:highlight w:val="none"/>
        </w:rPr>
      </w:pPr>
    </w:p>
    <w:p>
      <w:pPr>
        <w:spacing w:line="440" w:lineRule="exact"/>
        <w:ind w:firstLine="2640" w:firstLineChars="1200"/>
        <w:jc w:val="right"/>
        <w:rPr>
          <w:color w:val="auto"/>
          <w:szCs w:val="21"/>
          <w:highlight w:val="none"/>
        </w:rPr>
      </w:pPr>
      <w:r>
        <w:rPr>
          <w:rFonts w:hint="eastAsia"/>
          <w:color w:val="auto"/>
          <w:szCs w:val="21"/>
          <w:highlight w:val="none"/>
        </w:rPr>
        <w:t>投 标 人：</w:t>
      </w:r>
      <w:r>
        <w:rPr>
          <w:rFonts w:hint="eastAsia"/>
          <w:color w:val="auto"/>
          <w:szCs w:val="21"/>
          <w:highlight w:val="none"/>
          <w:u w:val="single"/>
        </w:rPr>
        <w:t xml:space="preserve">                                </w:t>
      </w:r>
      <w:r>
        <w:rPr>
          <w:rFonts w:hint="eastAsia"/>
          <w:color w:val="auto"/>
          <w:szCs w:val="21"/>
          <w:highlight w:val="none"/>
          <w:u w:val="single"/>
        </w:rPr>
        <w:tab/>
      </w:r>
    </w:p>
    <w:p>
      <w:pPr>
        <w:pStyle w:val="10"/>
        <w:tabs>
          <w:tab w:val="left" w:pos="6990"/>
          <w:tab w:val="left" w:pos="7830"/>
          <w:tab w:val="left" w:pos="8670"/>
        </w:tabs>
        <w:spacing w:before="171" w:line="360" w:lineRule="auto"/>
        <w:ind w:left="6359"/>
        <w:rPr>
          <w:color w:val="auto"/>
          <w:highlight w:val="none"/>
        </w:rPr>
      </w:pP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rPr>
          <w:color w:val="auto"/>
          <w:highlight w:val="none"/>
        </w:rPr>
        <w:sectPr>
          <w:pgSz w:w="11906" w:h="16838"/>
          <w:pgMar w:top="1500" w:right="1100" w:bottom="1120" w:left="1560" w:header="0" w:footer="841" w:gutter="0"/>
          <w:cols w:space="720" w:num="1"/>
        </w:sectPr>
      </w:pPr>
    </w:p>
    <w:p>
      <w:pPr>
        <w:spacing w:before="43" w:line="360" w:lineRule="auto"/>
        <w:ind w:left="377"/>
        <w:rPr>
          <w:color w:val="auto"/>
          <w:sz w:val="28"/>
          <w:highlight w:val="none"/>
        </w:rPr>
      </w:pPr>
      <w:bookmarkStart w:id="45" w:name="_bookmark178"/>
      <w:bookmarkEnd w:id="45"/>
      <w:r>
        <w:rPr>
          <w:rFonts w:hint="eastAsia"/>
          <w:color w:val="auto"/>
          <w:sz w:val="28"/>
          <w:highlight w:val="none"/>
        </w:rPr>
        <w:t>（二）投标函附录</w:t>
      </w:r>
    </w:p>
    <w:p>
      <w:pPr>
        <w:pStyle w:val="10"/>
        <w:spacing w:line="360" w:lineRule="auto"/>
        <w:rPr>
          <w:color w:val="auto"/>
          <w:sz w:val="20"/>
          <w:highlight w:val="none"/>
        </w:rPr>
      </w:pPr>
    </w:p>
    <w:p>
      <w:pPr>
        <w:pStyle w:val="10"/>
        <w:spacing w:before="9" w:line="360" w:lineRule="auto"/>
        <w:rPr>
          <w:color w:val="auto"/>
          <w:sz w:val="20"/>
          <w:highlight w:val="none"/>
        </w:rPr>
      </w:pPr>
    </w:p>
    <w:tbl>
      <w:tblPr>
        <w:tblStyle w:val="24"/>
        <w:tblW w:w="9258"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3109"/>
        <w:gridCol w:w="2893"/>
        <w:gridCol w:w="1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375" w:type="dxa"/>
            <w:vAlign w:val="center"/>
          </w:tcPr>
          <w:p>
            <w:pPr>
              <w:pStyle w:val="33"/>
              <w:spacing w:before="59" w:line="360" w:lineRule="auto"/>
              <w:ind w:left="446" w:right="439"/>
              <w:jc w:val="center"/>
              <w:rPr>
                <w:b/>
                <w:color w:val="auto"/>
                <w:sz w:val="21"/>
                <w:highlight w:val="none"/>
              </w:rPr>
            </w:pPr>
            <w:r>
              <w:rPr>
                <w:rFonts w:hint="eastAsia"/>
                <w:b/>
                <w:color w:val="auto"/>
                <w:sz w:val="21"/>
                <w:highlight w:val="none"/>
              </w:rPr>
              <w:t>序号</w:t>
            </w:r>
          </w:p>
        </w:tc>
        <w:tc>
          <w:tcPr>
            <w:tcW w:w="3109" w:type="dxa"/>
            <w:vAlign w:val="center"/>
          </w:tcPr>
          <w:p>
            <w:pPr>
              <w:pStyle w:val="33"/>
              <w:spacing w:before="59" w:line="360" w:lineRule="auto"/>
              <w:ind w:left="218" w:right="210"/>
              <w:jc w:val="center"/>
              <w:rPr>
                <w:b/>
                <w:color w:val="auto"/>
                <w:sz w:val="21"/>
                <w:highlight w:val="none"/>
              </w:rPr>
            </w:pPr>
            <w:r>
              <w:rPr>
                <w:rFonts w:hint="eastAsia"/>
                <w:b/>
                <w:color w:val="auto"/>
                <w:sz w:val="21"/>
                <w:highlight w:val="none"/>
              </w:rPr>
              <w:t>条款名称</w:t>
            </w:r>
          </w:p>
        </w:tc>
        <w:tc>
          <w:tcPr>
            <w:tcW w:w="2893" w:type="dxa"/>
            <w:vAlign w:val="center"/>
          </w:tcPr>
          <w:p>
            <w:pPr>
              <w:pStyle w:val="33"/>
              <w:spacing w:before="59" w:line="360" w:lineRule="auto"/>
              <w:jc w:val="center"/>
              <w:rPr>
                <w:b/>
                <w:color w:val="auto"/>
                <w:sz w:val="21"/>
                <w:highlight w:val="none"/>
              </w:rPr>
            </w:pPr>
            <w:r>
              <w:rPr>
                <w:rFonts w:hint="eastAsia"/>
                <w:b/>
                <w:color w:val="auto"/>
                <w:sz w:val="21"/>
                <w:highlight w:val="none"/>
              </w:rPr>
              <w:t>约定内容</w:t>
            </w:r>
          </w:p>
        </w:tc>
        <w:tc>
          <w:tcPr>
            <w:tcW w:w="1881" w:type="dxa"/>
            <w:vAlign w:val="center"/>
          </w:tcPr>
          <w:p>
            <w:pPr>
              <w:pStyle w:val="33"/>
              <w:spacing w:before="59" w:line="360" w:lineRule="auto"/>
              <w:ind w:left="502" w:right="502"/>
              <w:jc w:val="center"/>
              <w:rPr>
                <w:b/>
                <w:color w:val="auto"/>
                <w:sz w:val="21"/>
                <w:highlight w:val="none"/>
              </w:rPr>
            </w:pPr>
            <w:r>
              <w:rPr>
                <w:rFonts w:hint="eastAsia"/>
                <w:b/>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Merge w:val="restart"/>
            <w:vAlign w:val="center"/>
          </w:tcPr>
          <w:p>
            <w:pPr>
              <w:pStyle w:val="33"/>
              <w:spacing w:before="94" w:line="360" w:lineRule="auto"/>
              <w:ind w:left="7"/>
              <w:jc w:val="center"/>
              <w:rPr>
                <w:color w:val="auto"/>
                <w:sz w:val="21"/>
                <w:highlight w:val="none"/>
              </w:rPr>
            </w:pPr>
            <w:r>
              <w:rPr>
                <w:rFonts w:hint="eastAsia"/>
                <w:color w:val="auto"/>
                <w:sz w:val="21"/>
                <w:highlight w:val="none"/>
              </w:rPr>
              <w:t>1</w:t>
            </w:r>
          </w:p>
        </w:tc>
        <w:tc>
          <w:tcPr>
            <w:tcW w:w="3109" w:type="dxa"/>
            <w:vAlign w:val="center"/>
          </w:tcPr>
          <w:p>
            <w:pPr>
              <w:pStyle w:val="33"/>
              <w:spacing w:before="142" w:line="360" w:lineRule="auto"/>
              <w:ind w:left="218" w:leftChars="99" w:right="210"/>
              <w:rPr>
                <w:color w:val="auto"/>
                <w:sz w:val="21"/>
                <w:highlight w:val="none"/>
              </w:rPr>
            </w:pPr>
            <w:r>
              <w:rPr>
                <w:rFonts w:hint="eastAsia"/>
                <w:color w:val="auto"/>
                <w:sz w:val="21"/>
                <w:highlight w:val="none"/>
              </w:rPr>
              <w:t>总监理工程师</w:t>
            </w:r>
          </w:p>
        </w:tc>
        <w:tc>
          <w:tcPr>
            <w:tcW w:w="2893" w:type="dxa"/>
            <w:vAlign w:val="center"/>
          </w:tcPr>
          <w:p>
            <w:pPr>
              <w:spacing w:line="440" w:lineRule="exact"/>
              <w:rPr>
                <w:color w:val="auto"/>
                <w:highlight w:val="none"/>
              </w:rPr>
            </w:pPr>
            <w:r>
              <w:rPr>
                <w:rFonts w:hint="eastAsia"/>
                <w:color w:val="auto"/>
                <w:highlight w:val="none"/>
              </w:rPr>
              <w:t>姓名：</w:t>
            </w:r>
          </w:p>
          <w:p>
            <w:pPr>
              <w:spacing w:line="440" w:lineRule="exact"/>
              <w:rPr>
                <w:color w:val="auto"/>
                <w:highlight w:val="none"/>
              </w:rPr>
            </w:pPr>
            <w:r>
              <w:rPr>
                <w:rFonts w:hint="eastAsia"/>
                <w:color w:val="auto"/>
                <w:highlight w:val="none"/>
              </w:rPr>
              <w:t>技术职称 ：</w:t>
            </w:r>
          </w:p>
          <w:p>
            <w:pPr>
              <w:spacing w:line="440" w:lineRule="exact"/>
              <w:rPr>
                <w:color w:val="auto"/>
                <w:sz w:val="21"/>
                <w:highlight w:val="none"/>
              </w:rPr>
            </w:pPr>
            <w:r>
              <w:rPr>
                <w:rFonts w:hint="eastAsia"/>
                <w:color w:val="auto"/>
                <w:highlight w:val="none"/>
              </w:rPr>
              <w:t>注册证号：</w:t>
            </w:r>
          </w:p>
        </w:tc>
        <w:tc>
          <w:tcPr>
            <w:tcW w:w="1881"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pPr>
              <w:pStyle w:val="33"/>
              <w:spacing w:before="91" w:line="360" w:lineRule="auto"/>
              <w:ind w:left="7"/>
              <w:jc w:val="center"/>
              <w:rPr>
                <w:color w:val="auto"/>
                <w:sz w:val="21"/>
                <w:highlight w:val="none"/>
              </w:rPr>
            </w:pPr>
            <w:r>
              <w:rPr>
                <w:rFonts w:hint="eastAsia"/>
                <w:color w:val="auto"/>
                <w:sz w:val="21"/>
                <w:highlight w:val="none"/>
              </w:rPr>
              <w:t>2</w:t>
            </w:r>
          </w:p>
        </w:tc>
        <w:tc>
          <w:tcPr>
            <w:tcW w:w="3109" w:type="dxa"/>
            <w:vAlign w:val="center"/>
          </w:tcPr>
          <w:p>
            <w:pPr>
              <w:pStyle w:val="33"/>
              <w:spacing w:before="142" w:line="360" w:lineRule="auto"/>
              <w:ind w:left="218" w:leftChars="99" w:right="210"/>
              <w:rPr>
                <w:color w:val="auto"/>
                <w:sz w:val="21"/>
                <w:highlight w:val="none"/>
              </w:rPr>
            </w:pPr>
            <w:r>
              <w:rPr>
                <w:rFonts w:hint="eastAsia"/>
                <w:color w:val="auto"/>
                <w:sz w:val="21"/>
                <w:highlight w:val="none"/>
              </w:rPr>
              <w:t>监理服务期限</w:t>
            </w:r>
          </w:p>
        </w:tc>
        <w:tc>
          <w:tcPr>
            <w:tcW w:w="2893" w:type="dxa"/>
            <w:vAlign w:val="center"/>
          </w:tcPr>
          <w:p>
            <w:pPr>
              <w:spacing w:line="440" w:lineRule="exact"/>
              <w:rPr>
                <w:color w:val="auto"/>
                <w:sz w:val="21"/>
                <w:highlight w:val="none"/>
              </w:rPr>
            </w:pPr>
            <w:r>
              <w:rPr>
                <w:rFonts w:hint="eastAsia"/>
                <w:color w:val="auto"/>
                <w:highlight w:val="none"/>
              </w:rPr>
              <w:t>按招标文件要求</w:t>
            </w:r>
          </w:p>
        </w:tc>
        <w:tc>
          <w:tcPr>
            <w:tcW w:w="1881"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pPr>
              <w:pStyle w:val="33"/>
              <w:spacing w:before="94" w:line="360" w:lineRule="auto"/>
              <w:ind w:left="7"/>
              <w:jc w:val="center"/>
              <w:rPr>
                <w:color w:val="auto"/>
                <w:sz w:val="21"/>
                <w:highlight w:val="none"/>
              </w:rPr>
            </w:pPr>
            <w:r>
              <w:rPr>
                <w:rFonts w:hint="eastAsia"/>
                <w:color w:val="auto"/>
                <w:sz w:val="21"/>
                <w:highlight w:val="none"/>
              </w:rPr>
              <w:t>3</w:t>
            </w:r>
          </w:p>
        </w:tc>
        <w:tc>
          <w:tcPr>
            <w:tcW w:w="3109" w:type="dxa"/>
            <w:vAlign w:val="center"/>
          </w:tcPr>
          <w:p>
            <w:pPr>
              <w:pStyle w:val="33"/>
              <w:spacing w:before="142" w:line="360" w:lineRule="auto"/>
              <w:ind w:left="218" w:leftChars="99" w:right="210"/>
              <w:rPr>
                <w:color w:val="auto"/>
                <w:sz w:val="21"/>
                <w:highlight w:val="none"/>
              </w:rPr>
            </w:pPr>
            <w:r>
              <w:rPr>
                <w:rFonts w:hint="eastAsia"/>
                <w:color w:val="auto"/>
                <w:sz w:val="21"/>
                <w:highlight w:val="none"/>
              </w:rPr>
              <w:t>合同价款确定方式</w:t>
            </w:r>
          </w:p>
        </w:tc>
        <w:tc>
          <w:tcPr>
            <w:tcW w:w="2893" w:type="dxa"/>
            <w:vAlign w:val="center"/>
          </w:tcPr>
          <w:p>
            <w:pPr>
              <w:spacing w:line="440" w:lineRule="exact"/>
              <w:rPr>
                <w:color w:val="auto"/>
                <w:sz w:val="21"/>
                <w:highlight w:val="none"/>
              </w:rPr>
            </w:pPr>
            <w:r>
              <w:rPr>
                <w:rFonts w:hint="eastAsia"/>
                <w:color w:val="auto"/>
                <w:highlight w:val="none"/>
              </w:rPr>
              <w:t>按招标文件要求</w:t>
            </w:r>
          </w:p>
        </w:tc>
        <w:tc>
          <w:tcPr>
            <w:tcW w:w="1881"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75" w:type="dxa"/>
            <w:vAlign w:val="center"/>
          </w:tcPr>
          <w:p>
            <w:pPr>
              <w:pStyle w:val="33"/>
              <w:spacing w:line="360" w:lineRule="auto"/>
              <w:ind w:left="446" w:right="439"/>
              <w:jc w:val="center"/>
              <w:rPr>
                <w:color w:val="auto"/>
                <w:sz w:val="21"/>
                <w:highlight w:val="none"/>
              </w:rPr>
            </w:pPr>
            <w:r>
              <w:rPr>
                <w:rFonts w:hint="eastAsia"/>
                <w:color w:val="auto"/>
                <w:sz w:val="21"/>
                <w:highlight w:val="none"/>
                <w:lang w:val="en-US"/>
              </w:rPr>
              <w:t>4</w:t>
            </w:r>
          </w:p>
        </w:tc>
        <w:tc>
          <w:tcPr>
            <w:tcW w:w="3109" w:type="dxa"/>
            <w:vAlign w:val="center"/>
          </w:tcPr>
          <w:p>
            <w:pPr>
              <w:spacing w:line="440" w:lineRule="exact"/>
              <w:ind w:left="218" w:leftChars="99"/>
              <w:rPr>
                <w:color w:val="auto"/>
                <w:sz w:val="21"/>
                <w:highlight w:val="none"/>
              </w:rPr>
            </w:pPr>
            <w:r>
              <w:rPr>
                <w:rFonts w:hint="eastAsia"/>
                <w:color w:val="auto"/>
                <w:highlight w:val="none"/>
              </w:rPr>
              <w:t>质量标准</w:t>
            </w:r>
          </w:p>
        </w:tc>
        <w:tc>
          <w:tcPr>
            <w:tcW w:w="2893" w:type="dxa"/>
            <w:vAlign w:val="center"/>
          </w:tcPr>
          <w:p>
            <w:pPr>
              <w:spacing w:line="440" w:lineRule="exact"/>
              <w:rPr>
                <w:color w:val="auto"/>
                <w:sz w:val="21"/>
                <w:highlight w:val="none"/>
              </w:rPr>
            </w:pPr>
            <w:r>
              <w:rPr>
                <w:rFonts w:hint="eastAsia"/>
                <w:color w:val="auto"/>
                <w:highlight w:val="none"/>
              </w:rPr>
              <w:t>按招标文件要求</w:t>
            </w:r>
          </w:p>
        </w:tc>
        <w:tc>
          <w:tcPr>
            <w:tcW w:w="1881"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pPr>
              <w:pStyle w:val="33"/>
              <w:spacing w:line="360" w:lineRule="auto"/>
              <w:ind w:left="446" w:right="439"/>
              <w:jc w:val="center"/>
              <w:rPr>
                <w:color w:val="auto"/>
                <w:sz w:val="21"/>
                <w:highlight w:val="none"/>
                <w:lang w:val="en-US"/>
              </w:rPr>
            </w:pPr>
            <w:r>
              <w:rPr>
                <w:rFonts w:hint="eastAsia"/>
                <w:color w:val="auto"/>
                <w:sz w:val="21"/>
                <w:highlight w:val="none"/>
                <w:lang w:val="en-US"/>
              </w:rPr>
              <w:t>5</w:t>
            </w:r>
          </w:p>
        </w:tc>
        <w:tc>
          <w:tcPr>
            <w:tcW w:w="3109" w:type="dxa"/>
            <w:vAlign w:val="center"/>
          </w:tcPr>
          <w:p>
            <w:pPr>
              <w:spacing w:line="440" w:lineRule="exact"/>
              <w:ind w:left="218" w:leftChars="99"/>
              <w:rPr>
                <w:color w:val="auto"/>
                <w:sz w:val="21"/>
                <w:highlight w:val="none"/>
              </w:rPr>
            </w:pPr>
            <w:r>
              <w:rPr>
                <w:rFonts w:hint="eastAsia"/>
                <w:color w:val="auto"/>
                <w:highlight w:val="none"/>
              </w:rPr>
              <w:t>监理人员</w:t>
            </w:r>
          </w:p>
        </w:tc>
        <w:tc>
          <w:tcPr>
            <w:tcW w:w="2893" w:type="dxa"/>
            <w:vAlign w:val="center"/>
          </w:tcPr>
          <w:p>
            <w:pPr>
              <w:spacing w:line="440" w:lineRule="exact"/>
              <w:rPr>
                <w:color w:val="auto"/>
                <w:highlight w:val="none"/>
              </w:rPr>
            </w:pPr>
            <w:r>
              <w:rPr>
                <w:rFonts w:hint="eastAsia"/>
                <w:color w:val="auto"/>
                <w:highlight w:val="none"/>
              </w:rPr>
              <w:t>驻场监理人数：</w:t>
            </w:r>
          </w:p>
          <w:p>
            <w:pPr>
              <w:spacing w:line="440" w:lineRule="exact"/>
              <w:rPr>
                <w:color w:val="auto"/>
                <w:sz w:val="21"/>
                <w:highlight w:val="none"/>
              </w:rPr>
            </w:pPr>
            <w:r>
              <w:rPr>
                <w:rFonts w:hint="eastAsia"/>
                <w:color w:val="auto"/>
                <w:highlight w:val="none"/>
              </w:rPr>
              <w:t>监理工程师人数:</w:t>
            </w:r>
          </w:p>
        </w:tc>
        <w:tc>
          <w:tcPr>
            <w:tcW w:w="1881"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pPr>
              <w:pStyle w:val="33"/>
              <w:spacing w:line="360" w:lineRule="auto"/>
              <w:ind w:left="446" w:right="439"/>
              <w:jc w:val="center"/>
              <w:rPr>
                <w:color w:val="auto"/>
                <w:sz w:val="21"/>
                <w:highlight w:val="none"/>
                <w:lang w:val="en-US"/>
              </w:rPr>
            </w:pPr>
            <w:r>
              <w:rPr>
                <w:rFonts w:hint="eastAsia"/>
                <w:color w:val="auto"/>
                <w:sz w:val="21"/>
                <w:highlight w:val="none"/>
                <w:lang w:val="en-US"/>
              </w:rPr>
              <w:t>6</w:t>
            </w:r>
          </w:p>
        </w:tc>
        <w:tc>
          <w:tcPr>
            <w:tcW w:w="3109" w:type="dxa"/>
            <w:vAlign w:val="center"/>
          </w:tcPr>
          <w:p>
            <w:pPr>
              <w:spacing w:line="440" w:lineRule="exact"/>
              <w:ind w:left="218" w:leftChars="99"/>
              <w:rPr>
                <w:color w:val="auto"/>
                <w:highlight w:val="none"/>
              </w:rPr>
            </w:pPr>
            <w:r>
              <w:rPr>
                <w:rFonts w:hint="eastAsia"/>
                <w:color w:val="auto"/>
                <w:highlight w:val="none"/>
              </w:rPr>
              <w:t>投标总报价（监理服务费报价）</w:t>
            </w:r>
          </w:p>
        </w:tc>
        <w:tc>
          <w:tcPr>
            <w:tcW w:w="2893" w:type="dxa"/>
            <w:vAlign w:val="center"/>
          </w:tcPr>
          <w:p>
            <w:pPr>
              <w:spacing w:line="440" w:lineRule="exact"/>
              <w:rPr>
                <w:color w:val="auto"/>
                <w:highlight w:val="none"/>
                <w:lang w:val="en-US"/>
              </w:rPr>
            </w:pPr>
            <w:r>
              <w:rPr>
                <w:rFonts w:hint="eastAsia"/>
                <w:color w:val="auto"/>
                <w:highlight w:val="none"/>
              </w:rPr>
              <w:t>监理服务费报价（元）：</w:t>
            </w:r>
          </w:p>
        </w:tc>
        <w:tc>
          <w:tcPr>
            <w:tcW w:w="1881"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pPr>
              <w:pStyle w:val="33"/>
              <w:spacing w:line="360" w:lineRule="auto"/>
              <w:ind w:left="446" w:right="439"/>
              <w:jc w:val="center"/>
              <w:rPr>
                <w:color w:val="auto"/>
                <w:sz w:val="21"/>
                <w:highlight w:val="none"/>
                <w:lang w:val="en-US"/>
              </w:rPr>
            </w:pPr>
            <w:r>
              <w:rPr>
                <w:rFonts w:hint="eastAsia"/>
                <w:color w:val="auto"/>
                <w:sz w:val="21"/>
                <w:highlight w:val="none"/>
                <w:lang w:val="en-US"/>
              </w:rPr>
              <w:t>7</w:t>
            </w:r>
          </w:p>
        </w:tc>
        <w:tc>
          <w:tcPr>
            <w:tcW w:w="3109" w:type="dxa"/>
            <w:vAlign w:val="center"/>
          </w:tcPr>
          <w:p>
            <w:pPr>
              <w:spacing w:line="440" w:lineRule="exact"/>
              <w:ind w:left="218" w:leftChars="99"/>
              <w:rPr>
                <w:color w:val="auto"/>
                <w:highlight w:val="none"/>
              </w:rPr>
            </w:pPr>
            <w:r>
              <w:rPr>
                <w:rFonts w:hint="eastAsia"/>
                <w:color w:val="auto"/>
                <w:highlight w:val="none"/>
              </w:rPr>
              <w:t>法 人 营 业</w:t>
            </w:r>
          </w:p>
          <w:p>
            <w:pPr>
              <w:spacing w:line="440" w:lineRule="exact"/>
              <w:ind w:left="218" w:leftChars="99"/>
              <w:rPr>
                <w:color w:val="auto"/>
                <w:highlight w:val="none"/>
              </w:rPr>
            </w:pPr>
            <w:r>
              <w:rPr>
                <w:rFonts w:hint="eastAsia"/>
                <w:color w:val="auto"/>
                <w:highlight w:val="none"/>
              </w:rPr>
              <w:t>执 照 证 号</w:t>
            </w:r>
          </w:p>
        </w:tc>
        <w:tc>
          <w:tcPr>
            <w:tcW w:w="2893" w:type="dxa"/>
            <w:vAlign w:val="center"/>
          </w:tcPr>
          <w:p>
            <w:pPr>
              <w:spacing w:line="440" w:lineRule="exact"/>
              <w:rPr>
                <w:color w:val="auto"/>
                <w:highlight w:val="none"/>
              </w:rPr>
            </w:pPr>
            <w:r>
              <w:rPr>
                <w:rFonts w:hint="eastAsia"/>
                <w:color w:val="auto"/>
                <w:highlight w:val="none"/>
              </w:rPr>
              <w:t>法 人 营 业</w:t>
            </w:r>
          </w:p>
          <w:p>
            <w:pPr>
              <w:spacing w:line="440" w:lineRule="exact"/>
              <w:rPr>
                <w:color w:val="auto"/>
                <w:highlight w:val="none"/>
              </w:rPr>
            </w:pPr>
            <w:r>
              <w:rPr>
                <w:rFonts w:hint="eastAsia"/>
                <w:color w:val="auto"/>
                <w:highlight w:val="none"/>
              </w:rPr>
              <w:t>执 照 证 号：</w:t>
            </w:r>
          </w:p>
        </w:tc>
        <w:tc>
          <w:tcPr>
            <w:tcW w:w="1881"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pPr>
              <w:pStyle w:val="33"/>
              <w:spacing w:line="360" w:lineRule="auto"/>
              <w:ind w:left="446" w:right="439"/>
              <w:jc w:val="center"/>
              <w:rPr>
                <w:color w:val="auto"/>
                <w:sz w:val="21"/>
                <w:highlight w:val="none"/>
                <w:lang w:val="en-US"/>
              </w:rPr>
            </w:pPr>
            <w:r>
              <w:rPr>
                <w:rFonts w:hint="eastAsia"/>
                <w:color w:val="auto"/>
                <w:sz w:val="21"/>
                <w:highlight w:val="none"/>
                <w:lang w:val="en-US"/>
              </w:rPr>
              <w:t>8</w:t>
            </w:r>
          </w:p>
        </w:tc>
        <w:tc>
          <w:tcPr>
            <w:tcW w:w="3109" w:type="dxa"/>
            <w:vAlign w:val="center"/>
          </w:tcPr>
          <w:p>
            <w:pPr>
              <w:spacing w:line="440" w:lineRule="exact"/>
              <w:ind w:left="218" w:leftChars="99"/>
              <w:rPr>
                <w:color w:val="auto"/>
                <w:highlight w:val="none"/>
              </w:rPr>
            </w:pPr>
            <w:r>
              <w:rPr>
                <w:rFonts w:hint="eastAsia"/>
                <w:color w:val="auto"/>
                <w:highlight w:val="none"/>
              </w:rPr>
              <w:t>资 质 等 级</w:t>
            </w:r>
          </w:p>
          <w:p>
            <w:pPr>
              <w:spacing w:line="440" w:lineRule="exact"/>
              <w:ind w:left="218" w:leftChars="99"/>
              <w:rPr>
                <w:color w:val="auto"/>
                <w:highlight w:val="none"/>
              </w:rPr>
            </w:pPr>
            <w:r>
              <w:rPr>
                <w:rFonts w:hint="eastAsia"/>
                <w:color w:val="auto"/>
                <w:highlight w:val="none"/>
              </w:rPr>
              <w:t>及 证 书 号</w:t>
            </w:r>
          </w:p>
        </w:tc>
        <w:tc>
          <w:tcPr>
            <w:tcW w:w="2893" w:type="dxa"/>
            <w:vAlign w:val="center"/>
          </w:tcPr>
          <w:p>
            <w:pPr>
              <w:spacing w:line="440" w:lineRule="exact"/>
              <w:rPr>
                <w:color w:val="auto"/>
                <w:highlight w:val="none"/>
              </w:rPr>
            </w:pPr>
            <w:r>
              <w:rPr>
                <w:rFonts w:hint="eastAsia"/>
                <w:color w:val="auto"/>
                <w:highlight w:val="none"/>
              </w:rPr>
              <w:t>资质等级：</w:t>
            </w:r>
          </w:p>
          <w:p>
            <w:pPr>
              <w:spacing w:line="440" w:lineRule="exact"/>
              <w:rPr>
                <w:color w:val="auto"/>
                <w:highlight w:val="none"/>
              </w:rPr>
            </w:pPr>
            <w:r>
              <w:rPr>
                <w:rFonts w:hint="eastAsia"/>
                <w:color w:val="auto"/>
                <w:highlight w:val="none"/>
              </w:rPr>
              <w:t>资质证书号：</w:t>
            </w:r>
          </w:p>
        </w:tc>
        <w:tc>
          <w:tcPr>
            <w:tcW w:w="1881"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pPr>
              <w:pStyle w:val="33"/>
              <w:spacing w:line="360" w:lineRule="auto"/>
              <w:ind w:left="446" w:right="439"/>
              <w:jc w:val="center"/>
              <w:rPr>
                <w:color w:val="auto"/>
                <w:sz w:val="21"/>
                <w:highlight w:val="none"/>
                <w:lang w:val="en-US"/>
              </w:rPr>
            </w:pPr>
            <w:r>
              <w:rPr>
                <w:rFonts w:hint="eastAsia"/>
                <w:color w:val="auto"/>
                <w:sz w:val="21"/>
                <w:highlight w:val="none"/>
                <w:lang w:val="en-US"/>
              </w:rPr>
              <w:t>9</w:t>
            </w:r>
          </w:p>
        </w:tc>
        <w:tc>
          <w:tcPr>
            <w:tcW w:w="3109" w:type="dxa"/>
            <w:vAlign w:val="center"/>
          </w:tcPr>
          <w:p>
            <w:pPr>
              <w:spacing w:line="440" w:lineRule="exact"/>
              <w:ind w:left="218" w:leftChars="99"/>
              <w:rPr>
                <w:color w:val="auto"/>
                <w:highlight w:val="none"/>
              </w:rPr>
            </w:pPr>
            <w:r>
              <w:rPr>
                <w:rFonts w:hint="eastAsia"/>
                <w:color w:val="auto"/>
                <w:highlight w:val="none"/>
              </w:rPr>
              <w:t>投标有效期</w:t>
            </w:r>
          </w:p>
        </w:tc>
        <w:tc>
          <w:tcPr>
            <w:tcW w:w="2893" w:type="dxa"/>
            <w:vAlign w:val="center"/>
          </w:tcPr>
          <w:p>
            <w:pPr>
              <w:spacing w:line="440" w:lineRule="exact"/>
              <w:rPr>
                <w:color w:val="auto"/>
                <w:highlight w:val="none"/>
              </w:rPr>
            </w:pPr>
            <w:r>
              <w:rPr>
                <w:rFonts w:hint="eastAsia"/>
                <w:color w:val="auto"/>
                <w:highlight w:val="none"/>
              </w:rPr>
              <w:t>按招标文件要求</w:t>
            </w:r>
          </w:p>
        </w:tc>
        <w:tc>
          <w:tcPr>
            <w:tcW w:w="1881" w:type="dxa"/>
            <w:vAlign w:val="center"/>
          </w:tcPr>
          <w:p>
            <w:pPr>
              <w:pStyle w:val="33"/>
              <w:spacing w:line="360" w:lineRule="auto"/>
              <w:jc w:val="center"/>
              <w:rPr>
                <w:color w:val="auto"/>
                <w:sz w:val="20"/>
                <w:highlight w:val="none"/>
              </w:rPr>
            </w:pPr>
          </w:p>
        </w:tc>
      </w:tr>
    </w:tbl>
    <w:p>
      <w:pPr>
        <w:pStyle w:val="10"/>
        <w:spacing w:line="360" w:lineRule="auto"/>
        <w:rPr>
          <w:color w:val="auto"/>
          <w:sz w:val="20"/>
          <w:highlight w:val="none"/>
        </w:rPr>
      </w:pPr>
    </w:p>
    <w:p>
      <w:pPr>
        <w:pStyle w:val="10"/>
        <w:spacing w:before="4" w:line="360" w:lineRule="auto"/>
        <w:rPr>
          <w:color w:val="auto"/>
          <w:sz w:val="19"/>
          <w:highlight w:val="none"/>
        </w:rPr>
      </w:pPr>
    </w:p>
    <w:p>
      <w:pPr>
        <w:pStyle w:val="10"/>
        <w:tabs>
          <w:tab w:val="left" w:pos="6541"/>
        </w:tabs>
        <w:spacing w:before="173" w:line="360" w:lineRule="auto"/>
        <w:ind w:left="2761"/>
        <w:jc w:val="right"/>
        <w:rPr>
          <w:color w:val="auto"/>
          <w:highlight w:val="none"/>
        </w:rPr>
      </w:pPr>
      <w:r>
        <w:rPr>
          <w:rFonts w:hint="eastAsia"/>
          <w:color w:val="auto"/>
          <w:highlight w:val="none"/>
        </w:rPr>
        <w:t>投 标 人</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p>
    <w:p>
      <w:pPr>
        <w:pStyle w:val="10"/>
        <w:tabs>
          <w:tab w:val="left" w:pos="6990"/>
          <w:tab w:val="left" w:pos="7830"/>
          <w:tab w:val="left" w:pos="8670"/>
        </w:tabs>
        <w:spacing w:before="170" w:line="360" w:lineRule="auto"/>
        <w:ind w:left="6359"/>
        <w:rPr>
          <w:color w:val="auto"/>
          <w:highlight w:val="none"/>
        </w:rPr>
      </w:pP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月</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日</w:t>
      </w:r>
    </w:p>
    <w:p>
      <w:pPr>
        <w:spacing w:line="360" w:lineRule="auto"/>
        <w:rPr>
          <w:color w:val="auto"/>
          <w:highlight w:val="none"/>
        </w:rPr>
        <w:sectPr>
          <w:pgSz w:w="11906" w:h="16838"/>
          <w:pgMar w:top="1400" w:right="1100" w:bottom="1120" w:left="1560" w:header="0" w:footer="841" w:gutter="0"/>
          <w:cols w:space="720" w:num="1"/>
        </w:sectPr>
      </w:pPr>
    </w:p>
    <w:p>
      <w:pPr>
        <w:spacing w:line="360" w:lineRule="auto"/>
        <w:ind w:right="456"/>
        <w:jc w:val="center"/>
        <w:outlineLvl w:val="1"/>
        <w:rPr>
          <w:b/>
          <w:color w:val="auto"/>
          <w:sz w:val="32"/>
          <w:highlight w:val="none"/>
        </w:rPr>
      </w:pPr>
      <w:bookmarkStart w:id="46" w:name="_bookmark179"/>
      <w:bookmarkEnd w:id="46"/>
      <w:r>
        <w:rPr>
          <w:rFonts w:hint="eastAsia"/>
          <w:b/>
          <w:color w:val="auto"/>
          <w:sz w:val="32"/>
          <w:highlight w:val="none"/>
        </w:rPr>
        <w:t>二、法定代表人身份证明（格式可自拟）</w:t>
      </w:r>
    </w:p>
    <w:p>
      <w:pPr>
        <w:pStyle w:val="10"/>
        <w:spacing w:line="360" w:lineRule="auto"/>
        <w:rPr>
          <w:b/>
          <w:color w:val="auto"/>
          <w:sz w:val="32"/>
          <w:highlight w:val="none"/>
        </w:rPr>
      </w:pPr>
    </w:p>
    <w:p>
      <w:pPr>
        <w:pStyle w:val="10"/>
        <w:spacing w:line="360" w:lineRule="auto"/>
        <w:rPr>
          <w:b/>
          <w:color w:val="auto"/>
          <w:sz w:val="32"/>
          <w:highlight w:val="none"/>
        </w:rPr>
      </w:pPr>
    </w:p>
    <w:p>
      <w:pPr>
        <w:pStyle w:val="10"/>
        <w:spacing w:before="3" w:line="360" w:lineRule="auto"/>
        <w:rPr>
          <w:b/>
          <w:color w:val="auto"/>
          <w:sz w:val="18"/>
          <w:highlight w:val="none"/>
        </w:rPr>
      </w:pPr>
    </w:p>
    <w:p>
      <w:pPr>
        <w:pStyle w:val="10"/>
        <w:tabs>
          <w:tab w:val="left" w:pos="4068"/>
        </w:tabs>
        <w:spacing w:line="360" w:lineRule="auto"/>
        <w:ind w:left="240"/>
        <w:rPr>
          <w:color w:val="auto"/>
          <w:highlight w:val="none"/>
        </w:rPr>
      </w:pPr>
      <w:r>
        <w:rPr>
          <w:rFonts w:hint="eastAsia"/>
          <w:color w:val="auto"/>
          <w:spacing w:val="-1"/>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名</w:t>
      </w:r>
      <w:r>
        <w:rPr>
          <w:rFonts w:hint="eastAsia"/>
          <w:color w:val="auto"/>
          <w:spacing w:val="-3"/>
          <w:highlight w:val="none"/>
        </w:rPr>
        <w:t>称</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pPr>
        <w:pStyle w:val="10"/>
        <w:tabs>
          <w:tab w:val="left" w:pos="2552"/>
          <w:tab w:val="left" w:pos="4023"/>
          <w:tab w:val="left" w:pos="5492"/>
          <w:tab w:val="left" w:pos="7009"/>
        </w:tabs>
        <w:spacing w:before="170" w:line="360" w:lineRule="auto"/>
        <w:ind w:left="240"/>
        <w:rPr>
          <w:color w:val="auto"/>
          <w:highlight w:val="none"/>
        </w:rPr>
      </w:pPr>
      <w:r>
        <w:rPr>
          <w:rFonts w:hint="eastAsia"/>
          <w:color w:val="auto"/>
          <w:highlight w:val="none"/>
        </w:rPr>
        <w:t>姓名</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性别</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年</w:t>
      </w:r>
      <w:r>
        <w:rPr>
          <w:rFonts w:hint="eastAsia"/>
          <w:color w:val="auto"/>
          <w:spacing w:val="-3"/>
          <w:highlight w:val="none"/>
        </w:rPr>
        <w:t>龄</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spacing w:val="-1"/>
          <w:highlight w:val="none"/>
        </w:rPr>
        <w:t>职</w:t>
      </w:r>
      <w:r>
        <w:rPr>
          <w:rFonts w:hint="eastAsia"/>
          <w:color w:val="auto"/>
          <w:spacing w:val="-3"/>
          <w:highlight w:val="none"/>
        </w:rPr>
        <w:t>务</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pPr>
        <w:pStyle w:val="10"/>
        <w:tabs>
          <w:tab w:val="left" w:pos="2972"/>
        </w:tabs>
        <w:spacing w:before="173" w:line="360" w:lineRule="auto"/>
        <w:ind w:left="240"/>
        <w:rPr>
          <w:color w:val="auto"/>
          <w:highlight w:val="none"/>
        </w:rPr>
      </w:pPr>
      <w:r>
        <w:rPr>
          <w:rFonts w:hint="eastAsia"/>
          <w:color w:val="auto"/>
          <w:highlight w:val="none"/>
        </w:rPr>
        <w:t>系</w:t>
      </w:r>
      <w:r>
        <w:rPr>
          <w:rFonts w:hint="eastAsia"/>
          <w:color w:val="auto"/>
          <w:highlight w:val="none"/>
          <w:u w:val="single"/>
        </w:rPr>
        <w:t xml:space="preserve"> </w:t>
      </w:r>
      <w:r>
        <w:rPr>
          <w:rFonts w:hint="eastAsia"/>
          <w:color w:val="auto"/>
          <w:highlight w:val="none"/>
          <w:u w:val="single"/>
        </w:rPr>
        <w:tab/>
      </w:r>
      <w:r>
        <w:rPr>
          <w:rFonts w:hint="eastAsia"/>
          <w:color w:val="auto"/>
          <w:spacing w:val="-3"/>
          <w:highlight w:val="none"/>
        </w:rPr>
        <w:t>（</w:t>
      </w:r>
      <w:r>
        <w:rPr>
          <w:rFonts w:hint="eastAsia"/>
          <w:color w:val="auto"/>
          <w:highlight w:val="none"/>
        </w:rPr>
        <w:t>投</w:t>
      </w:r>
      <w:r>
        <w:rPr>
          <w:rFonts w:hint="eastAsia"/>
          <w:color w:val="auto"/>
          <w:spacing w:val="-3"/>
          <w:highlight w:val="none"/>
        </w:rPr>
        <w:t>标</w:t>
      </w:r>
      <w:r>
        <w:rPr>
          <w:rFonts w:hint="eastAsia"/>
          <w:color w:val="auto"/>
          <w:highlight w:val="none"/>
        </w:rPr>
        <w:t>人</w:t>
      </w:r>
      <w:r>
        <w:rPr>
          <w:rFonts w:hint="eastAsia"/>
          <w:color w:val="auto"/>
          <w:spacing w:val="-3"/>
          <w:highlight w:val="none"/>
        </w:rPr>
        <w:t>名</w:t>
      </w:r>
      <w:r>
        <w:rPr>
          <w:rFonts w:hint="eastAsia"/>
          <w:color w:val="auto"/>
          <w:highlight w:val="none"/>
        </w:rPr>
        <w:t>称</w:t>
      </w:r>
      <w:r>
        <w:rPr>
          <w:rFonts w:hint="eastAsia"/>
          <w:color w:val="auto"/>
          <w:spacing w:val="-3"/>
          <w:highlight w:val="none"/>
        </w:rPr>
        <w:t>）</w:t>
      </w:r>
      <w:r>
        <w:rPr>
          <w:rFonts w:hint="eastAsia"/>
          <w:color w:val="auto"/>
          <w:highlight w:val="none"/>
        </w:rPr>
        <w:t>的</w:t>
      </w:r>
      <w:r>
        <w:rPr>
          <w:rFonts w:hint="eastAsia"/>
          <w:color w:val="auto"/>
          <w:spacing w:val="-3"/>
          <w:highlight w:val="none"/>
        </w:rPr>
        <w:t>法定</w:t>
      </w:r>
      <w:r>
        <w:rPr>
          <w:rFonts w:hint="eastAsia"/>
          <w:color w:val="auto"/>
          <w:highlight w:val="none"/>
        </w:rPr>
        <w:t>代表</w:t>
      </w:r>
      <w:r>
        <w:rPr>
          <w:rFonts w:hint="eastAsia"/>
          <w:color w:val="auto"/>
          <w:spacing w:val="-3"/>
          <w:highlight w:val="none"/>
        </w:rPr>
        <w:t>人</w:t>
      </w:r>
      <w:r>
        <w:rPr>
          <w:rFonts w:hint="eastAsia"/>
          <w:color w:val="auto"/>
          <w:highlight w:val="none"/>
        </w:rPr>
        <w:t>。</w:t>
      </w:r>
    </w:p>
    <w:p>
      <w:pPr>
        <w:pStyle w:val="10"/>
        <w:spacing w:before="170" w:line="360" w:lineRule="auto"/>
        <w:ind w:left="660"/>
        <w:rPr>
          <w:color w:val="auto"/>
          <w:highlight w:val="none"/>
        </w:rPr>
      </w:pPr>
      <w:r>
        <w:rPr>
          <w:rFonts w:hint="eastAsia"/>
          <w:color w:val="auto"/>
          <w:highlight w:val="none"/>
        </w:rPr>
        <w:t>特此证明。</w:t>
      </w:r>
    </w:p>
    <w:p>
      <w:pPr>
        <w:pStyle w:val="10"/>
        <w:spacing w:line="360" w:lineRule="auto"/>
        <w:rPr>
          <w:color w:val="auto"/>
          <w:sz w:val="20"/>
          <w:highlight w:val="none"/>
        </w:rPr>
      </w:pPr>
    </w:p>
    <w:p>
      <w:pPr>
        <w:pStyle w:val="10"/>
        <w:spacing w:before="10" w:line="360" w:lineRule="auto"/>
        <w:rPr>
          <w:color w:val="auto"/>
          <w:sz w:val="27"/>
          <w:highlight w:val="none"/>
        </w:rPr>
      </w:pPr>
    </w:p>
    <w:p>
      <w:pPr>
        <w:pStyle w:val="10"/>
        <w:spacing w:line="360" w:lineRule="auto"/>
        <w:ind w:left="240"/>
        <w:rPr>
          <w:color w:val="auto"/>
          <w:highlight w:val="none"/>
        </w:rPr>
      </w:pPr>
      <w:r>
        <w:rPr>
          <w:rFonts w:hint="eastAsia"/>
          <w:color w:val="auto"/>
          <w:highlight w:val="none"/>
        </w:rPr>
        <w:t>附：法定代表人身份证正反面原件清晰扫描件。</w:t>
      </w:r>
    </w:p>
    <w:p>
      <w:pPr>
        <w:pStyle w:val="10"/>
        <w:spacing w:line="360" w:lineRule="auto"/>
        <w:rPr>
          <w:color w:val="auto"/>
          <w:sz w:val="20"/>
          <w:highlight w:val="none"/>
        </w:rPr>
      </w:pPr>
    </w:p>
    <w:p>
      <w:pPr>
        <w:pStyle w:val="10"/>
        <w:spacing w:before="7" w:line="360" w:lineRule="auto"/>
        <w:rPr>
          <w:color w:val="auto"/>
          <w:sz w:val="27"/>
          <w:highlight w:val="none"/>
        </w:rPr>
      </w:pPr>
    </w:p>
    <w:p>
      <w:pPr>
        <w:pStyle w:val="10"/>
        <w:spacing w:line="360" w:lineRule="auto"/>
        <w:ind w:left="240"/>
        <w:rPr>
          <w:color w:val="auto"/>
          <w:highlight w:val="none"/>
        </w:rPr>
      </w:pPr>
      <w:r>
        <w:rPr>
          <w:rFonts w:hint="eastAsia"/>
          <w:color w:val="auto"/>
          <w:highlight w:val="none"/>
        </w:rPr>
        <w:t>注：本身份证明需由投标人加盖单位公章。</w:t>
      </w:r>
    </w:p>
    <w:p>
      <w:pPr>
        <w:pStyle w:val="10"/>
        <w:spacing w:line="360" w:lineRule="auto"/>
        <w:rPr>
          <w:color w:val="auto"/>
          <w:sz w:val="20"/>
          <w:highlight w:val="none"/>
        </w:rPr>
      </w:pPr>
    </w:p>
    <w:p>
      <w:pPr>
        <w:pStyle w:val="10"/>
        <w:spacing w:line="360" w:lineRule="auto"/>
        <w:rPr>
          <w:color w:val="auto"/>
          <w:sz w:val="20"/>
          <w:highlight w:val="none"/>
        </w:rPr>
      </w:pPr>
    </w:p>
    <w:p>
      <w:pPr>
        <w:pStyle w:val="10"/>
        <w:spacing w:line="360" w:lineRule="auto"/>
        <w:rPr>
          <w:color w:val="auto"/>
          <w:sz w:val="20"/>
          <w:highlight w:val="none"/>
        </w:rPr>
      </w:pPr>
    </w:p>
    <w:p>
      <w:pPr>
        <w:pStyle w:val="10"/>
        <w:spacing w:before="12" w:line="360" w:lineRule="auto"/>
        <w:rPr>
          <w:color w:val="auto"/>
          <w:sz w:val="15"/>
          <w:highlight w:val="none"/>
        </w:rPr>
      </w:pPr>
    </w:p>
    <w:p>
      <w:pPr>
        <w:pStyle w:val="10"/>
        <w:tabs>
          <w:tab w:val="left" w:pos="6661"/>
        </w:tabs>
        <w:spacing w:before="79" w:line="360" w:lineRule="auto"/>
        <w:ind w:left="4352"/>
        <w:rPr>
          <w:color w:val="auto"/>
          <w:highlight w:val="none"/>
        </w:rPr>
      </w:pPr>
      <w:r>
        <w:rPr>
          <w:rFonts w:hint="eastAsia"/>
          <w:color w:val="auto"/>
          <w:spacing w:val="-3"/>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pPr>
        <w:pStyle w:val="10"/>
        <w:spacing w:line="360" w:lineRule="auto"/>
        <w:rPr>
          <w:color w:val="auto"/>
          <w:sz w:val="20"/>
          <w:highlight w:val="none"/>
        </w:rPr>
      </w:pPr>
    </w:p>
    <w:p>
      <w:pPr>
        <w:pStyle w:val="10"/>
        <w:spacing w:before="1" w:line="360" w:lineRule="auto"/>
        <w:rPr>
          <w:color w:val="auto"/>
          <w:sz w:val="22"/>
          <w:highlight w:val="none"/>
        </w:rPr>
      </w:pPr>
    </w:p>
    <w:p>
      <w:pPr>
        <w:pStyle w:val="10"/>
        <w:tabs>
          <w:tab w:val="left" w:pos="5492"/>
          <w:tab w:val="left" w:pos="6332"/>
          <w:tab w:val="left" w:pos="7172"/>
        </w:tabs>
        <w:spacing w:before="72" w:line="360" w:lineRule="auto"/>
        <w:ind w:left="4861"/>
        <w:rPr>
          <w:color w:val="auto"/>
          <w:highlight w:val="none"/>
        </w:rPr>
      </w:pP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月</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日</w:t>
      </w:r>
    </w:p>
    <w:p>
      <w:pPr>
        <w:spacing w:line="360" w:lineRule="auto"/>
        <w:rPr>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9462" w:type="dxa"/>
          </w:tcPr>
          <w:p>
            <w:pPr>
              <w:pStyle w:val="10"/>
              <w:spacing w:line="360" w:lineRule="auto"/>
              <w:ind w:left="240"/>
              <w:jc w:val="both"/>
              <w:rPr>
                <w:color w:val="auto"/>
                <w:highlight w:val="none"/>
              </w:rPr>
            </w:pPr>
            <w:r>
              <w:rPr>
                <w:rFonts w:hint="eastAsia"/>
                <w:color w:val="auto"/>
                <w:highlight w:val="none"/>
              </w:rPr>
              <w:t>附：法定代表人身份证正反面原件清晰扫描件。</w:t>
            </w:r>
          </w:p>
          <w:p>
            <w:pPr>
              <w:pStyle w:val="18"/>
              <w:rPr>
                <w:color w:val="auto"/>
                <w:highlight w:val="none"/>
              </w:rPr>
            </w:pPr>
          </w:p>
        </w:tc>
      </w:tr>
    </w:tbl>
    <w:p>
      <w:pPr>
        <w:pStyle w:val="18"/>
        <w:rPr>
          <w:color w:val="auto"/>
          <w:highlight w:val="none"/>
        </w:rPr>
        <w:sectPr>
          <w:pgSz w:w="11906" w:h="16838"/>
          <w:pgMar w:top="1400" w:right="1100" w:bottom="1120" w:left="1560" w:header="0" w:footer="841" w:gutter="0"/>
          <w:cols w:space="720" w:num="1"/>
        </w:sectPr>
      </w:pPr>
    </w:p>
    <w:p>
      <w:pPr>
        <w:spacing w:line="360" w:lineRule="auto"/>
        <w:ind w:right="456"/>
        <w:jc w:val="center"/>
        <w:outlineLvl w:val="1"/>
        <w:rPr>
          <w:b/>
          <w:color w:val="auto"/>
          <w:sz w:val="32"/>
          <w:highlight w:val="none"/>
        </w:rPr>
      </w:pPr>
      <w:bookmarkStart w:id="47" w:name="_bookmark180"/>
      <w:bookmarkEnd w:id="47"/>
      <w:r>
        <w:rPr>
          <w:rFonts w:hint="eastAsia"/>
          <w:b/>
          <w:color w:val="auto"/>
          <w:sz w:val="32"/>
          <w:highlight w:val="none"/>
        </w:rPr>
        <w:t>三、授权委托书（格式可自拟）</w:t>
      </w:r>
    </w:p>
    <w:p>
      <w:pPr>
        <w:pStyle w:val="10"/>
        <w:spacing w:line="360" w:lineRule="auto"/>
        <w:rPr>
          <w:b/>
          <w:color w:val="auto"/>
          <w:sz w:val="32"/>
          <w:highlight w:val="none"/>
        </w:rPr>
      </w:pPr>
    </w:p>
    <w:p>
      <w:pPr>
        <w:pStyle w:val="10"/>
        <w:spacing w:before="5" w:line="360" w:lineRule="auto"/>
        <w:rPr>
          <w:b/>
          <w:color w:val="auto"/>
          <w:sz w:val="26"/>
          <w:highlight w:val="none"/>
        </w:rPr>
      </w:pPr>
    </w:p>
    <w:p>
      <w:pPr>
        <w:pStyle w:val="10"/>
        <w:tabs>
          <w:tab w:val="left" w:pos="2561"/>
          <w:tab w:val="left" w:pos="5725"/>
        </w:tabs>
        <w:spacing w:line="400" w:lineRule="exact"/>
        <w:ind w:left="660"/>
        <w:rPr>
          <w:color w:val="auto"/>
          <w:highlight w:val="none"/>
        </w:rPr>
      </w:pPr>
      <w:r>
        <w:rPr>
          <w:rFonts w:hint="eastAsia"/>
          <w:color w:val="auto"/>
          <w:highlight w:val="none"/>
        </w:rPr>
        <w:t>本人</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w:t>
      </w:r>
      <w:r>
        <w:rPr>
          <w:rFonts w:hint="eastAsia"/>
          <w:color w:val="auto"/>
          <w:spacing w:val="-3"/>
          <w:highlight w:val="none"/>
        </w:rPr>
        <w:t>姓</w:t>
      </w:r>
      <w:r>
        <w:rPr>
          <w:rFonts w:hint="eastAsia"/>
          <w:color w:val="auto"/>
          <w:highlight w:val="none"/>
        </w:rPr>
        <w:t>名）系</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（投标人</w:t>
      </w:r>
      <w:r>
        <w:rPr>
          <w:rFonts w:hint="eastAsia"/>
          <w:color w:val="auto"/>
          <w:spacing w:val="-3"/>
          <w:highlight w:val="none"/>
        </w:rPr>
        <w:t>名</w:t>
      </w:r>
      <w:r>
        <w:rPr>
          <w:rFonts w:hint="eastAsia"/>
          <w:color w:val="auto"/>
          <w:highlight w:val="none"/>
        </w:rPr>
        <w:t>称）的</w:t>
      </w:r>
      <w:r>
        <w:rPr>
          <w:rFonts w:hint="eastAsia"/>
          <w:color w:val="auto"/>
          <w:spacing w:val="-3"/>
          <w:highlight w:val="none"/>
        </w:rPr>
        <w:t>法定</w:t>
      </w:r>
      <w:r>
        <w:rPr>
          <w:rFonts w:hint="eastAsia"/>
          <w:color w:val="auto"/>
          <w:highlight w:val="none"/>
        </w:rPr>
        <w:t>代表人</w:t>
      </w:r>
      <w:r>
        <w:rPr>
          <w:rFonts w:hint="eastAsia"/>
          <w:color w:val="auto"/>
          <w:spacing w:val="-3"/>
          <w:highlight w:val="none"/>
        </w:rPr>
        <w:t>，</w:t>
      </w:r>
      <w:r>
        <w:rPr>
          <w:rFonts w:hint="eastAsia"/>
          <w:color w:val="auto"/>
          <w:highlight w:val="none"/>
        </w:rPr>
        <w:t>现</w:t>
      </w:r>
    </w:p>
    <w:p>
      <w:pPr>
        <w:pStyle w:val="10"/>
        <w:tabs>
          <w:tab w:val="left" w:pos="1929"/>
        </w:tabs>
        <w:spacing w:line="400" w:lineRule="exact"/>
        <w:ind w:left="240"/>
        <w:rPr>
          <w:color w:val="auto"/>
          <w:highlight w:val="none"/>
        </w:rPr>
      </w:pPr>
      <w:r>
        <w:rPr>
          <w:rFonts w:hint="eastAsia"/>
          <w:color w:val="auto"/>
          <w:highlight w:val="none"/>
        </w:rPr>
        <w:t>委托</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（姓</w:t>
      </w:r>
      <w:r>
        <w:rPr>
          <w:rFonts w:hint="eastAsia"/>
          <w:color w:val="auto"/>
          <w:spacing w:val="-3"/>
          <w:highlight w:val="none"/>
        </w:rPr>
        <w:t>名</w:t>
      </w:r>
      <w:r>
        <w:rPr>
          <w:rFonts w:hint="eastAsia"/>
          <w:color w:val="auto"/>
          <w:highlight w:val="none"/>
        </w:rPr>
        <w:t>）为我方代</w:t>
      </w:r>
      <w:r>
        <w:rPr>
          <w:rFonts w:hint="eastAsia"/>
          <w:color w:val="auto"/>
          <w:spacing w:val="-3"/>
          <w:highlight w:val="none"/>
        </w:rPr>
        <w:t>理</w:t>
      </w:r>
      <w:r>
        <w:rPr>
          <w:rFonts w:hint="eastAsia"/>
          <w:color w:val="auto"/>
          <w:highlight w:val="none"/>
        </w:rPr>
        <w:t>人。代理</w:t>
      </w:r>
      <w:r>
        <w:rPr>
          <w:rFonts w:hint="eastAsia"/>
          <w:color w:val="auto"/>
          <w:spacing w:val="-3"/>
          <w:highlight w:val="none"/>
        </w:rPr>
        <w:t>人</w:t>
      </w:r>
      <w:r>
        <w:rPr>
          <w:rFonts w:hint="eastAsia"/>
          <w:color w:val="auto"/>
          <w:highlight w:val="none"/>
        </w:rPr>
        <w:t>根据授权，</w:t>
      </w:r>
      <w:r>
        <w:rPr>
          <w:rFonts w:hint="eastAsia"/>
          <w:color w:val="auto"/>
          <w:spacing w:val="-3"/>
          <w:highlight w:val="none"/>
        </w:rPr>
        <w:t>以</w:t>
      </w:r>
      <w:r>
        <w:rPr>
          <w:rFonts w:hint="eastAsia"/>
          <w:color w:val="auto"/>
          <w:highlight w:val="none"/>
        </w:rPr>
        <w:t>我方名义</w:t>
      </w:r>
      <w:r>
        <w:rPr>
          <w:rFonts w:hint="eastAsia"/>
          <w:color w:val="auto"/>
          <w:spacing w:val="-3"/>
          <w:highlight w:val="none"/>
        </w:rPr>
        <w:t>签</w:t>
      </w:r>
      <w:r>
        <w:rPr>
          <w:rFonts w:hint="eastAsia"/>
          <w:color w:val="auto"/>
          <w:highlight w:val="none"/>
        </w:rPr>
        <w:t>署、澄清确</w:t>
      </w:r>
      <w:r>
        <w:rPr>
          <w:rFonts w:hint="eastAsia"/>
          <w:color w:val="auto"/>
          <w:spacing w:val="-3"/>
          <w:highlight w:val="none"/>
        </w:rPr>
        <w:t>认</w:t>
      </w:r>
      <w:r>
        <w:rPr>
          <w:rFonts w:hint="eastAsia"/>
          <w:color w:val="auto"/>
          <w:highlight w:val="none"/>
        </w:rPr>
        <w:t>、递</w:t>
      </w:r>
    </w:p>
    <w:p>
      <w:pPr>
        <w:pStyle w:val="10"/>
        <w:tabs>
          <w:tab w:val="left" w:pos="3706"/>
        </w:tabs>
        <w:spacing w:line="400" w:lineRule="exact"/>
        <w:ind w:left="240" w:right="720"/>
        <w:rPr>
          <w:color w:val="auto"/>
          <w:highlight w:val="none"/>
        </w:rPr>
      </w:pPr>
      <w:r>
        <w:rPr>
          <w:rFonts w:hint="eastAsia"/>
          <w:color w:val="auto"/>
          <w:highlight w:val="none"/>
        </w:rPr>
        <w:t>交、</w:t>
      </w:r>
      <w:r>
        <w:rPr>
          <w:rFonts w:hint="eastAsia"/>
          <w:color w:val="auto"/>
          <w:spacing w:val="-3"/>
          <w:highlight w:val="none"/>
        </w:rPr>
        <w:t>撤</w:t>
      </w:r>
      <w:r>
        <w:rPr>
          <w:rFonts w:hint="eastAsia"/>
          <w:color w:val="auto"/>
          <w:highlight w:val="none"/>
        </w:rPr>
        <w:t>回</w:t>
      </w:r>
      <w:r>
        <w:rPr>
          <w:rFonts w:hint="eastAsia"/>
          <w:color w:val="auto"/>
          <w:spacing w:val="-3"/>
          <w:highlight w:val="none"/>
        </w:rPr>
        <w:t>、</w:t>
      </w:r>
      <w:r>
        <w:rPr>
          <w:rFonts w:hint="eastAsia"/>
          <w:color w:val="auto"/>
          <w:highlight w:val="none"/>
        </w:rPr>
        <w:t>修</w:t>
      </w:r>
      <w:r>
        <w:rPr>
          <w:rFonts w:hint="eastAsia"/>
          <w:color w:val="auto"/>
          <w:spacing w:val="-3"/>
          <w:highlight w:val="none"/>
        </w:rPr>
        <w:t>改</w:t>
      </w:r>
      <w:r>
        <w:rPr>
          <w:rFonts w:hint="eastAsia"/>
          <w:color w:val="auto"/>
          <w:highlight w:val="none"/>
        </w:rPr>
        <w:t>监</w:t>
      </w:r>
      <w:r>
        <w:rPr>
          <w:rFonts w:hint="eastAsia"/>
          <w:color w:val="auto"/>
          <w:spacing w:val="-3"/>
          <w:highlight w:val="none"/>
        </w:rPr>
        <w:t>理</w:t>
      </w:r>
      <w:r>
        <w:rPr>
          <w:rFonts w:hint="eastAsia"/>
          <w:color w:val="auto"/>
          <w:highlight w:val="none"/>
        </w:rPr>
        <w:t>招</w:t>
      </w:r>
      <w:r>
        <w:rPr>
          <w:rFonts w:hint="eastAsia"/>
          <w:color w:val="auto"/>
          <w:spacing w:val="-3"/>
          <w:highlight w:val="none"/>
        </w:rPr>
        <w:t>标</w:t>
      </w:r>
      <w:r>
        <w:rPr>
          <w:rFonts w:hint="eastAsia"/>
          <w:color w:val="auto"/>
          <w:highlight w:val="none"/>
        </w:rPr>
        <w:t>项目</w:t>
      </w:r>
      <w:r>
        <w:rPr>
          <w:rFonts w:hint="eastAsia"/>
          <w:color w:val="auto"/>
          <w:spacing w:val="-3"/>
          <w:highlight w:val="none"/>
        </w:rPr>
        <w:t>投</w:t>
      </w:r>
      <w:r>
        <w:rPr>
          <w:rFonts w:hint="eastAsia"/>
          <w:color w:val="auto"/>
          <w:highlight w:val="none"/>
        </w:rPr>
        <w:t>标</w:t>
      </w:r>
      <w:r>
        <w:rPr>
          <w:rFonts w:hint="eastAsia"/>
          <w:color w:val="auto"/>
          <w:spacing w:val="-3"/>
          <w:highlight w:val="none"/>
        </w:rPr>
        <w:t>文</w:t>
      </w:r>
      <w:r>
        <w:rPr>
          <w:rFonts w:hint="eastAsia"/>
          <w:color w:val="auto"/>
          <w:highlight w:val="none"/>
        </w:rPr>
        <w:t>件</w:t>
      </w:r>
      <w:r>
        <w:rPr>
          <w:rFonts w:hint="eastAsia"/>
          <w:color w:val="auto"/>
          <w:spacing w:val="-3"/>
          <w:highlight w:val="none"/>
        </w:rPr>
        <w:t>、</w:t>
      </w:r>
      <w:r>
        <w:rPr>
          <w:rFonts w:hint="eastAsia"/>
          <w:color w:val="auto"/>
          <w:highlight w:val="none"/>
        </w:rPr>
        <w:t>签</w:t>
      </w:r>
      <w:r>
        <w:rPr>
          <w:rFonts w:hint="eastAsia"/>
          <w:color w:val="auto"/>
          <w:spacing w:val="-3"/>
          <w:highlight w:val="none"/>
        </w:rPr>
        <w:t>订</w:t>
      </w:r>
      <w:r>
        <w:rPr>
          <w:rFonts w:hint="eastAsia"/>
          <w:color w:val="auto"/>
          <w:highlight w:val="none"/>
        </w:rPr>
        <w:t>合</w:t>
      </w:r>
      <w:r>
        <w:rPr>
          <w:rFonts w:hint="eastAsia"/>
          <w:color w:val="auto"/>
          <w:spacing w:val="-3"/>
          <w:highlight w:val="none"/>
        </w:rPr>
        <w:t>同</w:t>
      </w:r>
      <w:r>
        <w:rPr>
          <w:rFonts w:hint="eastAsia"/>
          <w:color w:val="auto"/>
          <w:highlight w:val="none"/>
        </w:rPr>
        <w:t>和处</w:t>
      </w:r>
      <w:r>
        <w:rPr>
          <w:rFonts w:hint="eastAsia"/>
          <w:color w:val="auto"/>
          <w:spacing w:val="-3"/>
          <w:highlight w:val="none"/>
        </w:rPr>
        <w:t>理</w:t>
      </w:r>
      <w:r>
        <w:rPr>
          <w:rFonts w:hint="eastAsia"/>
          <w:color w:val="auto"/>
          <w:highlight w:val="none"/>
        </w:rPr>
        <w:t>有</w:t>
      </w:r>
      <w:r>
        <w:rPr>
          <w:rFonts w:hint="eastAsia"/>
          <w:color w:val="auto"/>
          <w:spacing w:val="-3"/>
          <w:highlight w:val="none"/>
        </w:rPr>
        <w:t>关</w:t>
      </w:r>
      <w:r>
        <w:rPr>
          <w:rFonts w:hint="eastAsia"/>
          <w:color w:val="auto"/>
          <w:highlight w:val="none"/>
        </w:rPr>
        <w:t>事</w:t>
      </w:r>
      <w:r>
        <w:rPr>
          <w:rFonts w:hint="eastAsia"/>
          <w:color w:val="auto"/>
          <w:spacing w:val="-3"/>
          <w:highlight w:val="none"/>
        </w:rPr>
        <w:t>宜</w:t>
      </w:r>
      <w:r>
        <w:rPr>
          <w:rFonts w:hint="eastAsia"/>
          <w:color w:val="auto"/>
          <w:highlight w:val="none"/>
        </w:rPr>
        <w:t>，</w:t>
      </w:r>
      <w:r>
        <w:rPr>
          <w:rFonts w:hint="eastAsia"/>
          <w:color w:val="auto"/>
          <w:spacing w:val="-3"/>
          <w:highlight w:val="none"/>
        </w:rPr>
        <w:t>其</w:t>
      </w:r>
      <w:r>
        <w:rPr>
          <w:rFonts w:hint="eastAsia"/>
          <w:color w:val="auto"/>
          <w:highlight w:val="none"/>
        </w:rPr>
        <w:t>法</w:t>
      </w:r>
      <w:r>
        <w:rPr>
          <w:rFonts w:hint="eastAsia"/>
          <w:color w:val="auto"/>
          <w:spacing w:val="-3"/>
          <w:highlight w:val="none"/>
        </w:rPr>
        <w:t>律</w:t>
      </w:r>
      <w:r>
        <w:rPr>
          <w:rFonts w:hint="eastAsia"/>
          <w:color w:val="auto"/>
          <w:highlight w:val="none"/>
        </w:rPr>
        <w:t>后果</w:t>
      </w:r>
      <w:r>
        <w:rPr>
          <w:rFonts w:hint="eastAsia"/>
          <w:color w:val="auto"/>
          <w:spacing w:val="-3"/>
          <w:highlight w:val="none"/>
        </w:rPr>
        <w:t>由</w:t>
      </w:r>
      <w:r>
        <w:rPr>
          <w:rFonts w:hint="eastAsia"/>
          <w:color w:val="auto"/>
          <w:highlight w:val="none"/>
        </w:rPr>
        <w:t>我</w:t>
      </w:r>
      <w:r>
        <w:rPr>
          <w:rFonts w:hint="eastAsia"/>
          <w:color w:val="auto"/>
          <w:spacing w:val="-3"/>
          <w:highlight w:val="none"/>
        </w:rPr>
        <w:t>方</w:t>
      </w:r>
      <w:r>
        <w:rPr>
          <w:rFonts w:hint="eastAsia"/>
          <w:color w:val="auto"/>
          <w:highlight w:val="none"/>
        </w:rPr>
        <w:t>承</w:t>
      </w:r>
      <w:r>
        <w:rPr>
          <w:rFonts w:hint="eastAsia"/>
          <w:color w:val="auto"/>
          <w:spacing w:val="-3"/>
          <w:highlight w:val="none"/>
        </w:rPr>
        <w:t>担</w:t>
      </w:r>
      <w:r>
        <w:rPr>
          <w:rFonts w:hint="eastAsia"/>
          <w:color w:val="auto"/>
          <w:highlight w:val="none"/>
        </w:rPr>
        <w:t>。委托</w:t>
      </w:r>
      <w:r>
        <w:rPr>
          <w:rFonts w:hint="eastAsia"/>
          <w:color w:val="auto"/>
          <w:spacing w:val="-3"/>
          <w:highlight w:val="none"/>
        </w:rPr>
        <w:t>期</w:t>
      </w:r>
      <w:r>
        <w:rPr>
          <w:rFonts w:hint="eastAsia"/>
          <w:color w:val="auto"/>
          <w:highlight w:val="none"/>
        </w:rPr>
        <w:t>限</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w:t>
      </w:r>
    </w:p>
    <w:p>
      <w:pPr>
        <w:pStyle w:val="10"/>
        <w:spacing w:line="400" w:lineRule="exact"/>
        <w:ind w:left="660"/>
        <w:rPr>
          <w:color w:val="auto"/>
          <w:highlight w:val="none"/>
        </w:rPr>
      </w:pPr>
      <w:r>
        <w:rPr>
          <w:rFonts w:hint="eastAsia"/>
          <w:color w:val="auto"/>
          <w:highlight w:val="none"/>
        </w:rPr>
        <w:t>代理人无转委托权。</w:t>
      </w:r>
    </w:p>
    <w:p>
      <w:pPr>
        <w:pStyle w:val="10"/>
        <w:spacing w:line="360" w:lineRule="auto"/>
        <w:rPr>
          <w:color w:val="auto"/>
          <w:sz w:val="20"/>
          <w:highlight w:val="none"/>
        </w:rPr>
      </w:pPr>
    </w:p>
    <w:p>
      <w:pPr>
        <w:pStyle w:val="10"/>
        <w:spacing w:before="9" w:line="360" w:lineRule="auto"/>
        <w:rPr>
          <w:color w:val="auto"/>
          <w:sz w:val="27"/>
          <w:highlight w:val="none"/>
        </w:rPr>
      </w:pPr>
    </w:p>
    <w:p>
      <w:pPr>
        <w:pStyle w:val="10"/>
        <w:spacing w:line="360" w:lineRule="auto"/>
        <w:ind w:left="240"/>
        <w:rPr>
          <w:color w:val="auto"/>
          <w:highlight w:val="none"/>
        </w:rPr>
      </w:pPr>
      <w:r>
        <w:rPr>
          <w:rFonts w:hint="eastAsia"/>
          <w:color w:val="auto"/>
          <w:highlight w:val="none"/>
        </w:rPr>
        <w:t>附：法定代表人身份证正反面原件清晰扫描件及委托代理人身份证正反面原件清晰扫描件</w:t>
      </w:r>
    </w:p>
    <w:p>
      <w:pPr>
        <w:pStyle w:val="10"/>
        <w:spacing w:line="360" w:lineRule="auto"/>
        <w:rPr>
          <w:color w:val="auto"/>
          <w:sz w:val="20"/>
          <w:highlight w:val="none"/>
        </w:rPr>
      </w:pPr>
    </w:p>
    <w:p>
      <w:pPr>
        <w:pStyle w:val="10"/>
        <w:spacing w:before="7" w:line="360" w:lineRule="auto"/>
        <w:rPr>
          <w:color w:val="auto"/>
          <w:sz w:val="27"/>
          <w:highlight w:val="none"/>
        </w:rPr>
      </w:pPr>
    </w:p>
    <w:p>
      <w:pPr>
        <w:pStyle w:val="10"/>
        <w:spacing w:line="360" w:lineRule="auto"/>
        <w:ind w:left="240"/>
        <w:rPr>
          <w:color w:val="auto"/>
          <w:highlight w:val="none"/>
        </w:rPr>
      </w:pPr>
      <w:r>
        <w:rPr>
          <w:rFonts w:hint="eastAsia"/>
          <w:color w:val="auto"/>
          <w:highlight w:val="none"/>
        </w:rPr>
        <w:t>注：本授权委托书需由投标人加盖单位公章并由其法定代表人和委托代理人签字</w:t>
      </w:r>
      <w:r>
        <w:rPr>
          <w:rFonts w:hint="eastAsia"/>
          <w:color w:val="auto"/>
          <w:highlight w:val="none"/>
        </w:rPr>
        <w:t>或盖章</w:t>
      </w:r>
      <w:r>
        <w:rPr>
          <w:rFonts w:hint="eastAsia"/>
          <w:color w:val="auto"/>
          <w:highlight w:val="none"/>
        </w:rPr>
        <w:t>。</w:t>
      </w:r>
    </w:p>
    <w:p>
      <w:pPr>
        <w:pStyle w:val="10"/>
        <w:spacing w:line="360" w:lineRule="auto"/>
        <w:rPr>
          <w:color w:val="auto"/>
          <w:sz w:val="20"/>
          <w:highlight w:val="none"/>
        </w:rPr>
      </w:pPr>
    </w:p>
    <w:p>
      <w:pPr>
        <w:pStyle w:val="10"/>
        <w:spacing w:before="10" w:line="360" w:lineRule="auto"/>
        <w:rPr>
          <w:color w:val="auto"/>
          <w:sz w:val="27"/>
          <w:highlight w:val="none"/>
        </w:rPr>
      </w:pPr>
    </w:p>
    <w:p>
      <w:pPr>
        <w:pStyle w:val="10"/>
        <w:tabs>
          <w:tab w:val="left" w:pos="3356"/>
          <w:tab w:val="left" w:pos="3776"/>
          <w:tab w:val="left" w:pos="7381"/>
        </w:tabs>
        <w:spacing w:line="360" w:lineRule="auto"/>
        <w:ind w:left="2933"/>
        <w:rPr>
          <w:color w:val="auto"/>
          <w:highlight w:val="none"/>
        </w:rPr>
      </w:pPr>
      <w:r>
        <w:rPr>
          <w:rFonts w:hint="eastAsia"/>
          <w:color w:val="auto"/>
          <w:highlight w:val="none"/>
        </w:rPr>
        <w:t>投</w:t>
      </w:r>
      <w:r>
        <w:rPr>
          <w:rFonts w:hint="eastAsia"/>
          <w:color w:val="auto"/>
          <w:highlight w:val="none"/>
        </w:rPr>
        <w:tab/>
      </w:r>
      <w:r>
        <w:rPr>
          <w:rFonts w:hint="eastAsia"/>
          <w:color w:val="auto"/>
          <w:highlight w:val="none"/>
        </w:rPr>
        <w:t>标</w:t>
      </w:r>
      <w:r>
        <w:rPr>
          <w:rFonts w:hint="eastAsia"/>
          <w:color w:val="auto"/>
          <w:highlight w:val="none"/>
        </w:rPr>
        <w:tab/>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pPr>
        <w:pStyle w:val="10"/>
        <w:tabs>
          <w:tab w:val="left" w:pos="6541"/>
        </w:tabs>
        <w:spacing w:before="79" w:line="360" w:lineRule="auto"/>
        <w:ind w:left="2931"/>
        <w:rPr>
          <w:color w:val="auto"/>
          <w:highlight w:val="none"/>
        </w:rPr>
      </w:pP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（签</w:t>
      </w:r>
      <w:r>
        <w:rPr>
          <w:rFonts w:hint="eastAsia"/>
          <w:color w:val="auto"/>
          <w:spacing w:val="-3"/>
          <w:highlight w:val="none"/>
        </w:rPr>
        <w:t>字</w:t>
      </w:r>
      <w:r>
        <w:rPr>
          <w:rFonts w:hint="eastAsia"/>
          <w:color w:val="auto"/>
          <w:spacing w:val="-3"/>
          <w:highlight w:val="none"/>
        </w:rPr>
        <w:t>或盖章</w:t>
      </w:r>
      <w:r>
        <w:rPr>
          <w:rFonts w:hint="eastAsia"/>
          <w:color w:val="auto"/>
          <w:highlight w:val="none"/>
        </w:rPr>
        <w:t>）</w:t>
      </w:r>
    </w:p>
    <w:p>
      <w:pPr>
        <w:pStyle w:val="10"/>
        <w:tabs>
          <w:tab w:val="left" w:pos="8689"/>
        </w:tabs>
        <w:spacing w:before="79" w:line="360" w:lineRule="auto"/>
        <w:ind w:left="2933"/>
        <w:rPr>
          <w:color w:val="auto"/>
          <w:highlight w:val="none"/>
        </w:rPr>
      </w:pPr>
      <w:r>
        <w:rPr>
          <w:rFonts w:hint="eastAsia"/>
          <w:color w:val="auto"/>
          <w:highlight w:val="none"/>
        </w:rPr>
        <w:t>身份</w:t>
      </w:r>
      <w:r>
        <w:rPr>
          <w:rFonts w:hint="eastAsia"/>
          <w:color w:val="auto"/>
          <w:spacing w:val="-3"/>
          <w:highlight w:val="none"/>
        </w:rPr>
        <w:t>证</w:t>
      </w:r>
      <w:r>
        <w:rPr>
          <w:rFonts w:hint="eastAsia"/>
          <w:color w:val="auto"/>
          <w:highlight w:val="none"/>
        </w:rPr>
        <w:t>号</w:t>
      </w:r>
      <w:r>
        <w:rPr>
          <w:rFonts w:hint="eastAsia"/>
          <w:color w:val="auto"/>
          <w:spacing w:val="-3"/>
          <w:highlight w:val="none"/>
        </w:rPr>
        <w:t>码：</w:t>
      </w:r>
      <w:r>
        <w:rPr>
          <w:rFonts w:hint="eastAsia"/>
          <w:color w:val="auto"/>
          <w:highlight w:val="none"/>
          <w:u w:val="single"/>
        </w:rPr>
        <w:t xml:space="preserve"> </w:t>
      </w:r>
      <w:r>
        <w:rPr>
          <w:rFonts w:hint="eastAsia"/>
          <w:color w:val="auto"/>
          <w:highlight w:val="none"/>
          <w:u w:val="single"/>
        </w:rPr>
        <w:tab/>
      </w:r>
    </w:p>
    <w:p>
      <w:pPr>
        <w:pStyle w:val="10"/>
        <w:tabs>
          <w:tab w:val="left" w:pos="7801"/>
        </w:tabs>
        <w:spacing w:before="79" w:line="360" w:lineRule="auto"/>
        <w:ind w:left="2933"/>
        <w:rPr>
          <w:color w:val="auto"/>
          <w:highlight w:val="none"/>
        </w:rPr>
      </w:pPr>
      <w:r>
        <w:rPr>
          <w:rFonts w:hint="eastAsia"/>
          <w:color w:val="auto"/>
          <w:highlight w:val="none"/>
        </w:rPr>
        <w:t>委托</w:t>
      </w:r>
      <w:r>
        <w:rPr>
          <w:rFonts w:hint="eastAsia"/>
          <w:color w:val="auto"/>
          <w:spacing w:val="-3"/>
          <w:highlight w:val="none"/>
        </w:rPr>
        <w:t>代</w:t>
      </w:r>
      <w:r>
        <w:rPr>
          <w:rFonts w:hint="eastAsia"/>
          <w:color w:val="auto"/>
          <w:highlight w:val="none"/>
        </w:rPr>
        <w:t>理</w:t>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（签</w:t>
      </w:r>
      <w:r>
        <w:rPr>
          <w:rFonts w:hint="eastAsia"/>
          <w:color w:val="auto"/>
          <w:spacing w:val="-3"/>
          <w:highlight w:val="none"/>
        </w:rPr>
        <w:t>字</w:t>
      </w:r>
      <w:r>
        <w:rPr>
          <w:rFonts w:hint="eastAsia"/>
          <w:color w:val="auto"/>
          <w:spacing w:val="-3"/>
          <w:highlight w:val="none"/>
        </w:rPr>
        <w:t>或盖章</w:t>
      </w:r>
      <w:r>
        <w:rPr>
          <w:rFonts w:hint="eastAsia"/>
          <w:color w:val="auto"/>
          <w:highlight w:val="none"/>
        </w:rPr>
        <w:t>）</w:t>
      </w:r>
    </w:p>
    <w:p>
      <w:pPr>
        <w:pStyle w:val="10"/>
        <w:tabs>
          <w:tab w:val="left" w:pos="8689"/>
        </w:tabs>
        <w:spacing w:before="79" w:line="360" w:lineRule="auto"/>
        <w:ind w:left="2933"/>
        <w:rPr>
          <w:color w:val="auto"/>
          <w:highlight w:val="none"/>
        </w:rPr>
      </w:pPr>
      <w:r>
        <w:rPr>
          <w:rFonts w:hint="eastAsia"/>
          <w:color w:val="auto"/>
          <w:highlight w:val="none"/>
        </w:rPr>
        <w:t>身份</w:t>
      </w:r>
      <w:r>
        <w:rPr>
          <w:rFonts w:hint="eastAsia"/>
          <w:color w:val="auto"/>
          <w:spacing w:val="-3"/>
          <w:highlight w:val="none"/>
        </w:rPr>
        <w:t>证</w:t>
      </w:r>
      <w:r>
        <w:rPr>
          <w:rFonts w:hint="eastAsia"/>
          <w:color w:val="auto"/>
          <w:highlight w:val="none"/>
        </w:rPr>
        <w:t>号</w:t>
      </w:r>
      <w:r>
        <w:rPr>
          <w:rFonts w:hint="eastAsia"/>
          <w:color w:val="auto"/>
          <w:spacing w:val="-3"/>
          <w:highlight w:val="none"/>
        </w:rPr>
        <w:t>码：</w:t>
      </w:r>
      <w:r>
        <w:rPr>
          <w:rFonts w:hint="eastAsia"/>
          <w:color w:val="auto"/>
          <w:highlight w:val="none"/>
          <w:u w:val="single"/>
        </w:rPr>
        <w:t xml:space="preserve"> </w:t>
      </w:r>
      <w:r>
        <w:rPr>
          <w:rFonts w:hint="eastAsia"/>
          <w:color w:val="auto"/>
          <w:highlight w:val="none"/>
          <w:u w:val="single"/>
        </w:rPr>
        <w:tab/>
      </w:r>
    </w:p>
    <w:p>
      <w:pPr>
        <w:pStyle w:val="10"/>
        <w:tabs>
          <w:tab w:val="left" w:pos="6783"/>
          <w:tab w:val="left" w:pos="7729"/>
          <w:tab w:val="left" w:pos="8673"/>
        </w:tabs>
        <w:spacing w:before="72" w:line="360" w:lineRule="auto"/>
        <w:ind w:left="6047"/>
        <w:rPr>
          <w:color w:val="auto"/>
          <w:highlight w:val="none"/>
        </w:rPr>
      </w:pP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spacing w:val="-3"/>
          <w:highlight w:val="none"/>
        </w:rPr>
        <w:t>月</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日</w:t>
      </w:r>
    </w:p>
    <w:p>
      <w:pPr>
        <w:spacing w:line="360" w:lineRule="auto"/>
        <w:rPr>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9462" w:type="dxa"/>
          </w:tcPr>
          <w:p>
            <w:pPr>
              <w:pStyle w:val="10"/>
              <w:spacing w:line="360" w:lineRule="auto"/>
              <w:ind w:left="240"/>
              <w:jc w:val="both"/>
              <w:rPr>
                <w:color w:val="auto"/>
                <w:highlight w:val="none"/>
              </w:rPr>
            </w:pPr>
            <w:r>
              <w:rPr>
                <w:rFonts w:hint="eastAsia"/>
                <w:color w:val="auto"/>
                <w:highlight w:val="none"/>
              </w:rPr>
              <w:t>附：法定代表人身份证正反面原件清晰扫描件及委托代理人身份证正反面原件清晰扫描件</w:t>
            </w:r>
          </w:p>
          <w:p>
            <w:pPr>
              <w:pStyle w:val="18"/>
              <w:rPr>
                <w:color w:val="auto"/>
                <w:highlight w:val="none"/>
              </w:rPr>
            </w:pPr>
          </w:p>
        </w:tc>
      </w:tr>
    </w:tbl>
    <w:p>
      <w:pPr>
        <w:pStyle w:val="18"/>
        <w:rPr>
          <w:color w:val="auto"/>
          <w:highlight w:val="none"/>
        </w:rPr>
        <w:sectPr>
          <w:pgSz w:w="11906" w:h="16838"/>
          <w:pgMar w:top="1400" w:right="1100" w:bottom="1120" w:left="1560" w:header="0" w:footer="841" w:gutter="0"/>
          <w:cols w:space="720" w:num="1"/>
        </w:sectPr>
      </w:pPr>
    </w:p>
    <w:p>
      <w:pPr>
        <w:spacing w:line="360" w:lineRule="auto"/>
        <w:ind w:right="456"/>
        <w:jc w:val="center"/>
        <w:outlineLvl w:val="1"/>
        <w:rPr>
          <w:b/>
          <w:color w:val="auto"/>
          <w:sz w:val="32"/>
          <w:highlight w:val="none"/>
        </w:rPr>
      </w:pPr>
      <w:bookmarkStart w:id="48" w:name="_bookmark181"/>
      <w:bookmarkEnd w:id="48"/>
      <w:bookmarkStart w:id="49" w:name="_bookmark182"/>
      <w:bookmarkEnd w:id="49"/>
      <w:r>
        <w:rPr>
          <w:rFonts w:hint="eastAsia"/>
          <w:b/>
          <w:color w:val="auto"/>
          <w:sz w:val="32"/>
          <w:highlight w:val="none"/>
        </w:rPr>
        <w:t>四、投标保证金（</w:t>
      </w:r>
      <w:r>
        <w:rPr>
          <w:rFonts w:hint="eastAsia"/>
          <w:b/>
          <w:color w:val="auto"/>
          <w:sz w:val="32"/>
          <w:highlight w:val="none"/>
        </w:rPr>
        <w:t>本项目不适用</w:t>
      </w:r>
      <w:r>
        <w:rPr>
          <w:rFonts w:hint="eastAsia"/>
          <w:b/>
          <w:color w:val="auto"/>
          <w:sz w:val="32"/>
          <w:highlight w:val="none"/>
        </w:rPr>
        <w:t>）</w:t>
      </w:r>
    </w:p>
    <w:p>
      <w:pPr>
        <w:pStyle w:val="10"/>
        <w:spacing w:line="360" w:lineRule="auto"/>
        <w:ind w:right="3451"/>
        <w:rPr>
          <w:color w:val="auto"/>
          <w:highlight w:val="none"/>
        </w:rPr>
      </w:pPr>
    </w:p>
    <w:p>
      <w:pPr>
        <w:pStyle w:val="10"/>
        <w:spacing w:line="360" w:lineRule="auto"/>
        <w:rPr>
          <w:color w:val="auto"/>
          <w:sz w:val="20"/>
          <w:highlight w:val="none"/>
        </w:rPr>
      </w:pPr>
    </w:p>
    <w:p>
      <w:pPr>
        <w:pStyle w:val="14"/>
        <w:spacing w:line="360" w:lineRule="auto"/>
        <w:rPr>
          <w:color w:val="auto"/>
          <w:highlight w:val="none"/>
        </w:rPr>
      </w:pPr>
      <w:r>
        <w:rPr>
          <w:rFonts w:hint="eastAsia"/>
          <w:color w:val="auto"/>
          <w:highlight w:val="none"/>
        </w:rPr>
        <w:t>注：如采用现金或者支票形式提交由广州交易集团有限公司（广州公共资源交易中心）代收的，或采用广州交易集团有限公司（广州公共资源交易中心）电子形式的保函、担保或保证保险提交的，以投标文件递交截止时间后在广州交易集团有限公司（广州公共资源交易中心）数据库查询的投标保证金递交情况为准，投标人不需另外提供凭证；</w:t>
      </w:r>
    </w:p>
    <w:p>
      <w:pPr>
        <w:pStyle w:val="14"/>
        <w:spacing w:line="360" w:lineRule="auto"/>
        <w:ind w:firstLine="480" w:firstLineChars="200"/>
        <w:rPr>
          <w:color w:val="auto"/>
          <w:highlight w:val="none"/>
        </w:rPr>
      </w:pPr>
      <w:r>
        <w:rPr>
          <w:rFonts w:hint="eastAsia"/>
          <w:color w:val="auto"/>
          <w:highlight w:val="none"/>
        </w:rPr>
        <w:t>如采用非电子形式的银行保函、保证保险、专业工程担保公司担保提交的，投标人应在此处提供银行保函、保证保险、专业工程担保公司担保等的原件扫描件并加盖投标人（或联合体牵头</w:t>
      </w:r>
      <w:r>
        <w:rPr>
          <w:rFonts w:hint="eastAsia"/>
          <w:color w:val="auto"/>
          <w:highlight w:val="none"/>
          <w:lang w:val="en-US"/>
        </w:rPr>
        <w:t>方</w:t>
      </w:r>
      <w:r>
        <w:rPr>
          <w:rFonts w:hint="eastAsia"/>
          <w:color w:val="auto"/>
          <w:highlight w:val="none"/>
        </w:rPr>
        <w:t>）电子印章。</w:t>
      </w:r>
    </w:p>
    <w:p>
      <w:pPr>
        <w:pStyle w:val="10"/>
        <w:tabs>
          <w:tab w:val="left" w:pos="6574"/>
          <w:tab w:val="left" w:pos="7623"/>
          <w:tab w:val="left" w:pos="8673"/>
        </w:tabs>
        <w:spacing w:before="72" w:line="360" w:lineRule="auto"/>
        <w:ind w:left="5732"/>
        <w:rPr>
          <w:color w:val="auto"/>
          <w:highlight w:val="none"/>
        </w:rPr>
      </w:pPr>
    </w:p>
    <w:p>
      <w:pPr>
        <w:spacing w:line="360" w:lineRule="auto"/>
        <w:rPr>
          <w:color w:val="auto"/>
          <w:highlight w:val="none"/>
        </w:rPr>
        <w:sectPr>
          <w:pgSz w:w="11906" w:h="16838"/>
          <w:pgMar w:top="1400" w:right="1100" w:bottom="1120" w:left="1560" w:header="0" w:footer="841" w:gutter="0"/>
          <w:cols w:space="720" w:num="1"/>
        </w:sectPr>
      </w:pPr>
    </w:p>
    <w:p>
      <w:pPr>
        <w:spacing w:line="360" w:lineRule="auto"/>
        <w:ind w:right="456"/>
        <w:jc w:val="center"/>
        <w:outlineLvl w:val="1"/>
        <w:rPr>
          <w:color w:val="auto"/>
          <w:sz w:val="32"/>
          <w:highlight w:val="none"/>
        </w:rPr>
      </w:pPr>
      <w:bookmarkStart w:id="50" w:name="_bookmark183"/>
      <w:bookmarkEnd w:id="50"/>
      <w:r>
        <w:rPr>
          <w:rFonts w:hint="eastAsia"/>
          <w:b/>
          <w:color w:val="auto"/>
          <w:sz w:val="32"/>
          <w:highlight w:val="none"/>
        </w:rPr>
        <w:t>五、监理报酬清单（格式可自拟）</w:t>
      </w:r>
    </w:p>
    <w:p>
      <w:pPr>
        <w:pStyle w:val="10"/>
        <w:spacing w:line="360" w:lineRule="auto"/>
        <w:rPr>
          <w:color w:val="auto"/>
          <w:sz w:val="20"/>
          <w:highlight w:val="none"/>
        </w:rPr>
      </w:pPr>
    </w:p>
    <w:p>
      <w:pPr>
        <w:pStyle w:val="10"/>
        <w:spacing w:before="170" w:after="27" w:line="360" w:lineRule="auto"/>
        <w:ind w:right="694"/>
        <w:jc w:val="right"/>
        <w:rPr>
          <w:color w:val="auto"/>
          <w:highlight w:val="none"/>
        </w:rPr>
      </w:pPr>
      <w:r>
        <w:rPr>
          <w:rFonts w:hint="eastAsia"/>
          <w:color w:val="auto"/>
          <w:highlight w:val="none"/>
        </w:rPr>
        <w:t>单位：人民币元</w:t>
      </w:r>
    </w:p>
    <w:tbl>
      <w:tblPr>
        <w:tblStyle w:val="24"/>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9"/>
        <w:gridCol w:w="1321"/>
        <w:gridCol w:w="1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16" w:type="dxa"/>
          </w:tcPr>
          <w:p>
            <w:pPr>
              <w:pStyle w:val="33"/>
              <w:spacing w:before="18" w:line="360" w:lineRule="auto"/>
              <w:ind w:left="177" w:right="168"/>
              <w:jc w:val="center"/>
              <w:rPr>
                <w:b/>
                <w:color w:val="auto"/>
                <w:sz w:val="21"/>
                <w:highlight w:val="none"/>
              </w:rPr>
            </w:pPr>
            <w:r>
              <w:rPr>
                <w:rFonts w:hint="eastAsia"/>
                <w:b/>
                <w:color w:val="auto"/>
                <w:sz w:val="21"/>
                <w:highlight w:val="none"/>
              </w:rPr>
              <w:t>序号</w:t>
            </w:r>
          </w:p>
        </w:tc>
        <w:tc>
          <w:tcPr>
            <w:tcW w:w="2413" w:type="dxa"/>
          </w:tcPr>
          <w:p>
            <w:pPr>
              <w:pStyle w:val="33"/>
              <w:spacing w:before="18" w:line="360" w:lineRule="auto"/>
              <w:ind w:left="344" w:right="338"/>
              <w:jc w:val="center"/>
              <w:rPr>
                <w:b/>
                <w:color w:val="auto"/>
                <w:sz w:val="21"/>
                <w:highlight w:val="none"/>
              </w:rPr>
            </w:pPr>
            <w:r>
              <w:rPr>
                <w:rFonts w:hint="eastAsia"/>
                <w:b/>
                <w:color w:val="auto"/>
                <w:sz w:val="21"/>
                <w:highlight w:val="none"/>
              </w:rPr>
              <w:t>监理报酬分项名称</w:t>
            </w:r>
          </w:p>
        </w:tc>
        <w:tc>
          <w:tcPr>
            <w:tcW w:w="2269" w:type="dxa"/>
          </w:tcPr>
          <w:p>
            <w:pPr>
              <w:pStyle w:val="33"/>
              <w:spacing w:before="18" w:line="360" w:lineRule="auto"/>
              <w:ind w:left="107"/>
              <w:rPr>
                <w:b/>
                <w:color w:val="auto"/>
                <w:sz w:val="21"/>
                <w:highlight w:val="none"/>
              </w:rPr>
            </w:pPr>
            <w:r>
              <w:rPr>
                <w:rFonts w:hint="eastAsia"/>
                <w:b/>
                <w:color w:val="auto"/>
                <w:sz w:val="21"/>
                <w:highlight w:val="none"/>
              </w:rPr>
              <w:t>计算依据、过程和公式</w:t>
            </w:r>
          </w:p>
        </w:tc>
        <w:tc>
          <w:tcPr>
            <w:tcW w:w="1321" w:type="dxa"/>
          </w:tcPr>
          <w:p>
            <w:pPr>
              <w:pStyle w:val="33"/>
              <w:spacing w:before="18" w:line="360" w:lineRule="auto"/>
              <w:ind w:left="133"/>
              <w:rPr>
                <w:b/>
                <w:color w:val="auto"/>
                <w:sz w:val="21"/>
                <w:highlight w:val="none"/>
              </w:rPr>
            </w:pPr>
            <w:r>
              <w:rPr>
                <w:rFonts w:hint="eastAsia"/>
                <w:b/>
                <w:color w:val="auto"/>
                <w:sz w:val="21"/>
                <w:highlight w:val="none"/>
              </w:rPr>
              <w:t>金额（元）</w:t>
            </w:r>
          </w:p>
        </w:tc>
        <w:tc>
          <w:tcPr>
            <w:tcW w:w="1941" w:type="dxa"/>
          </w:tcPr>
          <w:p>
            <w:pPr>
              <w:pStyle w:val="33"/>
              <w:spacing w:before="18" w:line="360" w:lineRule="auto"/>
              <w:ind w:left="737" w:right="734"/>
              <w:jc w:val="center"/>
              <w:rPr>
                <w:b/>
                <w:color w:val="auto"/>
                <w:sz w:val="21"/>
                <w:highlight w:val="none"/>
              </w:rPr>
            </w:pPr>
            <w:r>
              <w:rPr>
                <w:rFonts w:hint="eastAsia"/>
                <w:b/>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33"/>
              <w:spacing w:line="360" w:lineRule="auto"/>
              <w:ind w:left="9"/>
              <w:jc w:val="center"/>
              <w:rPr>
                <w:color w:val="auto"/>
                <w:sz w:val="21"/>
                <w:highlight w:val="none"/>
              </w:rPr>
            </w:pPr>
            <w:r>
              <w:rPr>
                <w:rFonts w:hint="eastAsia"/>
                <w:color w:val="auto"/>
                <w:sz w:val="21"/>
                <w:highlight w:val="none"/>
              </w:rPr>
              <w:t>1</w:t>
            </w:r>
          </w:p>
        </w:tc>
        <w:tc>
          <w:tcPr>
            <w:tcW w:w="2413" w:type="dxa"/>
          </w:tcPr>
          <w:p>
            <w:pPr>
              <w:pStyle w:val="33"/>
              <w:spacing w:line="360" w:lineRule="auto"/>
              <w:rPr>
                <w:color w:val="auto"/>
                <w:highlight w:val="none"/>
              </w:rPr>
            </w:pPr>
          </w:p>
        </w:tc>
        <w:tc>
          <w:tcPr>
            <w:tcW w:w="2269" w:type="dxa"/>
          </w:tcPr>
          <w:p>
            <w:pPr>
              <w:pStyle w:val="33"/>
              <w:spacing w:line="360" w:lineRule="auto"/>
              <w:rPr>
                <w:color w:val="auto"/>
                <w:highlight w:val="none"/>
              </w:rPr>
            </w:pPr>
          </w:p>
        </w:tc>
        <w:tc>
          <w:tcPr>
            <w:tcW w:w="1321" w:type="dxa"/>
          </w:tcPr>
          <w:p>
            <w:pPr>
              <w:pStyle w:val="33"/>
              <w:spacing w:line="360" w:lineRule="auto"/>
              <w:rPr>
                <w:color w:val="auto"/>
                <w:highlight w:val="none"/>
              </w:rPr>
            </w:pPr>
          </w:p>
        </w:tc>
        <w:tc>
          <w:tcPr>
            <w:tcW w:w="1941" w:type="dxa"/>
          </w:tcPr>
          <w:p>
            <w:pPr>
              <w:pStyle w:val="33"/>
              <w:spacing w:line="360" w:lineRule="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16" w:type="dxa"/>
          </w:tcPr>
          <w:p>
            <w:pPr>
              <w:pStyle w:val="33"/>
              <w:spacing w:line="360" w:lineRule="auto"/>
              <w:ind w:left="9"/>
              <w:jc w:val="center"/>
              <w:rPr>
                <w:color w:val="auto"/>
                <w:sz w:val="21"/>
                <w:highlight w:val="none"/>
              </w:rPr>
            </w:pPr>
            <w:r>
              <w:rPr>
                <w:rFonts w:hint="eastAsia"/>
                <w:color w:val="auto"/>
                <w:sz w:val="21"/>
                <w:highlight w:val="none"/>
              </w:rPr>
              <w:t>2</w:t>
            </w:r>
          </w:p>
        </w:tc>
        <w:tc>
          <w:tcPr>
            <w:tcW w:w="2413" w:type="dxa"/>
          </w:tcPr>
          <w:p>
            <w:pPr>
              <w:pStyle w:val="33"/>
              <w:spacing w:line="360" w:lineRule="auto"/>
              <w:rPr>
                <w:color w:val="auto"/>
                <w:highlight w:val="none"/>
              </w:rPr>
            </w:pPr>
          </w:p>
        </w:tc>
        <w:tc>
          <w:tcPr>
            <w:tcW w:w="2269" w:type="dxa"/>
          </w:tcPr>
          <w:p>
            <w:pPr>
              <w:pStyle w:val="33"/>
              <w:spacing w:line="360" w:lineRule="auto"/>
              <w:rPr>
                <w:color w:val="auto"/>
                <w:highlight w:val="none"/>
              </w:rPr>
            </w:pPr>
          </w:p>
        </w:tc>
        <w:tc>
          <w:tcPr>
            <w:tcW w:w="1321" w:type="dxa"/>
          </w:tcPr>
          <w:p>
            <w:pPr>
              <w:pStyle w:val="33"/>
              <w:spacing w:line="360" w:lineRule="auto"/>
              <w:rPr>
                <w:color w:val="auto"/>
                <w:highlight w:val="none"/>
              </w:rPr>
            </w:pPr>
          </w:p>
        </w:tc>
        <w:tc>
          <w:tcPr>
            <w:tcW w:w="1941" w:type="dxa"/>
          </w:tcPr>
          <w:p>
            <w:pPr>
              <w:pStyle w:val="33"/>
              <w:spacing w:line="360" w:lineRule="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816" w:type="dxa"/>
          </w:tcPr>
          <w:p>
            <w:pPr>
              <w:pStyle w:val="33"/>
              <w:spacing w:line="360" w:lineRule="auto"/>
              <w:ind w:left="9"/>
              <w:jc w:val="center"/>
              <w:rPr>
                <w:color w:val="auto"/>
                <w:sz w:val="21"/>
                <w:highlight w:val="none"/>
              </w:rPr>
            </w:pPr>
            <w:r>
              <w:rPr>
                <w:rFonts w:hint="eastAsia"/>
                <w:color w:val="auto"/>
                <w:sz w:val="21"/>
                <w:highlight w:val="none"/>
              </w:rPr>
              <w:t>3</w:t>
            </w:r>
          </w:p>
        </w:tc>
        <w:tc>
          <w:tcPr>
            <w:tcW w:w="2413" w:type="dxa"/>
          </w:tcPr>
          <w:p>
            <w:pPr>
              <w:pStyle w:val="33"/>
              <w:spacing w:line="360" w:lineRule="auto"/>
              <w:rPr>
                <w:color w:val="auto"/>
                <w:highlight w:val="none"/>
              </w:rPr>
            </w:pPr>
          </w:p>
        </w:tc>
        <w:tc>
          <w:tcPr>
            <w:tcW w:w="2269" w:type="dxa"/>
          </w:tcPr>
          <w:p>
            <w:pPr>
              <w:pStyle w:val="33"/>
              <w:spacing w:line="360" w:lineRule="auto"/>
              <w:rPr>
                <w:color w:val="auto"/>
                <w:highlight w:val="none"/>
              </w:rPr>
            </w:pPr>
          </w:p>
        </w:tc>
        <w:tc>
          <w:tcPr>
            <w:tcW w:w="1321" w:type="dxa"/>
          </w:tcPr>
          <w:p>
            <w:pPr>
              <w:pStyle w:val="33"/>
              <w:spacing w:line="360" w:lineRule="auto"/>
              <w:rPr>
                <w:color w:val="auto"/>
                <w:highlight w:val="none"/>
              </w:rPr>
            </w:pPr>
          </w:p>
        </w:tc>
        <w:tc>
          <w:tcPr>
            <w:tcW w:w="1941" w:type="dxa"/>
          </w:tcPr>
          <w:p>
            <w:pPr>
              <w:pStyle w:val="33"/>
              <w:spacing w:line="360" w:lineRule="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33"/>
              <w:spacing w:line="360" w:lineRule="auto"/>
              <w:ind w:left="9"/>
              <w:jc w:val="center"/>
              <w:rPr>
                <w:color w:val="auto"/>
                <w:sz w:val="21"/>
                <w:highlight w:val="none"/>
              </w:rPr>
            </w:pPr>
            <w:r>
              <w:rPr>
                <w:rFonts w:hint="eastAsia"/>
                <w:color w:val="auto"/>
                <w:sz w:val="21"/>
                <w:highlight w:val="none"/>
              </w:rPr>
              <w:t>4</w:t>
            </w:r>
          </w:p>
        </w:tc>
        <w:tc>
          <w:tcPr>
            <w:tcW w:w="2413" w:type="dxa"/>
          </w:tcPr>
          <w:p>
            <w:pPr>
              <w:pStyle w:val="33"/>
              <w:spacing w:line="360" w:lineRule="auto"/>
              <w:rPr>
                <w:color w:val="auto"/>
                <w:highlight w:val="none"/>
              </w:rPr>
            </w:pPr>
          </w:p>
        </w:tc>
        <w:tc>
          <w:tcPr>
            <w:tcW w:w="2269" w:type="dxa"/>
          </w:tcPr>
          <w:p>
            <w:pPr>
              <w:pStyle w:val="33"/>
              <w:spacing w:line="360" w:lineRule="auto"/>
              <w:rPr>
                <w:color w:val="auto"/>
                <w:highlight w:val="none"/>
              </w:rPr>
            </w:pPr>
          </w:p>
        </w:tc>
        <w:tc>
          <w:tcPr>
            <w:tcW w:w="1321" w:type="dxa"/>
          </w:tcPr>
          <w:p>
            <w:pPr>
              <w:pStyle w:val="33"/>
              <w:spacing w:line="360" w:lineRule="auto"/>
              <w:rPr>
                <w:color w:val="auto"/>
                <w:highlight w:val="none"/>
              </w:rPr>
            </w:pPr>
          </w:p>
        </w:tc>
        <w:tc>
          <w:tcPr>
            <w:tcW w:w="1941" w:type="dxa"/>
          </w:tcPr>
          <w:p>
            <w:pPr>
              <w:pStyle w:val="33"/>
              <w:spacing w:line="360" w:lineRule="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816" w:type="dxa"/>
          </w:tcPr>
          <w:p>
            <w:pPr>
              <w:pStyle w:val="33"/>
              <w:spacing w:line="360" w:lineRule="auto"/>
              <w:ind w:left="9"/>
              <w:jc w:val="center"/>
              <w:rPr>
                <w:color w:val="auto"/>
                <w:sz w:val="21"/>
                <w:highlight w:val="none"/>
              </w:rPr>
            </w:pPr>
            <w:r>
              <w:rPr>
                <w:rFonts w:hint="eastAsia"/>
                <w:color w:val="auto"/>
                <w:sz w:val="21"/>
                <w:highlight w:val="none"/>
              </w:rPr>
              <w:t>5</w:t>
            </w:r>
          </w:p>
        </w:tc>
        <w:tc>
          <w:tcPr>
            <w:tcW w:w="2413" w:type="dxa"/>
          </w:tcPr>
          <w:p>
            <w:pPr>
              <w:pStyle w:val="33"/>
              <w:spacing w:line="360" w:lineRule="auto"/>
              <w:rPr>
                <w:color w:val="auto"/>
                <w:highlight w:val="none"/>
              </w:rPr>
            </w:pPr>
          </w:p>
        </w:tc>
        <w:tc>
          <w:tcPr>
            <w:tcW w:w="2269" w:type="dxa"/>
          </w:tcPr>
          <w:p>
            <w:pPr>
              <w:pStyle w:val="33"/>
              <w:spacing w:line="360" w:lineRule="auto"/>
              <w:rPr>
                <w:color w:val="auto"/>
                <w:highlight w:val="none"/>
              </w:rPr>
            </w:pPr>
          </w:p>
        </w:tc>
        <w:tc>
          <w:tcPr>
            <w:tcW w:w="1321" w:type="dxa"/>
          </w:tcPr>
          <w:p>
            <w:pPr>
              <w:pStyle w:val="33"/>
              <w:spacing w:line="360" w:lineRule="auto"/>
              <w:rPr>
                <w:color w:val="auto"/>
                <w:highlight w:val="none"/>
              </w:rPr>
            </w:pPr>
          </w:p>
        </w:tc>
        <w:tc>
          <w:tcPr>
            <w:tcW w:w="1941" w:type="dxa"/>
          </w:tcPr>
          <w:p>
            <w:pPr>
              <w:pStyle w:val="33"/>
              <w:spacing w:line="360" w:lineRule="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33"/>
              <w:spacing w:before="53" w:line="360" w:lineRule="auto"/>
              <w:ind w:left="177" w:right="168"/>
              <w:jc w:val="center"/>
              <w:rPr>
                <w:color w:val="auto"/>
                <w:sz w:val="21"/>
                <w:highlight w:val="none"/>
              </w:rPr>
            </w:pPr>
            <w:r>
              <w:rPr>
                <w:rFonts w:hint="eastAsia"/>
                <w:color w:val="auto"/>
                <w:sz w:val="21"/>
                <w:highlight w:val="none"/>
              </w:rPr>
              <w:t>……</w:t>
            </w:r>
          </w:p>
        </w:tc>
        <w:tc>
          <w:tcPr>
            <w:tcW w:w="2413" w:type="dxa"/>
          </w:tcPr>
          <w:p>
            <w:pPr>
              <w:pStyle w:val="33"/>
              <w:spacing w:before="53" w:line="360" w:lineRule="auto"/>
              <w:ind w:left="344" w:right="338"/>
              <w:jc w:val="center"/>
              <w:rPr>
                <w:color w:val="auto"/>
                <w:sz w:val="21"/>
                <w:highlight w:val="none"/>
              </w:rPr>
            </w:pPr>
            <w:r>
              <w:rPr>
                <w:rFonts w:hint="eastAsia"/>
                <w:color w:val="auto"/>
                <w:sz w:val="21"/>
                <w:highlight w:val="none"/>
              </w:rPr>
              <w:t>……</w:t>
            </w:r>
          </w:p>
        </w:tc>
        <w:tc>
          <w:tcPr>
            <w:tcW w:w="2269" w:type="dxa"/>
          </w:tcPr>
          <w:p>
            <w:pPr>
              <w:pStyle w:val="33"/>
              <w:spacing w:line="360" w:lineRule="auto"/>
              <w:rPr>
                <w:color w:val="auto"/>
                <w:highlight w:val="none"/>
              </w:rPr>
            </w:pPr>
          </w:p>
        </w:tc>
        <w:tc>
          <w:tcPr>
            <w:tcW w:w="1321" w:type="dxa"/>
          </w:tcPr>
          <w:p>
            <w:pPr>
              <w:pStyle w:val="33"/>
              <w:spacing w:line="360" w:lineRule="auto"/>
              <w:rPr>
                <w:color w:val="auto"/>
                <w:highlight w:val="none"/>
              </w:rPr>
            </w:pPr>
          </w:p>
        </w:tc>
        <w:tc>
          <w:tcPr>
            <w:tcW w:w="1941" w:type="dxa"/>
          </w:tcPr>
          <w:p>
            <w:pPr>
              <w:pStyle w:val="33"/>
              <w:spacing w:line="360" w:lineRule="auto"/>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498" w:type="dxa"/>
            <w:gridSpan w:val="3"/>
          </w:tcPr>
          <w:p>
            <w:pPr>
              <w:pStyle w:val="33"/>
              <w:spacing w:line="360" w:lineRule="auto"/>
              <w:ind w:left="2307" w:right="2300"/>
              <w:jc w:val="center"/>
              <w:rPr>
                <w:b/>
                <w:color w:val="auto"/>
                <w:sz w:val="21"/>
                <w:highlight w:val="none"/>
              </w:rPr>
            </w:pPr>
            <w:r>
              <w:rPr>
                <w:rFonts w:hint="eastAsia"/>
                <w:b/>
                <w:color w:val="auto"/>
                <w:sz w:val="21"/>
                <w:highlight w:val="none"/>
              </w:rPr>
              <w:t>合计报价</w:t>
            </w:r>
          </w:p>
        </w:tc>
        <w:tc>
          <w:tcPr>
            <w:tcW w:w="1321" w:type="dxa"/>
          </w:tcPr>
          <w:p>
            <w:pPr>
              <w:pStyle w:val="33"/>
              <w:spacing w:line="360" w:lineRule="auto"/>
              <w:rPr>
                <w:color w:val="auto"/>
                <w:highlight w:val="none"/>
              </w:rPr>
            </w:pPr>
          </w:p>
        </w:tc>
        <w:tc>
          <w:tcPr>
            <w:tcW w:w="1941" w:type="dxa"/>
          </w:tcPr>
          <w:p>
            <w:pPr>
              <w:pStyle w:val="33"/>
              <w:spacing w:line="360" w:lineRule="auto"/>
              <w:rPr>
                <w:color w:val="auto"/>
                <w:highlight w:val="none"/>
              </w:rPr>
            </w:pPr>
          </w:p>
        </w:tc>
      </w:tr>
    </w:tbl>
    <w:p>
      <w:pPr>
        <w:spacing w:line="360" w:lineRule="auto"/>
        <w:rPr>
          <w:color w:val="auto"/>
          <w:highlight w:val="none"/>
        </w:rPr>
      </w:pPr>
    </w:p>
    <w:p>
      <w:pPr>
        <w:spacing w:line="360" w:lineRule="auto"/>
        <w:rPr>
          <w:color w:val="auto"/>
          <w:szCs w:val="21"/>
          <w:highlight w:val="none"/>
          <w:u w:val="single"/>
        </w:rPr>
      </w:pPr>
      <w:r>
        <w:rPr>
          <w:rFonts w:hint="eastAsia"/>
          <w:color w:val="auto"/>
          <w:szCs w:val="21"/>
          <w:highlight w:val="none"/>
          <w:u w:val="single"/>
        </w:rPr>
        <w:t>注：1、监理报酬报价总金额不能超过最高投标限价。投标报价超过最高投标限价的投标文件</w:t>
      </w:r>
      <w:r>
        <w:rPr>
          <w:rFonts w:hint="eastAsia"/>
          <w:color w:val="auto"/>
          <w:highlight w:val="none"/>
          <w:u w:val="single"/>
        </w:rPr>
        <w:t>将被否决其投标</w:t>
      </w:r>
      <w:r>
        <w:rPr>
          <w:rFonts w:hint="eastAsia"/>
          <w:color w:val="auto"/>
          <w:szCs w:val="21"/>
          <w:highlight w:val="none"/>
          <w:u w:val="single"/>
        </w:rPr>
        <w:t>。</w:t>
      </w:r>
    </w:p>
    <w:p>
      <w:pPr>
        <w:numPr>
          <w:ilvl w:val="0"/>
          <w:numId w:val="2"/>
        </w:numPr>
        <w:spacing w:line="360" w:lineRule="auto"/>
        <w:rPr>
          <w:color w:val="auto"/>
          <w:szCs w:val="21"/>
          <w:highlight w:val="none"/>
          <w:u w:val="single"/>
        </w:rPr>
      </w:pPr>
      <w:r>
        <w:rPr>
          <w:rFonts w:hint="eastAsia"/>
          <w:color w:val="auto"/>
          <w:szCs w:val="21"/>
          <w:highlight w:val="none"/>
          <w:u w:val="single"/>
        </w:rPr>
        <w:t>报价以元为单位，保留两位小数，第三位小数四舍五入。</w:t>
      </w:r>
    </w:p>
    <w:p>
      <w:pPr>
        <w:spacing w:line="360" w:lineRule="auto"/>
        <w:ind w:right="456"/>
        <w:jc w:val="center"/>
        <w:outlineLvl w:val="1"/>
        <w:rPr>
          <w:b/>
          <w:color w:val="auto"/>
          <w:sz w:val="32"/>
          <w:highlight w:val="none"/>
        </w:rPr>
      </w:pPr>
      <w:r>
        <w:rPr>
          <w:color w:val="auto"/>
          <w:highlight w:val="none"/>
        </w:rPr>
        <w:br w:type="page"/>
      </w:r>
      <w:bookmarkStart w:id="51" w:name="_bookmark184"/>
      <w:bookmarkEnd w:id="51"/>
      <w:r>
        <w:rPr>
          <w:rFonts w:hint="eastAsia"/>
          <w:b/>
          <w:color w:val="auto"/>
          <w:sz w:val="32"/>
          <w:highlight w:val="none"/>
        </w:rPr>
        <w:t>六、资格审查资料（格式可自拟）</w:t>
      </w:r>
    </w:p>
    <w:p>
      <w:pPr>
        <w:pStyle w:val="10"/>
        <w:spacing w:before="5" w:line="360" w:lineRule="auto"/>
        <w:rPr>
          <w:b/>
          <w:color w:val="auto"/>
          <w:sz w:val="10"/>
          <w:highlight w:val="none"/>
        </w:rPr>
      </w:pPr>
    </w:p>
    <w:p>
      <w:pPr>
        <w:spacing w:before="62" w:line="360" w:lineRule="auto"/>
        <w:ind w:left="377"/>
        <w:outlineLvl w:val="2"/>
        <w:rPr>
          <w:color w:val="auto"/>
          <w:sz w:val="28"/>
          <w:highlight w:val="none"/>
        </w:rPr>
      </w:pPr>
      <w:bookmarkStart w:id="52" w:name="_bookmark185"/>
      <w:bookmarkEnd w:id="52"/>
      <w:r>
        <w:rPr>
          <w:rFonts w:hint="eastAsia"/>
          <w:color w:val="auto"/>
          <w:sz w:val="28"/>
          <w:highlight w:val="none"/>
        </w:rPr>
        <w:t>（一）</w:t>
      </w:r>
      <w:r>
        <w:rPr>
          <w:rFonts w:hint="eastAsia"/>
          <w:color w:val="auto"/>
          <w:sz w:val="28"/>
          <w:highlight w:val="none"/>
          <w:lang w:val="en-US"/>
        </w:rPr>
        <w:t>投标人</w:t>
      </w:r>
      <w:r>
        <w:rPr>
          <w:rFonts w:hint="eastAsia"/>
          <w:color w:val="auto"/>
          <w:sz w:val="28"/>
          <w:highlight w:val="none"/>
        </w:rPr>
        <w:t>基本情况表</w:t>
      </w:r>
    </w:p>
    <w:tbl>
      <w:tblPr>
        <w:tblStyle w:val="24"/>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4"/>
        <w:gridCol w:w="709"/>
        <w:gridCol w:w="992"/>
        <w:gridCol w:w="1122"/>
        <w:gridCol w:w="415"/>
        <w:gridCol w:w="871"/>
        <w:gridCol w:w="828"/>
        <w:gridCol w:w="286"/>
        <w:gridCol w:w="1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33"/>
              <w:spacing w:before="142" w:line="360" w:lineRule="auto"/>
              <w:ind w:left="496"/>
              <w:rPr>
                <w:color w:val="auto"/>
                <w:sz w:val="21"/>
                <w:highlight w:val="none"/>
              </w:rPr>
            </w:pPr>
            <w:r>
              <w:rPr>
                <w:rFonts w:hint="eastAsia"/>
                <w:color w:val="auto"/>
                <w:sz w:val="21"/>
                <w:highlight w:val="none"/>
              </w:rPr>
              <w:t>投标人名称</w:t>
            </w:r>
          </w:p>
        </w:tc>
        <w:tc>
          <w:tcPr>
            <w:tcW w:w="6662" w:type="dxa"/>
            <w:gridSpan w:val="8"/>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33"/>
              <w:spacing w:before="142" w:line="360" w:lineRule="auto"/>
              <w:ind w:left="602"/>
              <w:rPr>
                <w:color w:val="auto"/>
                <w:sz w:val="21"/>
                <w:highlight w:val="none"/>
              </w:rPr>
            </w:pPr>
            <w:r>
              <w:rPr>
                <w:rFonts w:hint="eastAsia"/>
                <w:color w:val="auto"/>
                <w:sz w:val="21"/>
                <w:highlight w:val="none"/>
              </w:rPr>
              <w:t>注册地址</w:t>
            </w:r>
          </w:p>
        </w:tc>
        <w:tc>
          <w:tcPr>
            <w:tcW w:w="2823" w:type="dxa"/>
            <w:gridSpan w:val="3"/>
          </w:tcPr>
          <w:p>
            <w:pPr>
              <w:pStyle w:val="33"/>
              <w:spacing w:line="360" w:lineRule="auto"/>
              <w:rPr>
                <w:color w:val="auto"/>
                <w:sz w:val="20"/>
                <w:highlight w:val="none"/>
              </w:rPr>
            </w:pPr>
          </w:p>
        </w:tc>
        <w:tc>
          <w:tcPr>
            <w:tcW w:w="1286" w:type="dxa"/>
            <w:gridSpan w:val="2"/>
          </w:tcPr>
          <w:p>
            <w:pPr>
              <w:pStyle w:val="33"/>
              <w:spacing w:before="142" w:line="360" w:lineRule="auto"/>
              <w:ind w:left="222"/>
              <w:rPr>
                <w:color w:val="auto"/>
                <w:sz w:val="21"/>
                <w:highlight w:val="none"/>
              </w:rPr>
            </w:pPr>
            <w:r>
              <w:rPr>
                <w:rFonts w:hint="eastAsia"/>
                <w:color w:val="auto"/>
                <w:sz w:val="21"/>
                <w:highlight w:val="none"/>
              </w:rPr>
              <w:t>邮政编码</w:t>
            </w:r>
          </w:p>
        </w:tc>
        <w:tc>
          <w:tcPr>
            <w:tcW w:w="2553" w:type="dxa"/>
            <w:gridSpan w:val="3"/>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vMerge w:val="restart"/>
          </w:tcPr>
          <w:p>
            <w:pPr>
              <w:pStyle w:val="33"/>
              <w:spacing w:before="10" w:line="360" w:lineRule="auto"/>
              <w:rPr>
                <w:color w:val="auto"/>
                <w:sz w:val="28"/>
                <w:highlight w:val="none"/>
              </w:rPr>
            </w:pPr>
          </w:p>
          <w:p>
            <w:pPr>
              <w:pStyle w:val="33"/>
              <w:spacing w:line="360" w:lineRule="auto"/>
              <w:ind w:left="602"/>
              <w:rPr>
                <w:color w:val="auto"/>
                <w:sz w:val="21"/>
                <w:highlight w:val="none"/>
              </w:rPr>
            </w:pPr>
            <w:r>
              <w:rPr>
                <w:rFonts w:hint="eastAsia"/>
                <w:color w:val="auto"/>
                <w:sz w:val="21"/>
                <w:highlight w:val="none"/>
              </w:rPr>
              <w:t>联系方式</w:t>
            </w:r>
          </w:p>
        </w:tc>
        <w:tc>
          <w:tcPr>
            <w:tcW w:w="709" w:type="dxa"/>
          </w:tcPr>
          <w:p>
            <w:pPr>
              <w:pStyle w:val="33"/>
              <w:spacing w:before="142" w:line="360" w:lineRule="auto"/>
              <w:ind w:left="8"/>
              <w:jc w:val="center"/>
              <w:rPr>
                <w:color w:val="auto"/>
                <w:sz w:val="21"/>
                <w:highlight w:val="none"/>
              </w:rPr>
            </w:pPr>
            <w:r>
              <w:rPr>
                <w:rFonts w:hint="eastAsia"/>
                <w:color w:val="auto"/>
                <w:sz w:val="21"/>
                <w:highlight w:val="none"/>
              </w:rPr>
              <w:t>联系人</w:t>
            </w:r>
          </w:p>
        </w:tc>
        <w:tc>
          <w:tcPr>
            <w:tcW w:w="2114" w:type="dxa"/>
            <w:gridSpan w:val="2"/>
          </w:tcPr>
          <w:p>
            <w:pPr>
              <w:pStyle w:val="33"/>
              <w:spacing w:line="360" w:lineRule="auto"/>
              <w:rPr>
                <w:color w:val="auto"/>
                <w:sz w:val="20"/>
                <w:highlight w:val="none"/>
              </w:rPr>
            </w:pPr>
          </w:p>
        </w:tc>
        <w:tc>
          <w:tcPr>
            <w:tcW w:w="1286" w:type="dxa"/>
            <w:gridSpan w:val="2"/>
          </w:tcPr>
          <w:p>
            <w:pPr>
              <w:pStyle w:val="33"/>
              <w:spacing w:before="142" w:line="360" w:lineRule="auto"/>
              <w:ind w:left="378"/>
              <w:rPr>
                <w:color w:val="auto"/>
                <w:sz w:val="21"/>
                <w:highlight w:val="none"/>
              </w:rPr>
            </w:pPr>
            <w:r>
              <w:rPr>
                <w:rFonts w:hint="eastAsia"/>
                <w:color w:val="auto"/>
                <w:sz w:val="21"/>
                <w:highlight w:val="none"/>
              </w:rPr>
              <w:t>电 话</w:t>
            </w:r>
          </w:p>
        </w:tc>
        <w:tc>
          <w:tcPr>
            <w:tcW w:w="2553" w:type="dxa"/>
            <w:gridSpan w:val="3"/>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vMerge w:val="continue"/>
            <w:tcBorders>
              <w:top w:val="nil"/>
            </w:tcBorders>
          </w:tcPr>
          <w:p>
            <w:pPr>
              <w:spacing w:line="360" w:lineRule="auto"/>
              <w:rPr>
                <w:color w:val="auto"/>
                <w:sz w:val="2"/>
                <w:szCs w:val="2"/>
                <w:highlight w:val="none"/>
              </w:rPr>
            </w:pPr>
          </w:p>
        </w:tc>
        <w:tc>
          <w:tcPr>
            <w:tcW w:w="709" w:type="dxa"/>
          </w:tcPr>
          <w:p>
            <w:pPr>
              <w:pStyle w:val="33"/>
              <w:tabs>
                <w:tab w:val="left" w:pos="432"/>
              </w:tabs>
              <w:spacing w:before="143" w:line="360" w:lineRule="auto"/>
              <w:ind w:left="9"/>
              <w:jc w:val="center"/>
              <w:rPr>
                <w:color w:val="auto"/>
                <w:sz w:val="21"/>
                <w:highlight w:val="none"/>
              </w:rPr>
            </w:pPr>
            <w:r>
              <w:rPr>
                <w:rFonts w:hint="eastAsia"/>
                <w:color w:val="auto"/>
                <w:sz w:val="21"/>
                <w:highlight w:val="none"/>
              </w:rPr>
              <w:t>传</w:t>
            </w:r>
            <w:r>
              <w:rPr>
                <w:rFonts w:hint="eastAsia"/>
                <w:color w:val="auto"/>
                <w:sz w:val="21"/>
                <w:highlight w:val="none"/>
              </w:rPr>
              <w:tab/>
            </w:r>
            <w:r>
              <w:rPr>
                <w:rFonts w:hint="eastAsia"/>
                <w:color w:val="auto"/>
                <w:sz w:val="21"/>
                <w:highlight w:val="none"/>
              </w:rPr>
              <w:t>真</w:t>
            </w:r>
          </w:p>
        </w:tc>
        <w:tc>
          <w:tcPr>
            <w:tcW w:w="2114" w:type="dxa"/>
            <w:gridSpan w:val="2"/>
          </w:tcPr>
          <w:p>
            <w:pPr>
              <w:pStyle w:val="33"/>
              <w:spacing w:line="360" w:lineRule="auto"/>
              <w:rPr>
                <w:color w:val="auto"/>
                <w:sz w:val="20"/>
                <w:highlight w:val="none"/>
              </w:rPr>
            </w:pPr>
          </w:p>
        </w:tc>
        <w:tc>
          <w:tcPr>
            <w:tcW w:w="1286" w:type="dxa"/>
            <w:gridSpan w:val="2"/>
          </w:tcPr>
          <w:p>
            <w:pPr>
              <w:pStyle w:val="33"/>
              <w:spacing w:before="143" w:line="360" w:lineRule="auto"/>
              <w:ind w:left="378"/>
              <w:rPr>
                <w:color w:val="auto"/>
                <w:sz w:val="21"/>
                <w:highlight w:val="none"/>
              </w:rPr>
            </w:pPr>
            <w:r>
              <w:rPr>
                <w:rFonts w:hint="eastAsia"/>
                <w:color w:val="auto"/>
                <w:sz w:val="21"/>
                <w:highlight w:val="none"/>
              </w:rPr>
              <w:t>网 址</w:t>
            </w:r>
          </w:p>
        </w:tc>
        <w:tc>
          <w:tcPr>
            <w:tcW w:w="2553" w:type="dxa"/>
            <w:gridSpan w:val="3"/>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33"/>
              <w:spacing w:before="142" w:line="360" w:lineRule="auto"/>
              <w:ind w:left="496"/>
              <w:rPr>
                <w:color w:val="auto"/>
                <w:sz w:val="21"/>
                <w:highlight w:val="none"/>
              </w:rPr>
            </w:pPr>
            <w:r>
              <w:rPr>
                <w:rFonts w:hint="eastAsia"/>
                <w:color w:val="auto"/>
                <w:sz w:val="21"/>
                <w:highlight w:val="none"/>
              </w:rPr>
              <w:t>法定代表人</w:t>
            </w:r>
          </w:p>
        </w:tc>
        <w:tc>
          <w:tcPr>
            <w:tcW w:w="709" w:type="dxa"/>
          </w:tcPr>
          <w:p>
            <w:pPr>
              <w:pStyle w:val="33"/>
              <w:spacing w:before="142" w:line="360" w:lineRule="auto"/>
              <w:ind w:left="8"/>
              <w:jc w:val="center"/>
              <w:rPr>
                <w:color w:val="auto"/>
                <w:sz w:val="21"/>
                <w:highlight w:val="none"/>
              </w:rPr>
            </w:pPr>
            <w:r>
              <w:rPr>
                <w:rFonts w:hint="eastAsia"/>
                <w:color w:val="auto"/>
                <w:sz w:val="21"/>
                <w:highlight w:val="none"/>
              </w:rPr>
              <w:t>姓名</w:t>
            </w:r>
          </w:p>
        </w:tc>
        <w:tc>
          <w:tcPr>
            <w:tcW w:w="992" w:type="dxa"/>
          </w:tcPr>
          <w:p>
            <w:pPr>
              <w:pStyle w:val="33"/>
              <w:spacing w:line="360" w:lineRule="auto"/>
              <w:rPr>
                <w:color w:val="auto"/>
                <w:sz w:val="20"/>
                <w:highlight w:val="none"/>
              </w:rPr>
            </w:pPr>
          </w:p>
        </w:tc>
        <w:tc>
          <w:tcPr>
            <w:tcW w:w="1122" w:type="dxa"/>
          </w:tcPr>
          <w:p>
            <w:pPr>
              <w:pStyle w:val="33"/>
              <w:spacing w:before="142" w:line="360" w:lineRule="auto"/>
              <w:jc w:val="center"/>
              <w:rPr>
                <w:color w:val="auto"/>
                <w:sz w:val="21"/>
                <w:highlight w:val="none"/>
              </w:rPr>
            </w:pPr>
            <w:r>
              <w:rPr>
                <w:rFonts w:hint="eastAsia"/>
                <w:color w:val="auto"/>
                <w:sz w:val="21"/>
                <w:highlight w:val="none"/>
              </w:rPr>
              <w:t>技术职称</w:t>
            </w:r>
          </w:p>
        </w:tc>
        <w:tc>
          <w:tcPr>
            <w:tcW w:w="1286" w:type="dxa"/>
            <w:gridSpan w:val="2"/>
          </w:tcPr>
          <w:p>
            <w:pPr>
              <w:pStyle w:val="33"/>
              <w:spacing w:line="360" w:lineRule="auto"/>
              <w:rPr>
                <w:color w:val="auto"/>
                <w:sz w:val="20"/>
                <w:highlight w:val="none"/>
              </w:rPr>
            </w:pPr>
          </w:p>
        </w:tc>
        <w:tc>
          <w:tcPr>
            <w:tcW w:w="1114" w:type="dxa"/>
            <w:gridSpan w:val="2"/>
          </w:tcPr>
          <w:p>
            <w:pPr>
              <w:pStyle w:val="33"/>
              <w:spacing w:before="142" w:line="360" w:lineRule="auto"/>
              <w:ind w:left="345"/>
              <w:rPr>
                <w:color w:val="auto"/>
                <w:sz w:val="21"/>
                <w:highlight w:val="none"/>
              </w:rPr>
            </w:pPr>
            <w:r>
              <w:rPr>
                <w:rFonts w:hint="eastAsia"/>
                <w:color w:val="auto"/>
                <w:sz w:val="21"/>
                <w:highlight w:val="none"/>
              </w:rPr>
              <w:t>电话</w:t>
            </w:r>
          </w:p>
        </w:tc>
        <w:tc>
          <w:tcPr>
            <w:tcW w:w="1439" w:type="dxa"/>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33"/>
              <w:spacing w:before="142" w:line="360" w:lineRule="auto"/>
              <w:ind w:left="496"/>
              <w:rPr>
                <w:color w:val="auto"/>
                <w:sz w:val="21"/>
                <w:highlight w:val="none"/>
              </w:rPr>
            </w:pPr>
            <w:r>
              <w:rPr>
                <w:rFonts w:hint="eastAsia"/>
                <w:color w:val="auto"/>
                <w:sz w:val="21"/>
                <w:highlight w:val="none"/>
              </w:rPr>
              <w:t>技术负责人</w:t>
            </w:r>
          </w:p>
        </w:tc>
        <w:tc>
          <w:tcPr>
            <w:tcW w:w="709" w:type="dxa"/>
          </w:tcPr>
          <w:p>
            <w:pPr>
              <w:pStyle w:val="33"/>
              <w:spacing w:before="142" w:line="360" w:lineRule="auto"/>
              <w:ind w:left="8"/>
              <w:jc w:val="center"/>
              <w:rPr>
                <w:color w:val="auto"/>
                <w:sz w:val="21"/>
                <w:highlight w:val="none"/>
              </w:rPr>
            </w:pPr>
            <w:r>
              <w:rPr>
                <w:rFonts w:hint="eastAsia"/>
                <w:color w:val="auto"/>
                <w:sz w:val="21"/>
                <w:highlight w:val="none"/>
              </w:rPr>
              <w:t>姓名</w:t>
            </w:r>
          </w:p>
        </w:tc>
        <w:tc>
          <w:tcPr>
            <w:tcW w:w="992" w:type="dxa"/>
          </w:tcPr>
          <w:p>
            <w:pPr>
              <w:pStyle w:val="33"/>
              <w:spacing w:line="360" w:lineRule="auto"/>
              <w:rPr>
                <w:color w:val="auto"/>
                <w:sz w:val="20"/>
                <w:highlight w:val="none"/>
              </w:rPr>
            </w:pPr>
          </w:p>
        </w:tc>
        <w:tc>
          <w:tcPr>
            <w:tcW w:w="1122" w:type="dxa"/>
          </w:tcPr>
          <w:p>
            <w:pPr>
              <w:pStyle w:val="33"/>
              <w:spacing w:before="142" w:line="360" w:lineRule="auto"/>
              <w:jc w:val="center"/>
              <w:rPr>
                <w:color w:val="auto"/>
                <w:sz w:val="21"/>
                <w:highlight w:val="none"/>
              </w:rPr>
            </w:pPr>
            <w:r>
              <w:rPr>
                <w:rFonts w:hint="eastAsia"/>
                <w:color w:val="auto"/>
                <w:sz w:val="21"/>
                <w:highlight w:val="none"/>
              </w:rPr>
              <w:t>技术职称</w:t>
            </w:r>
          </w:p>
        </w:tc>
        <w:tc>
          <w:tcPr>
            <w:tcW w:w="1286" w:type="dxa"/>
            <w:gridSpan w:val="2"/>
          </w:tcPr>
          <w:p>
            <w:pPr>
              <w:pStyle w:val="33"/>
              <w:spacing w:line="360" w:lineRule="auto"/>
              <w:rPr>
                <w:color w:val="auto"/>
                <w:sz w:val="20"/>
                <w:highlight w:val="none"/>
              </w:rPr>
            </w:pPr>
          </w:p>
        </w:tc>
        <w:tc>
          <w:tcPr>
            <w:tcW w:w="1114" w:type="dxa"/>
            <w:gridSpan w:val="2"/>
          </w:tcPr>
          <w:p>
            <w:pPr>
              <w:pStyle w:val="33"/>
              <w:spacing w:before="142" w:line="360" w:lineRule="auto"/>
              <w:ind w:left="345"/>
              <w:rPr>
                <w:color w:val="auto"/>
                <w:sz w:val="21"/>
                <w:highlight w:val="none"/>
              </w:rPr>
            </w:pPr>
            <w:r>
              <w:rPr>
                <w:rFonts w:hint="eastAsia"/>
                <w:color w:val="auto"/>
                <w:sz w:val="21"/>
                <w:highlight w:val="none"/>
              </w:rPr>
              <w:t>电话</w:t>
            </w:r>
          </w:p>
        </w:tc>
        <w:tc>
          <w:tcPr>
            <w:tcW w:w="1439" w:type="dxa"/>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33"/>
              <w:spacing w:before="142" w:line="360" w:lineRule="auto"/>
              <w:ind w:left="182"/>
              <w:rPr>
                <w:color w:val="auto"/>
                <w:sz w:val="21"/>
                <w:highlight w:val="none"/>
              </w:rPr>
            </w:pPr>
            <w:r>
              <w:rPr>
                <w:rFonts w:hint="eastAsia"/>
                <w:color w:val="auto"/>
                <w:sz w:val="21"/>
                <w:highlight w:val="none"/>
              </w:rPr>
              <w:t>企业监理资质证书</w:t>
            </w:r>
          </w:p>
        </w:tc>
        <w:tc>
          <w:tcPr>
            <w:tcW w:w="6662" w:type="dxa"/>
            <w:gridSpan w:val="8"/>
          </w:tcPr>
          <w:p>
            <w:pPr>
              <w:pStyle w:val="33"/>
              <w:tabs>
                <w:tab w:val="left" w:pos="2848"/>
                <w:tab w:val="left" w:pos="4108"/>
              </w:tabs>
              <w:spacing w:before="142" w:line="360" w:lineRule="auto"/>
              <w:ind w:left="116"/>
              <w:jc w:val="center"/>
              <w:rPr>
                <w:color w:val="auto"/>
                <w:sz w:val="21"/>
                <w:highlight w:val="none"/>
              </w:rPr>
            </w:pPr>
            <w:r>
              <w:rPr>
                <w:rFonts w:hint="eastAsia"/>
                <w:color w:val="auto"/>
                <w:sz w:val="21"/>
                <w:highlight w:val="none"/>
              </w:rPr>
              <w:t>类型：</w:t>
            </w:r>
            <w:r>
              <w:rPr>
                <w:rFonts w:hint="eastAsia"/>
                <w:color w:val="auto"/>
                <w:sz w:val="21"/>
                <w:highlight w:val="none"/>
              </w:rPr>
              <w:tab/>
            </w:r>
            <w:r>
              <w:rPr>
                <w:rFonts w:hint="eastAsia"/>
                <w:color w:val="auto"/>
                <w:spacing w:val="-3"/>
                <w:sz w:val="21"/>
                <w:highlight w:val="none"/>
              </w:rPr>
              <w:t>等</w:t>
            </w:r>
            <w:r>
              <w:rPr>
                <w:rFonts w:hint="eastAsia"/>
                <w:color w:val="auto"/>
                <w:sz w:val="21"/>
                <w:highlight w:val="none"/>
              </w:rPr>
              <w:t>级：</w:t>
            </w:r>
            <w:r>
              <w:rPr>
                <w:rFonts w:hint="eastAsia"/>
                <w:color w:val="auto"/>
                <w:sz w:val="21"/>
                <w:highlight w:val="none"/>
              </w:rPr>
              <w:tab/>
            </w:r>
            <w:r>
              <w:rPr>
                <w:rFonts w:hint="eastAsia"/>
                <w:color w:val="auto"/>
                <w:spacing w:val="-3"/>
                <w:sz w:val="21"/>
                <w:highlight w:val="none"/>
              </w:rPr>
              <w:t>证</w:t>
            </w:r>
            <w:r>
              <w:rPr>
                <w:rFonts w:hint="eastAsia"/>
                <w:color w:val="auto"/>
                <w:sz w:val="21"/>
                <w:highlight w:val="none"/>
              </w:rPr>
              <w:t>书</w:t>
            </w:r>
            <w:r>
              <w:rPr>
                <w:rFonts w:hint="eastAsia"/>
                <w:color w:val="auto"/>
                <w:spacing w:val="-3"/>
                <w:sz w:val="21"/>
                <w:highlight w:val="none"/>
              </w:rPr>
              <w:t>号</w:t>
            </w:r>
            <w:r>
              <w:rPr>
                <w:rFonts w:hint="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434" w:type="dxa"/>
          </w:tcPr>
          <w:p>
            <w:pPr>
              <w:pStyle w:val="33"/>
              <w:spacing w:before="142"/>
              <w:ind w:left="182"/>
              <w:rPr>
                <w:color w:val="auto"/>
                <w:sz w:val="21"/>
                <w:highlight w:val="none"/>
              </w:rPr>
            </w:pPr>
            <w:r>
              <w:rPr>
                <w:rFonts w:hint="eastAsia"/>
                <w:color w:val="auto"/>
                <w:sz w:val="21"/>
                <w:highlight w:val="none"/>
              </w:rPr>
              <w:t>质量管理体系证书</w:t>
            </w:r>
          </w:p>
          <w:p>
            <w:pPr>
              <w:pStyle w:val="33"/>
              <w:spacing w:before="170"/>
              <w:ind w:left="549"/>
              <w:rPr>
                <w:color w:val="auto"/>
                <w:sz w:val="21"/>
                <w:highlight w:val="none"/>
              </w:rPr>
            </w:pPr>
            <w:r>
              <w:rPr>
                <w:rFonts w:hint="eastAsia"/>
                <w:color w:val="auto"/>
                <w:sz w:val="21"/>
                <w:highlight w:val="none"/>
              </w:rPr>
              <w:t>（如有）</w:t>
            </w:r>
          </w:p>
        </w:tc>
        <w:tc>
          <w:tcPr>
            <w:tcW w:w="6662" w:type="dxa"/>
            <w:gridSpan w:val="8"/>
          </w:tcPr>
          <w:p>
            <w:pPr>
              <w:pStyle w:val="33"/>
              <w:spacing w:before="4" w:line="360" w:lineRule="auto"/>
              <w:rPr>
                <w:color w:val="auto"/>
                <w:sz w:val="28"/>
                <w:highlight w:val="none"/>
              </w:rPr>
            </w:pPr>
          </w:p>
          <w:p>
            <w:pPr>
              <w:pStyle w:val="33"/>
              <w:tabs>
                <w:tab w:val="left" w:pos="2848"/>
                <w:tab w:val="left" w:pos="4108"/>
              </w:tabs>
              <w:spacing w:line="360" w:lineRule="auto"/>
              <w:ind w:left="116"/>
              <w:jc w:val="center"/>
              <w:rPr>
                <w:color w:val="auto"/>
                <w:sz w:val="21"/>
                <w:highlight w:val="none"/>
              </w:rPr>
            </w:pPr>
            <w:r>
              <w:rPr>
                <w:rFonts w:hint="eastAsia"/>
                <w:color w:val="auto"/>
                <w:sz w:val="21"/>
                <w:highlight w:val="none"/>
              </w:rPr>
              <w:t>类型：</w:t>
            </w:r>
            <w:r>
              <w:rPr>
                <w:rFonts w:hint="eastAsia"/>
                <w:color w:val="auto"/>
                <w:sz w:val="21"/>
                <w:highlight w:val="none"/>
              </w:rPr>
              <w:tab/>
            </w:r>
            <w:r>
              <w:rPr>
                <w:rFonts w:hint="eastAsia"/>
                <w:color w:val="auto"/>
                <w:spacing w:val="-3"/>
                <w:sz w:val="21"/>
                <w:highlight w:val="none"/>
              </w:rPr>
              <w:t>等</w:t>
            </w:r>
            <w:r>
              <w:rPr>
                <w:rFonts w:hint="eastAsia"/>
                <w:color w:val="auto"/>
                <w:sz w:val="21"/>
                <w:highlight w:val="none"/>
              </w:rPr>
              <w:t>级：</w:t>
            </w:r>
            <w:r>
              <w:rPr>
                <w:rFonts w:hint="eastAsia"/>
                <w:color w:val="auto"/>
                <w:sz w:val="21"/>
                <w:highlight w:val="none"/>
              </w:rPr>
              <w:tab/>
            </w:r>
            <w:r>
              <w:rPr>
                <w:rFonts w:hint="eastAsia"/>
                <w:color w:val="auto"/>
                <w:spacing w:val="-3"/>
                <w:sz w:val="21"/>
                <w:highlight w:val="none"/>
              </w:rPr>
              <w:t>证</w:t>
            </w:r>
            <w:r>
              <w:rPr>
                <w:rFonts w:hint="eastAsia"/>
                <w:color w:val="auto"/>
                <w:sz w:val="21"/>
                <w:highlight w:val="none"/>
              </w:rPr>
              <w:t>书</w:t>
            </w:r>
            <w:r>
              <w:rPr>
                <w:rFonts w:hint="eastAsia"/>
                <w:color w:val="auto"/>
                <w:spacing w:val="-3"/>
                <w:sz w:val="21"/>
                <w:highlight w:val="none"/>
              </w:rPr>
              <w:t>号</w:t>
            </w:r>
            <w:r>
              <w:rPr>
                <w:rFonts w:hint="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tcPr>
          <w:p>
            <w:pPr>
              <w:pStyle w:val="33"/>
              <w:spacing w:before="142" w:line="360" w:lineRule="auto"/>
              <w:ind w:left="496"/>
              <w:rPr>
                <w:color w:val="auto"/>
                <w:sz w:val="21"/>
                <w:highlight w:val="none"/>
              </w:rPr>
            </w:pPr>
            <w:r>
              <w:rPr>
                <w:rFonts w:hint="eastAsia"/>
                <w:color w:val="auto"/>
                <w:sz w:val="21"/>
                <w:highlight w:val="none"/>
              </w:rPr>
              <w:t>营业执照号</w:t>
            </w:r>
          </w:p>
        </w:tc>
        <w:tc>
          <w:tcPr>
            <w:tcW w:w="2823" w:type="dxa"/>
            <w:gridSpan w:val="3"/>
          </w:tcPr>
          <w:p>
            <w:pPr>
              <w:pStyle w:val="33"/>
              <w:spacing w:line="360" w:lineRule="auto"/>
              <w:rPr>
                <w:color w:val="auto"/>
                <w:sz w:val="20"/>
                <w:highlight w:val="none"/>
              </w:rPr>
            </w:pPr>
          </w:p>
        </w:tc>
        <w:tc>
          <w:tcPr>
            <w:tcW w:w="3839" w:type="dxa"/>
            <w:gridSpan w:val="5"/>
          </w:tcPr>
          <w:p>
            <w:pPr>
              <w:pStyle w:val="33"/>
              <w:spacing w:before="142" w:line="360" w:lineRule="auto"/>
              <w:ind w:left="1182"/>
              <w:rPr>
                <w:color w:val="auto"/>
                <w:sz w:val="21"/>
                <w:highlight w:val="none"/>
              </w:rPr>
            </w:pPr>
            <w:r>
              <w:rPr>
                <w:rFonts w:hint="eastAsia"/>
                <w:color w:val="auto"/>
                <w:sz w:val="21"/>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33"/>
              <w:spacing w:before="142" w:line="360" w:lineRule="auto"/>
              <w:ind w:left="602"/>
              <w:rPr>
                <w:color w:val="auto"/>
                <w:sz w:val="21"/>
                <w:highlight w:val="none"/>
              </w:rPr>
            </w:pPr>
            <w:r>
              <w:rPr>
                <w:rFonts w:hint="eastAsia"/>
                <w:color w:val="auto"/>
                <w:sz w:val="21"/>
                <w:highlight w:val="none"/>
              </w:rPr>
              <w:t>注册资本</w:t>
            </w:r>
          </w:p>
        </w:tc>
        <w:tc>
          <w:tcPr>
            <w:tcW w:w="2823" w:type="dxa"/>
            <w:gridSpan w:val="3"/>
          </w:tcPr>
          <w:p>
            <w:pPr>
              <w:pStyle w:val="33"/>
              <w:spacing w:line="360" w:lineRule="auto"/>
              <w:rPr>
                <w:color w:val="auto"/>
                <w:sz w:val="20"/>
                <w:highlight w:val="none"/>
              </w:rPr>
            </w:pPr>
          </w:p>
        </w:tc>
        <w:tc>
          <w:tcPr>
            <w:tcW w:w="415" w:type="dxa"/>
            <w:vMerge w:val="restart"/>
          </w:tcPr>
          <w:p>
            <w:pPr>
              <w:pStyle w:val="33"/>
              <w:spacing w:line="360" w:lineRule="auto"/>
              <w:rPr>
                <w:color w:val="auto"/>
                <w:sz w:val="20"/>
                <w:highlight w:val="none"/>
              </w:rPr>
            </w:pPr>
          </w:p>
          <w:p>
            <w:pPr>
              <w:pStyle w:val="33"/>
              <w:spacing w:before="9" w:line="360" w:lineRule="auto"/>
              <w:rPr>
                <w:color w:val="auto"/>
                <w:sz w:val="26"/>
                <w:highlight w:val="none"/>
              </w:rPr>
            </w:pPr>
          </w:p>
          <w:p>
            <w:pPr>
              <w:pStyle w:val="33"/>
              <w:spacing w:line="360" w:lineRule="auto"/>
              <w:ind w:left="107" w:right="84"/>
              <w:rPr>
                <w:color w:val="auto"/>
                <w:sz w:val="21"/>
                <w:highlight w:val="none"/>
              </w:rPr>
            </w:pPr>
            <w:r>
              <w:rPr>
                <w:rFonts w:hint="eastAsia"/>
                <w:color w:val="auto"/>
                <w:sz w:val="21"/>
                <w:highlight w:val="none"/>
              </w:rPr>
              <w:t>其中</w:t>
            </w:r>
          </w:p>
        </w:tc>
        <w:tc>
          <w:tcPr>
            <w:tcW w:w="1699" w:type="dxa"/>
            <w:gridSpan w:val="2"/>
          </w:tcPr>
          <w:p>
            <w:pPr>
              <w:pStyle w:val="33"/>
              <w:spacing w:before="142" w:line="360" w:lineRule="auto"/>
              <w:ind w:left="220"/>
              <w:rPr>
                <w:color w:val="auto"/>
                <w:sz w:val="21"/>
                <w:highlight w:val="none"/>
              </w:rPr>
            </w:pPr>
            <w:r>
              <w:rPr>
                <w:rFonts w:hint="eastAsia"/>
                <w:color w:val="auto"/>
                <w:sz w:val="21"/>
                <w:highlight w:val="none"/>
              </w:rPr>
              <w:t>高级职称人员</w:t>
            </w:r>
          </w:p>
        </w:tc>
        <w:tc>
          <w:tcPr>
            <w:tcW w:w="1725"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33"/>
              <w:spacing w:before="142" w:line="360" w:lineRule="auto"/>
              <w:ind w:left="602"/>
              <w:rPr>
                <w:color w:val="auto"/>
                <w:sz w:val="21"/>
                <w:highlight w:val="none"/>
              </w:rPr>
            </w:pPr>
            <w:r>
              <w:rPr>
                <w:rFonts w:hint="eastAsia"/>
                <w:color w:val="auto"/>
                <w:sz w:val="21"/>
                <w:highlight w:val="none"/>
              </w:rPr>
              <w:t>成立日期</w:t>
            </w:r>
          </w:p>
        </w:tc>
        <w:tc>
          <w:tcPr>
            <w:tcW w:w="2823" w:type="dxa"/>
            <w:gridSpan w:val="3"/>
          </w:tcPr>
          <w:p>
            <w:pPr>
              <w:pStyle w:val="33"/>
              <w:spacing w:line="360" w:lineRule="auto"/>
              <w:rPr>
                <w:color w:val="auto"/>
                <w:sz w:val="20"/>
                <w:highlight w:val="none"/>
              </w:rPr>
            </w:pPr>
          </w:p>
        </w:tc>
        <w:tc>
          <w:tcPr>
            <w:tcW w:w="415" w:type="dxa"/>
            <w:vMerge w:val="continue"/>
            <w:tcBorders>
              <w:top w:val="nil"/>
            </w:tcBorders>
          </w:tcPr>
          <w:p>
            <w:pPr>
              <w:spacing w:line="360" w:lineRule="auto"/>
              <w:rPr>
                <w:color w:val="auto"/>
                <w:sz w:val="2"/>
                <w:szCs w:val="2"/>
                <w:highlight w:val="none"/>
              </w:rPr>
            </w:pPr>
          </w:p>
        </w:tc>
        <w:tc>
          <w:tcPr>
            <w:tcW w:w="1699" w:type="dxa"/>
            <w:gridSpan w:val="2"/>
          </w:tcPr>
          <w:p>
            <w:pPr>
              <w:pStyle w:val="33"/>
              <w:spacing w:before="142" w:line="360" w:lineRule="auto"/>
              <w:ind w:left="220"/>
              <w:rPr>
                <w:color w:val="auto"/>
                <w:sz w:val="21"/>
                <w:highlight w:val="none"/>
              </w:rPr>
            </w:pPr>
            <w:r>
              <w:rPr>
                <w:rFonts w:hint="eastAsia"/>
                <w:color w:val="auto"/>
                <w:sz w:val="21"/>
                <w:highlight w:val="none"/>
              </w:rPr>
              <w:t>中级职称人员</w:t>
            </w:r>
          </w:p>
        </w:tc>
        <w:tc>
          <w:tcPr>
            <w:tcW w:w="1725"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33"/>
              <w:spacing w:before="142" w:line="360" w:lineRule="auto"/>
              <w:ind w:left="182"/>
              <w:rPr>
                <w:color w:val="auto"/>
                <w:sz w:val="21"/>
                <w:highlight w:val="none"/>
              </w:rPr>
            </w:pPr>
            <w:r>
              <w:rPr>
                <w:rFonts w:hint="eastAsia"/>
                <w:color w:val="auto"/>
                <w:sz w:val="21"/>
                <w:highlight w:val="none"/>
              </w:rPr>
              <w:t>基本账户开户银行</w:t>
            </w:r>
          </w:p>
        </w:tc>
        <w:tc>
          <w:tcPr>
            <w:tcW w:w="2823" w:type="dxa"/>
            <w:gridSpan w:val="3"/>
          </w:tcPr>
          <w:p>
            <w:pPr>
              <w:pStyle w:val="33"/>
              <w:spacing w:line="360" w:lineRule="auto"/>
              <w:rPr>
                <w:color w:val="auto"/>
                <w:sz w:val="20"/>
                <w:highlight w:val="none"/>
              </w:rPr>
            </w:pPr>
          </w:p>
        </w:tc>
        <w:tc>
          <w:tcPr>
            <w:tcW w:w="415" w:type="dxa"/>
            <w:vMerge w:val="continue"/>
            <w:tcBorders>
              <w:top w:val="nil"/>
            </w:tcBorders>
          </w:tcPr>
          <w:p>
            <w:pPr>
              <w:spacing w:line="360" w:lineRule="auto"/>
              <w:rPr>
                <w:color w:val="auto"/>
                <w:sz w:val="2"/>
                <w:szCs w:val="2"/>
                <w:highlight w:val="none"/>
              </w:rPr>
            </w:pPr>
          </w:p>
        </w:tc>
        <w:tc>
          <w:tcPr>
            <w:tcW w:w="1699" w:type="dxa"/>
            <w:gridSpan w:val="2"/>
          </w:tcPr>
          <w:p>
            <w:pPr>
              <w:pStyle w:val="33"/>
              <w:spacing w:before="142" w:line="360" w:lineRule="auto"/>
              <w:ind w:left="220"/>
              <w:rPr>
                <w:color w:val="auto"/>
                <w:sz w:val="21"/>
                <w:highlight w:val="none"/>
              </w:rPr>
            </w:pPr>
            <w:r>
              <w:rPr>
                <w:rFonts w:hint="eastAsia"/>
                <w:color w:val="auto"/>
                <w:sz w:val="21"/>
                <w:highlight w:val="none"/>
              </w:rPr>
              <w:t>技术人员数量</w:t>
            </w:r>
          </w:p>
        </w:tc>
        <w:tc>
          <w:tcPr>
            <w:tcW w:w="1725"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33"/>
              <w:spacing w:before="142" w:line="360" w:lineRule="auto"/>
              <w:ind w:left="182"/>
              <w:rPr>
                <w:color w:val="auto"/>
                <w:sz w:val="21"/>
                <w:highlight w:val="none"/>
              </w:rPr>
            </w:pPr>
            <w:r>
              <w:rPr>
                <w:rFonts w:hint="eastAsia"/>
                <w:color w:val="auto"/>
                <w:sz w:val="21"/>
                <w:highlight w:val="none"/>
              </w:rPr>
              <w:t>基本账户银行账号</w:t>
            </w:r>
          </w:p>
        </w:tc>
        <w:tc>
          <w:tcPr>
            <w:tcW w:w="2823" w:type="dxa"/>
            <w:gridSpan w:val="3"/>
          </w:tcPr>
          <w:p>
            <w:pPr>
              <w:pStyle w:val="33"/>
              <w:spacing w:line="360" w:lineRule="auto"/>
              <w:rPr>
                <w:color w:val="auto"/>
                <w:sz w:val="20"/>
                <w:highlight w:val="none"/>
              </w:rPr>
            </w:pPr>
          </w:p>
        </w:tc>
        <w:tc>
          <w:tcPr>
            <w:tcW w:w="415" w:type="dxa"/>
            <w:vMerge w:val="continue"/>
            <w:tcBorders>
              <w:top w:val="nil"/>
            </w:tcBorders>
          </w:tcPr>
          <w:p>
            <w:pPr>
              <w:spacing w:line="360" w:lineRule="auto"/>
              <w:rPr>
                <w:color w:val="auto"/>
                <w:sz w:val="2"/>
                <w:szCs w:val="2"/>
                <w:highlight w:val="none"/>
              </w:rPr>
            </w:pPr>
          </w:p>
        </w:tc>
        <w:tc>
          <w:tcPr>
            <w:tcW w:w="1699" w:type="dxa"/>
            <w:gridSpan w:val="2"/>
          </w:tcPr>
          <w:p>
            <w:pPr>
              <w:pStyle w:val="33"/>
              <w:spacing w:before="142" w:line="360" w:lineRule="auto"/>
              <w:ind w:left="220"/>
              <w:rPr>
                <w:color w:val="auto"/>
                <w:sz w:val="21"/>
                <w:highlight w:val="none"/>
              </w:rPr>
            </w:pPr>
            <w:r>
              <w:rPr>
                <w:rFonts w:hint="eastAsia"/>
                <w:color w:val="auto"/>
                <w:sz w:val="21"/>
                <w:highlight w:val="none"/>
              </w:rPr>
              <w:t>各类注册人员</w:t>
            </w:r>
          </w:p>
        </w:tc>
        <w:tc>
          <w:tcPr>
            <w:tcW w:w="1725"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33"/>
              <w:spacing w:before="142" w:line="360" w:lineRule="auto"/>
              <w:ind w:left="707"/>
              <w:rPr>
                <w:color w:val="auto"/>
                <w:sz w:val="21"/>
                <w:highlight w:val="none"/>
              </w:rPr>
            </w:pPr>
            <w:r>
              <w:rPr>
                <w:rFonts w:hint="eastAsia"/>
                <w:color w:val="auto"/>
                <w:sz w:val="21"/>
                <w:highlight w:val="none"/>
              </w:rPr>
              <w:t>经营范围</w:t>
            </w:r>
          </w:p>
        </w:tc>
        <w:tc>
          <w:tcPr>
            <w:tcW w:w="6662" w:type="dxa"/>
            <w:gridSpan w:val="8"/>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2434" w:type="dxa"/>
          </w:tcPr>
          <w:p>
            <w:pPr>
              <w:pStyle w:val="33"/>
              <w:spacing w:before="142"/>
              <w:ind w:left="108" w:right="91" w:hanging="6"/>
              <w:rPr>
                <w:color w:val="auto"/>
                <w:sz w:val="21"/>
                <w:highlight w:val="none"/>
              </w:rPr>
            </w:pPr>
            <w:r>
              <w:rPr>
                <w:rFonts w:hint="eastAsia"/>
                <w:color w:val="auto"/>
                <w:spacing w:val="-3"/>
                <w:sz w:val="21"/>
                <w:highlight w:val="none"/>
              </w:rPr>
              <w:t>投标人关联企业情</w:t>
            </w:r>
            <w:r>
              <w:rPr>
                <w:rFonts w:hint="eastAsia"/>
                <w:color w:val="auto"/>
                <w:spacing w:val="-60"/>
                <w:sz w:val="21"/>
                <w:highlight w:val="none"/>
              </w:rPr>
              <w:t>况</w:t>
            </w:r>
            <w:r>
              <w:rPr>
                <w:rFonts w:hint="eastAsia"/>
                <w:color w:val="auto"/>
                <w:sz w:val="21"/>
                <w:highlight w:val="none"/>
              </w:rPr>
              <w:t>（</w:t>
            </w:r>
            <w:r>
              <w:rPr>
                <w:rFonts w:hint="eastAsia"/>
                <w:color w:val="auto"/>
                <w:spacing w:val="-5"/>
                <w:sz w:val="21"/>
                <w:highlight w:val="none"/>
              </w:rPr>
              <w:t>包括但不限于与</w:t>
            </w:r>
            <w:r>
              <w:rPr>
                <w:rFonts w:hint="eastAsia"/>
                <w:color w:val="auto"/>
                <w:spacing w:val="-3"/>
                <w:sz w:val="21"/>
                <w:highlight w:val="none"/>
              </w:rPr>
              <w:t>投标人法定代表人为同一人或者存在</w:t>
            </w:r>
            <w:r>
              <w:rPr>
                <w:rFonts w:hint="eastAsia"/>
                <w:color w:val="auto"/>
                <w:spacing w:val="-12"/>
                <w:sz w:val="21"/>
                <w:highlight w:val="none"/>
              </w:rPr>
              <w:t>控股、管理关系的不</w:t>
            </w:r>
            <w:r>
              <w:rPr>
                <w:rFonts w:hint="eastAsia"/>
                <w:color w:val="auto"/>
                <w:sz w:val="21"/>
                <w:highlight w:val="none"/>
              </w:rPr>
              <w:t>同单位）</w:t>
            </w:r>
          </w:p>
        </w:tc>
        <w:tc>
          <w:tcPr>
            <w:tcW w:w="6662" w:type="dxa"/>
            <w:gridSpan w:val="8"/>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33"/>
              <w:spacing w:before="142" w:line="360" w:lineRule="auto"/>
              <w:ind w:left="583" w:right="569"/>
              <w:jc w:val="center"/>
              <w:rPr>
                <w:color w:val="auto"/>
                <w:sz w:val="21"/>
                <w:highlight w:val="none"/>
              </w:rPr>
            </w:pPr>
            <w:r>
              <w:rPr>
                <w:rFonts w:hint="eastAsia"/>
                <w:color w:val="auto"/>
                <w:sz w:val="21"/>
                <w:highlight w:val="none"/>
              </w:rPr>
              <w:t>备注</w:t>
            </w:r>
          </w:p>
        </w:tc>
        <w:tc>
          <w:tcPr>
            <w:tcW w:w="6662" w:type="dxa"/>
            <w:gridSpan w:val="8"/>
          </w:tcPr>
          <w:p>
            <w:pPr>
              <w:pStyle w:val="33"/>
              <w:spacing w:line="360" w:lineRule="auto"/>
              <w:rPr>
                <w:color w:val="auto"/>
                <w:sz w:val="20"/>
                <w:highlight w:val="none"/>
              </w:rPr>
            </w:pPr>
          </w:p>
        </w:tc>
      </w:tr>
    </w:tbl>
    <w:p>
      <w:pPr>
        <w:pStyle w:val="10"/>
        <w:spacing w:before="109" w:line="360" w:lineRule="auto"/>
        <w:ind w:left="240" w:right="366"/>
        <w:rPr>
          <w:color w:val="auto"/>
          <w:highlight w:val="none"/>
        </w:rPr>
      </w:pPr>
      <w:r>
        <w:rPr>
          <w:rFonts w:hint="eastAsia"/>
          <w:color w:val="auto"/>
          <w:spacing w:val="-10"/>
          <w:highlight w:val="none"/>
        </w:rPr>
        <w:t xml:space="preserve">注：投标人应根据投标人须知第 </w:t>
      </w:r>
      <w:r>
        <w:rPr>
          <w:rFonts w:hint="eastAsia"/>
          <w:color w:val="auto"/>
          <w:highlight w:val="none"/>
        </w:rPr>
        <w:t xml:space="preserve">3.5.1 </w:t>
      </w:r>
      <w:r>
        <w:rPr>
          <w:rFonts w:hint="eastAsia"/>
          <w:color w:val="auto"/>
          <w:spacing w:val="-6"/>
          <w:highlight w:val="none"/>
        </w:rPr>
        <w:t>项的要求在本表后附相关证明材料。</w:t>
      </w:r>
      <w:r>
        <w:rPr>
          <w:rFonts w:hint="eastAsia" w:ascii="Times New Roman" w:hAnsi="Times New Roman"/>
          <w:color w:val="auto"/>
          <w:highlight w:val="none"/>
          <w:u w:val="single"/>
        </w:rPr>
        <w:t>香港企业投标的，须按照招标公告“投标人资格要求”另行提供</w:t>
      </w:r>
      <w:r>
        <w:rPr>
          <w:rFonts w:hint="eastAsia"/>
          <w:color w:val="auto"/>
          <w:highlight w:val="none"/>
          <w:u w:val="single"/>
        </w:rPr>
        <w:t>在香港公司注册证书及</w:t>
      </w:r>
      <w:r>
        <w:rPr>
          <w:color w:val="auto"/>
          <w:highlight w:val="none"/>
          <w:u w:val="single"/>
        </w:rPr>
        <w:t>商业登记</w:t>
      </w:r>
      <w:r>
        <w:rPr>
          <w:rFonts w:hint="eastAsia"/>
          <w:color w:val="auto"/>
          <w:highlight w:val="none"/>
          <w:u w:val="single"/>
        </w:rPr>
        <w:t>证及经广东省住房和城乡建设主管部门备案的企业和人员的备案证明文件</w:t>
      </w:r>
      <w:r>
        <w:rPr>
          <w:rFonts w:hint="eastAsia" w:ascii="Times New Roman" w:hAnsi="Times New Roman"/>
          <w:color w:val="auto"/>
          <w:highlight w:val="none"/>
        </w:rPr>
        <w:t>。</w:t>
      </w:r>
    </w:p>
    <w:p>
      <w:pPr>
        <w:spacing w:line="360" w:lineRule="auto"/>
        <w:rPr>
          <w:color w:val="auto"/>
          <w:highlight w:val="none"/>
        </w:rPr>
        <w:sectPr>
          <w:pgSz w:w="11906" w:h="16838"/>
          <w:pgMar w:top="1400" w:right="1100" w:bottom="1120" w:left="1560" w:header="0" w:footer="841" w:gutter="0"/>
          <w:cols w:space="720" w:num="1"/>
        </w:sectPr>
      </w:pPr>
      <w:bookmarkStart w:id="53" w:name="_bookmark186"/>
      <w:bookmarkEnd w:id="53"/>
    </w:p>
    <w:p>
      <w:pPr>
        <w:spacing w:line="360" w:lineRule="auto"/>
        <w:ind w:right="456"/>
        <w:jc w:val="both"/>
        <w:outlineLvl w:val="2"/>
        <w:rPr>
          <w:color w:val="auto"/>
          <w:sz w:val="32"/>
          <w:highlight w:val="none"/>
        </w:rPr>
      </w:pPr>
      <w:bookmarkStart w:id="54" w:name="_bookmark187"/>
      <w:bookmarkEnd w:id="54"/>
      <w:r>
        <w:rPr>
          <w:rFonts w:hint="eastAsia"/>
          <w:color w:val="auto"/>
          <w:sz w:val="28"/>
          <w:highlight w:val="none"/>
        </w:rPr>
        <w:t>（二）</w:t>
      </w:r>
      <w:r>
        <w:rPr>
          <w:rFonts w:hint="eastAsia"/>
          <w:color w:val="auto"/>
          <w:sz w:val="32"/>
          <w:highlight w:val="none"/>
        </w:rPr>
        <w:t>拟委任的主要人员汇总表（格式可自拟）</w:t>
      </w:r>
    </w:p>
    <w:p>
      <w:pPr>
        <w:pStyle w:val="10"/>
        <w:spacing w:before="9" w:line="360" w:lineRule="auto"/>
        <w:rPr>
          <w:color w:val="auto"/>
          <w:sz w:val="20"/>
          <w:highlight w:val="none"/>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33"/>
        <w:gridCol w:w="4356"/>
        <w:gridCol w:w="848"/>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45" w:type="pct"/>
            <w:vAlign w:val="center"/>
          </w:tcPr>
          <w:p>
            <w:pPr>
              <w:widowControl/>
              <w:jc w:val="center"/>
              <w:rPr>
                <w:b/>
                <w:bCs/>
                <w:color w:val="auto"/>
                <w:szCs w:val="21"/>
                <w:highlight w:val="none"/>
              </w:rPr>
            </w:pPr>
            <w:r>
              <w:rPr>
                <w:rFonts w:hint="eastAsia"/>
                <w:b/>
                <w:bCs/>
                <w:color w:val="auto"/>
                <w:szCs w:val="21"/>
                <w:highlight w:val="none"/>
              </w:rPr>
              <w:t>序号</w:t>
            </w:r>
          </w:p>
        </w:tc>
        <w:tc>
          <w:tcPr>
            <w:tcW w:w="599" w:type="pct"/>
            <w:vAlign w:val="center"/>
          </w:tcPr>
          <w:p>
            <w:pPr>
              <w:widowControl/>
              <w:jc w:val="center"/>
              <w:rPr>
                <w:b/>
                <w:bCs/>
                <w:color w:val="auto"/>
                <w:szCs w:val="21"/>
                <w:highlight w:val="none"/>
              </w:rPr>
            </w:pPr>
            <w:r>
              <w:rPr>
                <w:rFonts w:hint="eastAsia"/>
                <w:b/>
                <w:bCs/>
                <w:color w:val="auto"/>
                <w:szCs w:val="21"/>
                <w:highlight w:val="none"/>
              </w:rPr>
              <w:t>姓名</w:t>
            </w:r>
          </w:p>
        </w:tc>
        <w:tc>
          <w:tcPr>
            <w:tcW w:w="2302" w:type="pct"/>
            <w:vAlign w:val="center"/>
          </w:tcPr>
          <w:p>
            <w:pPr>
              <w:widowControl/>
              <w:jc w:val="center"/>
              <w:rPr>
                <w:b/>
                <w:bCs/>
                <w:color w:val="auto"/>
                <w:szCs w:val="21"/>
                <w:highlight w:val="none"/>
              </w:rPr>
            </w:pPr>
            <w:r>
              <w:rPr>
                <w:rFonts w:hint="eastAsia"/>
                <w:b/>
                <w:bCs/>
                <w:color w:val="auto"/>
                <w:szCs w:val="21"/>
                <w:highlight w:val="none"/>
              </w:rPr>
              <w:t>岗位</w:t>
            </w:r>
          </w:p>
        </w:tc>
        <w:tc>
          <w:tcPr>
            <w:tcW w:w="448" w:type="pct"/>
            <w:vAlign w:val="center"/>
          </w:tcPr>
          <w:p>
            <w:pPr>
              <w:widowControl/>
              <w:jc w:val="center"/>
              <w:rPr>
                <w:b/>
                <w:bCs/>
                <w:color w:val="auto"/>
                <w:szCs w:val="21"/>
                <w:highlight w:val="none"/>
              </w:rPr>
            </w:pPr>
            <w:r>
              <w:rPr>
                <w:rFonts w:hint="eastAsia"/>
                <w:b/>
                <w:bCs/>
                <w:color w:val="auto"/>
                <w:szCs w:val="21"/>
                <w:highlight w:val="none"/>
              </w:rPr>
              <w:t>职称</w:t>
            </w:r>
          </w:p>
        </w:tc>
        <w:tc>
          <w:tcPr>
            <w:tcW w:w="1304" w:type="pct"/>
            <w:vAlign w:val="center"/>
          </w:tcPr>
          <w:p>
            <w:pPr>
              <w:widowControl/>
              <w:jc w:val="center"/>
              <w:rPr>
                <w:b/>
                <w:bCs/>
                <w:color w:val="auto"/>
                <w:szCs w:val="21"/>
                <w:highlight w:val="none"/>
              </w:rPr>
            </w:pPr>
            <w:r>
              <w:rPr>
                <w:rFonts w:hint="eastAsia"/>
                <w:b/>
                <w:bCs/>
                <w:color w:val="auto"/>
                <w:szCs w:val="21"/>
                <w:highlight w:val="none"/>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pPr>
              <w:widowControl/>
              <w:jc w:val="center"/>
              <w:rPr>
                <w:color w:val="auto"/>
                <w:szCs w:val="21"/>
                <w:highlight w:val="none"/>
              </w:rPr>
            </w:pPr>
            <w:r>
              <w:rPr>
                <w:rFonts w:hint="eastAsia"/>
                <w:color w:val="auto"/>
                <w:szCs w:val="21"/>
                <w:highlight w:val="none"/>
              </w:rPr>
              <w:t>1</w:t>
            </w:r>
          </w:p>
        </w:tc>
        <w:tc>
          <w:tcPr>
            <w:tcW w:w="599" w:type="pct"/>
            <w:noWrap/>
            <w:vAlign w:val="center"/>
          </w:tcPr>
          <w:p>
            <w:pPr>
              <w:widowControl/>
              <w:jc w:val="center"/>
              <w:rPr>
                <w:color w:val="auto"/>
                <w:szCs w:val="21"/>
                <w:highlight w:val="none"/>
              </w:rPr>
            </w:pPr>
            <w:r>
              <w:rPr>
                <w:rFonts w:hint="eastAsia"/>
                <w:color w:val="auto"/>
                <w:szCs w:val="21"/>
                <w:highlight w:val="none"/>
              </w:rPr>
              <w:t>　</w:t>
            </w:r>
          </w:p>
        </w:tc>
        <w:tc>
          <w:tcPr>
            <w:tcW w:w="2302" w:type="pct"/>
            <w:noWrap/>
            <w:vAlign w:val="center"/>
          </w:tcPr>
          <w:p>
            <w:pPr>
              <w:spacing w:line="276" w:lineRule="auto"/>
              <w:jc w:val="center"/>
              <w:rPr>
                <w:color w:val="auto"/>
                <w:szCs w:val="21"/>
                <w:highlight w:val="none"/>
                <w:lang w:val="en-US"/>
              </w:rPr>
            </w:pPr>
          </w:p>
        </w:tc>
        <w:tc>
          <w:tcPr>
            <w:tcW w:w="448" w:type="pct"/>
            <w:noWrap/>
            <w:vAlign w:val="center"/>
          </w:tcPr>
          <w:p>
            <w:pPr>
              <w:widowControl/>
              <w:jc w:val="center"/>
              <w:rPr>
                <w:color w:val="auto"/>
                <w:szCs w:val="21"/>
                <w:highlight w:val="none"/>
              </w:rPr>
            </w:pPr>
            <w:r>
              <w:rPr>
                <w:rFonts w:hint="eastAsia"/>
                <w:color w:val="auto"/>
                <w:szCs w:val="21"/>
                <w:highlight w:val="none"/>
              </w:rPr>
              <w:t>　</w:t>
            </w:r>
          </w:p>
        </w:tc>
        <w:tc>
          <w:tcPr>
            <w:tcW w:w="1304" w:type="pct"/>
            <w:noWrap/>
            <w:vAlign w:val="center"/>
          </w:tcPr>
          <w:p>
            <w:pPr>
              <w:widowControl/>
              <w:jc w:val="center"/>
              <w:rPr>
                <w:color w:val="auto"/>
                <w:szCs w:val="21"/>
                <w:highlight w:val="none"/>
              </w:rPr>
            </w:pPr>
            <w:r>
              <w:rPr>
                <w:rFonts w:hint="eastAsia"/>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pPr>
              <w:widowControl/>
              <w:jc w:val="center"/>
              <w:rPr>
                <w:color w:val="auto"/>
                <w:szCs w:val="21"/>
                <w:highlight w:val="none"/>
              </w:rPr>
            </w:pPr>
            <w:r>
              <w:rPr>
                <w:rFonts w:hint="eastAsia"/>
                <w:color w:val="auto"/>
                <w:szCs w:val="21"/>
                <w:highlight w:val="none"/>
              </w:rPr>
              <w:t>2</w:t>
            </w:r>
          </w:p>
        </w:tc>
        <w:tc>
          <w:tcPr>
            <w:tcW w:w="599" w:type="pct"/>
            <w:noWrap/>
            <w:vAlign w:val="center"/>
          </w:tcPr>
          <w:p>
            <w:pPr>
              <w:widowControl/>
              <w:jc w:val="center"/>
              <w:rPr>
                <w:color w:val="auto"/>
                <w:szCs w:val="21"/>
                <w:highlight w:val="none"/>
              </w:rPr>
            </w:pPr>
            <w:r>
              <w:rPr>
                <w:rFonts w:hint="eastAsia"/>
                <w:color w:val="auto"/>
                <w:szCs w:val="21"/>
                <w:highlight w:val="none"/>
              </w:rPr>
              <w:t>　</w:t>
            </w:r>
          </w:p>
        </w:tc>
        <w:tc>
          <w:tcPr>
            <w:tcW w:w="2302" w:type="pct"/>
            <w:noWrap/>
            <w:vAlign w:val="center"/>
          </w:tcPr>
          <w:p>
            <w:pPr>
              <w:spacing w:line="276" w:lineRule="auto"/>
              <w:jc w:val="center"/>
              <w:rPr>
                <w:color w:val="auto"/>
                <w:szCs w:val="21"/>
                <w:highlight w:val="none"/>
              </w:rPr>
            </w:pPr>
          </w:p>
        </w:tc>
        <w:tc>
          <w:tcPr>
            <w:tcW w:w="448" w:type="pct"/>
            <w:noWrap/>
            <w:vAlign w:val="center"/>
          </w:tcPr>
          <w:p>
            <w:pPr>
              <w:widowControl/>
              <w:jc w:val="center"/>
              <w:rPr>
                <w:color w:val="auto"/>
                <w:szCs w:val="21"/>
                <w:highlight w:val="none"/>
              </w:rPr>
            </w:pPr>
            <w:r>
              <w:rPr>
                <w:rFonts w:hint="eastAsia"/>
                <w:color w:val="auto"/>
                <w:szCs w:val="21"/>
                <w:highlight w:val="none"/>
              </w:rPr>
              <w:t>　</w:t>
            </w:r>
          </w:p>
        </w:tc>
        <w:tc>
          <w:tcPr>
            <w:tcW w:w="1304" w:type="pct"/>
            <w:noWrap/>
            <w:vAlign w:val="center"/>
          </w:tcPr>
          <w:p>
            <w:pPr>
              <w:widowControl/>
              <w:jc w:val="center"/>
              <w:rPr>
                <w:color w:val="auto"/>
                <w:szCs w:val="21"/>
                <w:highlight w:val="none"/>
              </w:rPr>
            </w:pPr>
            <w:r>
              <w:rPr>
                <w:rFonts w:hint="eastAsia"/>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pPr>
              <w:widowControl/>
              <w:jc w:val="center"/>
              <w:rPr>
                <w:color w:val="auto"/>
                <w:szCs w:val="21"/>
                <w:highlight w:val="none"/>
                <w:lang w:val="en-US"/>
              </w:rPr>
            </w:pPr>
            <w:r>
              <w:rPr>
                <w:rFonts w:hint="eastAsia"/>
                <w:color w:val="auto"/>
                <w:szCs w:val="21"/>
                <w:highlight w:val="none"/>
                <w:lang w:val="en-US"/>
              </w:rPr>
              <w:t>3</w:t>
            </w:r>
          </w:p>
        </w:tc>
        <w:tc>
          <w:tcPr>
            <w:tcW w:w="599" w:type="pct"/>
            <w:noWrap/>
            <w:vAlign w:val="center"/>
          </w:tcPr>
          <w:p>
            <w:pPr>
              <w:widowControl/>
              <w:jc w:val="center"/>
              <w:rPr>
                <w:color w:val="auto"/>
                <w:szCs w:val="21"/>
                <w:highlight w:val="none"/>
              </w:rPr>
            </w:pPr>
          </w:p>
        </w:tc>
        <w:tc>
          <w:tcPr>
            <w:tcW w:w="2302" w:type="pct"/>
            <w:noWrap/>
            <w:vAlign w:val="center"/>
          </w:tcPr>
          <w:p>
            <w:pPr>
              <w:spacing w:line="276" w:lineRule="auto"/>
              <w:jc w:val="center"/>
              <w:rPr>
                <w:color w:val="auto"/>
                <w:szCs w:val="21"/>
                <w:highlight w:val="none"/>
              </w:rPr>
            </w:pPr>
          </w:p>
        </w:tc>
        <w:tc>
          <w:tcPr>
            <w:tcW w:w="448" w:type="pct"/>
            <w:noWrap/>
            <w:vAlign w:val="center"/>
          </w:tcPr>
          <w:p>
            <w:pPr>
              <w:widowControl/>
              <w:jc w:val="center"/>
              <w:rPr>
                <w:color w:val="auto"/>
                <w:szCs w:val="21"/>
                <w:highlight w:val="none"/>
              </w:rPr>
            </w:pPr>
          </w:p>
        </w:tc>
        <w:tc>
          <w:tcPr>
            <w:tcW w:w="1304" w:type="pct"/>
            <w:noWrap/>
            <w:vAlign w:val="center"/>
          </w:tcPr>
          <w:p>
            <w:pPr>
              <w:widowControl/>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pPr>
              <w:widowControl/>
              <w:jc w:val="center"/>
              <w:rPr>
                <w:color w:val="auto"/>
                <w:szCs w:val="21"/>
                <w:highlight w:val="none"/>
                <w:lang w:val="en-US"/>
              </w:rPr>
            </w:pPr>
            <w:r>
              <w:rPr>
                <w:rFonts w:hint="eastAsia"/>
                <w:color w:val="auto"/>
                <w:szCs w:val="21"/>
                <w:highlight w:val="none"/>
                <w:lang w:val="en-US"/>
              </w:rPr>
              <w:t>4</w:t>
            </w:r>
          </w:p>
        </w:tc>
        <w:tc>
          <w:tcPr>
            <w:tcW w:w="599" w:type="pct"/>
            <w:noWrap/>
            <w:vAlign w:val="center"/>
          </w:tcPr>
          <w:p>
            <w:pPr>
              <w:widowControl/>
              <w:jc w:val="center"/>
              <w:rPr>
                <w:color w:val="auto"/>
                <w:szCs w:val="21"/>
                <w:highlight w:val="none"/>
              </w:rPr>
            </w:pPr>
          </w:p>
        </w:tc>
        <w:tc>
          <w:tcPr>
            <w:tcW w:w="2302" w:type="pct"/>
            <w:noWrap/>
            <w:vAlign w:val="center"/>
          </w:tcPr>
          <w:p>
            <w:pPr>
              <w:spacing w:line="276" w:lineRule="auto"/>
              <w:jc w:val="center"/>
              <w:rPr>
                <w:color w:val="auto"/>
                <w:szCs w:val="21"/>
                <w:highlight w:val="none"/>
              </w:rPr>
            </w:pPr>
          </w:p>
        </w:tc>
        <w:tc>
          <w:tcPr>
            <w:tcW w:w="448" w:type="pct"/>
            <w:noWrap/>
            <w:vAlign w:val="center"/>
          </w:tcPr>
          <w:p>
            <w:pPr>
              <w:widowControl/>
              <w:jc w:val="center"/>
              <w:rPr>
                <w:color w:val="auto"/>
                <w:szCs w:val="21"/>
                <w:highlight w:val="none"/>
              </w:rPr>
            </w:pPr>
          </w:p>
        </w:tc>
        <w:tc>
          <w:tcPr>
            <w:tcW w:w="1304" w:type="pct"/>
            <w:noWrap/>
            <w:vAlign w:val="center"/>
          </w:tcPr>
          <w:p>
            <w:pPr>
              <w:widowControl/>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pPr>
              <w:widowControl/>
              <w:jc w:val="center"/>
              <w:rPr>
                <w:color w:val="auto"/>
                <w:szCs w:val="21"/>
                <w:highlight w:val="none"/>
              </w:rPr>
            </w:pPr>
            <w:r>
              <w:rPr>
                <w:rFonts w:hint="eastAsia"/>
                <w:color w:val="auto"/>
                <w:szCs w:val="21"/>
                <w:highlight w:val="none"/>
                <w:lang w:val="en-US"/>
              </w:rPr>
              <w:t>5</w:t>
            </w:r>
          </w:p>
        </w:tc>
        <w:tc>
          <w:tcPr>
            <w:tcW w:w="599" w:type="pct"/>
            <w:noWrap/>
            <w:vAlign w:val="center"/>
          </w:tcPr>
          <w:p>
            <w:pPr>
              <w:widowControl/>
              <w:jc w:val="center"/>
              <w:rPr>
                <w:color w:val="auto"/>
                <w:szCs w:val="21"/>
                <w:highlight w:val="none"/>
              </w:rPr>
            </w:pPr>
            <w:r>
              <w:rPr>
                <w:rFonts w:hint="eastAsia"/>
                <w:color w:val="auto"/>
                <w:szCs w:val="21"/>
                <w:highlight w:val="none"/>
              </w:rPr>
              <w:t>　</w:t>
            </w:r>
          </w:p>
        </w:tc>
        <w:tc>
          <w:tcPr>
            <w:tcW w:w="2302" w:type="pct"/>
            <w:noWrap/>
            <w:vAlign w:val="center"/>
          </w:tcPr>
          <w:p>
            <w:pPr>
              <w:spacing w:line="276" w:lineRule="auto"/>
              <w:jc w:val="center"/>
              <w:rPr>
                <w:color w:val="auto"/>
                <w:szCs w:val="21"/>
                <w:highlight w:val="none"/>
              </w:rPr>
            </w:pPr>
          </w:p>
        </w:tc>
        <w:tc>
          <w:tcPr>
            <w:tcW w:w="448" w:type="pct"/>
            <w:noWrap/>
            <w:vAlign w:val="center"/>
          </w:tcPr>
          <w:p>
            <w:pPr>
              <w:widowControl/>
              <w:jc w:val="center"/>
              <w:rPr>
                <w:color w:val="auto"/>
                <w:szCs w:val="21"/>
                <w:highlight w:val="none"/>
              </w:rPr>
            </w:pPr>
            <w:r>
              <w:rPr>
                <w:rFonts w:hint="eastAsia"/>
                <w:color w:val="auto"/>
                <w:szCs w:val="21"/>
                <w:highlight w:val="none"/>
              </w:rPr>
              <w:t>　</w:t>
            </w:r>
          </w:p>
        </w:tc>
        <w:tc>
          <w:tcPr>
            <w:tcW w:w="1304" w:type="pct"/>
            <w:noWrap/>
            <w:vAlign w:val="center"/>
          </w:tcPr>
          <w:p>
            <w:pPr>
              <w:widowControl/>
              <w:jc w:val="center"/>
              <w:rPr>
                <w:color w:val="auto"/>
                <w:szCs w:val="21"/>
                <w:highlight w:val="none"/>
              </w:rPr>
            </w:pPr>
            <w:r>
              <w:rPr>
                <w:rFonts w:hint="eastAsia"/>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pPr>
              <w:widowControl/>
              <w:jc w:val="center"/>
              <w:rPr>
                <w:color w:val="auto"/>
                <w:szCs w:val="21"/>
                <w:highlight w:val="none"/>
              </w:rPr>
            </w:pPr>
            <w:r>
              <w:rPr>
                <w:rFonts w:hint="eastAsia"/>
                <w:color w:val="auto"/>
                <w:szCs w:val="21"/>
                <w:highlight w:val="none"/>
                <w:lang w:val="en-US"/>
              </w:rPr>
              <w:t>6</w:t>
            </w:r>
          </w:p>
        </w:tc>
        <w:tc>
          <w:tcPr>
            <w:tcW w:w="599" w:type="pct"/>
            <w:noWrap/>
            <w:vAlign w:val="center"/>
          </w:tcPr>
          <w:p>
            <w:pPr>
              <w:widowControl/>
              <w:jc w:val="center"/>
              <w:rPr>
                <w:color w:val="auto"/>
                <w:szCs w:val="21"/>
                <w:highlight w:val="none"/>
              </w:rPr>
            </w:pPr>
            <w:r>
              <w:rPr>
                <w:rFonts w:hint="eastAsia"/>
                <w:color w:val="auto"/>
                <w:szCs w:val="21"/>
                <w:highlight w:val="none"/>
              </w:rPr>
              <w:t>　</w:t>
            </w:r>
          </w:p>
        </w:tc>
        <w:tc>
          <w:tcPr>
            <w:tcW w:w="2302" w:type="pct"/>
            <w:noWrap/>
            <w:vAlign w:val="center"/>
          </w:tcPr>
          <w:p>
            <w:pPr>
              <w:spacing w:line="276" w:lineRule="auto"/>
              <w:jc w:val="center"/>
              <w:rPr>
                <w:color w:val="auto"/>
                <w:szCs w:val="21"/>
                <w:highlight w:val="none"/>
              </w:rPr>
            </w:pPr>
          </w:p>
        </w:tc>
        <w:tc>
          <w:tcPr>
            <w:tcW w:w="448" w:type="pct"/>
            <w:noWrap/>
            <w:vAlign w:val="center"/>
          </w:tcPr>
          <w:p>
            <w:pPr>
              <w:widowControl/>
              <w:jc w:val="center"/>
              <w:rPr>
                <w:color w:val="auto"/>
                <w:szCs w:val="21"/>
                <w:highlight w:val="none"/>
              </w:rPr>
            </w:pPr>
            <w:r>
              <w:rPr>
                <w:rFonts w:hint="eastAsia"/>
                <w:color w:val="auto"/>
                <w:szCs w:val="21"/>
                <w:highlight w:val="none"/>
              </w:rPr>
              <w:t>　</w:t>
            </w:r>
          </w:p>
        </w:tc>
        <w:tc>
          <w:tcPr>
            <w:tcW w:w="1304" w:type="pct"/>
            <w:noWrap/>
            <w:vAlign w:val="center"/>
          </w:tcPr>
          <w:p>
            <w:pPr>
              <w:widowControl/>
              <w:jc w:val="center"/>
              <w:rPr>
                <w:color w:val="auto"/>
                <w:szCs w:val="21"/>
                <w:highlight w:val="none"/>
              </w:rPr>
            </w:pPr>
            <w:r>
              <w:rPr>
                <w:rFonts w:hint="eastAsia"/>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pPr>
              <w:widowControl/>
              <w:jc w:val="center"/>
              <w:rPr>
                <w:color w:val="auto"/>
                <w:szCs w:val="21"/>
                <w:highlight w:val="none"/>
              </w:rPr>
            </w:pPr>
            <w:r>
              <w:rPr>
                <w:rFonts w:hint="eastAsia"/>
                <w:color w:val="auto"/>
                <w:szCs w:val="21"/>
                <w:highlight w:val="none"/>
                <w:lang w:val="en-US"/>
              </w:rPr>
              <w:t>7</w:t>
            </w:r>
          </w:p>
        </w:tc>
        <w:tc>
          <w:tcPr>
            <w:tcW w:w="599" w:type="pct"/>
            <w:noWrap/>
            <w:vAlign w:val="center"/>
          </w:tcPr>
          <w:p>
            <w:pPr>
              <w:widowControl/>
              <w:jc w:val="center"/>
              <w:rPr>
                <w:color w:val="auto"/>
                <w:szCs w:val="21"/>
                <w:highlight w:val="none"/>
              </w:rPr>
            </w:pPr>
            <w:r>
              <w:rPr>
                <w:rFonts w:hint="eastAsia"/>
                <w:color w:val="auto"/>
                <w:szCs w:val="21"/>
                <w:highlight w:val="none"/>
              </w:rPr>
              <w:t>　</w:t>
            </w:r>
          </w:p>
        </w:tc>
        <w:tc>
          <w:tcPr>
            <w:tcW w:w="2302" w:type="pct"/>
            <w:noWrap/>
            <w:vAlign w:val="center"/>
          </w:tcPr>
          <w:p>
            <w:pPr>
              <w:spacing w:line="276" w:lineRule="auto"/>
              <w:jc w:val="center"/>
              <w:rPr>
                <w:color w:val="auto"/>
                <w:szCs w:val="21"/>
                <w:highlight w:val="none"/>
              </w:rPr>
            </w:pPr>
          </w:p>
        </w:tc>
        <w:tc>
          <w:tcPr>
            <w:tcW w:w="448" w:type="pct"/>
            <w:noWrap/>
            <w:vAlign w:val="center"/>
          </w:tcPr>
          <w:p>
            <w:pPr>
              <w:widowControl/>
              <w:jc w:val="center"/>
              <w:rPr>
                <w:color w:val="auto"/>
                <w:szCs w:val="21"/>
                <w:highlight w:val="none"/>
              </w:rPr>
            </w:pPr>
            <w:r>
              <w:rPr>
                <w:rFonts w:hint="eastAsia"/>
                <w:color w:val="auto"/>
                <w:szCs w:val="21"/>
                <w:highlight w:val="none"/>
              </w:rPr>
              <w:t>　</w:t>
            </w:r>
          </w:p>
        </w:tc>
        <w:tc>
          <w:tcPr>
            <w:tcW w:w="1304" w:type="pct"/>
            <w:noWrap/>
            <w:vAlign w:val="center"/>
          </w:tcPr>
          <w:p>
            <w:pPr>
              <w:widowControl/>
              <w:jc w:val="center"/>
              <w:rPr>
                <w:color w:val="auto"/>
                <w:szCs w:val="21"/>
                <w:highlight w:val="none"/>
              </w:rPr>
            </w:pPr>
            <w:r>
              <w:rPr>
                <w:rFonts w:hint="eastAsia"/>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pPr>
              <w:widowControl/>
              <w:jc w:val="center"/>
              <w:rPr>
                <w:color w:val="auto"/>
                <w:szCs w:val="21"/>
                <w:highlight w:val="none"/>
              </w:rPr>
            </w:pPr>
            <w:r>
              <w:rPr>
                <w:rFonts w:hint="eastAsia"/>
                <w:color w:val="auto"/>
                <w:szCs w:val="21"/>
                <w:highlight w:val="none"/>
              </w:rPr>
              <w:t>……　</w:t>
            </w:r>
          </w:p>
        </w:tc>
        <w:tc>
          <w:tcPr>
            <w:tcW w:w="599" w:type="pct"/>
            <w:noWrap/>
            <w:vAlign w:val="center"/>
          </w:tcPr>
          <w:p>
            <w:pPr>
              <w:widowControl/>
              <w:jc w:val="center"/>
              <w:rPr>
                <w:color w:val="auto"/>
                <w:szCs w:val="21"/>
                <w:highlight w:val="none"/>
              </w:rPr>
            </w:pPr>
            <w:r>
              <w:rPr>
                <w:rFonts w:hint="eastAsia"/>
                <w:color w:val="auto"/>
                <w:szCs w:val="21"/>
                <w:highlight w:val="none"/>
              </w:rPr>
              <w:t>　</w:t>
            </w:r>
          </w:p>
        </w:tc>
        <w:tc>
          <w:tcPr>
            <w:tcW w:w="2302" w:type="pct"/>
            <w:noWrap/>
            <w:vAlign w:val="center"/>
          </w:tcPr>
          <w:p>
            <w:pPr>
              <w:spacing w:line="276" w:lineRule="auto"/>
              <w:jc w:val="center"/>
              <w:rPr>
                <w:color w:val="auto"/>
                <w:szCs w:val="21"/>
                <w:highlight w:val="none"/>
              </w:rPr>
            </w:pPr>
          </w:p>
        </w:tc>
        <w:tc>
          <w:tcPr>
            <w:tcW w:w="448" w:type="pct"/>
            <w:noWrap/>
            <w:vAlign w:val="center"/>
          </w:tcPr>
          <w:p>
            <w:pPr>
              <w:widowControl/>
              <w:jc w:val="center"/>
              <w:rPr>
                <w:color w:val="auto"/>
                <w:szCs w:val="21"/>
                <w:highlight w:val="none"/>
              </w:rPr>
            </w:pPr>
            <w:r>
              <w:rPr>
                <w:rFonts w:hint="eastAsia"/>
                <w:color w:val="auto"/>
                <w:szCs w:val="21"/>
                <w:highlight w:val="none"/>
              </w:rPr>
              <w:t>　</w:t>
            </w:r>
          </w:p>
        </w:tc>
        <w:tc>
          <w:tcPr>
            <w:tcW w:w="1304" w:type="pct"/>
            <w:noWrap/>
            <w:vAlign w:val="center"/>
          </w:tcPr>
          <w:p>
            <w:pPr>
              <w:widowControl/>
              <w:jc w:val="center"/>
              <w:rPr>
                <w:color w:val="auto"/>
                <w:szCs w:val="21"/>
                <w:highlight w:val="none"/>
              </w:rPr>
            </w:pPr>
            <w:r>
              <w:rPr>
                <w:rFonts w:hint="eastAsia"/>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5000" w:type="pct"/>
            <w:gridSpan w:val="5"/>
            <w:vAlign w:val="center"/>
          </w:tcPr>
          <w:p>
            <w:pPr>
              <w:widowControl/>
              <w:rPr>
                <w:color w:val="auto"/>
                <w:szCs w:val="21"/>
                <w:highlight w:val="none"/>
              </w:rPr>
            </w:pPr>
            <w:r>
              <w:rPr>
                <w:rFonts w:hint="eastAsia"/>
                <w:color w:val="auto"/>
                <w:szCs w:val="21"/>
                <w:highlight w:val="none"/>
              </w:rPr>
              <w:t>备注：</w:t>
            </w:r>
          </w:p>
          <w:p>
            <w:pPr>
              <w:widowControl/>
              <w:rPr>
                <w:color w:val="auto"/>
                <w:szCs w:val="21"/>
                <w:highlight w:val="none"/>
              </w:rPr>
            </w:pPr>
            <w:r>
              <w:rPr>
                <w:rFonts w:hint="eastAsia"/>
                <w:color w:val="auto"/>
                <w:szCs w:val="21"/>
                <w:highlight w:val="none"/>
              </w:rPr>
              <w:t>1、“岗位”要求</w:t>
            </w:r>
            <w:r>
              <w:rPr>
                <w:rFonts w:hint="eastAsia"/>
                <w:b/>
                <w:bCs/>
                <w:color w:val="auto"/>
                <w:szCs w:val="21"/>
                <w:highlight w:val="none"/>
              </w:rPr>
              <w:t>（总监理工程师除外）</w:t>
            </w:r>
            <w:r>
              <w:rPr>
                <w:rFonts w:hint="eastAsia"/>
                <w:color w:val="auto"/>
                <w:szCs w:val="21"/>
                <w:highlight w:val="none"/>
              </w:rPr>
              <w:t>由招标人根据项目管理需要在本表备注中明确提出，如：拟派驻施工现场的总监理工程师代表（</w:t>
            </w:r>
            <w:r>
              <w:rPr>
                <w:rFonts w:hint="eastAsia"/>
                <w:color w:val="auto"/>
                <w:szCs w:val="21"/>
                <w:highlight w:val="none"/>
                <w:lang w:val="en-US"/>
              </w:rPr>
              <w:t>如有</w:t>
            </w:r>
            <w:r>
              <w:rPr>
                <w:rFonts w:hint="eastAsia"/>
                <w:color w:val="auto"/>
                <w:szCs w:val="21"/>
                <w:highlight w:val="none"/>
              </w:rPr>
              <w:t>）、专业监理工程师（</w:t>
            </w:r>
            <w:r>
              <w:rPr>
                <w:rFonts w:hint="eastAsia"/>
                <w:color w:val="auto"/>
                <w:szCs w:val="21"/>
                <w:highlight w:val="none"/>
                <w:lang w:val="en-US"/>
              </w:rPr>
              <w:t>如有</w:t>
            </w:r>
            <w:r>
              <w:rPr>
                <w:rFonts w:hint="eastAsia"/>
                <w:color w:val="auto"/>
                <w:szCs w:val="21"/>
                <w:highlight w:val="none"/>
              </w:rPr>
              <w:t>）、监理员（</w:t>
            </w:r>
            <w:r>
              <w:rPr>
                <w:rFonts w:hint="eastAsia"/>
                <w:color w:val="auto"/>
                <w:szCs w:val="21"/>
                <w:highlight w:val="none"/>
                <w:lang w:val="en-US"/>
              </w:rPr>
              <w:t>如有</w:t>
            </w:r>
            <w:r>
              <w:rPr>
                <w:rFonts w:hint="eastAsia"/>
                <w:color w:val="auto"/>
                <w:szCs w:val="21"/>
                <w:highlight w:val="none"/>
              </w:rPr>
              <w:t>）等。以上项目管理团队人员信息将由交易系统提取后供各相关单位在履约时比对、查核。</w:t>
            </w:r>
          </w:p>
          <w:p>
            <w:pPr>
              <w:widowControl/>
              <w:rPr>
                <w:color w:val="auto"/>
                <w:szCs w:val="21"/>
                <w:highlight w:val="none"/>
              </w:rPr>
            </w:pPr>
            <w:r>
              <w:rPr>
                <w:rFonts w:hint="eastAsia"/>
                <w:color w:val="auto"/>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rPr>
                <w:b/>
                <w:color w:val="auto"/>
                <w:szCs w:val="21"/>
                <w:highlight w:val="none"/>
              </w:rPr>
            </w:pPr>
            <w:r>
              <w:rPr>
                <w:rFonts w:hint="eastAsia"/>
                <w:color w:val="auto"/>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spacing w:line="360" w:lineRule="auto"/>
        <w:rPr>
          <w:color w:val="auto"/>
          <w:highlight w:val="none"/>
        </w:rPr>
        <w:sectPr>
          <w:pgSz w:w="11906" w:h="16838"/>
          <w:pgMar w:top="1400" w:right="1100" w:bottom="1120" w:left="1560" w:header="0" w:footer="841" w:gutter="0"/>
          <w:cols w:space="720" w:num="1"/>
        </w:sectPr>
      </w:pPr>
      <w:r>
        <w:rPr>
          <w:rFonts w:hint="eastAsia"/>
          <w:color w:val="auto"/>
          <w:highlight w:val="none"/>
          <w:u w:val="single"/>
        </w:rPr>
        <w:t>注：投标人应根据投标人须知第 3.5.6 项要求进行本表的填写。</w:t>
      </w:r>
    </w:p>
    <w:p>
      <w:pPr>
        <w:pStyle w:val="4"/>
        <w:ind w:left="0" w:firstLine="0"/>
        <w:jc w:val="both"/>
        <w:rPr>
          <w:color w:val="auto"/>
          <w:sz w:val="24"/>
          <w:szCs w:val="32"/>
          <w:highlight w:val="none"/>
        </w:rPr>
      </w:pPr>
      <w:r>
        <w:rPr>
          <w:rFonts w:hint="eastAsia"/>
          <w:bCs/>
          <w:color w:val="auto"/>
          <w:sz w:val="24"/>
          <w:szCs w:val="32"/>
          <w:highlight w:val="none"/>
        </w:rPr>
        <w:t>（三）</w:t>
      </w:r>
      <w:r>
        <w:rPr>
          <w:rFonts w:hint="eastAsia"/>
          <w:color w:val="auto"/>
          <w:highlight w:val="none"/>
        </w:rPr>
        <w:t>项目总监简历表</w:t>
      </w:r>
    </w:p>
    <w:p>
      <w:pPr>
        <w:jc w:val="center"/>
        <w:rPr>
          <w:color w:val="auto"/>
          <w:sz w:val="32"/>
          <w:szCs w:val="36"/>
          <w:highlight w:val="none"/>
        </w:rPr>
      </w:pPr>
      <w:r>
        <w:rPr>
          <w:rFonts w:hint="eastAsia"/>
          <w:color w:val="auto"/>
          <w:sz w:val="32"/>
          <w:szCs w:val="36"/>
          <w:highlight w:val="none"/>
        </w:rPr>
        <w:t>项目总监简历表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2"/>
        <w:gridCol w:w="83"/>
        <w:gridCol w:w="1327"/>
        <w:gridCol w:w="7"/>
        <w:gridCol w:w="346"/>
        <w:gridCol w:w="930"/>
        <w:gridCol w:w="650"/>
        <w:gridCol w:w="1051"/>
        <w:gridCol w:w="142"/>
        <w:gridCol w:w="992"/>
        <w:gridCol w:w="2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jc w:val="center"/>
              <w:rPr>
                <w:color w:val="auto"/>
                <w:sz w:val="24"/>
                <w:szCs w:val="24"/>
                <w:highlight w:val="none"/>
              </w:rPr>
            </w:pPr>
            <w:r>
              <w:rPr>
                <w:rFonts w:hint="eastAsia"/>
                <w:color w:val="auto"/>
                <w:sz w:val="24"/>
                <w:szCs w:val="24"/>
                <w:highlight w:val="none"/>
              </w:rPr>
              <w:t>姓名</w:t>
            </w:r>
          </w:p>
        </w:tc>
        <w:tc>
          <w:tcPr>
            <w:tcW w:w="2079" w:type="dxa"/>
            <w:gridSpan w:val="4"/>
            <w:vAlign w:val="center"/>
          </w:tcPr>
          <w:p>
            <w:pPr>
              <w:jc w:val="center"/>
              <w:rPr>
                <w:color w:val="auto"/>
                <w:sz w:val="24"/>
                <w:szCs w:val="24"/>
                <w:highlight w:val="none"/>
              </w:rPr>
            </w:pPr>
          </w:p>
        </w:tc>
        <w:tc>
          <w:tcPr>
            <w:tcW w:w="1276" w:type="dxa"/>
            <w:gridSpan w:val="2"/>
            <w:vAlign w:val="center"/>
          </w:tcPr>
          <w:p>
            <w:pPr>
              <w:jc w:val="center"/>
              <w:rPr>
                <w:color w:val="auto"/>
                <w:sz w:val="24"/>
                <w:szCs w:val="24"/>
                <w:highlight w:val="none"/>
              </w:rPr>
            </w:pPr>
            <w:r>
              <w:rPr>
                <w:rFonts w:hint="eastAsia"/>
                <w:color w:val="auto"/>
                <w:sz w:val="24"/>
                <w:szCs w:val="24"/>
                <w:highlight w:val="none"/>
              </w:rPr>
              <w:t>性别</w:t>
            </w:r>
          </w:p>
        </w:tc>
        <w:tc>
          <w:tcPr>
            <w:tcW w:w="1701" w:type="dxa"/>
            <w:gridSpan w:val="2"/>
            <w:vAlign w:val="center"/>
          </w:tcPr>
          <w:p>
            <w:pPr>
              <w:jc w:val="center"/>
              <w:rPr>
                <w:color w:val="auto"/>
                <w:sz w:val="24"/>
                <w:szCs w:val="24"/>
                <w:highlight w:val="none"/>
              </w:rPr>
            </w:pPr>
          </w:p>
        </w:tc>
        <w:tc>
          <w:tcPr>
            <w:tcW w:w="1155" w:type="dxa"/>
            <w:gridSpan w:val="3"/>
            <w:vAlign w:val="center"/>
          </w:tcPr>
          <w:p>
            <w:pPr>
              <w:jc w:val="center"/>
              <w:rPr>
                <w:color w:val="auto"/>
                <w:sz w:val="24"/>
                <w:szCs w:val="24"/>
                <w:highlight w:val="none"/>
              </w:rPr>
            </w:pPr>
            <w:r>
              <w:rPr>
                <w:rFonts w:hint="eastAsia"/>
                <w:color w:val="auto"/>
                <w:sz w:val="24"/>
                <w:szCs w:val="24"/>
                <w:highlight w:val="none"/>
              </w:rPr>
              <w:t>年龄</w:t>
            </w:r>
          </w:p>
        </w:tc>
        <w:tc>
          <w:tcPr>
            <w:tcW w:w="1800"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jc w:val="center"/>
              <w:rPr>
                <w:color w:val="auto"/>
                <w:sz w:val="24"/>
                <w:szCs w:val="24"/>
                <w:highlight w:val="none"/>
              </w:rPr>
            </w:pPr>
            <w:r>
              <w:rPr>
                <w:rFonts w:hint="eastAsia"/>
                <w:color w:val="auto"/>
                <w:sz w:val="24"/>
                <w:szCs w:val="24"/>
                <w:highlight w:val="none"/>
              </w:rPr>
              <w:t>职务</w:t>
            </w:r>
          </w:p>
        </w:tc>
        <w:tc>
          <w:tcPr>
            <w:tcW w:w="2079" w:type="dxa"/>
            <w:gridSpan w:val="4"/>
            <w:vAlign w:val="center"/>
          </w:tcPr>
          <w:p>
            <w:pPr>
              <w:jc w:val="center"/>
              <w:rPr>
                <w:color w:val="auto"/>
                <w:sz w:val="24"/>
                <w:szCs w:val="24"/>
                <w:highlight w:val="none"/>
              </w:rPr>
            </w:pPr>
          </w:p>
        </w:tc>
        <w:tc>
          <w:tcPr>
            <w:tcW w:w="1276" w:type="dxa"/>
            <w:gridSpan w:val="2"/>
            <w:vAlign w:val="center"/>
          </w:tcPr>
          <w:p>
            <w:pPr>
              <w:jc w:val="center"/>
              <w:rPr>
                <w:color w:val="auto"/>
                <w:sz w:val="24"/>
                <w:szCs w:val="24"/>
                <w:highlight w:val="none"/>
              </w:rPr>
            </w:pPr>
            <w:r>
              <w:rPr>
                <w:rFonts w:hint="eastAsia"/>
                <w:color w:val="auto"/>
                <w:sz w:val="24"/>
                <w:szCs w:val="24"/>
                <w:highlight w:val="none"/>
              </w:rPr>
              <w:t>职称</w:t>
            </w:r>
          </w:p>
        </w:tc>
        <w:tc>
          <w:tcPr>
            <w:tcW w:w="1701" w:type="dxa"/>
            <w:gridSpan w:val="2"/>
            <w:vAlign w:val="center"/>
          </w:tcPr>
          <w:p>
            <w:pPr>
              <w:jc w:val="center"/>
              <w:rPr>
                <w:color w:val="auto"/>
                <w:sz w:val="24"/>
                <w:szCs w:val="24"/>
                <w:highlight w:val="none"/>
              </w:rPr>
            </w:pPr>
          </w:p>
        </w:tc>
        <w:tc>
          <w:tcPr>
            <w:tcW w:w="1155" w:type="dxa"/>
            <w:gridSpan w:val="3"/>
            <w:vAlign w:val="center"/>
          </w:tcPr>
          <w:p>
            <w:pPr>
              <w:jc w:val="center"/>
              <w:rPr>
                <w:color w:val="auto"/>
                <w:sz w:val="24"/>
                <w:szCs w:val="24"/>
                <w:highlight w:val="none"/>
              </w:rPr>
            </w:pPr>
            <w:r>
              <w:rPr>
                <w:rFonts w:hint="eastAsia"/>
                <w:color w:val="auto"/>
                <w:sz w:val="24"/>
                <w:szCs w:val="24"/>
                <w:highlight w:val="none"/>
              </w:rPr>
              <w:t>学历</w:t>
            </w:r>
          </w:p>
        </w:tc>
        <w:tc>
          <w:tcPr>
            <w:tcW w:w="1800"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7" w:type="dxa"/>
            <w:gridSpan w:val="2"/>
            <w:vAlign w:val="center"/>
          </w:tcPr>
          <w:p>
            <w:pPr>
              <w:jc w:val="center"/>
              <w:rPr>
                <w:color w:val="auto"/>
                <w:sz w:val="24"/>
                <w:szCs w:val="24"/>
                <w:highlight w:val="none"/>
              </w:rPr>
            </w:pPr>
            <w:r>
              <w:rPr>
                <w:rFonts w:hint="eastAsia"/>
                <w:color w:val="auto"/>
                <w:sz w:val="24"/>
                <w:szCs w:val="24"/>
                <w:highlight w:val="none"/>
              </w:rPr>
              <w:t>参加工作时间</w:t>
            </w:r>
          </w:p>
        </w:tc>
        <w:tc>
          <w:tcPr>
            <w:tcW w:w="1410" w:type="dxa"/>
            <w:gridSpan w:val="2"/>
            <w:vAlign w:val="center"/>
          </w:tcPr>
          <w:p>
            <w:pPr>
              <w:jc w:val="center"/>
              <w:rPr>
                <w:color w:val="auto"/>
                <w:sz w:val="24"/>
                <w:szCs w:val="24"/>
                <w:highlight w:val="none"/>
              </w:rPr>
            </w:pPr>
          </w:p>
        </w:tc>
        <w:tc>
          <w:tcPr>
            <w:tcW w:w="1283" w:type="dxa"/>
            <w:gridSpan w:val="3"/>
            <w:vAlign w:val="center"/>
          </w:tcPr>
          <w:p>
            <w:pPr>
              <w:jc w:val="center"/>
              <w:rPr>
                <w:color w:val="auto"/>
                <w:sz w:val="24"/>
                <w:szCs w:val="24"/>
                <w:highlight w:val="none"/>
              </w:rPr>
            </w:pPr>
            <w:r>
              <w:rPr>
                <w:rFonts w:hint="eastAsia"/>
                <w:color w:val="auto"/>
                <w:sz w:val="24"/>
                <w:szCs w:val="24"/>
                <w:highlight w:val="none"/>
              </w:rPr>
              <w:t>监理工程师资格证书编号</w:t>
            </w:r>
          </w:p>
        </w:tc>
        <w:tc>
          <w:tcPr>
            <w:tcW w:w="1701" w:type="dxa"/>
            <w:gridSpan w:val="2"/>
            <w:vAlign w:val="center"/>
          </w:tcPr>
          <w:p>
            <w:pPr>
              <w:jc w:val="center"/>
              <w:rPr>
                <w:color w:val="auto"/>
                <w:sz w:val="24"/>
                <w:szCs w:val="24"/>
                <w:highlight w:val="none"/>
              </w:rPr>
            </w:pPr>
          </w:p>
        </w:tc>
        <w:tc>
          <w:tcPr>
            <w:tcW w:w="1155" w:type="dxa"/>
            <w:gridSpan w:val="3"/>
            <w:vAlign w:val="center"/>
          </w:tcPr>
          <w:p>
            <w:pPr>
              <w:jc w:val="center"/>
              <w:rPr>
                <w:color w:val="auto"/>
                <w:sz w:val="24"/>
                <w:szCs w:val="24"/>
                <w:highlight w:val="none"/>
              </w:rPr>
            </w:pPr>
            <w:r>
              <w:rPr>
                <w:rFonts w:hint="eastAsia"/>
                <w:color w:val="auto"/>
                <w:sz w:val="24"/>
                <w:szCs w:val="24"/>
                <w:highlight w:val="none"/>
              </w:rPr>
              <w:t>手机号码</w:t>
            </w:r>
          </w:p>
        </w:tc>
        <w:tc>
          <w:tcPr>
            <w:tcW w:w="1800"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6" w:type="dxa"/>
            <w:gridSpan w:val="13"/>
            <w:vAlign w:val="center"/>
          </w:tcPr>
          <w:p>
            <w:pPr>
              <w:jc w:val="center"/>
              <w:rPr>
                <w:color w:val="auto"/>
                <w:sz w:val="24"/>
                <w:szCs w:val="24"/>
                <w:highlight w:val="none"/>
              </w:rPr>
            </w:pPr>
            <w:r>
              <w:rPr>
                <w:rFonts w:hint="eastAsia"/>
                <w:color w:val="auto"/>
                <w:sz w:val="24"/>
                <w:szCs w:val="24"/>
                <w:highlight w:val="none"/>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3"/>
            <w:vAlign w:val="center"/>
          </w:tcPr>
          <w:p>
            <w:pPr>
              <w:jc w:val="center"/>
              <w:rPr>
                <w:color w:val="auto"/>
                <w:sz w:val="24"/>
                <w:szCs w:val="24"/>
                <w:highlight w:val="none"/>
              </w:rPr>
            </w:pPr>
            <w:r>
              <w:rPr>
                <w:rFonts w:hint="eastAsia"/>
                <w:color w:val="auto"/>
                <w:sz w:val="24"/>
                <w:szCs w:val="24"/>
                <w:highlight w:val="none"/>
              </w:rPr>
              <w:t>建设单位</w:t>
            </w:r>
          </w:p>
        </w:tc>
        <w:tc>
          <w:tcPr>
            <w:tcW w:w="1680" w:type="dxa"/>
            <w:gridSpan w:val="3"/>
            <w:vAlign w:val="center"/>
          </w:tcPr>
          <w:p>
            <w:pPr>
              <w:jc w:val="center"/>
              <w:rPr>
                <w:color w:val="auto"/>
                <w:sz w:val="24"/>
                <w:szCs w:val="24"/>
                <w:highlight w:val="none"/>
              </w:rPr>
            </w:pPr>
            <w:r>
              <w:rPr>
                <w:rFonts w:hint="eastAsia"/>
                <w:color w:val="auto"/>
                <w:sz w:val="24"/>
                <w:szCs w:val="24"/>
                <w:highlight w:val="none"/>
              </w:rPr>
              <w:t>项目名称</w:t>
            </w:r>
          </w:p>
        </w:tc>
        <w:tc>
          <w:tcPr>
            <w:tcW w:w="1580" w:type="dxa"/>
            <w:gridSpan w:val="2"/>
            <w:vAlign w:val="center"/>
          </w:tcPr>
          <w:p>
            <w:pPr>
              <w:jc w:val="center"/>
              <w:rPr>
                <w:color w:val="auto"/>
                <w:sz w:val="24"/>
                <w:szCs w:val="24"/>
                <w:highlight w:val="none"/>
              </w:rPr>
            </w:pPr>
            <w:r>
              <w:rPr>
                <w:rFonts w:hint="eastAsia"/>
                <w:color w:val="auto"/>
                <w:sz w:val="24"/>
                <w:szCs w:val="24"/>
                <w:highlight w:val="none"/>
              </w:rPr>
              <w:t>建设规模</w:t>
            </w:r>
          </w:p>
        </w:tc>
        <w:tc>
          <w:tcPr>
            <w:tcW w:w="1193" w:type="dxa"/>
            <w:gridSpan w:val="2"/>
            <w:vAlign w:val="center"/>
          </w:tcPr>
          <w:p>
            <w:pPr>
              <w:jc w:val="center"/>
              <w:rPr>
                <w:color w:val="auto"/>
                <w:sz w:val="24"/>
                <w:szCs w:val="24"/>
                <w:highlight w:val="none"/>
              </w:rPr>
            </w:pPr>
            <w:r>
              <w:rPr>
                <w:rFonts w:hint="eastAsia"/>
                <w:color w:val="auto"/>
                <w:sz w:val="24"/>
                <w:szCs w:val="24"/>
                <w:highlight w:val="none"/>
              </w:rPr>
              <w:t>开、竣工</w:t>
            </w:r>
          </w:p>
          <w:p>
            <w:pPr>
              <w:jc w:val="center"/>
              <w:rPr>
                <w:color w:val="auto"/>
                <w:sz w:val="24"/>
                <w:szCs w:val="24"/>
                <w:highlight w:val="none"/>
              </w:rPr>
            </w:pPr>
            <w:r>
              <w:rPr>
                <w:rFonts w:hint="eastAsia"/>
                <w:color w:val="auto"/>
                <w:sz w:val="24"/>
                <w:szCs w:val="24"/>
                <w:highlight w:val="none"/>
              </w:rPr>
              <w:t>日期</w:t>
            </w:r>
          </w:p>
        </w:tc>
        <w:tc>
          <w:tcPr>
            <w:tcW w:w="992" w:type="dxa"/>
            <w:vAlign w:val="center"/>
          </w:tcPr>
          <w:p>
            <w:pPr>
              <w:jc w:val="center"/>
              <w:rPr>
                <w:color w:val="auto"/>
                <w:sz w:val="24"/>
                <w:szCs w:val="24"/>
                <w:highlight w:val="none"/>
              </w:rPr>
            </w:pPr>
            <w:r>
              <w:rPr>
                <w:rFonts w:hint="eastAsia"/>
                <w:color w:val="auto"/>
                <w:sz w:val="24"/>
                <w:szCs w:val="24"/>
                <w:highlight w:val="none"/>
              </w:rPr>
              <w:t>在建或已 完</w:t>
            </w:r>
          </w:p>
        </w:tc>
        <w:tc>
          <w:tcPr>
            <w:tcW w:w="1821" w:type="dxa"/>
            <w:gridSpan w:val="2"/>
            <w:vAlign w:val="center"/>
          </w:tcPr>
          <w:p>
            <w:pPr>
              <w:jc w:val="center"/>
              <w:rPr>
                <w:color w:val="auto"/>
                <w:sz w:val="24"/>
                <w:szCs w:val="24"/>
                <w:highlight w:val="none"/>
              </w:rPr>
            </w:pPr>
            <w:r>
              <w:rPr>
                <w:rFonts w:hint="eastAsia"/>
                <w:color w:val="auto"/>
                <w:sz w:val="24"/>
                <w:szCs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pPr>
              <w:jc w:val="center"/>
              <w:rPr>
                <w:color w:val="auto"/>
                <w:sz w:val="24"/>
                <w:szCs w:val="24"/>
                <w:highlight w:val="none"/>
              </w:rPr>
            </w:pPr>
          </w:p>
        </w:tc>
        <w:tc>
          <w:tcPr>
            <w:tcW w:w="1680" w:type="dxa"/>
            <w:gridSpan w:val="3"/>
            <w:vAlign w:val="center"/>
          </w:tcPr>
          <w:p>
            <w:pPr>
              <w:jc w:val="center"/>
              <w:rPr>
                <w:color w:val="auto"/>
                <w:sz w:val="24"/>
                <w:szCs w:val="24"/>
                <w:highlight w:val="none"/>
              </w:rPr>
            </w:pPr>
          </w:p>
        </w:tc>
        <w:tc>
          <w:tcPr>
            <w:tcW w:w="1580" w:type="dxa"/>
            <w:gridSpan w:val="2"/>
            <w:vAlign w:val="center"/>
          </w:tcPr>
          <w:p>
            <w:pPr>
              <w:jc w:val="center"/>
              <w:rPr>
                <w:color w:val="auto"/>
                <w:sz w:val="24"/>
                <w:szCs w:val="24"/>
                <w:highlight w:val="none"/>
              </w:rPr>
            </w:pPr>
          </w:p>
        </w:tc>
        <w:tc>
          <w:tcPr>
            <w:tcW w:w="1193" w:type="dxa"/>
            <w:gridSpan w:val="2"/>
            <w:vAlign w:val="center"/>
          </w:tcPr>
          <w:p>
            <w:pPr>
              <w:jc w:val="center"/>
              <w:rPr>
                <w:color w:val="auto"/>
                <w:sz w:val="24"/>
                <w:szCs w:val="24"/>
                <w:highlight w:val="none"/>
              </w:rPr>
            </w:pPr>
          </w:p>
        </w:tc>
        <w:tc>
          <w:tcPr>
            <w:tcW w:w="992" w:type="dxa"/>
            <w:vAlign w:val="center"/>
          </w:tcPr>
          <w:p>
            <w:pPr>
              <w:jc w:val="center"/>
              <w:rPr>
                <w:color w:val="auto"/>
                <w:sz w:val="24"/>
                <w:szCs w:val="24"/>
                <w:highlight w:val="none"/>
              </w:rPr>
            </w:pPr>
          </w:p>
        </w:tc>
        <w:tc>
          <w:tcPr>
            <w:tcW w:w="1821" w:type="dxa"/>
            <w:gridSpan w:val="2"/>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pPr>
              <w:jc w:val="center"/>
              <w:rPr>
                <w:color w:val="auto"/>
                <w:sz w:val="24"/>
                <w:szCs w:val="24"/>
                <w:highlight w:val="none"/>
              </w:rPr>
            </w:pPr>
          </w:p>
        </w:tc>
        <w:tc>
          <w:tcPr>
            <w:tcW w:w="1680" w:type="dxa"/>
            <w:gridSpan w:val="3"/>
            <w:vAlign w:val="center"/>
          </w:tcPr>
          <w:p>
            <w:pPr>
              <w:jc w:val="center"/>
              <w:rPr>
                <w:color w:val="auto"/>
                <w:sz w:val="24"/>
                <w:szCs w:val="24"/>
                <w:highlight w:val="none"/>
              </w:rPr>
            </w:pPr>
          </w:p>
        </w:tc>
        <w:tc>
          <w:tcPr>
            <w:tcW w:w="1580" w:type="dxa"/>
            <w:gridSpan w:val="2"/>
            <w:vAlign w:val="center"/>
          </w:tcPr>
          <w:p>
            <w:pPr>
              <w:jc w:val="center"/>
              <w:rPr>
                <w:color w:val="auto"/>
                <w:sz w:val="24"/>
                <w:szCs w:val="24"/>
                <w:highlight w:val="none"/>
              </w:rPr>
            </w:pPr>
          </w:p>
        </w:tc>
        <w:tc>
          <w:tcPr>
            <w:tcW w:w="1193" w:type="dxa"/>
            <w:gridSpan w:val="2"/>
            <w:vAlign w:val="center"/>
          </w:tcPr>
          <w:p>
            <w:pPr>
              <w:jc w:val="center"/>
              <w:rPr>
                <w:color w:val="auto"/>
                <w:sz w:val="24"/>
                <w:szCs w:val="24"/>
                <w:highlight w:val="none"/>
              </w:rPr>
            </w:pPr>
          </w:p>
        </w:tc>
        <w:tc>
          <w:tcPr>
            <w:tcW w:w="992" w:type="dxa"/>
            <w:vAlign w:val="center"/>
          </w:tcPr>
          <w:p>
            <w:pPr>
              <w:jc w:val="center"/>
              <w:rPr>
                <w:color w:val="auto"/>
                <w:sz w:val="24"/>
                <w:szCs w:val="24"/>
                <w:highlight w:val="none"/>
              </w:rPr>
            </w:pPr>
          </w:p>
        </w:tc>
        <w:tc>
          <w:tcPr>
            <w:tcW w:w="1821" w:type="dxa"/>
            <w:gridSpan w:val="2"/>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pPr>
              <w:jc w:val="center"/>
              <w:rPr>
                <w:color w:val="auto"/>
                <w:sz w:val="24"/>
                <w:szCs w:val="24"/>
                <w:highlight w:val="none"/>
              </w:rPr>
            </w:pPr>
          </w:p>
        </w:tc>
        <w:tc>
          <w:tcPr>
            <w:tcW w:w="1680" w:type="dxa"/>
            <w:gridSpan w:val="3"/>
            <w:vAlign w:val="center"/>
          </w:tcPr>
          <w:p>
            <w:pPr>
              <w:jc w:val="center"/>
              <w:rPr>
                <w:color w:val="auto"/>
                <w:sz w:val="24"/>
                <w:szCs w:val="24"/>
                <w:highlight w:val="none"/>
              </w:rPr>
            </w:pPr>
          </w:p>
        </w:tc>
        <w:tc>
          <w:tcPr>
            <w:tcW w:w="1580" w:type="dxa"/>
            <w:gridSpan w:val="2"/>
            <w:vAlign w:val="center"/>
          </w:tcPr>
          <w:p>
            <w:pPr>
              <w:jc w:val="center"/>
              <w:rPr>
                <w:color w:val="auto"/>
                <w:sz w:val="24"/>
                <w:szCs w:val="24"/>
                <w:highlight w:val="none"/>
              </w:rPr>
            </w:pPr>
          </w:p>
        </w:tc>
        <w:tc>
          <w:tcPr>
            <w:tcW w:w="1193" w:type="dxa"/>
            <w:gridSpan w:val="2"/>
            <w:vAlign w:val="center"/>
          </w:tcPr>
          <w:p>
            <w:pPr>
              <w:jc w:val="center"/>
              <w:rPr>
                <w:color w:val="auto"/>
                <w:sz w:val="24"/>
                <w:szCs w:val="24"/>
                <w:highlight w:val="none"/>
              </w:rPr>
            </w:pPr>
          </w:p>
        </w:tc>
        <w:tc>
          <w:tcPr>
            <w:tcW w:w="992" w:type="dxa"/>
            <w:vAlign w:val="center"/>
          </w:tcPr>
          <w:p>
            <w:pPr>
              <w:jc w:val="center"/>
              <w:rPr>
                <w:color w:val="auto"/>
                <w:sz w:val="24"/>
                <w:szCs w:val="24"/>
                <w:highlight w:val="none"/>
              </w:rPr>
            </w:pPr>
          </w:p>
        </w:tc>
        <w:tc>
          <w:tcPr>
            <w:tcW w:w="1821" w:type="dxa"/>
            <w:gridSpan w:val="2"/>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pPr>
              <w:jc w:val="center"/>
              <w:rPr>
                <w:color w:val="auto"/>
                <w:sz w:val="24"/>
                <w:szCs w:val="24"/>
                <w:highlight w:val="none"/>
              </w:rPr>
            </w:pPr>
          </w:p>
        </w:tc>
        <w:tc>
          <w:tcPr>
            <w:tcW w:w="1680" w:type="dxa"/>
            <w:gridSpan w:val="3"/>
            <w:vAlign w:val="center"/>
          </w:tcPr>
          <w:p>
            <w:pPr>
              <w:jc w:val="center"/>
              <w:rPr>
                <w:color w:val="auto"/>
                <w:sz w:val="24"/>
                <w:szCs w:val="24"/>
                <w:highlight w:val="none"/>
              </w:rPr>
            </w:pPr>
          </w:p>
        </w:tc>
        <w:tc>
          <w:tcPr>
            <w:tcW w:w="1580" w:type="dxa"/>
            <w:gridSpan w:val="2"/>
            <w:vAlign w:val="center"/>
          </w:tcPr>
          <w:p>
            <w:pPr>
              <w:jc w:val="center"/>
              <w:rPr>
                <w:color w:val="auto"/>
                <w:sz w:val="24"/>
                <w:szCs w:val="24"/>
                <w:highlight w:val="none"/>
              </w:rPr>
            </w:pPr>
          </w:p>
        </w:tc>
        <w:tc>
          <w:tcPr>
            <w:tcW w:w="1193" w:type="dxa"/>
            <w:gridSpan w:val="2"/>
            <w:vAlign w:val="center"/>
          </w:tcPr>
          <w:p>
            <w:pPr>
              <w:jc w:val="center"/>
              <w:rPr>
                <w:color w:val="auto"/>
                <w:sz w:val="24"/>
                <w:szCs w:val="24"/>
                <w:highlight w:val="none"/>
              </w:rPr>
            </w:pPr>
          </w:p>
        </w:tc>
        <w:tc>
          <w:tcPr>
            <w:tcW w:w="992" w:type="dxa"/>
            <w:vAlign w:val="center"/>
          </w:tcPr>
          <w:p>
            <w:pPr>
              <w:jc w:val="center"/>
              <w:rPr>
                <w:color w:val="auto"/>
                <w:sz w:val="24"/>
                <w:szCs w:val="24"/>
                <w:highlight w:val="none"/>
              </w:rPr>
            </w:pPr>
          </w:p>
        </w:tc>
        <w:tc>
          <w:tcPr>
            <w:tcW w:w="1821" w:type="dxa"/>
            <w:gridSpan w:val="2"/>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pPr>
              <w:jc w:val="center"/>
              <w:rPr>
                <w:color w:val="auto"/>
                <w:sz w:val="24"/>
                <w:szCs w:val="24"/>
                <w:highlight w:val="none"/>
              </w:rPr>
            </w:pPr>
          </w:p>
        </w:tc>
        <w:tc>
          <w:tcPr>
            <w:tcW w:w="1680" w:type="dxa"/>
            <w:gridSpan w:val="3"/>
            <w:vAlign w:val="center"/>
          </w:tcPr>
          <w:p>
            <w:pPr>
              <w:jc w:val="center"/>
              <w:rPr>
                <w:color w:val="auto"/>
                <w:sz w:val="24"/>
                <w:szCs w:val="24"/>
                <w:highlight w:val="none"/>
              </w:rPr>
            </w:pPr>
          </w:p>
        </w:tc>
        <w:tc>
          <w:tcPr>
            <w:tcW w:w="1580" w:type="dxa"/>
            <w:gridSpan w:val="2"/>
            <w:vAlign w:val="center"/>
          </w:tcPr>
          <w:p>
            <w:pPr>
              <w:jc w:val="center"/>
              <w:rPr>
                <w:color w:val="auto"/>
                <w:sz w:val="24"/>
                <w:szCs w:val="24"/>
                <w:highlight w:val="none"/>
              </w:rPr>
            </w:pPr>
          </w:p>
        </w:tc>
        <w:tc>
          <w:tcPr>
            <w:tcW w:w="1193" w:type="dxa"/>
            <w:gridSpan w:val="2"/>
            <w:vAlign w:val="center"/>
          </w:tcPr>
          <w:p>
            <w:pPr>
              <w:jc w:val="center"/>
              <w:rPr>
                <w:color w:val="auto"/>
                <w:sz w:val="24"/>
                <w:szCs w:val="24"/>
                <w:highlight w:val="none"/>
              </w:rPr>
            </w:pPr>
          </w:p>
        </w:tc>
        <w:tc>
          <w:tcPr>
            <w:tcW w:w="992" w:type="dxa"/>
            <w:vAlign w:val="center"/>
          </w:tcPr>
          <w:p>
            <w:pPr>
              <w:jc w:val="center"/>
              <w:rPr>
                <w:color w:val="auto"/>
                <w:sz w:val="24"/>
                <w:szCs w:val="24"/>
                <w:highlight w:val="none"/>
              </w:rPr>
            </w:pPr>
          </w:p>
        </w:tc>
        <w:tc>
          <w:tcPr>
            <w:tcW w:w="1821" w:type="dxa"/>
            <w:gridSpan w:val="2"/>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pPr>
              <w:jc w:val="center"/>
              <w:rPr>
                <w:color w:val="auto"/>
                <w:sz w:val="24"/>
                <w:szCs w:val="24"/>
                <w:highlight w:val="none"/>
              </w:rPr>
            </w:pPr>
          </w:p>
        </w:tc>
        <w:tc>
          <w:tcPr>
            <w:tcW w:w="1680" w:type="dxa"/>
            <w:gridSpan w:val="3"/>
            <w:vAlign w:val="center"/>
          </w:tcPr>
          <w:p>
            <w:pPr>
              <w:jc w:val="center"/>
              <w:rPr>
                <w:color w:val="auto"/>
                <w:sz w:val="24"/>
                <w:szCs w:val="24"/>
                <w:highlight w:val="none"/>
              </w:rPr>
            </w:pPr>
          </w:p>
        </w:tc>
        <w:tc>
          <w:tcPr>
            <w:tcW w:w="1580" w:type="dxa"/>
            <w:gridSpan w:val="2"/>
            <w:vAlign w:val="center"/>
          </w:tcPr>
          <w:p>
            <w:pPr>
              <w:jc w:val="center"/>
              <w:rPr>
                <w:color w:val="auto"/>
                <w:sz w:val="24"/>
                <w:szCs w:val="24"/>
                <w:highlight w:val="none"/>
              </w:rPr>
            </w:pPr>
          </w:p>
        </w:tc>
        <w:tc>
          <w:tcPr>
            <w:tcW w:w="1193" w:type="dxa"/>
            <w:gridSpan w:val="2"/>
            <w:vAlign w:val="center"/>
          </w:tcPr>
          <w:p>
            <w:pPr>
              <w:jc w:val="center"/>
              <w:rPr>
                <w:color w:val="auto"/>
                <w:sz w:val="24"/>
                <w:szCs w:val="24"/>
                <w:highlight w:val="none"/>
              </w:rPr>
            </w:pPr>
          </w:p>
        </w:tc>
        <w:tc>
          <w:tcPr>
            <w:tcW w:w="992" w:type="dxa"/>
            <w:vAlign w:val="center"/>
          </w:tcPr>
          <w:p>
            <w:pPr>
              <w:jc w:val="center"/>
              <w:rPr>
                <w:color w:val="auto"/>
                <w:sz w:val="24"/>
                <w:szCs w:val="24"/>
                <w:highlight w:val="none"/>
              </w:rPr>
            </w:pPr>
          </w:p>
        </w:tc>
        <w:tc>
          <w:tcPr>
            <w:tcW w:w="1821" w:type="dxa"/>
            <w:gridSpan w:val="2"/>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pPr>
              <w:jc w:val="center"/>
              <w:rPr>
                <w:color w:val="auto"/>
                <w:sz w:val="24"/>
                <w:szCs w:val="24"/>
                <w:highlight w:val="none"/>
              </w:rPr>
            </w:pPr>
          </w:p>
        </w:tc>
        <w:tc>
          <w:tcPr>
            <w:tcW w:w="1680" w:type="dxa"/>
            <w:gridSpan w:val="3"/>
            <w:vAlign w:val="center"/>
          </w:tcPr>
          <w:p>
            <w:pPr>
              <w:jc w:val="center"/>
              <w:rPr>
                <w:color w:val="auto"/>
                <w:sz w:val="24"/>
                <w:szCs w:val="24"/>
                <w:highlight w:val="none"/>
              </w:rPr>
            </w:pPr>
          </w:p>
        </w:tc>
        <w:tc>
          <w:tcPr>
            <w:tcW w:w="1580" w:type="dxa"/>
            <w:gridSpan w:val="2"/>
            <w:vAlign w:val="center"/>
          </w:tcPr>
          <w:p>
            <w:pPr>
              <w:jc w:val="center"/>
              <w:rPr>
                <w:color w:val="auto"/>
                <w:sz w:val="24"/>
                <w:szCs w:val="24"/>
                <w:highlight w:val="none"/>
              </w:rPr>
            </w:pPr>
          </w:p>
        </w:tc>
        <w:tc>
          <w:tcPr>
            <w:tcW w:w="1193" w:type="dxa"/>
            <w:gridSpan w:val="2"/>
            <w:vAlign w:val="center"/>
          </w:tcPr>
          <w:p>
            <w:pPr>
              <w:jc w:val="center"/>
              <w:rPr>
                <w:color w:val="auto"/>
                <w:sz w:val="24"/>
                <w:szCs w:val="24"/>
                <w:highlight w:val="none"/>
              </w:rPr>
            </w:pPr>
          </w:p>
        </w:tc>
        <w:tc>
          <w:tcPr>
            <w:tcW w:w="992" w:type="dxa"/>
            <w:vAlign w:val="center"/>
          </w:tcPr>
          <w:p>
            <w:pPr>
              <w:jc w:val="center"/>
              <w:rPr>
                <w:color w:val="auto"/>
                <w:sz w:val="24"/>
                <w:szCs w:val="24"/>
                <w:highlight w:val="none"/>
              </w:rPr>
            </w:pPr>
          </w:p>
        </w:tc>
        <w:tc>
          <w:tcPr>
            <w:tcW w:w="1821" w:type="dxa"/>
            <w:gridSpan w:val="2"/>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pPr>
              <w:jc w:val="center"/>
              <w:rPr>
                <w:color w:val="auto"/>
                <w:sz w:val="24"/>
                <w:szCs w:val="24"/>
                <w:highlight w:val="none"/>
              </w:rPr>
            </w:pPr>
          </w:p>
        </w:tc>
        <w:tc>
          <w:tcPr>
            <w:tcW w:w="1680" w:type="dxa"/>
            <w:gridSpan w:val="3"/>
            <w:vAlign w:val="center"/>
          </w:tcPr>
          <w:p>
            <w:pPr>
              <w:jc w:val="center"/>
              <w:rPr>
                <w:color w:val="auto"/>
                <w:sz w:val="24"/>
                <w:szCs w:val="24"/>
                <w:highlight w:val="none"/>
              </w:rPr>
            </w:pPr>
          </w:p>
        </w:tc>
        <w:tc>
          <w:tcPr>
            <w:tcW w:w="1580" w:type="dxa"/>
            <w:gridSpan w:val="2"/>
            <w:vAlign w:val="center"/>
          </w:tcPr>
          <w:p>
            <w:pPr>
              <w:jc w:val="center"/>
              <w:rPr>
                <w:color w:val="auto"/>
                <w:sz w:val="24"/>
                <w:szCs w:val="24"/>
                <w:highlight w:val="none"/>
              </w:rPr>
            </w:pPr>
          </w:p>
        </w:tc>
        <w:tc>
          <w:tcPr>
            <w:tcW w:w="1193" w:type="dxa"/>
            <w:gridSpan w:val="2"/>
            <w:vAlign w:val="center"/>
          </w:tcPr>
          <w:p>
            <w:pPr>
              <w:jc w:val="center"/>
              <w:rPr>
                <w:color w:val="auto"/>
                <w:sz w:val="24"/>
                <w:szCs w:val="24"/>
                <w:highlight w:val="none"/>
              </w:rPr>
            </w:pPr>
          </w:p>
        </w:tc>
        <w:tc>
          <w:tcPr>
            <w:tcW w:w="992" w:type="dxa"/>
            <w:vAlign w:val="center"/>
          </w:tcPr>
          <w:p>
            <w:pPr>
              <w:jc w:val="center"/>
              <w:rPr>
                <w:color w:val="auto"/>
                <w:sz w:val="24"/>
                <w:szCs w:val="24"/>
                <w:highlight w:val="none"/>
              </w:rPr>
            </w:pPr>
          </w:p>
        </w:tc>
        <w:tc>
          <w:tcPr>
            <w:tcW w:w="1821" w:type="dxa"/>
            <w:gridSpan w:val="2"/>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pPr>
              <w:jc w:val="center"/>
              <w:rPr>
                <w:color w:val="auto"/>
                <w:sz w:val="24"/>
                <w:szCs w:val="24"/>
                <w:highlight w:val="none"/>
              </w:rPr>
            </w:pPr>
          </w:p>
        </w:tc>
        <w:tc>
          <w:tcPr>
            <w:tcW w:w="1680" w:type="dxa"/>
            <w:gridSpan w:val="3"/>
            <w:vAlign w:val="center"/>
          </w:tcPr>
          <w:p>
            <w:pPr>
              <w:jc w:val="center"/>
              <w:rPr>
                <w:color w:val="auto"/>
                <w:sz w:val="24"/>
                <w:szCs w:val="24"/>
                <w:highlight w:val="none"/>
              </w:rPr>
            </w:pPr>
          </w:p>
        </w:tc>
        <w:tc>
          <w:tcPr>
            <w:tcW w:w="1580" w:type="dxa"/>
            <w:gridSpan w:val="2"/>
            <w:vAlign w:val="center"/>
          </w:tcPr>
          <w:p>
            <w:pPr>
              <w:jc w:val="center"/>
              <w:rPr>
                <w:color w:val="auto"/>
                <w:sz w:val="24"/>
                <w:szCs w:val="24"/>
                <w:highlight w:val="none"/>
              </w:rPr>
            </w:pPr>
          </w:p>
        </w:tc>
        <w:tc>
          <w:tcPr>
            <w:tcW w:w="1193" w:type="dxa"/>
            <w:gridSpan w:val="2"/>
            <w:vAlign w:val="center"/>
          </w:tcPr>
          <w:p>
            <w:pPr>
              <w:jc w:val="center"/>
              <w:rPr>
                <w:color w:val="auto"/>
                <w:sz w:val="24"/>
                <w:szCs w:val="24"/>
                <w:highlight w:val="none"/>
              </w:rPr>
            </w:pPr>
          </w:p>
        </w:tc>
        <w:tc>
          <w:tcPr>
            <w:tcW w:w="992" w:type="dxa"/>
            <w:vAlign w:val="center"/>
          </w:tcPr>
          <w:p>
            <w:pPr>
              <w:jc w:val="center"/>
              <w:rPr>
                <w:color w:val="auto"/>
                <w:sz w:val="24"/>
                <w:szCs w:val="24"/>
                <w:highlight w:val="none"/>
              </w:rPr>
            </w:pPr>
          </w:p>
        </w:tc>
        <w:tc>
          <w:tcPr>
            <w:tcW w:w="1821" w:type="dxa"/>
            <w:gridSpan w:val="2"/>
            <w:vAlign w:val="center"/>
          </w:tcPr>
          <w:p>
            <w:pPr>
              <w:jc w:val="center"/>
              <w:rPr>
                <w:color w:val="auto"/>
                <w:sz w:val="24"/>
                <w:szCs w:val="24"/>
                <w:highlight w:val="none"/>
              </w:rPr>
            </w:pPr>
          </w:p>
        </w:tc>
      </w:tr>
    </w:tbl>
    <w:p>
      <w:pPr>
        <w:rPr>
          <w:color w:val="auto"/>
          <w:szCs w:val="24"/>
          <w:highlight w:val="none"/>
        </w:rPr>
      </w:pPr>
      <w:r>
        <w:rPr>
          <w:rFonts w:hint="eastAsia"/>
          <w:color w:val="auto"/>
          <w:szCs w:val="24"/>
          <w:highlight w:val="none"/>
        </w:rPr>
        <w:t>注：1</w:t>
      </w:r>
      <w:r>
        <w:rPr>
          <w:color w:val="auto"/>
          <w:szCs w:val="24"/>
          <w:highlight w:val="none"/>
        </w:rPr>
        <w:t>.</w:t>
      </w:r>
      <w:r>
        <w:rPr>
          <w:rFonts w:hint="eastAsia"/>
          <w:color w:val="auto"/>
          <w:szCs w:val="24"/>
          <w:highlight w:val="none"/>
        </w:rPr>
        <w:t>表后需附项目总监个人资料，包括学历证、注册监理工程师执业证书、近一个月</w:t>
      </w:r>
      <w:r>
        <w:rPr>
          <w:rFonts w:hint="eastAsia"/>
          <w:color w:val="auto"/>
          <w:kern w:val="2"/>
          <w:sz w:val="21"/>
          <w:szCs w:val="21"/>
          <w:highlight w:val="none"/>
          <w:lang w:val="en-US" w:bidi="ar-SA"/>
        </w:rPr>
        <w:t>（2025年</w:t>
      </w:r>
      <w:r>
        <w:rPr>
          <w:rFonts w:hint="eastAsia"/>
          <w:color w:val="auto"/>
          <w:kern w:val="2"/>
          <w:sz w:val="21"/>
          <w:szCs w:val="21"/>
          <w:highlight w:val="none"/>
          <w:lang w:val="en-US" w:eastAsia="zh-CN" w:bidi="ar-SA"/>
        </w:rPr>
        <w:t>6</w:t>
      </w:r>
      <w:r>
        <w:rPr>
          <w:rFonts w:hint="eastAsia"/>
          <w:color w:val="auto"/>
          <w:kern w:val="2"/>
          <w:sz w:val="21"/>
          <w:szCs w:val="21"/>
          <w:highlight w:val="none"/>
          <w:lang w:val="en-US" w:bidi="ar-SA"/>
        </w:rPr>
        <w:t>月</w:t>
      </w:r>
      <w:r>
        <w:rPr>
          <w:color w:val="auto"/>
          <w:kern w:val="2"/>
          <w:sz w:val="21"/>
          <w:szCs w:val="21"/>
          <w:highlight w:val="none"/>
          <w:lang w:val="en-US" w:bidi="ar-SA"/>
        </w:rPr>
        <w:t>）</w:t>
      </w:r>
      <w:r>
        <w:rPr>
          <w:rFonts w:hint="eastAsia"/>
          <w:color w:val="auto"/>
          <w:szCs w:val="24"/>
          <w:highlight w:val="none"/>
        </w:rPr>
        <w:t>社保缴费证明等原件清晰扫描件并加盖单位电子印章（项目总监一经确定，若非业主要求，不得更改，否则业主将按监理合同的约定追究其违约责任）；</w:t>
      </w:r>
    </w:p>
    <w:p>
      <w:pPr>
        <w:pStyle w:val="10"/>
        <w:spacing w:line="360" w:lineRule="auto"/>
        <w:ind w:left="426"/>
        <w:rPr>
          <w:color w:val="auto"/>
          <w:highlight w:val="none"/>
        </w:rPr>
        <w:sectPr>
          <w:pgSz w:w="11906" w:h="16838"/>
          <w:pgMar w:top="1400" w:right="1100" w:bottom="1120" w:left="1560" w:header="0" w:footer="841" w:gutter="0"/>
          <w:cols w:space="720" w:num="1"/>
        </w:sectPr>
      </w:pPr>
    </w:p>
    <w:p>
      <w:pPr>
        <w:pStyle w:val="4"/>
        <w:ind w:left="0" w:firstLine="0"/>
        <w:rPr>
          <w:color w:val="auto"/>
          <w:sz w:val="24"/>
          <w:szCs w:val="32"/>
          <w:highlight w:val="none"/>
        </w:rPr>
      </w:pPr>
      <w:bookmarkStart w:id="55" w:name="_bookmark188"/>
      <w:bookmarkEnd w:id="55"/>
      <w:r>
        <w:rPr>
          <w:rFonts w:hint="eastAsia"/>
          <w:bCs/>
          <w:color w:val="auto"/>
          <w:sz w:val="24"/>
          <w:szCs w:val="32"/>
          <w:highlight w:val="none"/>
        </w:rPr>
        <w:t>（四）投标人在广州市住建行业信用管理平台建立企业信用档案的网页截图。</w:t>
      </w: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ind w:firstLine="137"/>
        <w:rPr>
          <w:bCs/>
          <w:color w:val="auto"/>
          <w:sz w:val="24"/>
          <w:szCs w:val="32"/>
          <w:highlight w:val="none"/>
        </w:rPr>
      </w:pPr>
      <w:r>
        <w:rPr>
          <w:rFonts w:hint="eastAsia"/>
          <w:bCs/>
          <w:color w:val="auto"/>
          <w:sz w:val="24"/>
          <w:szCs w:val="32"/>
          <w:highlight w:val="none"/>
        </w:rPr>
        <w:br w:type="page"/>
      </w:r>
    </w:p>
    <w:p>
      <w:pPr>
        <w:pStyle w:val="4"/>
        <w:ind w:left="0" w:firstLine="0"/>
        <w:rPr>
          <w:color w:val="auto"/>
          <w:sz w:val="24"/>
          <w:szCs w:val="32"/>
          <w:highlight w:val="none"/>
        </w:rPr>
      </w:pPr>
      <w:r>
        <w:rPr>
          <w:rFonts w:hint="eastAsia"/>
          <w:bCs/>
          <w:color w:val="auto"/>
          <w:sz w:val="24"/>
          <w:szCs w:val="32"/>
          <w:highlight w:val="none"/>
        </w:rPr>
        <w:t>（五）投标人声明</w:t>
      </w:r>
    </w:p>
    <w:p>
      <w:pPr>
        <w:rPr>
          <w:color w:val="auto"/>
          <w:sz w:val="24"/>
          <w:szCs w:val="24"/>
          <w:highlight w:val="none"/>
        </w:rPr>
      </w:pPr>
    </w:p>
    <w:p>
      <w:pPr>
        <w:widowControl/>
        <w:snapToGrid w:val="0"/>
        <w:spacing w:before="260" w:after="260"/>
        <w:ind w:right="386"/>
        <w:jc w:val="center"/>
        <w:rPr>
          <w:color w:val="auto"/>
          <w:sz w:val="28"/>
          <w:szCs w:val="28"/>
          <w:highlight w:val="none"/>
        </w:rPr>
      </w:pPr>
      <w:r>
        <w:rPr>
          <w:rFonts w:hint="eastAsia"/>
          <w:color w:val="auto"/>
          <w:sz w:val="28"/>
          <w:szCs w:val="28"/>
          <w:highlight w:val="none"/>
        </w:rPr>
        <w:t>投标人声明</w:t>
      </w:r>
    </w:p>
    <w:p>
      <w:pPr>
        <w:snapToGrid w:val="0"/>
        <w:spacing w:line="400" w:lineRule="exact"/>
        <w:ind w:firstLine="480" w:firstLineChars="200"/>
        <w:rPr>
          <w:color w:val="auto"/>
          <w:sz w:val="24"/>
          <w:szCs w:val="24"/>
          <w:highlight w:val="none"/>
        </w:rPr>
      </w:pPr>
      <w:r>
        <w:rPr>
          <w:rFonts w:hint="eastAsia"/>
          <w:color w:val="auto"/>
          <w:sz w:val="24"/>
          <w:szCs w:val="24"/>
          <w:highlight w:val="none"/>
        </w:rPr>
        <w:t>广州市住房和城乡建设局、本招标项目招标人及招标监管机构：</w:t>
      </w:r>
    </w:p>
    <w:p>
      <w:pPr>
        <w:snapToGrid w:val="0"/>
        <w:spacing w:line="400" w:lineRule="exact"/>
        <w:ind w:firstLine="480" w:firstLineChars="200"/>
        <w:rPr>
          <w:color w:val="auto"/>
          <w:sz w:val="24"/>
          <w:szCs w:val="24"/>
          <w:highlight w:val="none"/>
        </w:rPr>
      </w:pPr>
      <w:r>
        <w:rPr>
          <w:rFonts w:hint="eastAsia"/>
          <w:color w:val="auto"/>
          <w:sz w:val="24"/>
          <w:szCs w:val="24"/>
          <w:highlight w:val="none"/>
        </w:rPr>
        <w:t>本公司就参加</w:t>
      </w:r>
      <w:r>
        <w:rPr>
          <w:rFonts w:hint="eastAsia"/>
          <w:color w:val="auto"/>
          <w:sz w:val="24"/>
          <w:szCs w:val="24"/>
          <w:highlight w:val="none"/>
          <w:u w:val="single"/>
        </w:rPr>
        <w:t>                </w:t>
      </w:r>
      <w:r>
        <w:rPr>
          <w:rFonts w:hint="eastAsia"/>
          <w:color w:val="auto"/>
          <w:sz w:val="24"/>
          <w:szCs w:val="24"/>
          <w:highlight w:val="none"/>
        </w:rPr>
        <w:t>项目投标工作，作出郑重声明：</w:t>
      </w:r>
    </w:p>
    <w:p>
      <w:pPr>
        <w:snapToGrid w:val="0"/>
        <w:spacing w:line="400" w:lineRule="exact"/>
        <w:ind w:firstLine="480" w:firstLineChars="200"/>
        <w:rPr>
          <w:color w:val="auto"/>
          <w:sz w:val="24"/>
          <w:szCs w:val="24"/>
          <w:highlight w:val="none"/>
        </w:rPr>
      </w:pPr>
      <w:r>
        <w:rPr>
          <w:rFonts w:hint="eastAsia"/>
          <w:color w:val="auto"/>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三、本公司不存在招标文件第二章投标人须知第1.4.3项所规定的任何一种情形。</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四、本公司及其有隶属关系的机构，没有参加本项目招标文件的编写工作；本公司与本次招标的招标代理机构没有隶属关系或其他利害关系。</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五、本公司承诺，中标后严格执行安全生产相关管理规定。</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六、与本公司单位负责人为同一人或者与本公司存在控股、管理关系的其他单位包括：</w:t>
      </w:r>
      <w:r>
        <w:rPr>
          <w:rFonts w:hint="eastAsia"/>
          <w:bCs/>
          <w:color w:val="auto"/>
          <w:sz w:val="24"/>
          <w:szCs w:val="24"/>
          <w:highlight w:val="none"/>
          <w:u w:val="single"/>
        </w:rPr>
        <w:t xml:space="preserve">                          </w:t>
      </w:r>
      <w:r>
        <w:rPr>
          <w:rFonts w:hint="eastAsia"/>
          <w:bCs/>
          <w:color w:val="auto"/>
          <w:sz w:val="24"/>
          <w:szCs w:val="24"/>
          <w:highlight w:val="none"/>
        </w:rPr>
        <w:t>。（注：本条由投标人如实填写，如有，应列出全部满足招标公告资质要求的相关单位的名称；如无，则填写“无”。）</w:t>
      </w:r>
    </w:p>
    <w:p>
      <w:pPr>
        <w:snapToGrid w:val="0"/>
        <w:spacing w:line="400" w:lineRule="exact"/>
        <w:ind w:firstLine="480" w:firstLineChars="200"/>
        <w:rPr>
          <w:bCs/>
          <w:color w:val="auto"/>
          <w:sz w:val="24"/>
          <w:szCs w:val="24"/>
          <w:highlight w:val="none"/>
        </w:rPr>
      </w:pPr>
      <w:r>
        <w:rPr>
          <w:rFonts w:hint="eastAsia"/>
          <w:bCs/>
          <w:color w:val="auto"/>
          <w:sz w:val="24"/>
          <w:szCs w:val="24"/>
          <w:highlight w:val="none"/>
        </w:rPr>
        <w:t>本公司违反上述承诺，或本声明陈述与事实不符，经查实，本公司愿意接受公开通报，愿意按照《广州市建筑市场信用管理办法》（穗建规字﹝20</w:t>
      </w:r>
      <w:r>
        <w:rPr>
          <w:rFonts w:hint="eastAsia"/>
          <w:bCs/>
          <w:color w:val="auto"/>
          <w:sz w:val="24"/>
          <w:szCs w:val="24"/>
          <w:highlight w:val="none"/>
          <w:lang w:val="en-US"/>
        </w:rPr>
        <w:t>19</w:t>
      </w:r>
      <w:r>
        <w:rPr>
          <w:rFonts w:hint="eastAsia"/>
          <w:bCs/>
          <w:color w:val="auto"/>
          <w:sz w:val="24"/>
          <w:szCs w:val="24"/>
          <w:highlight w:val="none"/>
        </w:rPr>
        <w:t>﹞16号）的规定被记录为失信信息，承担由此带来的一切后果，并自愿停止参加广州市行政辖区内的招标投标活动三个月。</w:t>
      </w:r>
    </w:p>
    <w:p>
      <w:pPr>
        <w:widowControl/>
        <w:shd w:val="clear" w:color="auto" w:fill="FFFFFF"/>
        <w:snapToGrid w:val="0"/>
        <w:spacing w:line="400" w:lineRule="exact"/>
        <w:ind w:firstLine="480" w:firstLineChars="200"/>
        <w:rPr>
          <w:color w:val="auto"/>
          <w:sz w:val="24"/>
          <w:szCs w:val="24"/>
          <w:highlight w:val="none"/>
        </w:rPr>
      </w:pPr>
      <w:r>
        <w:rPr>
          <w:rFonts w:hint="eastAsia"/>
          <w:color w:val="auto"/>
          <w:sz w:val="24"/>
          <w:szCs w:val="24"/>
          <w:highlight w:val="none"/>
        </w:rPr>
        <w:t>特此声明。</w:t>
      </w:r>
    </w:p>
    <w:p>
      <w:pPr>
        <w:snapToGrid w:val="0"/>
        <w:spacing w:line="360" w:lineRule="auto"/>
        <w:ind w:firstLine="4320" w:firstLineChars="1800"/>
        <w:rPr>
          <w:color w:val="auto"/>
          <w:sz w:val="24"/>
          <w:szCs w:val="24"/>
          <w:highlight w:val="none"/>
        </w:rPr>
      </w:pPr>
      <w:r>
        <w:rPr>
          <w:rFonts w:hint="eastAsia"/>
          <w:color w:val="auto"/>
          <w:sz w:val="24"/>
          <w:szCs w:val="24"/>
          <w:highlight w:val="none"/>
        </w:rPr>
        <w:t>声明企业：            (企业公章)</w:t>
      </w:r>
    </w:p>
    <w:p>
      <w:pPr>
        <w:snapToGrid w:val="0"/>
        <w:spacing w:line="360" w:lineRule="auto"/>
        <w:ind w:firstLine="4320" w:firstLineChars="1800"/>
        <w:rPr>
          <w:color w:val="auto"/>
          <w:sz w:val="24"/>
          <w:szCs w:val="24"/>
          <w:highlight w:val="none"/>
        </w:rPr>
      </w:pPr>
      <w:r>
        <w:rPr>
          <w:rFonts w:hint="eastAsia"/>
          <w:color w:val="auto"/>
          <w:sz w:val="24"/>
          <w:szCs w:val="24"/>
          <w:highlight w:val="none"/>
        </w:rPr>
        <w:t>总监理工程师：         （签字）</w:t>
      </w:r>
    </w:p>
    <w:p>
      <w:pPr>
        <w:widowControl/>
        <w:snapToGrid w:val="0"/>
        <w:spacing w:line="360" w:lineRule="auto"/>
        <w:ind w:firstLine="4252" w:firstLineChars="1772"/>
        <w:rPr>
          <w:color w:val="auto"/>
          <w:sz w:val="32"/>
          <w:szCs w:val="32"/>
          <w:highlight w:val="none"/>
        </w:rPr>
        <w:sectPr>
          <w:pgSz w:w="11906" w:h="16838"/>
          <w:pgMar w:top="1400" w:right="1100" w:bottom="1120" w:left="1560" w:header="0" w:footer="841" w:gutter="0"/>
          <w:cols w:space="720" w:num="1"/>
        </w:sectPr>
      </w:pPr>
      <w:r>
        <w:rPr>
          <w:rFonts w:hint="eastAsia"/>
          <w:color w:val="auto"/>
          <w:sz w:val="24"/>
          <w:szCs w:val="24"/>
          <w:highlight w:val="none"/>
          <w:lang w:val="en-US"/>
        </w:rPr>
        <w:t xml:space="preserve"> </w:t>
      </w:r>
      <w:r>
        <w:rPr>
          <w:rFonts w:hint="eastAsia"/>
          <w:color w:val="auto"/>
          <w:sz w:val="24"/>
          <w:szCs w:val="24"/>
          <w:highlight w:val="none"/>
        </w:rPr>
        <w:t xml:space="preserve">年   月  日 </w:t>
      </w:r>
    </w:p>
    <w:p>
      <w:pPr>
        <w:rPr>
          <w:color w:val="auto"/>
          <w:sz w:val="24"/>
          <w:szCs w:val="24"/>
          <w:highlight w:val="none"/>
        </w:rPr>
      </w:pPr>
    </w:p>
    <w:p>
      <w:pPr>
        <w:pStyle w:val="4"/>
        <w:spacing w:before="142" w:line="360" w:lineRule="auto"/>
        <w:ind w:left="0" w:firstLine="0"/>
        <w:rPr>
          <w:color w:val="auto"/>
          <w:highlight w:val="none"/>
        </w:rPr>
      </w:pPr>
      <w:r>
        <w:rPr>
          <w:rFonts w:hint="eastAsia"/>
          <w:bCs/>
          <w:color w:val="auto"/>
          <w:sz w:val="24"/>
          <w:szCs w:val="32"/>
          <w:highlight w:val="none"/>
        </w:rPr>
        <w:t>（六）其他符合第二章第1.4款“投标人资格要求“规定的证明材料。</w:t>
      </w:r>
    </w:p>
    <w:p>
      <w:pPr>
        <w:spacing w:line="360" w:lineRule="auto"/>
        <w:rPr>
          <w:color w:val="auto"/>
          <w:highlight w:val="none"/>
        </w:rPr>
        <w:sectPr>
          <w:pgSz w:w="11906" w:h="16838"/>
          <w:pgMar w:top="1400" w:right="1100" w:bottom="1120" w:left="1560" w:header="0" w:footer="841" w:gutter="0"/>
          <w:cols w:space="720" w:num="1"/>
        </w:sectPr>
      </w:pPr>
    </w:p>
    <w:p>
      <w:pPr>
        <w:keepNext/>
        <w:keepLines/>
        <w:spacing w:line="360" w:lineRule="auto"/>
        <w:jc w:val="center"/>
        <w:outlineLvl w:val="1"/>
        <w:rPr>
          <w:b/>
          <w:bCs/>
          <w:color w:val="auto"/>
          <w:sz w:val="30"/>
          <w:szCs w:val="30"/>
          <w:highlight w:val="none"/>
        </w:rPr>
      </w:pPr>
      <w:bookmarkStart w:id="56" w:name="_bookmark189"/>
      <w:bookmarkEnd w:id="56"/>
      <w:bookmarkStart w:id="57" w:name="_bookmark190"/>
      <w:bookmarkEnd w:id="57"/>
      <w:r>
        <w:rPr>
          <w:rFonts w:hint="eastAsia"/>
          <w:b/>
          <w:color w:val="auto"/>
          <w:sz w:val="32"/>
          <w:highlight w:val="none"/>
        </w:rPr>
        <w:t>七、</w:t>
      </w:r>
      <w:r>
        <w:rPr>
          <w:rFonts w:hint="eastAsia"/>
          <w:b/>
          <w:bCs/>
          <w:color w:val="auto"/>
          <w:sz w:val="30"/>
          <w:szCs w:val="30"/>
          <w:highlight w:val="none"/>
        </w:rPr>
        <w:t>类似工程监理业绩及获奖情况（格式可自定）</w:t>
      </w:r>
    </w:p>
    <w:p>
      <w:pPr>
        <w:ind w:firstLine="2423" w:firstLineChars="862"/>
        <w:rPr>
          <w:b/>
          <w:bCs/>
          <w:color w:val="auto"/>
          <w:sz w:val="28"/>
          <w:szCs w:val="28"/>
          <w:highlight w:val="none"/>
        </w:rPr>
      </w:pPr>
      <w:r>
        <w:rPr>
          <w:rFonts w:hint="eastAsia"/>
          <w:b/>
          <w:bCs/>
          <w:color w:val="auto"/>
          <w:sz w:val="28"/>
          <w:szCs w:val="28"/>
          <w:highlight w:val="none"/>
        </w:rPr>
        <w:t>近年完成的类似工程监理业绩情况表</w:t>
      </w:r>
    </w:p>
    <w:tbl>
      <w:tblPr>
        <w:tblStyle w:val="24"/>
        <w:tblW w:w="0" w:type="auto"/>
        <w:jc w:val="center"/>
        <w:tblLayout w:type="fixed"/>
        <w:tblCellMar>
          <w:top w:w="0" w:type="dxa"/>
          <w:left w:w="108" w:type="dxa"/>
          <w:bottom w:w="0" w:type="dxa"/>
          <w:right w:w="108" w:type="dxa"/>
        </w:tblCellMar>
      </w:tblPr>
      <w:tblGrid>
        <w:gridCol w:w="2269"/>
        <w:gridCol w:w="6253"/>
      </w:tblGrid>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序号</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项目名称</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项目所在地</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委托人名称</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委托人电话</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合同价格</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监理服务期限</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监理内容</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总监理工程师</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项目描述</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p>
            <w:pPr>
              <w:topLinePunct/>
              <w:spacing w:line="440" w:lineRule="exact"/>
              <w:rPr>
                <w:color w:val="auto"/>
                <w:sz w:val="24"/>
                <w:szCs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sz w:val="24"/>
                <w:szCs w:val="24"/>
                <w:highlight w:val="none"/>
              </w:rPr>
            </w:pPr>
            <w:r>
              <w:rPr>
                <w:rFonts w:hint="eastAsia"/>
                <w:color w:val="auto"/>
                <w:sz w:val="24"/>
                <w:szCs w:val="24"/>
                <w:highlight w:val="none"/>
              </w:rPr>
              <w:t>备注</w:t>
            </w:r>
          </w:p>
        </w:tc>
        <w:tc>
          <w:tcPr>
            <w:tcW w:w="6253" w:type="dxa"/>
            <w:tcBorders>
              <w:top w:val="single" w:color="auto" w:sz="4" w:space="0"/>
              <w:left w:val="nil"/>
              <w:bottom w:val="single" w:color="auto" w:sz="4" w:space="0"/>
              <w:right w:val="single" w:color="auto" w:sz="4" w:space="0"/>
            </w:tcBorders>
          </w:tcPr>
          <w:p>
            <w:pPr>
              <w:topLinePunct/>
              <w:spacing w:line="440" w:lineRule="exact"/>
              <w:rPr>
                <w:color w:val="auto"/>
                <w:sz w:val="24"/>
                <w:szCs w:val="24"/>
                <w:highlight w:val="none"/>
              </w:rPr>
            </w:pPr>
          </w:p>
        </w:tc>
      </w:tr>
    </w:tbl>
    <w:p>
      <w:pPr>
        <w:ind w:left="594" w:leftChars="200" w:hanging="154" w:hangingChars="64"/>
        <w:rPr>
          <w:b/>
          <w:bCs/>
          <w:color w:val="auto"/>
          <w:sz w:val="24"/>
          <w:szCs w:val="24"/>
          <w:highlight w:val="none"/>
        </w:rPr>
      </w:pPr>
      <w:r>
        <w:rPr>
          <w:rFonts w:hint="eastAsia"/>
          <w:b/>
          <w:bCs/>
          <w:color w:val="auto"/>
          <w:sz w:val="24"/>
          <w:szCs w:val="24"/>
          <w:highlight w:val="none"/>
        </w:rPr>
        <w:t>注：1、表后需附相关证明材料原件清晰扫描件并加盖单位电子印章，具体要求详见招标文件第三章评标办法（综合评估法）。</w:t>
      </w:r>
    </w:p>
    <w:p>
      <w:pPr>
        <w:ind w:left="594" w:leftChars="200" w:hanging="154" w:hangingChars="64"/>
        <w:rPr>
          <w:b/>
          <w:bCs/>
          <w:color w:val="auto"/>
          <w:sz w:val="24"/>
          <w:szCs w:val="24"/>
          <w:highlight w:val="none"/>
        </w:rPr>
      </w:pPr>
      <w:r>
        <w:rPr>
          <w:b/>
          <w:bCs/>
          <w:color w:val="auto"/>
          <w:sz w:val="24"/>
          <w:szCs w:val="24"/>
          <w:highlight w:val="none"/>
        </w:rPr>
        <w:t>2</w:t>
      </w:r>
      <w:r>
        <w:rPr>
          <w:rFonts w:hint="eastAsia"/>
          <w:b/>
          <w:bCs/>
          <w:color w:val="auto"/>
          <w:sz w:val="24"/>
          <w:szCs w:val="24"/>
          <w:highlight w:val="none"/>
        </w:rPr>
        <w:t>、每张表格只填写一个项目，并标明序号。</w:t>
      </w:r>
    </w:p>
    <w:p>
      <w:pPr>
        <w:spacing w:line="400" w:lineRule="exact"/>
        <w:jc w:val="center"/>
        <w:rPr>
          <w:b/>
          <w:color w:val="auto"/>
          <w:sz w:val="28"/>
          <w:szCs w:val="28"/>
          <w:highlight w:val="none"/>
        </w:rPr>
      </w:pPr>
      <w:r>
        <w:rPr>
          <w:color w:val="auto"/>
          <w:sz w:val="24"/>
          <w:szCs w:val="24"/>
          <w:highlight w:val="none"/>
        </w:rPr>
        <w:br w:type="page"/>
      </w:r>
      <w:r>
        <w:rPr>
          <w:rFonts w:hint="eastAsia"/>
          <w:b/>
          <w:color w:val="auto"/>
          <w:sz w:val="28"/>
          <w:szCs w:val="28"/>
          <w:highlight w:val="none"/>
        </w:rPr>
        <w:t>工程监理业绩获奖情况一览表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809"/>
        <w:gridCol w:w="1207"/>
        <w:gridCol w:w="1608"/>
        <w:gridCol w:w="2083"/>
        <w:gridCol w:w="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65" w:type="dxa"/>
            <w:tcBorders>
              <w:top w:val="single" w:color="auto" w:sz="6" w:space="0"/>
              <w:left w:val="single" w:color="auto" w:sz="6" w:space="0"/>
              <w:bottom w:val="single" w:color="auto" w:sz="6" w:space="0"/>
              <w:right w:val="single" w:color="auto" w:sz="6" w:space="0"/>
            </w:tcBorders>
            <w:vAlign w:val="center"/>
          </w:tcPr>
          <w:p>
            <w:pPr>
              <w:jc w:val="center"/>
              <w:rPr>
                <w:b/>
                <w:bCs/>
                <w:color w:val="auto"/>
                <w:sz w:val="24"/>
                <w:szCs w:val="24"/>
                <w:highlight w:val="none"/>
              </w:rPr>
            </w:pPr>
            <w:r>
              <w:rPr>
                <w:rFonts w:hint="eastAsia"/>
                <w:b/>
                <w:bCs/>
                <w:color w:val="auto"/>
                <w:sz w:val="24"/>
                <w:szCs w:val="24"/>
                <w:highlight w:val="none"/>
              </w:rPr>
              <w:t>序号</w:t>
            </w: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b/>
                <w:bCs/>
                <w:color w:val="auto"/>
                <w:sz w:val="24"/>
                <w:szCs w:val="24"/>
                <w:highlight w:val="none"/>
              </w:rPr>
            </w:pPr>
            <w:r>
              <w:rPr>
                <w:rFonts w:hint="eastAsia"/>
                <w:b/>
                <w:bCs/>
                <w:color w:val="auto"/>
                <w:sz w:val="24"/>
                <w:szCs w:val="24"/>
                <w:highlight w:val="none"/>
              </w:rPr>
              <w:t>项目名称</w:t>
            </w:r>
          </w:p>
        </w:tc>
        <w:tc>
          <w:tcPr>
            <w:tcW w:w="1207" w:type="dxa"/>
            <w:tcBorders>
              <w:top w:val="single" w:color="auto" w:sz="6" w:space="0"/>
              <w:left w:val="single" w:color="auto" w:sz="6" w:space="0"/>
              <w:bottom w:val="single" w:color="auto" w:sz="6" w:space="0"/>
              <w:right w:val="single" w:color="auto" w:sz="6" w:space="0"/>
            </w:tcBorders>
            <w:vAlign w:val="center"/>
          </w:tcPr>
          <w:p>
            <w:pPr>
              <w:jc w:val="center"/>
              <w:rPr>
                <w:b/>
                <w:bCs/>
                <w:color w:val="auto"/>
                <w:sz w:val="24"/>
                <w:szCs w:val="24"/>
                <w:highlight w:val="none"/>
              </w:rPr>
            </w:pPr>
            <w:r>
              <w:rPr>
                <w:rFonts w:hint="eastAsia"/>
                <w:b/>
                <w:bCs/>
                <w:color w:val="auto"/>
                <w:sz w:val="24"/>
                <w:szCs w:val="24"/>
                <w:highlight w:val="none"/>
              </w:rPr>
              <w:t>颁发单位</w:t>
            </w:r>
          </w:p>
        </w:tc>
        <w:tc>
          <w:tcPr>
            <w:tcW w:w="160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color w:val="auto"/>
                <w:sz w:val="24"/>
                <w:szCs w:val="24"/>
                <w:highlight w:val="none"/>
              </w:rPr>
            </w:pPr>
            <w:r>
              <w:rPr>
                <w:rFonts w:hint="eastAsia"/>
                <w:b/>
                <w:color w:val="auto"/>
                <w:sz w:val="24"/>
                <w:szCs w:val="24"/>
                <w:highlight w:val="none"/>
              </w:rPr>
              <w:t>获奖情况</w:t>
            </w:r>
          </w:p>
        </w:tc>
        <w:tc>
          <w:tcPr>
            <w:tcW w:w="20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color w:val="auto"/>
                <w:sz w:val="24"/>
                <w:szCs w:val="24"/>
                <w:highlight w:val="none"/>
              </w:rPr>
            </w:pPr>
            <w:r>
              <w:rPr>
                <w:rFonts w:hint="eastAsia"/>
                <w:b/>
                <w:color w:val="auto"/>
                <w:sz w:val="24"/>
                <w:szCs w:val="24"/>
                <w:highlight w:val="none"/>
              </w:rPr>
              <w:t>获奖时间</w:t>
            </w:r>
          </w:p>
        </w:tc>
        <w:tc>
          <w:tcPr>
            <w:tcW w:w="950" w:type="dxa"/>
            <w:tcBorders>
              <w:top w:val="single" w:color="auto" w:sz="6" w:space="0"/>
              <w:left w:val="single" w:color="auto" w:sz="6" w:space="0"/>
              <w:bottom w:val="single" w:color="auto" w:sz="6" w:space="0"/>
              <w:right w:val="single" w:color="auto" w:sz="6" w:space="0"/>
            </w:tcBorders>
            <w:vAlign w:val="center"/>
          </w:tcPr>
          <w:p>
            <w:pPr>
              <w:jc w:val="center"/>
              <w:rPr>
                <w:b/>
                <w:bCs/>
                <w:color w:val="auto"/>
                <w:sz w:val="24"/>
                <w:szCs w:val="24"/>
                <w:highlight w:val="none"/>
              </w:rPr>
            </w:pPr>
            <w:r>
              <w:rPr>
                <w:rFonts w:hint="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65" w:type="dxa"/>
            <w:tcBorders>
              <w:top w:val="single" w:color="auto" w:sz="6" w:space="0"/>
              <w:left w:val="single" w:color="auto" w:sz="6" w:space="0"/>
              <w:bottom w:val="single" w:color="auto" w:sz="6" w:space="0"/>
              <w:right w:val="single" w:color="auto" w:sz="6" w:space="0"/>
            </w:tcBorders>
          </w:tcPr>
          <w:p>
            <w:pPr>
              <w:jc w:val="center"/>
              <w:rPr>
                <w:color w:val="auto"/>
                <w:sz w:val="24"/>
                <w:szCs w:val="24"/>
                <w:highlight w:val="none"/>
              </w:rPr>
            </w:pPr>
            <w:r>
              <w:rPr>
                <w:rFonts w:hint="eastAsia"/>
                <w:color w:val="auto"/>
                <w:sz w:val="24"/>
                <w:szCs w:val="24"/>
                <w:highlight w:val="none"/>
              </w:rPr>
              <w:t>1</w:t>
            </w:r>
          </w:p>
        </w:tc>
        <w:tc>
          <w:tcPr>
            <w:tcW w:w="1809"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1207"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1608"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2083"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950"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65" w:type="dxa"/>
            <w:tcBorders>
              <w:top w:val="single" w:color="auto" w:sz="6" w:space="0"/>
              <w:left w:val="single" w:color="auto" w:sz="6" w:space="0"/>
              <w:bottom w:val="single" w:color="auto" w:sz="6" w:space="0"/>
              <w:right w:val="single" w:color="auto" w:sz="6" w:space="0"/>
            </w:tcBorders>
          </w:tcPr>
          <w:p>
            <w:pPr>
              <w:jc w:val="center"/>
              <w:rPr>
                <w:color w:val="auto"/>
                <w:sz w:val="24"/>
                <w:szCs w:val="24"/>
                <w:highlight w:val="none"/>
              </w:rPr>
            </w:pPr>
            <w:r>
              <w:rPr>
                <w:rFonts w:hint="eastAsia"/>
                <w:color w:val="auto"/>
                <w:sz w:val="24"/>
                <w:szCs w:val="24"/>
                <w:highlight w:val="none"/>
              </w:rPr>
              <w:t>2</w:t>
            </w:r>
          </w:p>
        </w:tc>
        <w:tc>
          <w:tcPr>
            <w:tcW w:w="1809"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1207"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1608"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2083"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950"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65" w:type="dxa"/>
            <w:tcBorders>
              <w:top w:val="single" w:color="auto" w:sz="6" w:space="0"/>
              <w:left w:val="single" w:color="auto" w:sz="6" w:space="0"/>
              <w:bottom w:val="single" w:color="auto" w:sz="6" w:space="0"/>
              <w:right w:val="single" w:color="auto" w:sz="6" w:space="0"/>
            </w:tcBorders>
          </w:tcPr>
          <w:p>
            <w:pPr>
              <w:jc w:val="center"/>
              <w:rPr>
                <w:color w:val="auto"/>
                <w:sz w:val="24"/>
                <w:szCs w:val="24"/>
                <w:highlight w:val="none"/>
              </w:rPr>
            </w:pPr>
            <w:r>
              <w:rPr>
                <w:rFonts w:hint="eastAsia"/>
                <w:color w:val="auto"/>
                <w:sz w:val="24"/>
                <w:szCs w:val="24"/>
                <w:highlight w:val="none"/>
              </w:rPr>
              <w:t>3</w:t>
            </w:r>
          </w:p>
        </w:tc>
        <w:tc>
          <w:tcPr>
            <w:tcW w:w="1809"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1207"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1608"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2083"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950"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65" w:type="dxa"/>
            <w:tcBorders>
              <w:top w:val="single" w:color="auto" w:sz="6" w:space="0"/>
              <w:left w:val="single" w:color="auto" w:sz="6" w:space="0"/>
              <w:bottom w:val="single" w:color="auto" w:sz="6" w:space="0"/>
              <w:right w:val="single" w:color="auto" w:sz="6" w:space="0"/>
            </w:tcBorders>
          </w:tcPr>
          <w:p>
            <w:pPr>
              <w:jc w:val="center"/>
              <w:rPr>
                <w:color w:val="auto"/>
                <w:sz w:val="24"/>
                <w:szCs w:val="24"/>
                <w:highlight w:val="none"/>
              </w:rPr>
            </w:pPr>
            <w:r>
              <w:rPr>
                <w:rFonts w:hint="eastAsia"/>
                <w:color w:val="auto"/>
                <w:sz w:val="24"/>
                <w:szCs w:val="24"/>
                <w:highlight w:val="none"/>
              </w:rPr>
              <w:t>…</w:t>
            </w:r>
          </w:p>
        </w:tc>
        <w:tc>
          <w:tcPr>
            <w:tcW w:w="1809"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1207"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1608"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2083"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c>
          <w:tcPr>
            <w:tcW w:w="950" w:type="dxa"/>
            <w:tcBorders>
              <w:top w:val="single" w:color="auto" w:sz="6" w:space="0"/>
              <w:left w:val="single" w:color="auto" w:sz="6" w:space="0"/>
              <w:bottom w:val="single" w:color="auto" w:sz="6" w:space="0"/>
              <w:right w:val="single" w:color="auto" w:sz="6" w:space="0"/>
            </w:tcBorders>
          </w:tcPr>
          <w:p>
            <w:pPr>
              <w:rPr>
                <w:color w:val="auto"/>
                <w:sz w:val="24"/>
                <w:szCs w:val="24"/>
                <w:highlight w:val="none"/>
              </w:rPr>
            </w:pPr>
          </w:p>
        </w:tc>
      </w:tr>
    </w:tbl>
    <w:p>
      <w:pPr>
        <w:rPr>
          <w:color w:val="auto"/>
          <w:sz w:val="24"/>
          <w:szCs w:val="24"/>
          <w:highlight w:val="none"/>
        </w:rPr>
      </w:pPr>
      <w:r>
        <w:rPr>
          <w:rFonts w:hint="eastAsia"/>
          <w:b/>
          <w:color w:val="auto"/>
          <w:sz w:val="24"/>
          <w:szCs w:val="24"/>
          <w:highlight w:val="none"/>
        </w:rPr>
        <w:t>注：表后需附相关证明材料原件清晰扫描件并加盖单位电子印章，具体要求详见招标文件</w:t>
      </w:r>
      <w:r>
        <w:rPr>
          <w:rFonts w:hint="eastAsia"/>
          <w:b/>
          <w:bCs/>
          <w:color w:val="auto"/>
          <w:sz w:val="24"/>
          <w:szCs w:val="24"/>
          <w:highlight w:val="none"/>
        </w:rPr>
        <w:t>第三章评标办法（综合评估法）</w:t>
      </w:r>
      <w:r>
        <w:rPr>
          <w:rFonts w:hint="eastAsia"/>
          <w:b/>
          <w:color w:val="auto"/>
          <w:sz w:val="24"/>
          <w:szCs w:val="24"/>
          <w:highlight w:val="none"/>
        </w:rPr>
        <w:t>。</w:t>
      </w:r>
    </w:p>
    <w:p>
      <w:pPr>
        <w:rPr>
          <w:color w:val="auto"/>
          <w:highlight w:val="none"/>
        </w:rPr>
      </w:pPr>
    </w:p>
    <w:p>
      <w:pPr>
        <w:rPr>
          <w:b/>
          <w:color w:val="auto"/>
          <w:sz w:val="32"/>
          <w:highlight w:val="none"/>
        </w:rPr>
      </w:pPr>
      <w:r>
        <w:rPr>
          <w:rFonts w:hint="eastAsia"/>
          <w:b/>
          <w:color w:val="auto"/>
          <w:sz w:val="32"/>
          <w:highlight w:val="none"/>
        </w:rPr>
        <w:br w:type="page"/>
      </w:r>
      <w:bookmarkStart w:id="64" w:name="_GoBack"/>
      <w:bookmarkEnd w:id="64"/>
    </w:p>
    <w:p>
      <w:pPr>
        <w:spacing w:line="360" w:lineRule="auto"/>
        <w:ind w:right="456"/>
        <w:jc w:val="center"/>
        <w:outlineLvl w:val="1"/>
        <w:rPr>
          <w:b/>
          <w:color w:val="auto"/>
          <w:sz w:val="32"/>
          <w:highlight w:val="none"/>
        </w:rPr>
      </w:pPr>
      <w:r>
        <w:rPr>
          <w:rFonts w:hint="eastAsia"/>
          <w:b/>
          <w:color w:val="auto"/>
          <w:sz w:val="32"/>
          <w:highlight w:val="none"/>
          <w:lang w:val="en-US"/>
        </w:rPr>
        <w:t>八、</w:t>
      </w:r>
      <w:bookmarkStart w:id="58" w:name="_Hlk67317219"/>
      <w:r>
        <w:rPr>
          <w:rFonts w:hint="eastAsia"/>
          <w:b/>
          <w:color w:val="auto"/>
          <w:sz w:val="32"/>
          <w:highlight w:val="none"/>
          <w:lang w:val="en-US"/>
        </w:rPr>
        <w:t>拟投入项目的人员架构</w:t>
      </w:r>
      <w:bookmarkEnd w:id="58"/>
      <w:r>
        <w:rPr>
          <w:rFonts w:hint="eastAsia"/>
          <w:b/>
          <w:color w:val="auto"/>
          <w:sz w:val="32"/>
          <w:highlight w:val="none"/>
        </w:rPr>
        <w:t>（格式可自拟）</w:t>
      </w:r>
    </w:p>
    <w:p>
      <w:pPr>
        <w:pStyle w:val="10"/>
        <w:spacing w:before="9" w:line="360" w:lineRule="auto"/>
        <w:rPr>
          <w:color w:val="auto"/>
          <w:sz w:val="20"/>
          <w:highlight w:val="none"/>
        </w:rPr>
      </w:pPr>
    </w:p>
    <w:p>
      <w:pPr>
        <w:jc w:val="center"/>
        <w:rPr>
          <w:color w:val="auto"/>
          <w:sz w:val="28"/>
          <w:szCs w:val="28"/>
          <w:highlight w:val="none"/>
        </w:rPr>
      </w:pPr>
      <w:r>
        <w:rPr>
          <w:rFonts w:hint="eastAsia"/>
          <w:b/>
          <w:bCs/>
          <w:color w:val="auto"/>
          <w:sz w:val="28"/>
          <w:szCs w:val="28"/>
          <w:highlight w:val="none"/>
        </w:rPr>
        <w:t>拟投入的主要人员汇总表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42"/>
        <w:gridCol w:w="992"/>
        <w:gridCol w:w="603"/>
        <w:gridCol w:w="488"/>
        <w:gridCol w:w="1331"/>
        <w:gridCol w:w="708"/>
        <w:gridCol w:w="851"/>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45" w:type="dxa"/>
            <w:vMerge w:val="restart"/>
            <w:vAlign w:val="center"/>
          </w:tcPr>
          <w:p>
            <w:pPr>
              <w:spacing w:line="440" w:lineRule="exact"/>
              <w:jc w:val="center"/>
              <w:rPr>
                <w:color w:val="auto"/>
                <w:sz w:val="24"/>
                <w:highlight w:val="none"/>
              </w:rPr>
            </w:pPr>
            <w:r>
              <w:rPr>
                <w:color w:val="auto"/>
                <w:sz w:val="24"/>
                <w:highlight w:val="none"/>
              </w:rPr>
              <w:t>序号</w:t>
            </w:r>
          </w:p>
        </w:tc>
        <w:tc>
          <w:tcPr>
            <w:tcW w:w="1842" w:type="dxa"/>
            <w:vMerge w:val="restart"/>
            <w:vAlign w:val="center"/>
          </w:tcPr>
          <w:p>
            <w:pPr>
              <w:spacing w:line="440" w:lineRule="exact"/>
              <w:jc w:val="center"/>
              <w:rPr>
                <w:color w:val="auto"/>
                <w:sz w:val="24"/>
                <w:highlight w:val="none"/>
              </w:rPr>
            </w:pPr>
            <w:r>
              <w:rPr>
                <w:color w:val="auto"/>
                <w:sz w:val="24"/>
                <w:highlight w:val="none"/>
              </w:rPr>
              <w:t>本项目任职</w:t>
            </w:r>
          </w:p>
        </w:tc>
        <w:tc>
          <w:tcPr>
            <w:tcW w:w="992" w:type="dxa"/>
            <w:vMerge w:val="restart"/>
            <w:vAlign w:val="center"/>
          </w:tcPr>
          <w:p>
            <w:pPr>
              <w:spacing w:line="440" w:lineRule="exact"/>
              <w:jc w:val="center"/>
              <w:rPr>
                <w:color w:val="auto"/>
                <w:sz w:val="24"/>
                <w:highlight w:val="none"/>
              </w:rPr>
            </w:pPr>
            <w:r>
              <w:rPr>
                <w:color w:val="auto"/>
                <w:sz w:val="24"/>
                <w:highlight w:val="none"/>
              </w:rPr>
              <w:t>姓名</w:t>
            </w:r>
          </w:p>
        </w:tc>
        <w:tc>
          <w:tcPr>
            <w:tcW w:w="603" w:type="dxa"/>
            <w:vMerge w:val="restart"/>
            <w:vAlign w:val="center"/>
          </w:tcPr>
          <w:p>
            <w:pPr>
              <w:spacing w:line="440" w:lineRule="exact"/>
              <w:jc w:val="center"/>
              <w:rPr>
                <w:color w:val="auto"/>
                <w:sz w:val="24"/>
                <w:highlight w:val="none"/>
              </w:rPr>
            </w:pPr>
            <w:r>
              <w:rPr>
                <w:color w:val="auto"/>
                <w:sz w:val="24"/>
                <w:highlight w:val="none"/>
              </w:rPr>
              <w:t>职称</w:t>
            </w:r>
          </w:p>
        </w:tc>
        <w:tc>
          <w:tcPr>
            <w:tcW w:w="488" w:type="dxa"/>
            <w:vMerge w:val="restart"/>
            <w:vAlign w:val="center"/>
          </w:tcPr>
          <w:p>
            <w:pPr>
              <w:spacing w:line="440" w:lineRule="exact"/>
              <w:jc w:val="center"/>
              <w:rPr>
                <w:color w:val="auto"/>
                <w:sz w:val="24"/>
                <w:highlight w:val="none"/>
              </w:rPr>
            </w:pPr>
            <w:r>
              <w:rPr>
                <w:color w:val="auto"/>
                <w:sz w:val="24"/>
                <w:highlight w:val="none"/>
              </w:rPr>
              <w:t>专业</w:t>
            </w:r>
          </w:p>
        </w:tc>
        <w:tc>
          <w:tcPr>
            <w:tcW w:w="2890" w:type="dxa"/>
            <w:gridSpan w:val="3"/>
            <w:vAlign w:val="center"/>
          </w:tcPr>
          <w:p>
            <w:pPr>
              <w:spacing w:line="440" w:lineRule="exact"/>
              <w:jc w:val="center"/>
              <w:rPr>
                <w:color w:val="auto"/>
                <w:sz w:val="24"/>
                <w:highlight w:val="none"/>
              </w:rPr>
            </w:pPr>
            <w:r>
              <w:rPr>
                <w:color w:val="auto"/>
                <w:sz w:val="24"/>
                <w:highlight w:val="none"/>
              </w:rPr>
              <w:t>执业或职业资格证明</w:t>
            </w:r>
          </w:p>
        </w:tc>
        <w:tc>
          <w:tcPr>
            <w:tcW w:w="1264" w:type="dxa"/>
            <w:vAlign w:val="center"/>
          </w:tcPr>
          <w:p>
            <w:pPr>
              <w:spacing w:line="440" w:lineRule="exact"/>
              <w:jc w:val="center"/>
              <w:rPr>
                <w:color w:val="auto"/>
                <w:sz w:val="24"/>
                <w:highlight w:val="none"/>
              </w:rPr>
            </w:pPr>
            <w:r>
              <w:rPr>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vMerge w:val="continue"/>
            <w:vAlign w:val="center"/>
          </w:tcPr>
          <w:p>
            <w:pPr>
              <w:rPr>
                <w:color w:val="auto"/>
                <w:sz w:val="24"/>
                <w:highlight w:val="none"/>
              </w:rPr>
            </w:pPr>
          </w:p>
        </w:tc>
        <w:tc>
          <w:tcPr>
            <w:tcW w:w="1842" w:type="dxa"/>
            <w:vMerge w:val="continue"/>
          </w:tcPr>
          <w:p>
            <w:pPr>
              <w:rPr>
                <w:color w:val="auto"/>
                <w:sz w:val="24"/>
                <w:highlight w:val="none"/>
              </w:rPr>
            </w:pPr>
          </w:p>
        </w:tc>
        <w:tc>
          <w:tcPr>
            <w:tcW w:w="992" w:type="dxa"/>
            <w:vMerge w:val="continue"/>
            <w:vAlign w:val="center"/>
          </w:tcPr>
          <w:p>
            <w:pPr>
              <w:rPr>
                <w:color w:val="auto"/>
                <w:sz w:val="24"/>
                <w:highlight w:val="none"/>
              </w:rPr>
            </w:pPr>
          </w:p>
        </w:tc>
        <w:tc>
          <w:tcPr>
            <w:tcW w:w="603" w:type="dxa"/>
            <w:vMerge w:val="continue"/>
            <w:vAlign w:val="center"/>
          </w:tcPr>
          <w:p>
            <w:pPr>
              <w:rPr>
                <w:color w:val="auto"/>
                <w:sz w:val="24"/>
                <w:highlight w:val="none"/>
              </w:rPr>
            </w:pPr>
          </w:p>
        </w:tc>
        <w:tc>
          <w:tcPr>
            <w:tcW w:w="488" w:type="dxa"/>
            <w:vMerge w:val="continue"/>
            <w:vAlign w:val="center"/>
          </w:tcPr>
          <w:p>
            <w:pPr>
              <w:spacing w:line="440" w:lineRule="exact"/>
              <w:jc w:val="center"/>
              <w:rPr>
                <w:color w:val="auto"/>
                <w:sz w:val="24"/>
                <w:highlight w:val="none"/>
              </w:rPr>
            </w:pPr>
          </w:p>
        </w:tc>
        <w:tc>
          <w:tcPr>
            <w:tcW w:w="1331" w:type="dxa"/>
            <w:vAlign w:val="center"/>
          </w:tcPr>
          <w:p>
            <w:pPr>
              <w:spacing w:before="100" w:beforeAutospacing="1" w:after="100" w:afterAutospacing="1" w:line="440" w:lineRule="exact"/>
              <w:jc w:val="center"/>
              <w:rPr>
                <w:color w:val="auto"/>
                <w:sz w:val="24"/>
                <w:highlight w:val="none"/>
              </w:rPr>
            </w:pPr>
            <w:r>
              <w:rPr>
                <w:color w:val="auto"/>
                <w:sz w:val="24"/>
                <w:highlight w:val="none"/>
              </w:rPr>
              <w:t>证书名称</w:t>
            </w:r>
          </w:p>
        </w:tc>
        <w:tc>
          <w:tcPr>
            <w:tcW w:w="708" w:type="dxa"/>
            <w:vAlign w:val="center"/>
          </w:tcPr>
          <w:p>
            <w:pPr>
              <w:spacing w:before="100" w:beforeAutospacing="1" w:after="100" w:afterAutospacing="1" w:line="440" w:lineRule="exact"/>
              <w:jc w:val="center"/>
              <w:rPr>
                <w:color w:val="auto"/>
                <w:sz w:val="24"/>
                <w:highlight w:val="none"/>
              </w:rPr>
            </w:pPr>
            <w:r>
              <w:rPr>
                <w:color w:val="auto"/>
                <w:sz w:val="24"/>
                <w:highlight w:val="none"/>
              </w:rPr>
              <w:t>级别</w:t>
            </w:r>
          </w:p>
        </w:tc>
        <w:tc>
          <w:tcPr>
            <w:tcW w:w="851" w:type="dxa"/>
            <w:vAlign w:val="center"/>
          </w:tcPr>
          <w:p>
            <w:pPr>
              <w:spacing w:before="100" w:beforeAutospacing="1" w:after="100" w:afterAutospacing="1" w:line="440" w:lineRule="exact"/>
              <w:jc w:val="center"/>
              <w:rPr>
                <w:color w:val="auto"/>
                <w:sz w:val="24"/>
                <w:highlight w:val="none"/>
              </w:rPr>
            </w:pPr>
            <w:r>
              <w:rPr>
                <w:color w:val="auto"/>
                <w:sz w:val="24"/>
                <w:highlight w:val="none"/>
              </w:rPr>
              <w:t>证号</w:t>
            </w:r>
          </w:p>
        </w:tc>
        <w:tc>
          <w:tcPr>
            <w:tcW w:w="1264" w:type="dxa"/>
            <w:vAlign w:val="center"/>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vAlign w:val="center"/>
          </w:tcPr>
          <w:p>
            <w:pPr>
              <w:spacing w:line="440" w:lineRule="exact"/>
              <w:jc w:val="center"/>
              <w:rPr>
                <w:color w:val="auto"/>
                <w:sz w:val="24"/>
                <w:highlight w:val="none"/>
              </w:rPr>
            </w:pPr>
          </w:p>
        </w:tc>
        <w:tc>
          <w:tcPr>
            <w:tcW w:w="603" w:type="dxa"/>
            <w:vAlign w:val="center"/>
          </w:tcPr>
          <w:p>
            <w:pPr>
              <w:spacing w:line="440" w:lineRule="exact"/>
              <w:jc w:val="center"/>
              <w:rPr>
                <w:color w:val="auto"/>
                <w:sz w:val="24"/>
                <w:highlight w:val="none"/>
              </w:rPr>
            </w:pPr>
          </w:p>
        </w:tc>
        <w:tc>
          <w:tcPr>
            <w:tcW w:w="488" w:type="dxa"/>
            <w:vAlign w:val="center"/>
          </w:tcPr>
          <w:p>
            <w:pPr>
              <w:spacing w:line="440" w:lineRule="exact"/>
              <w:jc w:val="center"/>
              <w:rPr>
                <w:color w:val="auto"/>
                <w:sz w:val="24"/>
                <w:highlight w:val="none"/>
              </w:rPr>
            </w:pPr>
          </w:p>
        </w:tc>
        <w:tc>
          <w:tcPr>
            <w:tcW w:w="1331" w:type="dxa"/>
            <w:vAlign w:val="center"/>
          </w:tcPr>
          <w:p>
            <w:pPr>
              <w:spacing w:line="440" w:lineRule="exact"/>
              <w:jc w:val="center"/>
              <w:rPr>
                <w:color w:val="auto"/>
                <w:sz w:val="24"/>
                <w:highlight w:val="none"/>
              </w:rPr>
            </w:pPr>
          </w:p>
        </w:tc>
        <w:tc>
          <w:tcPr>
            <w:tcW w:w="708" w:type="dxa"/>
            <w:vAlign w:val="center"/>
          </w:tcPr>
          <w:p>
            <w:pPr>
              <w:spacing w:line="440" w:lineRule="exact"/>
              <w:jc w:val="center"/>
              <w:rPr>
                <w:color w:val="auto"/>
                <w:sz w:val="24"/>
                <w:highlight w:val="none"/>
              </w:rPr>
            </w:pPr>
          </w:p>
        </w:tc>
        <w:tc>
          <w:tcPr>
            <w:tcW w:w="851" w:type="dxa"/>
            <w:vAlign w:val="center"/>
          </w:tcPr>
          <w:p>
            <w:pPr>
              <w:spacing w:line="440" w:lineRule="exact"/>
              <w:jc w:val="center"/>
              <w:rPr>
                <w:color w:val="auto"/>
                <w:sz w:val="24"/>
                <w:highlight w:val="none"/>
              </w:rPr>
            </w:pPr>
          </w:p>
        </w:tc>
        <w:tc>
          <w:tcPr>
            <w:tcW w:w="1264" w:type="dxa"/>
            <w:vAlign w:val="center"/>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pPr>
              <w:spacing w:line="440" w:lineRule="exact"/>
              <w:jc w:val="center"/>
              <w:rPr>
                <w:color w:val="auto"/>
                <w:sz w:val="24"/>
                <w:highlight w:val="none"/>
              </w:rPr>
            </w:pPr>
          </w:p>
        </w:tc>
        <w:tc>
          <w:tcPr>
            <w:tcW w:w="1842" w:type="dxa"/>
          </w:tcPr>
          <w:p>
            <w:pPr>
              <w:spacing w:line="440" w:lineRule="exact"/>
              <w:jc w:val="center"/>
              <w:rPr>
                <w:color w:val="auto"/>
                <w:sz w:val="24"/>
                <w:highlight w:val="none"/>
              </w:rPr>
            </w:pPr>
          </w:p>
        </w:tc>
        <w:tc>
          <w:tcPr>
            <w:tcW w:w="992" w:type="dxa"/>
          </w:tcPr>
          <w:p>
            <w:pPr>
              <w:spacing w:line="440" w:lineRule="exact"/>
              <w:jc w:val="center"/>
              <w:rPr>
                <w:color w:val="auto"/>
                <w:sz w:val="24"/>
                <w:highlight w:val="none"/>
              </w:rPr>
            </w:pPr>
          </w:p>
        </w:tc>
        <w:tc>
          <w:tcPr>
            <w:tcW w:w="603" w:type="dxa"/>
          </w:tcPr>
          <w:p>
            <w:pPr>
              <w:spacing w:line="440" w:lineRule="exact"/>
              <w:jc w:val="center"/>
              <w:rPr>
                <w:color w:val="auto"/>
                <w:sz w:val="24"/>
                <w:highlight w:val="none"/>
              </w:rPr>
            </w:pPr>
          </w:p>
        </w:tc>
        <w:tc>
          <w:tcPr>
            <w:tcW w:w="488" w:type="dxa"/>
          </w:tcPr>
          <w:p>
            <w:pPr>
              <w:spacing w:line="440" w:lineRule="exact"/>
              <w:jc w:val="center"/>
              <w:rPr>
                <w:color w:val="auto"/>
                <w:sz w:val="24"/>
                <w:highlight w:val="none"/>
              </w:rPr>
            </w:pPr>
          </w:p>
        </w:tc>
        <w:tc>
          <w:tcPr>
            <w:tcW w:w="1331" w:type="dxa"/>
          </w:tcPr>
          <w:p>
            <w:pPr>
              <w:spacing w:line="440" w:lineRule="exact"/>
              <w:jc w:val="center"/>
              <w:rPr>
                <w:color w:val="auto"/>
                <w:sz w:val="24"/>
                <w:highlight w:val="none"/>
              </w:rPr>
            </w:pPr>
          </w:p>
        </w:tc>
        <w:tc>
          <w:tcPr>
            <w:tcW w:w="708" w:type="dxa"/>
          </w:tcPr>
          <w:p>
            <w:pPr>
              <w:spacing w:line="440" w:lineRule="exact"/>
              <w:jc w:val="center"/>
              <w:rPr>
                <w:color w:val="auto"/>
                <w:sz w:val="24"/>
                <w:highlight w:val="none"/>
              </w:rPr>
            </w:pPr>
          </w:p>
        </w:tc>
        <w:tc>
          <w:tcPr>
            <w:tcW w:w="851" w:type="dxa"/>
          </w:tcPr>
          <w:p>
            <w:pPr>
              <w:spacing w:line="440" w:lineRule="exact"/>
              <w:jc w:val="center"/>
              <w:rPr>
                <w:color w:val="auto"/>
                <w:sz w:val="24"/>
                <w:highlight w:val="none"/>
              </w:rPr>
            </w:pPr>
          </w:p>
        </w:tc>
        <w:tc>
          <w:tcPr>
            <w:tcW w:w="1264" w:type="dxa"/>
          </w:tcPr>
          <w:p>
            <w:pPr>
              <w:spacing w:line="440" w:lineRule="exact"/>
              <w:jc w:val="center"/>
              <w:rPr>
                <w:color w:val="auto"/>
                <w:sz w:val="24"/>
                <w:highlight w:val="none"/>
              </w:rPr>
            </w:pPr>
          </w:p>
        </w:tc>
      </w:tr>
    </w:tbl>
    <w:p>
      <w:pPr>
        <w:rPr>
          <w:color w:val="auto"/>
          <w:sz w:val="24"/>
          <w:szCs w:val="24"/>
          <w:highlight w:val="none"/>
        </w:rPr>
      </w:pPr>
    </w:p>
    <w:p>
      <w:pPr>
        <w:rPr>
          <w:b/>
          <w:color w:val="auto"/>
          <w:sz w:val="32"/>
          <w:highlight w:val="none"/>
        </w:rPr>
      </w:pPr>
      <w:bookmarkStart w:id="59" w:name="_bookmark191"/>
      <w:bookmarkEnd w:id="59"/>
      <w:r>
        <w:rPr>
          <w:rFonts w:hint="eastAsia"/>
          <w:b/>
          <w:color w:val="auto"/>
          <w:sz w:val="32"/>
          <w:highlight w:val="none"/>
        </w:rPr>
        <w:br w:type="page"/>
      </w:r>
    </w:p>
    <w:p>
      <w:pPr>
        <w:spacing w:line="360" w:lineRule="auto"/>
        <w:ind w:right="456"/>
        <w:jc w:val="center"/>
        <w:rPr>
          <w:b/>
          <w:color w:val="auto"/>
          <w:sz w:val="32"/>
          <w:highlight w:val="none"/>
        </w:rPr>
      </w:pPr>
      <w:r>
        <w:rPr>
          <w:rFonts w:hint="eastAsia"/>
          <w:b/>
          <w:color w:val="auto"/>
          <w:sz w:val="32"/>
          <w:highlight w:val="none"/>
        </w:rPr>
        <w:t>主要人员简历表（格式可自拟）</w:t>
      </w:r>
    </w:p>
    <w:p>
      <w:pPr>
        <w:pStyle w:val="10"/>
        <w:spacing w:line="360" w:lineRule="auto"/>
        <w:rPr>
          <w:color w:val="auto"/>
          <w:sz w:val="15"/>
          <w:highlight w:val="none"/>
        </w:rPr>
      </w:pPr>
    </w:p>
    <w:tbl>
      <w:tblPr>
        <w:tblStyle w:val="2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pPr>
              <w:pStyle w:val="33"/>
              <w:tabs>
                <w:tab w:val="left" w:pos="436"/>
              </w:tabs>
              <w:spacing w:line="360" w:lineRule="auto"/>
              <w:ind w:left="13"/>
              <w:jc w:val="center"/>
              <w:rPr>
                <w:color w:val="auto"/>
                <w:sz w:val="21"/>
                <w:highlight w:val="none"/>
              </w:rPr>
            </w:pPr>
            <w:r>
              <w:rPr>
                <w:rFonts w:hint="eastAsia"/>
                <w:color w:val="auto"/>
                <w:sz w:val="21"/>
                <w:highlight w:val="none"/>
              </w:rPr>
              <w:t>姓</w:t>
            </w:r>
            <w:r>
              <w:rPr>
                <w:rFonts w:hint="eastAsia"/>
                <w:color w:val="auto"/>
                <w:sz w:val="21"/>
                <w:highlight w:val="none"/>
              </w:rPr>
              <w:tab/>
            </w:r>
            <w:r>
              <w:rPr>
                <w:rFonts w:hint="eastAsia"/>
                <w:color w:val="auto"/>
                <w:sz w:val="21"/>
                <w:highlight w:val="none"/>
              </w:rPr>
              <w:t>名</w:t>
            </w:r>
          </w:p>
        </w:tc>
        <w:tc>
          <w:tcPr>
            <w:tcW w:w="1108" w:type="dxa"/>
            <w:gridSpan w:val="2"/>
            <w:vAlign w:val="center"/>
          </w:tcPr>
          <w:p>
            <w:pPr>
              <w:pStyle w:val="33"/>
              <w:spacing w:line="360" w:lineRule="auto"/>
              <w:jc w:val="center"/>
              <w:rPr>
                <w:color w:val="auto"/>
                <w:sz w:val="20"/>
                <w:highlight w:val="none"/>
              </w:rPr>
            </w:pPr>
          </w:p>
        </w:tc>
        <w:tc>
          <w:tcPr>
            <w:tcW w:w="1011" w:type="dxa"/>
            <w:vAlign w:val="center"/>
          </w:tcPr>
          <w:p>
            <w:pPr>
              <w:pStyle w:val="33"/>
              <w:spacing w:line="360" w:lineRule="auto"/>
              <w:ind w:right="256"/>
              <w:jc w:val="center"/>
              <w:rPr>
                <w:color w:val="auto"/>
                <w:sz w:val="21"/>
                <w:highlight w:val="none"/>
              </w:rPr>
            </w:pPr>
            <w:r>
              <w:rPr>
                <w:rFonts w:hint="eastAsia"/>
                <w:color w:val="auto"/>
                <w:sz w:val="21"/>
                <w:highlight w:val="none"/>
              </w:rPr>
              <w:t>年龄</w:t>
            </w:r>
          </w:p>
        </w:tc>
        <w:tc>
          <w:tcPr>
            <w:tcW w:w="1126" w:type="dxa"/>
            <w:vAlign w:val="center"/>
          </w:tcPr>
          <w:p>
            <w:pPr>
              <w:pStyle w:val="33"/>
              <w:spacing w:line="360" w:lineRule="auto"/>
              <w:jc w:val="center"/>
              <w:rPr>
                <w:color w:val="auto"/>
                <w:sz w:val="20"/>
                <w:highlight w:val="none"/>
              </w:rPr>
            </w:pPr>
          </w:p>
        </w:tc>
        <w:tc>
          <w:tcPr>
            <w:tcW w:w="2499" w:type="dxa"/>
            <w:gridSpan w:val="3"/>
            <w:vAlign w:val="center"/>
          </w:tcPr>
          <w:p>
            <w:pPr>
              <w:pStyle w:val="33"/>
              <w:adjustRightInd w:val="0"/>
              <w:snapToGrid w:val="0"/>
              <w:spacing w:line="360" w:lineRule="auto"/>
              <w:ind w:left="44" w:leftChars="20" w:right="44" w:rightChars="20"/>
              <w:jc w:val="center"/>
              <w:rPr>
                <w:color w:val="auto"/>
                <w:sz w:val="21"/>
                <w:highlight w:val="none"/>
              </w:rPr>
            </w:pPr>
            <w:r>
              <w:rPr>
                <w:rFonts w:hint="eastAsia"/>
                <w:color w:val="auto"/>
                <w:sz w:val="21"/>
                <w:highlight w:val="none"/>
              </w:rPr>
              <w:t>执业资格证书（或上岗证书）名称</w:t>
            </w:r>
          </w:p>
        </w:tc>
        <w:tc>
          <w:tcPr>
            <w:tcW w:w="2003"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pPr>
              <w:pStyle w:val="33"/>
              <w:tabs>
                <w:tab w:val="left" w:pos="436"/>
              </w:tabs>
              <w:spacing w:line="360" w:lineRule="auto"/>
              <w:ind w:left="13"/>
              <w:jc w:val="center"/>
              <w:rPr>
                <w:color w:val="auto"/>
                <w:sz w:val="21"/>
                <w:highlight w:val="none"/>
              </w:rPr>
            </w:pPr>
            <w:r>
              <w:rPr>
                <w:rFonts w:hint="eastAsia"/>
                <w:color w:val="auto"/>
                <w:sz w:val="21"/>
                <w:highlight w:val="none"/>
              </w:rPr>
              <w:t>职</w:t>
            </w:r>
            <w:r>
              <w:rPr>
                <w:rFonts w:hint="eastAsia"/>
                <w:color w:val="auto"/>
                <w:sz w:val="21"/>
                <w:highlight w:val="none"/>
              </w:rPr>
              <w:tab/>
            </w:r>
            <w:r>
              <w:rPr>
                <w:rFonts w:hint="eastAsia"/>
                <w:color w:val="auto"/>
                <w:sz w:val="21"/>
                <w:highlight w:val="none"/>
              </w:rPr>
              <w:t>称</w:t>
            </w:r>
          </w:p>
        </w:tc>
        <w:tc>
          <w:tcPr>
            <w:tcW w:w="1108" w:type="dxa"/>
            <w:gridSpan w:val="2"/>
            <w:vAlign w:val="center"/>
          </w:tcPr>
          <w:p>
            <w:pPr>
              <w:pStyle w:val="33"/>
              <w:spacing w:line="360" w:lineRule="auto"/>
              <w:jc w:val="center"/>
              <w:rPr>
                <w:color w:val="auto"/>
                <w:sz w:val="20"/>
                <w:highlight w:val="none"/>
              </w:rPr>
            </w:pPr>
          </w:p>
        </w:tc>
        <w:tc>
          <w:tcPr>
            <w:tcW w:w="1011" w:type="dxa"/>
            <w:vAlign w:val="center"/>
          </w:tcPr>
          <w:p>
            <w:pPr>
              <w:pStyle w:val="33"/>
              <w:spacing w:line="360" w:lineRule="auto"/>
              <w:ind w:right="256"/>
              <w:jc w:val="center"/>
              <w:rPr>
                <w:color w:val="auto"/>
                <w:sz w:val="21"/>
                <w:highlight w:val="none"/>
              </w:rPr>
            </w:pPr>
            <w:r>
              <w:rPr>
                <w:rFonts w:hint="eastAsia"/>
                <w:color w:val="auto"/>
                <w:sz w:val="21"/>
                <w:highlight w:val="none"/>
              </w:rPr>
              <w:t>学历</w:t>
            </w:r>
          </w:p>
        </w:tc>
        <w:tc>
          <w:tcPr>
            <w:tcW w:w="1126" w:type="dxa"/>
            <w:vAlign w:val="center"/>
          </w:tcPr>
          <w:p>
            <w:pPr>
              <w:pStyle w:val="33"/>
              <w:spacing w:line="360" w:lineRule="auto"/>
              <w:jc w:val="center"/>
              <w:rPr>
                <w:color w:val="auto"/>
                <w:sz w:val="20"/>
                <w:highlight w:val="none"/>
              </w:rPr>
            </w:pPr>
          </w:p>
        </w:tc>
        <w:tc>
          <w:tcPr>
            <w:tcW w:w="2499" w:type="dxa"/>
            <w:gridSpan w:val="3"/>
            <w:vAlign w:val="center"/>
          </w:tcPr>
          <w:p>
            <w:pPr>
              <w:pStyle w:val="33"/>
              <w:adjustRightInd w:val="0"/>
              <w:snapToGrid w:val="0"/>
              <w:spacing w:line="360" w:lineRule="auto"/>
              <w:ind w:left="44" w:leftChars="20" w:right="44" w:rightChars="20"/>
              <w:jc w:val="center"/>
              <w:rPr>
                <w:color w:val="auto"/>
                <w:sz w:val="21"/>
                <w:highlight w:val="none"/>
              </w:rPr>
            </w:pPr>
            <w:r>
              <w:rPr>
                <w:rFonts w:hint="eastAsia"/>
                <w:color w:val="auto"/>
                <w:sz w:val="21"/>
                <w:highlight w:val="none"/>
              </w:rPr>
              <w:t>拟在本项目任职</w:t>
            </w:r>
          </w:p>
        </w:tc>
        <w:tc>
          <w:tcPr>
            <w:tcW w:w="2003"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pPr>
              <w:pStyle w:val="33"/>
              <w:spacing w:line="360" w:lineRule="auto"/>
              <w:ind w:left="11"/>
              <w:jc w:val="center"/>
              <w:rPr>
                <w:color w:val="auto"/>
                <w:sz w:val="21"/>
                <w:highlight w:val="none"/>
              </w:rPr>
            </w:pPr>
            <w:r>
              <w:rPr>
                <w:rFonts w:hint="eastAsia"/>
                <w:color w:val="auto"/>
                <w:sz w:val="21"/>
                <w:highlight w:val="none"/>
              </w:rPr>
              <w:t>工作年限</w:t>
            </w:r>
          </w:p>
        </w:tc>
        <w:tc>
          <w:tcPr>
            <w:tcW w:w="3245" w:type="dxa"/>
            <w:gridSpan w:val="4"/>
            <w:vAlign w:val="center"/>
          </w:tcPr>
          <w:p>
            <w:pPr>
              <w:pStyle w:val="33"/>
              <w:spacing w:line="360" w:lineRule="auto"/>
              <w:jc w:val="center"/>
              <w:rPr>
                <w:color w:val="auto"/>
                <w:sz w:val="20"/>
                <w:highlight w:val="none"/>
              </w:rPr>
            </w:pPr>
          </w:p>
        </w:tc>
        <w:tc>
          <w:tcPr>
            <w:tcW w:w="2499" w:type="dxa"/>
            <w:gridSpan w:val="3"/>
            <w:vAlign w:val="center"/>
          </w:tcPr>
          <w:p>
            <w:pPr>
              <w:pStyle w:val="33"/>
              <w:adjustRightInd w:val="0"/>
              <w:snapToGrid w:val="0"/>
              <w:spacing w:line="360" w:lineRule="auto"/>
              <w:ind w:left="44" w:leftChars="20" w:right="44" w:rightChars="20"/>
              <w:jc w:val="center"/>
              <w:rPr>
                <w:color w:val="auto"/>
                <w:sz w:val="21"/>
                <w:highlight w:val="none"/>
              </w:rPr>
            </w:pPr>
            <w:r>
              <w:rPr>
                <w:rFonts w:hint="eastAsia"/>
                <w:color w:val="auto"/>
                <w:sz w:val="21"/>
                <w:highlight w:val="none"/>
              </w:rPr>
              <w:t>从事监理工作年限</w:t>
            </w:r>
          </w:p>
        </w:tc>
        <w:tc>
          <w:tcPr>
            <w:tcW w:w="2003" w:type="dxa"/>
            <w:vAlign w:val="center"/>
          </w:tcPr>
          <w:p>
            <w:pPr>
              <w:pStyle w:val="33"/>
              <w:spacing w:line="360" w:lineRule="auto"/>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pPr>
              <w:pStyle w:val="33"/>
              <w:spacing w:line="360" w:lineRule="auto"/>
              <w:ind w:left="11"/>
              <w:jc w:val="center"/>
              <w:rPr>
                <w:color w:val="auto"/>
                <w:sz w:val="21"/>
                <w:highlight w:val="none"/>
              </w:rPr>
            </w:pPr>
            <w:r>
              <w:rPr>
                <w:rFonts w:hint="eastAsia"/>
                <w:color w:val="auto"/>
                <w:sz w:val="21"/>
                <w:highlight w:val="none"/>
              </w:rPr>
              <w:t>毕业学校</w:t>
            </w:r>
          </w:p>
        </w:tc>
        <w:tc>
          <w:tcPr>
            <w:tcW w:w="7747" w:type="dxa"/>
            <w:gridSpan w:val="8"/>
            <w:vAlign w:val="center"/>
          </w:tcPr>
          <w:p>
            <w:pPr>
              <w:pStyle w:val="33"/>
              <w:tabs>
                <w:tab w:val="left" w:pos="3364"/>
                <w:tab w:val="left" w:pos="4625"/>
              </w:tabs>
              <w:spacing w:line="360" w:lineRule="auto"/>
              <w:ind w:left="1262"/>
              <w:jc w:val="center"/>
              <w:rPr>
                <w:color w:val="auto"/>
                <w:sz w:val="21"/>
                <w:highlight w:val="none"/>
              </w:rPr>
            </w:pPr>
            <w:r>
              <w:rPr>
                <w:rFonts w:hint="eastAsia"/>
                <w:color w:val="auto"/>
                <w:sz w:val="21"/>
                <w:highlight w:val="none"/>
              </w:rPr>
              <w:t>年毕</w:t>
            </w:r>
            <w:r>
              <w:rPr>
                <w:rFonts w:hint="eastAsia"/>
                <w:color w:val="auto"/>
                <w:spacing w:val="-3"/>
                <w:sz w:val="21"/>
                <w:highlight w:val="none"/>
              </w:rPr>
              <w:t>业</w:t>
            </w:r>
            <w:r>
              <w:rPr>
                <w:rFonts w:hint="eastAsia"/>
                <w:color w:val="auto"/>
                <w:sz w:val="21"/>
                <w:highlight w:val="none"/>
              </w:rPr>
              <w:t>于</w:t>
            </w:r>
            <w:r>
              <w:rPr>
                <w:rFonts w:hint="eastAsia"/>
                <w:color w:val="auto"/>
                <w:sz w:val="21"/>
                <w:highlight w:val="none"/>
              </w:rPr>
              <w:tab/>
            </w:r>
            <w:r>
              <w:rPr>
                <w:rFonts w:hint="eastAsia"/>
                <w:color w:val="auto"/>
                <w:spacing w:val="-3"/>
                <w:sz w:val="21"/>
                <w:highlight w:val="none"/>
              </w:rPr>
              <w:t>学</w:t>
            </w:r>
            <w:r>
              <w:rPr>
                <w:rFonts w:hint="eastAsia"/>
                <w:color w:val="auto"/>
                <w:sz w:val="21"/>
                <w:highlight w:val="none"/>
              </w:rPr>
              <w:t>校</w:t>
            </w:r>
            <w:r>
              <w:rPr>
                <w:rFonts w:hint="eastAsia"/>
                <w:color w:val="auto"/>
                <w:sz w:val="21"/>
                <w:highlight w:val="none"/>
              </w:rPr>
              <w:tab/>
            </w:r>
            <w:r>
              <w:rPr>
                <w:rFonts w:hint="eastAsia"/>
                <w:color w:val="auto"/>
                <w:sz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999" w:type="dxa"/>
            <w:gridSpan w:val="9"/>
            <w:vAlign w:val="center"/>
          </w:tcPr>
          <w:p>
            <w:pPr>
              <w:pStyle w:val="33"/>
              <w:spacing w:line="360" w:lineRule="auto"/>
              <w:ind w:left="107"/>
              <w:jc w:val="center"/>
              <w:rPr>
                <w:color w:val="auto"/>
                <w:sz w:val="21"/>
                <w:highlight w:val="none"/>
              </w:rPr>
            </w:pPr>
            <w:r>
              <w:rPr>
                <w:rFonts w:hint="eastAsia"/>
                <w:color w:val="auto"/>
                <w:sz w:val="21"/>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pPr>
              <w:pStyle w:val="33"/>
              <w:tabs>
                <w:tab w:val="left" w:pos="878"/>
              </w:tabs>
              <w:adjustRightInd w:val="0"/>
              <w:snapToGrid w:val="0"/>
              <w:spacing w:line="360" w:lineRule="auto"/>
              <w:jc w:val="center"/>
              <w:rPr>
                <w:color w:val="auto"/>
                <w:sz w:val="21"/>
                <w:highlight w:val="none"/>
              </w:rPr>
            </w:pPr>
            <w:r>
              <w:rPr>
                <w:rFonts w:hint="eastAsia"/>
                <w:color w:val="auto"/>
                <w:sz w:val="21"/>
                <w:highlight w:val="none"/>
              </w:rPr>
              <w:t>时</w:t>
            </w:r>
            <w:r>
              <w:rPr>
                <w:rFonts w:hint="eastAsia"/>
                <w:color w:val="auto"/>
                <w:sz w:val="21"/>
                <w:highlight w:val="none"/>
              </w:rPr>
              <w:tab/>
            </w:r>
            <w:r>
              <w:rPr>
                <w:rFonts w:hint="eastAsia"/>
                <w:color w:val="auto"/>
                <w:sz w:val="21"/>
                <w:highlight w:val="none"/>
              </w:rPr>
              <w:t>间</w:t>
            </w:r>
          </w:p>
        </w:tc>
        <w:tc>
          <w:tcPr>
            <w:tcW w:w="3612" w:type="dxa"/>
            <w:gridSpan w:val="4"/>
            <w:vAlign w:val="center"/>
          </w:tcPr>
          <w:p>
            <w:pPr>
              <w:pStyle w:val="33"/>
              <w:adjustRightInd w:val="0"/>
              <w:snapToGrid w:val="0"/>
              <w:spacing w:line="360" w:lineRule="auto"/>
              <w:jc w:val="center"/>
              <w:rPr>
                <w:color w:val="auto"/>
                <w:sz w:val="21"/>
                <w:highlight w:val="none"/>
              </w:rPr>
            </w:pPr>
            <w:r>
              <w:rPr>
                <w:rFonts w:hint="eastAsia"/>
                <w:color w:val="auto"/>
                <w:sz w:val="21"/>
                <w:highlight w:val="none"/>
              </w:rPr>
              <w:t>参加过的类似项目</w:t>
            </w:r>
          </w:p>
        </w:tc>
        <w:tc>
          <w:tcPr>
            <w:tcW w:w="1331" w:type="dxa"/>
            <w:vAlign w:val="center"/>
          </w:tcPr>
          <w:p>
            <w:pPr>
              <w:pStyle w:val="33"/>
              <w:adjustRightInd w:val="0"/>
              <w:snapToGrid w:val="0"/>
              <w:spacing w:line="360" w:lineRule="auto"/>
              <w:jc w:val="center"/>
              <w:rPr>
                <w:color w:val="auto"/>
                <w:sz w:val="21"/>
                <w:highlight w:val="none"/>
              </w:rPr>
            </w:pPr>
            <w:r>
              <w:rPr>
                <w:rFonts w:hint="eastAsia"/>
                <w:color w:val="auto"/>
                <w:sz w:val="21"/>
                <w:highlight w:val="none"/>
              </w:rPr>
              <w:t>担任职务</w:t>
            </w:r>
          </w:p>
        </w:tc>
        <w:tc>
          <w:tcPr>
            <w:tcW w:w="2427" w:type="dxa"/>
            <w:gridSpan w:val="2"/>
            <w:vAlign w:val="center"/>
          </w:tcPr>
          <w:p>
            <w:pPr>
              <w:pStyle w:val="33"/>
              <w:adjustRightInd w:val="0"/>
              <w:snapToGrid w:val="0"/>
              <w:spacing w:line="360" w:lineRule="auto"/>
              <w:jc w:val="center"/>
              <w:rPr>
                <w:color w:val="auto"/>
                <w:sz w:val="21"/>
                <w:highlight w:val="none"/>
              </w:rPr>
            </w:pPr>
            <w:r>
              <w:rPr>
                <w:rFonts w:hint="eastAsia"/>
                <w:color w:val="auto"/>
                <w:sz w:val="21"/>
                <w:highlight w:val="no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pPr>
              <w:pStyle w:val="33"/>
              <w:spacing w:line="360" w:lineRule="auto"/>
              <w:rPr>
                <w:color w:val="auto"/>
                <w:sz w:val="20"/>
                <w:highlight w:val="none"/>
              </w:rPr>
            </w:pPr>
          </w:p>
        </w:tc>
        <w:tc>
          <w:tcPr>
            <w:tcW w:w="3612" w:type="dxa"/>
            <w:gridSpan w:val="4"/>
          </w:tcPr>
          <w:p>
            <w:pPr>
              <w:pStyle w:val="33"/>
              <w:spacing w:line="360" w:lineRule="auto"/>
              <w:rPr>
                <w:color w:val="auto"/>
                <w:sz w:val="20"/>
                <w:highlight w:val="none"/>
              </w:rPr>
            </w:pPr>
          </w:p>
        </w:tc>
        <w:tc>
          <w:tcPr>
            <w:tcW w:w="1331" w:type="dxa"/>
          </w:tcPr>
          <w:p>
            <w:pPr>
              <w:pStyle w:val="33"/>
              <w:spacing w:line="360" w:lineRule="auto"/>
              <w:rPr>
                <w:color w:val="auto"/>
                <w:sz w:val="20"/>
                <w:highlight w:val="none"/>
              </w:rPr>
            </w:pPr>
          </w:p>
        </w:tc>
        <w:tc>
          <w:tcPr>
            <w:tcW w:w="2427"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pPr>
              <w:pStyle w:val="33"/>
              <w:spacing w:line="360" w:lineRule="auto"/>
              <w:rPr>
                <w:color w:val="auto"/>
                <w:sz w:val="20"/>
                <w:highlight w:val="none"/>
              </w:rPr>
            </w:pPr>
          </w:p>
        </w:tc>
        <w:tc>
          <w:tcPr>
            <w:tcW w:w="3612" w:type="dxa"/>
            <w:gridSpan w:val="4"/>
          </w:tcPr>
          <w:p>
            <w:pPr>
              <w:pStyle w:val="33"/>
              <w:spacing w:line="360" w:lineRule="auto"/>
              <w:rPr>
                <w:color w:val="auto"/>
                <w:sz w:val="20"/>
                <w:highlight w:val="none"/>
              </w:rPr>
            </w:pPr>
          </w:p>
        </w:tc>
        <w:tc>
          <w:tcPr>
            <w:tcW w:w="1331" w:type="dxa"/>
          </w:tcPr>
          <w:p>
            <w:pPr>
              <w:pStyle w:val="33"/>
              <w:spacing w:line="360" w:lineRule="auto"/>
              <w:rPr>
                <w:color w:val="auto"/>
                <w:sz w:val="20"/>
                <w:highlight w:val="none"/>
              </w:rPr>
            </w:pPr>
          </w:p>
        </w:tc>
        <w:tc>
          <w:tcPr>
            <w:tcW w:w="2427"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33"/>
              <w:spacing w:line="360" w:lineRule="auto"/>
              <w:rPr>
                <w:color w:val="auto"/>
                <w:sz w:val="20"/>
                <w:highlight w:val="none"/>
              </w:rPr>
            </w:pPr>
          </w:p>
        </w:tc>
        <w:tc>
          <w:tcPr>
            <w:tcW w:w="3612" w:type="dxa"/>
            <w:gridSpan w:val="4"/>
          </w:tcPr>
          <w:p>
            <w:pPr>
              <w:pStyle w:val="33"/>
              <w:spacing w:line="360" w:lineRule="auto"/>
              <w:rPr>
                <w:color w:val="auto"/>
                <w:sz w:val="20"/>
                <w:highlight w:val="none"/>
              </w:rPr>
            </w:pPr>
          </w:p>
        </w:tc>
        <w:tc>
          <w:tcPr>
            <w:tcW w:w="1331" w:type="dxa"/>
          </w:tcPr>
          <w:p>
            <w:pPr>
              <w:pStyle w:val="33"/>
              <w:spacing w:line="360" w:lineRule="auto"/>
              <w:rPr>
                <w:color w:val="auto"/>
                <w:sz w:val="20"/>
                <w:highlight w:val="none"/>
              </w:rPr>
            </w:pPr>
          </w:p>
        </w:tc>
        <w:tc>
          <w:tcPr>
            <w:tcW w:w="2427"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33"/>
              <w:spacing w:line="360" w:lineRule="auto"/>
              <w:rPr>
                <w:color w:val="auto"/>
                <w:sz w:val="20"/>
                <w:highlight w:val="none"/>
              </w:rPr>
            </w:pPr>
          </w:p>
        </w:tc>
        <w:tc>
          <w:tcPr>
            <w:tcW w:w="3612" w:type="dxa"/>
            <w:gridSpan w:val="4"/>
          </w:tcPr>
          <w:p>
            <w:pPr>
              <w:pStyle w:val="33"/>
              <w:spacing w:line="360" w:lineRule="auto"/>
              <w:rPr>
                <w:color w:val="auto"/>
                <w:sz w:val="20"/>
                <w:highlight w:val="none"/>
              </w:rPr>
            </w:pPr>
          </w:p>
        </w:tc>
        <w:tc>
          <w:tcPr>
            <w:tcW w:w="1331" w:type="dxa"/>
          </w:tcPr>
          <w:p>
            <w:pPr>
              <w:pStyle w:val="33"/>
              <w:spacing w:line="360" w:lineRule="auto"/>
              <w:rPr>
                <w:color w:val="auto"/>
                <w:sz w:val="20"/>
                <w:highlight w:val="none"/>
              </w:rPr>
            </w:pPr>
          </w:p>
        </w:tc>
        <w:tc>
          <w:tcPr>
            <w:tcW w:w="2427"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9" w:type="dxa"/>
            <w:gridSpan w:val="2"/>
          </w:tcPr>
          <w:p>
            <w:pPr>
              <w:pStyle w:val="33"/>
              <w:spacing w:line="360" w:lineRule="auto"/>
              <w:rPr>
                <w:color w:val="auto"/>
                <w:sz w:val="20"/>
                <w:highlight w:val="none"/>
              </w:rPr>
            </w:pPr>
          </w:p>
        </w:tc>
        <w:tc>
          <w:tcPr>
            <w:tcW w:w="3612" w:type="dxa"/>
            <w:gridSpan w:val="4"/>
          </w:tcPr>
          <w:p>
            <w:pPr>
              <w:pStyle w:val="33"/>
              <w:spacing w:line="360" w:lineRule="auto"/>
              <w:rPr>
                <w:color w:val="auto"/>
                <w:sz w:val="20"/>
                <w:highlight w:val="none"/>
              </w:rPr>
            </w:pPr>
          </w:p>
        </w:tc>
        <w:tc>
          <w:tcPr>
            <w:tcW w:w="1331" w:type="dxa"/>
          </w:tcPr>
          <w:p>
            <w:pPr>
              <w:pStyle w:val="33"/>
              <w:spacing w:line="360" w:lineRule="auto"/>
              <w:rPr>
                <w:color w:val="auto"/>
                <w:sz w:val="20"/>
                <w:highlight w:val="none"/>
              </w:rPr>
            </w:pPr>
          </w:p>
        </w:tc>
        <w:tc>
          <w:tcPr>
            <w:tcW w:w="2427"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33"/>
              <w:spacing w:line="360" w:lineRule="auto"/>
              <w:rPr>
                <w:color w:val="auto"/>
                <w:sz w:val="20"/>
                <w:highlight w:val="none"/>
              </w:rPr>
            </w:pPr>
          </w:p>
        </w:tc>
        <w:tc>
          <w:tcPr>
            <w:tcW w:w="3612" w:type="dxa"/>
            <w:gridSpan w:val="4"/>
          </w:tcPr>
          <w:p>
            <w:pPr>
              <w:pStyle w:val="33"/>
              <w:spacing w:line="360" w:lineRule="auto"/>
              <w:rPr>
                <w:color w:val="auto"/>
                <w:sz w:val="20"/>
                <w:highlight w:val="none"/>
              </w:rPr>
            </w:pPr>
          </w:p>
        </w:tc>
        <w:tc>
          <w:tcPr>
            <w:tcW w:w="1331" w:type="dxa"/>
          </w:tcPr>
          <w:p>
            <w:pPr>
              <w:pStyle w:val="33"/>
              <w:spacing w:line="360" w:lineRule="auto"/>
              <w:rPr>
                <w:color w:val="auto"/>
                <w:sz w:val="20"/>
                <w:highlight w:val="none"/>
              </w:rPr>
            </w:pPr>
          </w:p>
        </w:tc>
        <w:tc>
          <w:tcPr>
            <w:tcW w:w="2427" w:type="dxa"/>
            <w:gridSpan w:val="2"/>
          </w:tcPr>
          <w:p>
            <w:pPr>
              <w:pStyle w:val="33"/>
              <w:spacing w:line="360" w:lineRule="auto"/>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33"/>
              <w:spacing w:line="360" w:lineRule="auto"/>
              <w:rPr>
                <w:color w:val="auto"/>
                <w:sz w:val="20"/>
                <w:highlight w:val="none"/>
              </w:rPr>
            </w:pPr>
          </w:p>
        </w:tc>
        <w:tc>
          <w:tcPr>
            <w:tcW w:w="3612" w:type="dxa"/>
            <w:gridSpan w:val="4"/>
          </w:tcPr>
          <w:p>
            <w:pPr>
              <w:pStyle w:val="33"/>
              <w:spacing w:line="360" w:lineRule="auto"/>
              <w:rPr>
                <w:color w:val="auto"/>
                <w:sz w:val="20"/>
                <w:highlight w:val="none"/>
              </w:rPr>
            </w:pPr>
          </w:p>
        </w:tc>
        <w:tc>
          <w:tcPr>
            <w:tcW w:w="1331" w:type="dxa"/>
          </w:tcPr>
          <w:p>
            <w:pPr>
              <w:pStyle w:val="33"/>
              <w:spacing w:line="360" w:lineRule="auto"/>
              <w:rPr>
                <w:color w:val="auto"/>
                <w:sz w:val="20"/>
                <w:highlight w:val="none"/>
              </w:rPr>
            </w:pPr>
          </w:p>
        </w:tc>
        <w:tc>
          <w:tcPr>
            <w:tcW w:w="2427" w:type="dxa"/>
            <w:gridSpan w:val="2"/>
          </w:tcPr>
          <w:p>
            <w:pPr>
              <w:pStyle w:val="33"/>
              <w:spacing w:line="360" w:lineRule="auto"/>
              <w:rPr>
                <w:color w:val="auto"/>
                <w:sz w:val="20"/>
                <w:highlight w:val="none"/>
              </w:rPr>
            </w:pPr>
          </w:p>
        </w:tc>
      </w:tr>
    </w:tbl>
    <w:p>
      <w:pPr>
        <w:spacing w:line="360" w:lineRule="auto"/>
        <w:rPr>
          <w:color w:val="auto"/>
          <w:highlight w:val="none"/>
        </w:rPr>
        <w:sectPr>
          <w:pgSz w:w="11906" w:h="16838"/>
          <w:pgMar w:top="1400" w:right="1100" w:bottom="1120" w:left="1560" w:header="0" w:footer="841" w:gutter="0"/>
          <w:cols w:space="720" w:num="1"/>
        </w:sectPr>
      </w:pPr>
      <w:r>
        <w:rPr>
          <w:rFonts w:hint="eastAsia"/>
          <w:color w:val="auto"/>
          <w:highlight w:val="none"/>
          <w:u w:val="single"/>
        </w:rPr>
        <w:t>注：表后需附相关证明材料原件清晰扫描件并加盖单位电子印章，具体要求详见招标文件第三章评标办法（综合评估法）。</w:t>
      </w:r>
    </w:p>
    <w:p>
      <w:pPr>
        <w:spacing w:line="360" w:lineRule="auto"/>
        <w:ind w:right="456"/>
        <w:jc w:val="center"/>
        <w:outlineLvl w:val="1"/>
        <w:rPr>
          <w:color w:val="auto"/>
          <w:sz w:val="28"/>
          <w:highlight w:val="none"/>
        </w:rPr>
      </w:pPr>
      <w:bookmarkStart w:id="60" w:name="_bookmark192"/>
      <w:bookmarkEnd w:id="60"/>
      <w:r>
        <w:rPr>
          <w:rFonts w:hint="eastAsia"/>
          <w:b/>
          <w:color w:val="auto"/>
          <w:sz w:val="32"/>
          <w:highlight w:val="none"/>
        </w:rPr>
        <w:t>九、拟投入的试验检测仪器设备汇总表（格式可自拟）</w:t>
      </w:r>
    </w:p>
    <w:tbl>
      <w:tblPr>
        <w:tblStyle w:val="24"/>
        <w:tblpPr w:leftFromText="180" w:rightFromText="180" w:vertAnchor="text" w:horzAnchor="page" w:tblpX="1799" w:tblpY="3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369"/>
        <w:gridCol w:w="1006"/>
        <w:gridCol w:w="802"/>
        <w:gridCol w:w="912"/>
        <w:gridCol w:w="1067"/>
        <w:gridCol w:w="1522"/>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83" w:type="dxa"/>
            <w:vAlign w:val="center"/>
          </w:tcPr>
          <w:p>
            <w:pPr>
              <w:pStyle w:val="33"/>
              <w:spacing w:before="133" w:line="360" w:lineRule="auto"/>
              <w:ind w:left="107"/>
              <w:jc w:val="center"/>
              <w:rPr>
                <w:color w:val="auto"/>
                <w:sz w:val="21"/>
                <w:highlight w:val="none"/>
              </w:rPr>
            </w:pPr>
            <w:r>
              <w:rPr>
                <w:rFonts w:hint="eastAsia"/>
                <w:color w:val="auto"/>
                <w:sz w:val="21"/>
                <w:highlight w:val="none"/>
              </w:rPr>
              <w:t>序号</w:t>
            </w:r>
          </w:p>
        </w:tc>
        <w:tc>
          <w:tcPr>
            <w:tcW w:w="1369" w:type="dxa"/>
            <w:tcBorders>
              <w:right w:val="single" w:color="000000" w:sz="6" w:space="0"/>
            </w:tcBorders>
            <w:vAlign w:val="center"/>
          </w:tcPr>
          <w:p>
            <w:pPr>
              <w:pStyle w:val="33"/>
              <w:spacing w:before="27" w:line="360" w:lineRule="auto"/>
              <w:ind w:left="426" w:right="202" w:hanging="212"/>
              <w:jc w:val="center"/>
              <w:rPr>
                <w:color w:val="auto"/>
                <w:sz w:val="21"/>
                <w:highlight w:val="none"/>
              </w:rPr>
            </w:pPr>
            <w:r>
              <w:rPr>
                <w:rFonts w:hint="eastAsia"/>
                <w:color w:val="auto"/>
                <w:sz w:val="21"/>
                <w:highlight w:val="none"/>
              </w:rPr>
              <w:t>仪器设备名称</w:t>
            </w:r>
          </w:p>
        </w:tc>
        <w:tc>
          <w:tcPr>
            <w:tcW w:w="1006" w:type="dxa"/>
            <w:tcBorders>
              <w:left w:val="single" w:color="000000" w:sz="6" w:space="0"/>
            </w:tcBorders>
            <w:vAlign w:val="center"/>
          </w:tcPr>
          <w:p>
            <w:pPr>
              <w:pStyle w:val="33"/>
              <w:spacing w:before="27" w:line="360" w:lineRule="auto"/>
              <w:ind w:left="253" w:right="246"/>
              <w:jc w:val="center"/>
              <w:rPr>
                <w:color w:val="auto"/>
                <w:sz w:val="21"/>
                <w:highlight w:val="none"/>
              </w:rPr>
            </w:pPr>
            <w:r>
              <w:rPr>
                <w:rFonts w:hint="eastAsia"/>
                <w:color w:val="auto"/>
                <w:sz w:val="21"/>
                <w:highlight w:val="none"/>
              </w:rPr>
              <w:t>型号规格</w:t>
            </w:r>
          </w:p>
        </w:tc>
        <w:tc>
          <w:tcPr>
            <w:tcW w:w="802" w:type="dxa"/>
            <w:vAlign w:val="center"/>
          </w:tcPr>
          <w:p>
            <w:pPr>
              <w:pStyle w:val="33"/>
              <w:spacing w:before="133" w:line="360" w:lineRule="auto"/>
              <w:ind w:left="161"/>
              <w:jc w:val="center"/>
              <w:rPr>
                <w:color w:val="auto"/>
                <w:sz w:val="21"/>
                <w:highlight w:val="none"/>
              </w:rPr>
            </w:pPr>
            <w:r>
              <w:rPr>
                <w:rFonts w:hint="eastAsia"/>
                <w:color w:val="auto"/>
                <w:sz w:val="21"/>
                <w:highlight w:val="none"/>
              </w:rPr>
              <w:t>数量</w:t>
            </w:r>
          </w:p>
        </w:tc>
        <w:tc>
          <w:tcPr>
            <w:tcW w:w="912" w:type="dxa"/>
            <w:vAlign w:val="center"/>
          </w:tcPr>
          <w:p>
            <w:pPr>
              <w:pStyle w:val="33"/>
              <w:spacing w:before="27" w:line="360" w:lineRule="auto"/>
              <w:ind w:left="211" w:right="204"/>
              <w:jc w:val="center"/>
              <w:rPr>
                <w:color w:val="auto"/>
                <w:sz w:val="21"/>
                <w:highlight w:val="none"/>
              </w:rPr>
            </w:pPr>
            <w:r>
              <w:rPr>
                <w:rFonts w:hint="eastAsia"/>
                <w:color w:val="auto"/>
                <w:sz w:val="21"/>
                <w:highlight w:val="none"/>
              </w:rPr>
              <w:t>国别产地</w:t>
            </w:r>
          </w:p>
        </w:tc>
        <w:tc>
          <w:tcPr>
            <w:tcW w:w="1067" w:type="dxa"/>
            <w:vAlign w:val="center"/>
          </w:tcPr>
          <w:p>
            <w:pPr>
              <w:pStyle w:val="33"/>
              <w:spacing w:before="27" w:line="360" w:lineRule="auto"/>
              <w:ind w:left="283" w:right="276"/>
              <w:jc w:val="center"/>
              <w:rPr>
                <w:color w:val="auto"/>
                <w:sz w:val="21"/>
                <w:highlight w:val="none"/>
              </w:rPr>
            </w:pPr>
            <w:r>
              <w:rPr>
                <w:rFonts w:hint="eastAsia"/>
                <w:color w:val="auto"/>
                <w:sz w:val="21"/>
                <w:highlight w:val="none"/>
              </w:rPr>
              <w:t>制造年份</w:t>
            </w:r>
          </w:p>
        </w:tc>
        <w:tc>
          <w:tcPr>
            <w:tcW w:w="1522" w:type="dxa"/>
            <w:vAlign w:val="center"/>
          </w:tcPr>
          <w:p>
            <w:pPr>
              <w:pStyle w:val="33"/>
              <w:spacing w:before="133" w:line="360" w:lineRule="auto"/>
              <w:ind w:left="477" w:right="470"/>
              <w:jc w:val="center"/>
              <w:rPr>
                <w:color w:val="auto"/>
                <w:sz w:val="21"/>
                <w:highlight w:val="none"/>
              </w:rPr>
            </w:pPr>
            <w:r>
              <w:rPr>
                <w:rFonts w:hint="eastAsia"/>
                <w:color w:val="auto"/>
                <w:sz w:val="21"/>
                <w:highlight w:val="none"/>
              </w:rPr>
              <w:t>用途</w:t>
            </w:r>
          </w:p>
        </w:tc>
        <w:tc>
          <w:tcPr>
            <w:tcW w:w="1247" w:type="dxa"/>
            <w:vAlign w:val="center"/>
          </w:tcPr>
          <w:p>
            <w:pPr>
              <w:pStyle w:val="33"/>
              <w:spacing w:before="133" w:line="360" w:lineRule="auto"/>
              <w:ind w:left="367"/>
              <w:rPr>
                <w:color w:val="auto"/>
                <w:sz w:val="21"/>
                <w:highlight w:val="none"/>
              </w:rPr>
            </w:pPr>
            <w:r>
              <w:rPr>
                <w:rFonts w:hint="eastAsia"/>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83" w:type="dxa"/>
          </w:tcPr>
          <w:p>
            <w:pPr>
              <w:pStyle w:val="33"/>
              <w:spacing w:line="360" w:lineRule="auto"/>
              <w:rPr>
                <w:color w:val="auto"/>
                <w:sz w:val="24"/>
                <w:highlight w:val="none"/>
              </w:rPr>
            </w:pPr>
          </w:p>
        </w:tc>
        <w:tc>
          <w:tcPr>
            <w:tcW w:w="1369" w:type="dxa"/>
            <w:tcBorders>
              <w:right w:val="single" w:color="000000" w:sz="6" w:space="0"/>
            </w:tcBorders>
          </w:tcPr>
          <w:p>
            <w:pPr>
              <w:pStyle w:val="33"/>
              <w:spacing w:line="360" w:lineRule="auto"/>
              <w:rPr>
                <w:color w:val="auto"/>
                <w:sz w:val="24"/>
                <w:highlight w:val="none"/>
              </w:rPr>
            </w:pPr>
          </w:p>
        </w:tc>
        <w:tc>
          <w:tcPr>
            <w:tcW w:w="1006" w:type="dxa"/>
            <w:tcBorders>
              <w:left w:val="single" w:color="000000" w:sz="6" w:space="0"/>
            </w:tcBorders>
          </w:tcPr>
          <w:p>
            <w:pPr>
              <w:pStyle w:val="33"/>
              <w:spacing w:line="360" w:lineRule="auto"/>
              <w:rPr>
                <w:color w:val="auto"/>
                <w:sz w:val="24"/>
                <w:highlight w:val="none"/>
              </w:rPr>
            </w:pPr>
          </w:p>
        </w:tc>
        <w:tc>
          <w:tcPr>
            <w:tcW w:w="802" w:type="dxa"/>
          </w:tcPr>
          <w:p>
            <w:pPr>
              <w:pStyle w:val="33"/>
              <w:spacing w:line="360" w:lineRule="auto"/>
              <w:rPr>
                <w:color w:val="auto"/>
                <w:sz w:val="24"/>
                <w:highlight w:val="none"/>
              </w:rPr>
            </w:pPr>
          </w:p>
        </w:tc>
        <w:tc>
          <w:tcPr>
            <w:tcW w:w="912" w:type="dxa"/>
          </w:tcPr>
          <w:p>
            <w:pPr>
              <w:pStyle w:val="33"/>
              <w:spacing w:line="360" w:lineRule="auto"/>
              <w:rPr>
                <w:color w:val="auto"/>
                <w:sz w:val="24"/>
                <w:highlight w:val="none"/>
              </w:rPr>
            </w:pPr>
          </w:p>
        </w:tc>
        <w:tc>
          <w:tcPr>
            <w:tcW w:w="1067" w:type="dxa"/>
          </w:tcPr>
          <w:p>
            <w:pPr>
              <w:pStyle w:val="33"/>
              <w:spacing w:line="360" w:lineRule="auto"/>
              <w:rPr>
                <w:color w:val="auto"/>
                <w:sz w:val="24"/>
                <w:highlight w:val="none"/>
              </w:rPr>
            </w:pPr>
          </w:p>
        </w:tc>
        <w:tc>
          <w:tcPr>
            <w:tcW w:w="1522" w:type="dxa"/>
          </w:tcPr>
          <w:p>
            <w:pPr>
              <w:pStyle w:val="33"/>
              <w:spacing w:line="360" w:lineRule="auto"/>
              <w:rPr>
                <w:color w:val="auto"/>
                <w:sz w:val="24"/>
                <w:highlight w:val="none"/>
              </w:rPr>
            </w:pPr>
          </w:p>
        </w:tc>
        <w:tc>
          <w:tcPr>
            <w:tcW w:w="1247" w:type="dxa"/>
          </w:tcPr>
          <w:p>
            <w:pPr>
              <w:pStyle w:val="33"/>
              <w:spacing w:line="360" w:lineRule="auto"/>
              <w:rPr>
                <w:color w:val="auto"/>
                <w:sz w:val="24"/>
                <w:highlight w:val="none"/>
              </w:rPr>
            </w:pPr>
          </w:p>
        </w:tc>
      </w:tr>
    </w:tbl>
    <w:p>
      <w:pPr>
        <w:pStyle w:val="10"/>
        <w:spacing w:before="9" w:line="360" w:lineRule="auto"/>
        <w:rPr>
          <w:color w:val="auto"/>
          <w:sz w:val="20"/>
          <w:highlight w:val="none"/>
        </w:rPr>
      </w:pPr>
    </w:p>
    <w:p>
      <w:pPr>
        <w:ind w:firstLine="440" w:firstLineChars="200"/>
        <w:rPr>
          <w:rFonts w:ascii="Times New Roman" w:hAnsi="Times New Roman"/>
          <w:color w:val="auto"/>
          <w:szCs w:val="21"/>
          <w:highlight w:val="none"/>
        </w:rPr>
      </w:pPr>
      <w:r>
        <w:rPr>
          <w:color w:val="auto"/>
          <w:highlight w:val="none"/>
        </w:rPr>
        <w:t>注：</w:t>
      </w:r>
      <w:r>
        <w:rPr>
          <w:rFonts w:hint="eastAsia"/>
          <w:color w:val="auto"/>
          <w:highlight w:val="none"/>
        </w:rPr>
        <w:t>本项不作为资审内容。投标人根据“</w:t>
      </w:r>
      <w:r>
        <w:rPr>
          <w:rFonts w:hint="eastAsia"/>
          <w:color w:val="auto"/>
          <w:szCs w:val="21"/>
          <w:highlight w:val="none"/>
        </w:rPr>
        <w:t>第五章委托人要求</w:t>
      </w:r>
      <w:r>
        <w:rPr>
          <w:rFonts w:hint="eastAsia"/>
          <w:color w:val="auto"/>
          <w:highlight w:val="none"/>
        </w:rPr>
        <w:t>”</w:t>
      </w:r>
      <w:r>
        <w:rPr>
          <w:rFonts w:hint="eastAsia"/>
          <w:color w:val="auto"/>
          <w:szCs w:val="21"/>
          <w:highlight w:val="none"/>
        </w:rPr>
        <w:t>中的设备要求</w:t>
      </w:r>
      <w:r>
        <w:rPr>
          <w:rFonts w:hint="eastAsia"/>
          <w:color w:val="auto"/>
          <w:highlight w:val="none"/>
        </w:rPr>
        <w:t>提供</w:t>
      </w:r>
      <w:r>
        <w:rPr>
          <w:rFonts w:hint="eastAsia"/>
          <w:color w:val="auto"/>
          <w:szCs w:val="21"/>
          <w:highlight w:val="none"/>
        </w:rPr>
        <w:t>。</w:t>
      </w:r>
    </w:p>
    <w:p>
      <w:pPr>
        <w:spacing w:line="360" w:lineRule="auto"/>
        <w:rPr>
          <w:color w:val="auto"/>
          <w:sz w:val="24"/>
          <w:highlight w:val="none"/>
        </w:rPr>
        <w:sectPr>
          <w:pgSz w:w="11906" w:h="16838"/>
          <w:pgMar w:top="1400" w:right="1100" w:bottom="1120" w:left="1560" w:header="0" w:footer="841" w:gutter="0"/>
          <w:cols w:space="720" w:num="1"/>
        </w:sectPr>
      </w:pPr>
    </w:p>
    <w:p>
      <w:pPr>
        <w:spacing w:line="360" w:lineRule="auto"/>
        <w:ind w:right="456"/>
        <w:jc w:val="center"/>
        <w:outlineLvl w:val="1"/>
        <w:rPr>
          <w:b/>
          <w:color w:val="auto"/>
          <w:sz w:val="32"/>
          <w:highlight w:val="none"/>
        </w:rPr>
      </w:pPr>
      <w:bookmarkStart w:id="61" w:name="_bookmark193"/>
      <w:bookmarkEnd w:id="61"/>
      <w:r>
        <w:rPr>
          <w:rFonts w:hint="eastAsia"/>
          <w:b/>
          <w:color w:val="auto"/>
          <w:sz w:val="32"/>
          <w:highlight w:val="none"/>
        </w:rPr>
        <w:t>十、监理大纲</w:t>
      </w:r>
    </w:p>
    <w:p>
      <w:pPr>
        <w:pStyle w:val="10"/>
        <w:spacing w:before="229" w:line="360" w:lineRule="auto"/>
        <w:ind w:left="715" w:right="120"/>
        <w:rPr>
          <w:color w:val="auto"/>
          <w:highlight w:val="none"/>
        </w:rPr>
      </w:pPr>
      <w:r>
        <w:rPr>
          <w:rFonts w:hint="eastAsia"/>
          <w:color w:val="auto"/>
          <w:highlight w:val="none"/>
        </w:rPr>
        <w:t>监理大纲应包括（但不限于）下列内容</w:t>
      </w:r>
      <w:r>
        <w:rPr>
          <w:rFonts w:hint="eastAsia" w:ascii="Times New Roman" w:hAnsi="Times New Roman"/>
          <w:color w:val="auto"/>
          <w:highlight w:val="none"/>
        </w:rPr>
        <w:t>（投标单位可根据评分表自行增加或调整内容）</w:t>
      </w:r>
      <w:r>
        <w:rPr>
          <w:rFonts w:hint="eastAsia"/>
          <w:color w:val="auto"/>
          <w:highlight w:val="none"/>
        </w:rPr>
        <w:t xml:space="preserve">： </w:t>
      </w:r>
    </w:p>
    <w:p>
      <w:pPr>
        <w:pStyle w:val="10"/>
        <w:adjustRightInd w:val="0"/>
        <w:snapToGrid w:val="0"/>
        <w:spacing w:line="400" w:lineRule="exact"/>
        <w:ind w:left="440" w:leftChars="200"/>
        <w:rPr>
          <w:color w:val="auto"/>
          <w:highlight w:val="none"/>
        </w:rPr>
      </w:pPr>
      <w:r>
        <w:rPr>
          <w:rFonts w:hint="eastAsia"/>
          <w:color w:val="auto"/>
          <w:highlight w:val="none"/>
        </w:rPr>
        <w:t>一、监理工程概况；</w:t>
      </w:r>
    </w:p>
    <w:p>
      <w:pPr>
        <w:pStyle w:val="10"/>
        <w:adjustRightInd w:val="0"/>
        <w:snapToGrid w:val="0"/>
        <w:spacing w:line="400" w:lineRule="exact"/>
        <w:ind w:left="440" w:leftChars="200"/>
        <w:rPr>
          <w:color w:val="auto"/>
          <w:highlight w:val="none"/>
        </w:rPr>
      </w:pPr>
      <w:r>
        <w:rPr>
          <w:rFonts w:hint="eastAsia"/>
          <w:color w:val="auto"/>
          <w:highlight w:val="none"/>
        </w:rPr>
        <w:t>二、监理范围与内容、监理依据与工作目标；</w:t>
      </w:r>
    </w:p>
    <w:p>
      <w:pPr>
        <w:pStyle w:val="10"/>
        <w:adjustRightInd w:val="0"/>
        <w:snapToGrid w:val="0"/>
        <w:spacing w:line="400" w:lineRule="exact"/>
        <w:ind w:left="440" w:leftChars="200"/>
        <w:rPr>
          <w:color w:val="auto"/>
          <w:highlight w:val="none"/>
        </w:rPr>
      </w:pPr>
      <w:r>
        <w:rPr>
          <w:rFonts w:hint="eastAsia"/>
          <w:color w:val="auto"/>
          <w:highlight w:val="none"/>
        </w:rPr>
        <w:t>三、监理机构设置与岗位职责；</w:t>
      </w:r>
    </w:p>
    <w:p>
      <w:pPr>
        <w:pStyle w:val="10"/>
        <w:adjustRightInd w:val="0"/>
        <w:snapToGrid w:val="0"/>
        <w:spacing w:line="400" w:lineRule="exact"/>
        <w:ind w:left="440" w:leftChars="200"/>
        <w:rPr>
          <w:color w:val="auto"/>
          <w:spacing w:val="-4"/>
          <w:highlight w:val="none"/>
        </w:rPr>
      </w:pPr>
      <w:r>
        <w:rPr>
          <w:rFonts w:hint="eastAsia"/>
          <w:color w:val="auto"/>
          <w:spacing w:val="-3"/>
          <w:highlight w:val="none"/>
        </w:rPr>
        <w:t>四、</w:t>
      </w:r>
      <w:r>
        <w:rPr>
          <w:rFonts w:hint="eastAsia"/>
          <w:color w:val="auto"/>
          <w:highlight w:val="none"/>
        </w:rPr>
        <w:t>监理工作程序、方法和制度</w:t>
      </w:r>
      <w:r>
        <w:rPr>
          <w:rFonts w:hint="eastAsia"/>
          <w:color w:val="auto"/>
          <w:spacing w:val="-4"/>
          <w:highlight w:val="none"/>
        </w:rPr>
        <w:t>；</w:t>
      </w:r>
    </w:p>
    <w:p>
      <w:pPr>
        <w:pStyle w:val="10"/>
        <w:adjustRightInd w:val="0"/>
        <w:snapToGrid w:val="0"/>
        <w:spacing w:line="400" w:lineRule="exact"/>
        <w:ind w:left="440" w:leftChars="200"/>
        <w:rPr>
          <w:color w:val="auto"/>
          <w:highlight w:val="none"/>
        </w:rPr>
      </w:pPr>
      <w:r>
        <w:rPr>
          <w:rFonts w:hint="eastAsia"/>
          <w:color w:val="auto"/>
          <w:spacing w:val="-3"/>
          <w:highlight w:val="none"/>
        </w:rPr>
        <w:t>五、</w:t>
      </w:r>
      <w:r>
        <w:rPr>
          <w:rFonts w:hint="eastAsia"/>
          <w:color w:val="auto"/>
          <w:highlight w:val="none"/>
        </w:rPr>
        <w:t>质量控制措施</w:t>
      </w:r>
      <w:r>
        <w:rPr>
          <w:rFonts w:hint="eastAsia"/>
          <w:color w:val="auto"/>
          <w:spacing w:val="-3"/>
          <w:highlight w:val="none"/>
        </w:rPr>
        <w:t>；</w:t>
      </w:r>
    </w:p>
    <w:p>
      <w:pPr>
        <w:pStyle w:val="10"/>
        <w:adjustRightInd w:val="0"/>
        <w:snapToGrid w:val="0"/>
        <w:spacing w:line="400" w:lineRule="exact"/>
        <w:ind w:left="440" w:leftChars="200"/>
        <w:rPr>
          <w:color w:val="auto"/>
          <w:spacing w:val="-3"/>
          <w:highlight w:val="none"/>
        </w:rPr>
      </w:pPr>
      <w:r>
        <w:rPr>
          <w:rFonts w:hint="eastAsia"/>
          <w:color w:val="auto"/>
          <w:spacing w:val="-3"/>
          <w:highlight w:val="none"/>
        </w:rPr>
        <w:t>六、</w:t>
      </w:r>
      <w:r>
        <w:rPr>
          <w:rFonts w:hint="eastAsia"/>
          <w:color w:val="auto"/>
          <w:highlight w:val="none"/>
        </w:rPr>
        <w:t>进度控制措施</w:t>
      </w:r>
      <w:r>
        <w:rPr>
          <w:rFonts w:hint="eastAsia"/>
          <w:color w:val="auto"/>
          <w:spacing w:val="-3"/>
          <w:highlight w:val="none"/>
        </w:rPr>
        <w:t xml:space="preserve">； </w:t>
      </w:r>
    </w:p>
    <w:p>
      <w:pPr>
        <w:pStyle w:val="10"/>
        <w:adjustRightInd w:val="0"/>
        <w:snapToGrid w:val="0"/>
        <w:spacing w:line="400" w:lineRule="exact"/>
        <w:ind w:left="440" w:leftChars="200"/>
        <w:rPr>
          <w:color w:val="auto"/>
          <w:spacing w:val="-4"/>
          <w:highlight w:val="none"/>
        </w:rPr>
      </w:pPr>
      <w:r>
        <w:rPr>
          <w:rFonts w:hint="eastAsia"/>
          <w:color w:val="auto"/>
          <w:spacing w:val="-4"/>
          <w:highlight w:val="none"/>
        </w:rPr>
        <w:t>七、</w:t>
      </w:r>
      <w:r>
        <w:rPr>
          <w:rFonts w:hint="eastAsia"/>
          <w:color w:val="auto"/>
          <w:highlight w:val="none"/>
        </w:rPr>
        <w:t>造价控制措施</w:t>
      </w:r>
      <w:r>
        <w:rPr>
          <w:rFonts w:hint="eastAsia"/>
          <w:color w:val="auto"/>
          <w:spacing w:val="-4"/>
          <w:highlight w:val="none"/>
        </w:rPr>
        <w:t>；</w:t>
      </w:r>
    </w:p>
    <w:p>
      <w:pPr>
        <w:pStyle w:val="10"/>
        <w:adjustRightInd w:val="0"/>
        <w:snapToGrid w:val="0"/>
        <w:spacing w:line="400" w:lineRule="exact"/>
        <w:ind w:left="440" w:leftChars="200"/>
        <w:rPr>
          <w:color w:val="auto"/>
          <w:spacing w:val="-3"/>
          <w:highlight w:val="none"/>
        </w:rPr>
      </w:pPr>
      <w:r>
        <w:rPr>
          <w:rFonts w:hint="eastAsia"/>
          <w:color w:val="auto"/>
          <w:spacing w:val="-3"/>
          <w:highlight w:val="none"/>
        </w:rPr>
        <w:t>八、</w:t>
      </w:r>
      <w:r>
        <w:rPr>
          <w:rFonts w:hint="eastAsia"/>
          <w:color w:val="auto"/>
          <w:highlight w:val="none"/>
        </w:rPr>
        <w:t>安全、环保控制措施</w:t>
      </w:r>
      <w:r>
        <w:rPr>
          <w:rFonts w:hint="eastAsia"/>
          <w:color w:val="auto"/>
          <w:spacing w:val="-3"/>
          <w:highlight w:val="none"/>
        </w:rPr>
        <w:t>；</w:t>
      </w:r>
    </w:p>
    <w:p>
      <w:pPr>
        <w:pStyle w:val="10"/>
        <w:adjustRightInd w:val="0"/>
        <w:snapToGrid w:val="0"/>
        <w:spacing w:line="400" w:lineRule="exact"/>
        <w:ind w:left="440" w:leftChars="200"/>
        <w:rPr>
          <w:color w:val="auto"/>
          <w:spacing w:val="-3"/>
          <w:highlight w:val="none"/>
        </w:rPr>
      </w:pPr>
      <w:r>
        <w:rPr>
          <w:rFonts w:hint="eastAsia"/>
          <w:color w:val="auto"/>
          <w:spacing w:val="-3"/>
          <w:highlight w:val="none"/>
        </w:rPr>
        <w:t>九、</w:t>
      </w:r>
      <w:r>
        <w:rPr>
          <w:rFonts w:hint="eastAsia"/>
          <w:color w:val="auto"/>
          <w:highlight w:val="none"/>
        </w:rPr>
        <w:t>合同、信息管理方案</w:t>
      </w:r>
      <w:r>
        <w:rPr>
          <w:rFonts w:hint="eastAsia"/>
          <w:color w:val="auto"/>
          <w:spacing w:val="-3"/>
          <w:highlight w:val="none"/>
        </w:rPr>
        <w:t>；</w:t>
      </w:r>
    </w:p>
    <w:p>
      <w:pPr>
        <w:pStyle w:val="10"/>
        <w:adjustRightInd w:val="0"/>
        <w:snapToGrid w:val="0"/>
        <w:spacing w:line="400" w:lineRule="exact"/>
        <w:ind w:left="440" w:leftChars="200"/>
        <w:rPr>
          <w:color w:val="auto"/>
          <w:spacing w:val="-3"/>
          <w:highlight w:val="none"/>
        </w:rPr>
      </w:pPr>
      <w:r>
        <w:rPr>
          <w:rFonts w:hint="eastAsia"/>
          <w:color w:val="auto"/>
          <w:highlight w:val="none"/>
        </w:rPr>
        <w:t>十</w:t>
      </w:r>
      <w:r>
        <w:rPr>
          <w:rFonts w:hint="eastAsia"/>
          <w:color w:val="auto"/>
          <w:spacing w:val="-3"/>
          <w:highlight w:val="none"/>
        </w:rPr>
        <w:t>、</w:t>
      </w:r>
      <w:r>
        <w:rPr>
          <w:rFonts w:hint="eastAsia"/>
          <w:color w:val="auto"/>
          <w:highlight w:val="none"/>
        </w:rPr>
        <w:t>组织协调内容及措施</w:t>
      </w:r>
      <w:r>
        <w:rPr>
          <w:rFonts w:hint="eastAsia"/>
          <w:color w:val="auto"/>
          <w:spacing w:val="-3"/>
          <w:highlight w:val="none"/>
        </w:rPr>
        <w:t>；</w:t>
      </w:r>
    </w:p>
    <w:p>
      <w:pPr>
        <w:pStyle w:val="10"/>
        <w:adjustRightInd w:val="0"/>
        <w:snapToGrid w:val="0"/>
        <w:spacing w:line="400" w:lineRule="exact"/>
        <w:ind w:left="440" w:leftChars="200"/>
        <w:rPr>
          <w:color w:val="auto"/>
          <w:spacing w:val="-3"/>
          <w:highlight w:val="none"/>
        </w:rPr>
      </w:pPr>
      <w:r>
        <w:rPr>
          <w:rFonts w:hint="eastAsia"/>
          <w:color w:val="auto"/>
          <w:highlight w:val="none"/>
        </w:rPr>
        <w:t>十一</w:t>
      </w:r>
      <w:r>
        <w:rPr>
          <w:rFonts w:hint="eastAsia"/>
          <w:color w:val="auto"/>
          <w:spacing w:val="-3"/>
          <w:highlight w:val="none"/>
        </w:rPr>
        <w:t>、</w:t>
      </w:r>
      <w:r>
        <w:rPr>
          <w:rFonts w:hint="eastAsia"/>
          <w:color w:val="auto"/>
          <w:highlight w:val="none"/>
        </w:rPr>
        <w:t>重点难点监控措施</w:t>
      </w:r>
      <w:r>
        <w:rPr>
          <w:rFonts w:hint="eastAsia"/>
          <w:color w:val="auto"/>
          <w:spacing w:val="-3"/>
          <w:highlight w:val="none"/>
        </w:rPr>
        <w:t>；</w:t>
      </w:r>
    </w:p>
    <w:p>
      <w:pPr>
        <w:pStyle w:val="10"/>
        <w:adjustRightInd w:val="0"/>
        <w:snapToGrid w:val="0"/>
        <w:spacing w:line="400" w:lineRule="exact"/>
        <w:ind w:left="440" w:leftChars="200"/>
        <w:rPr>
          <w:color w:val="auto"/>
          <w:highlight w:val="none"/>
        </w:rPr>
      </w:pPr>
      <w:r>
        <w:rPr>
          <w:rFonts w:hint="eastAsia"/>
          <w:color w:val="auto"/>
          <w:highlight w:val="none"/>
          <w:lang w:val="en-US"/>
        </w:rPr>
        <w:t>十二、</w:t>
      </w:r>
      <w:r>
        <w:rPr>
          <w:rFonts w:hint="eastAsia"/>
          <w:color w:val="auto"/>
          <w:highlight w:val="none"/>
        </w:rPr>
        <w:t>合理化建议。</w:t>
      </w:r>
    </w:p>
    <w:p>
      <w:pPr>
        <w:pStyle w:val="10"/>
        <w:adjustRightInd w:val="0"/>
        <w:snapToGrid w:val="0"/>
        <w:spacing w:line="400" w:lineRule="exact"/>
        <w:ind w:left="440" w:leftChars="200"/>
        <w:rPr>
          <w:color w:val="auto"/>
          <w:spacing w:val="-3"/>
          <w:highlight w:val="none"/>
        </w:rPr>
      </w:pPr>
      <w:r>
        <w:rPr>
          <w:rFonts w:hint="eastAsia"/>
          <w:color w:val="auto"/>
          <w:highlight w:val="none"/>
        </w:rPr>
        <w:t>十三</w:t>
      </w:r>
      <w:r>
        <w:rPr>
          <w:rFonts w:hint="eastAsia"/>
          <w:color w:val="auto"/>
          <w:spacing w:val="-3"/>
          <w:highlight w:val="none"/>
        </w:rPr>
        <w:t>、</w:t>
      </w:r>
      <w:r>
        <w:rPr>
          <w:rFonts w:hint="eastAsia"/>
          <w:color w:val="auto"/>
          <w:highlight w:val="none"/>
        </w:rPr>
        <w:t>工程验收、移交、保修的管理</w:t>
      </w:r>
      <w:r>
        <w:rPr>
          <w:rFonts w:hint="eastAsia"/>
          <w:color w:val="auto"/>
          <w:spacing w:val="-3"/>
          <w:highlight w:val="none"/>
        </w:rPr>
        <w:t>；</w:t>
      </w:r>
    </w:p>
    <w:p>
      <w:pPr>
        <w:pStyle w:val="10"/>
        <w:adjustRightInd w:val="0"/>
        <w:snapToGrid w:val="0"/>
        <w:spacing w:line="400" w:lineRule="exact"/>
        <w:ind w:left="440" w:leftChars="200"/>
        <w:rPr>
          <w:color w:val="auto"/>
          <w:highlight w:val="none"/>
        </w:rPr>
      </w:pPr>
      <w:r>
        <w:rPr>
          <w:rFonts w:hint="eastAsia"/>
          <w:color w:val="auto"/>
          <w:highlight w:val="none"/>
        </w:rPr>
        <w:t>十四</w:t>
      </w:r>
      <w:r>
        <w:rPr>
          <w:rFonts w:hint="eastAsia"/>
          <w:color w:val="auto"/>
          <w:spacing w:val="-3"/>
          <w:highlight w:val="none"/>
        </w:rPr>
        <w:t>、</w:t>
      </w:r>
      <w:r>
        <w:rPr>
          <w:rFonts w:hint="eastAsia"/>
          <w:color w:val="auto"/>
          <w:highlight w:val="none"/>
        </w:rPr>
        <w:t>工程进度款、工程结算的管理。</w:t>
      </w:r>
    </w:p>
    <w:p>
      <w:pPr>
        <w:pStyle w:val="10"/>
        <w:adjustRightInd w:val="0"/>
        <w:snapToGrid w:val="0"/>
        <w:spacing w:line="400" w:lineRule="exact"/>
        <w:ind w:left="440" w:leftChars="200"/>
        <w:rPr>
          <w:color w:val="auto"/>
          <w:highlight w:val="none"/>
        </w:rPr>
      </w:pPr>
      <w:r>
        <w:rPr>
          <w:rFonts w:hint="eastAsia"/>
          <w:color w:val="auto"/>
          <w:highlight w:val="none"/>
        </w:rPr>
        <w:t>十五</w:t>
      </w:r>
      <w:r>
        <w:rPr>
          <w:rFonts w:hint="eastAsia"/>
          <w:color w:val="auto"/>
          <w:spacing w:val="-3"/>
          <w:highlight w:val="none"/>
        </w:rPr>
        <w:t>、</w:t>
      </w:r>
      <w:r>
        <w:rPr>
          <w:rFonts w:hint="eastAsia"/>
          <w:color w:val="auto"/>
          <w:highlight w:val="none"/>
        </w:rPr>
        <w:t>会议制度</w:t>
      </w:r>
      <w:r>
        <w:rPr>
          <w:rFonts w:hint="eastAsia"/>
          <w:color w:val="auto"/>
          <w:spacing w:val="-3"/>
          <w:highlight w:val="none"/>
        </w:rPr>
        <w:t>。</w:t>
      </w:r>
    </w:p>
    <w:p>
      <w:pPr>
        <w:tabs>
          <w:tab w:val="left" w:pos="923"/>
        </w:tabs>
        <w:rPr>
          <w:color w:val="auto"/>
          <w:highlight w:val="none"/>
          <w:lang w:val="en-US"/>
        </w:rPr>
        <w:sectPr>
          <w:pgSz w:w="11906" w:h="16838"/>
          <w:pgMar w:top="1400" w:right="1100" w:bottom="1120" w:left="1560" w:header="0" w:footer="841" w:gutter="0"/>
          <w:cols w:space="720" w:num="1"/>
        </w:sectPr>
      </w:pPr>
    </w:p>
    <w:p>
      <w:pPr>
        <w:spacing w:line="360" w:lineRule="auto"/>
        <w:ind w:right="456"/>
        <w:jc w:val="center"/>
        <w:outlineLvl w:val="1"/>
        <w:rPr>
          <w:b/>
          <w:color w:val="auto"/>
          <w:sz w:val="32"/>
          <w:highlight w:val="none"/>
        </w:rPr>
      </w:pPr>
      <w:bookmarkStart w:id="62" w:name="_bookmark194"/>
      <w:bookmarkEnd w:id="62"/>
      <w:r>
        <w:rPr>
          <w:rFonts w:hint="eastAsia"/>
          <w:b/>
          <w:color w:val="auto"/>
          <w:sz w:val="32"/>
          <w:highlight w:val="none"/>
        </w:rPr>
        <w:t>十</w:t>
      </w:r>
      <w:r>
        <w:rPr>
          <w:rFonts w:hint="eastAsia"/>
          <w:b/>
          <w:color w:val="auto"/>
          <w:sz w:val="32"/>
          <w:highlight w:val="none"/>
          <w:lang w:val="en-US"/>
        </w:rPr>
        <w:t>一</w:t>
      </w:r>
      <w:r>
        <w:rPr>
          <w:rFonts w:hint="eastAsia"/>
          <w:b/>
          <w:color w:val="auto"/>
          <w:sz w:val="32"/>
          <w:highlight w:val="none"/>
        </w:rPr>
        <w:t>、其他资料</w:t>
      </w:r>
    </w:p>
    <w:p>
      <w:pPr>
        <w:spacing w:line="360" w:lineRule="auto"/>
        <w:ind w:right="457"/>
        <w:rPr>
          <w:b/>
          <w:color w:val="auto"/>
          <w:sz w:val="32"/>
          <w:highlight w:val="none"/>
        </w:rPr>
      </w:pPr>
      <w:r>
        <w:rPr>
          <w:rFonts w:hint="eastAsia"/>
          <w:color w:val="auto"/>
          <w:highlight w:val="none"/>
          <w:lang w:val="en-US"/>
        </w:rPr>
        <w:t>注：</w:t>
      </w:r>
      <w:r>
        <w:rPr>
          <w:rFonts w:hint="eastAsia"/>
          <w:color w:val="auto"/>
          <w:highlight w:val="none"/>
        </w:rPr>
        <w:t>投标人须知前附表规定的其他资料</w:t>
      </w:r>
      <w:bookmarkStart w:id="63" w:name="_Hlk55898445"/>
      <w:r>
        <w:rPr>
          <w:rFonts w:hint="eastAsia"/>
          <w:color w:val="auto"/>
          <w:highlight w:val="none"/>
        </w:rPr>
        <w:t>、投标人根据招标文件第三章《评标办法》评审内容提供的其他相关资料</w:t>
      </w:r>
      <w:bookmarkEnd w:id="63"/>
      <w:r>
        <w:rPr>
          <w:rFonts w:hint="eastAsia"/>
          <w:color w:val="auto"/>
          <w:highlight w:val="none"/>
        </w:rPr>
        <w:t>、投标人认为有必要提交的其他资料，格式自定。</w:t>
      </w:r>
    </w:p>
    <w:p>
      <w:pPr>
        <w:rPr>
          <w:color w:val="auto"/>
          <w:highlight w:val="none"/>
        </w:rPr>
      </w:pPr>
    </w:p>
    <w:sectPr>
      <w:pgSz w:w="11906" w:h="16838"/>
      <w:pgMar w:top="1400" w:right="1100" w:bottom="1120" w:left="156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sz w:val="12"/>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mju8kBAACe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iaO7yQEAAJ4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sz w:val="12"/>
        <w:lang w:val="en-US" w:bidi="ar-SA"/>
      </w:rPr>
      <mc:AlternateContent>
        <mc:Choice Requires="wps">
          <w:drawing>
            <wp:anchor distT="0" distB="0" distL="114300" distR="114300" simplePos="0" relativeHeight="251660288" behindDoc="0" locked="0" layoutInCell="1" allowOverlap="1">
              <wp:simplePos x="0" y="0"/>
              <wp:positionH relativeFrom="margin">
                <wp:posOffset>3008630</wp:posOffset>
              </wp:positionH>
              <wp:positionV relativeFrom="paragraph">
                <wp:posOffset>-635</wp:posOffset>
              </wp:positionV>
              <wp:extent cx="349885" cy="19558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49857" cy="195663"/>
                      </a:xfrm>
                      <a:prstGeom prst="rect">
                        <a:avLst/>
                      </a:prstGeom>
                      <a:noFill/>
                      <a:ln>
                        <a:noFill/>
                      </a:ln>
                      <a:effectLst/>
                    </wps:spPr>
                    <wps:txbx>
                      <w:txbxContent>
                        <w:p>
                          <w:pPr>
                            <w:pStyle w:val="16"/>
                          </w:pPr>
                          <w:r>
                            <w:fldChar w:fldCharType="begin"/>
                          </w:r>
                          <w:r>
                            <w:instrText xml:space="preserve"> PAGE  \* MERGEFORMAT </w:instrText>
                          </w:r>
                          <w:r>
                            <w:fldChar w:fldCharType="separate"/>
                          </w:r>
                          <w:r>
                            <w:t>2</w:t>
                          </w:r>
                          <w:r>
                            <w:fldChar w:fldCharType="end"/>
                          </w:r>
                        </w:p>
                      </w:txbxContent>
                    </wps:txbx>
                    <wps:bodyPr wrap="square" lIns="0" tIns="0" rIns="0" bIns="0">
                      <a:noAutofit/>
                    </wps:bodyPr>
                  </wps:wsp>
                </a:graphicData>
              </a:graphic>
            </wp:anchor>
          </w:drawing>
        </mc:Choice>
        <mc:Fallback>
          <w:pict>
            <v:shape id="文本框 1025" o:spid="_x0000_s1026" o:spt="202" type="#_x0000_t202" style="position:absolute;left:0pt;margin-left:236.9pt;margin-top:-0.05pt;height:15.4pt;width:27.55pt;mso-position-horizontal-relative:margin;z-index:251660288;mso-width-relative:page;mso-height-relative:page;" filled="f" stroked="f" coordsize="21600,21600" o:gfxdata="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PXXf2AAAAAgBAAAPAAAAAAAAAAEAIAAAACIA&#10;AABkcnMvZG93bnJldi54bWxQSwECFAAUAAAACACHTuJAP0DLjtABAACeAwAADgAAAAAAAAABACAA&#10;AAAnAQAAZHJzL2Uyb0RvYy54bWxQSwUGAAAAAAYABgBZAQAAaQUAAAAA&#10;">
              <v:fill on="f" focussize="0,0"/>
              <v:stroke on="f"/>
              <v:imagedata o:title=""/>
              <o:lock v:ext="edit" aspectratio="f"/>
              <v:textbox inset="0mm,0mm,0mm,0mm">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31AA5"/>
    <w:multiLevelType w:val="singleLevel"/>
    <w:tmpl w:val="97D31AA5"/>
    <w:lvl w:ilvl="0" w:tentative="0">
      <w:start w:val="2"/>
      <w:numFmt w:val="decimal"/>
      <w:suff w:val="nothing"/>
      <w:lvlText w:val="%1、"/>
      <w:lvlJc w:val="left"/>
    </w:lvl>
  </w:abstractNum>
  <w:abstractNum w:abstractNumId="1">
    <w:nsid w:val="ECDE0E89"/>
    <w:multiLevelType w:val="singleLevel"/>
    <w:tmpl w:val="ECDE0E8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mNzc5Y2MxMDA3ZGE2YjY4MzZlYzRkYTFlNmJhOWYifQ=="/>
  </w:docVars>
  <w:rsids>
    <w:rsidRoot w:val="009F6590"/>
    <w:rsid w:val="0002117A"/>
    <w:rsid w:val="0005574D"/>
    <w:rsid w:val="00062014"/>
    <w:rsid w:val="00066492"/>
    <w:rsid w:val="000C5134"/>
    <w:rsid w:val="00150BBC"/>
    <w:rsid w:val="001606A4"/>
    <w:rsid w:val="00186E6B"/>
    <w:rsid w:val="001A4AE9"/>
    <w:rsid w:val="001A61C9"/>
    <w:rsid w:val="002202DE"/>
    <w:rsid w:val="00227CB0"/>
    <w:rsid w:val="00250FFC"/>
    <w:rsid w:val="00274859"/>
    <w:rsid w:val="00294FAA"/>
    <w:rsid w:val="002C464B"/>
    <w:rsid w:val="002C6538"/>
    <w:rsid w:val="003037BB"/>
    <w:rsid w:val="00322164"/>
    <w:rsid w:val="00363729"/>
    <w:rsid w:val="0036410E"/>
    <w:rsid w:val="003A5EF7"/>
    <w:rsid w:val="00446B70"/>
    <w:rsid w:val="00473108"/>
    <w:rsid w:val="004825A1"/>
    <w:rsid w:val="004D1FD0"/>
    <w:rsid w:val="004F24A2"/>
    <w:rsid w:val="005064AE"/>
    <w:rsid w:val="00520C66"/>
    <w:rsid w:val="0052716E"/>
    <w:rsid w:val="0053782C"/>
    <w:rsid w:val="00554EB6"/>
    <w:rsid w:val="00555875"/>
    <w:rsid w:val="0056634F"/>
    <w:rsid w:val="005B0FD4"/>
    <w:rsid w:val="005C090D"/>
    <w:rsid w:val="005C5A62"/>
    <w:rsid w:val="00616E2F"/>
    <w:rsid w:val="00665086"/>
    <w:rsid w:val="006A0E7C"/>
    <w:rsid w:val="006A76D0"/>
    <w:rsid w:val="006B0BD3"/>
    <w:rsid w:val="006B181F"/>
    <w:rsid w:val="006C3EDC"/>
    <w:rsid w:val="00715FA2"/>
    <w:rsid w:val="00742A22"/>
    <w:rsid w:val="007469B7"/>
    <w:rsid w:val="00747ABC"/>
    <w:rsid w:val="0075597C"/>
    <w:rsid w:val="00762DFD"/>
    <w:rsid w:val="007818B4"/>
    <w:rsid w:val="00797610"/>
    <w:rsid w:val="007B7EE5"/>
    <w:rsid w:val="0080020B"/>
    <w:rsid w:val="00827E3A"/>
    <w:rsid w:val="008B1368"/>
    <w:rsid w:val="008D1935"/>
    <w:rsid w:val="00915398"/>
    <w:rsid w:val="00915BF3"/>
    <w:rsid w:val="009333E2"/>
    <w:rsid w:val="009414E6"/>
    <w:rsid w:val="00950503"/>
    <w:rsid w:val="009739E8"/>
    <w:rsid w:val="00976B6C"/>
    <w:rsid w:val="009C1C38"/>
    <w:rsid w:val="009C56C0"/>
    <w:rsid w:val="009D4BA0"/>
    <w:rsid w:val="009D4C53"/>
    <w:rsid w:val="009E00F7"/>
    <w:rsid w:val="009E17FA"/>
    <w:rsid w:val="009F5AB3"/>
    <w:rsid w:val="009F6590"/>
    <w:rsid w:val="00A076B7"/>
    <w:rsid w:val="00A42AD9"/>
    <w:rsid w:val="00A534D6"/>
    <w:rsid w:val="00A624BE"/>
    <w:rsid w:val="00A6312A"/>
    <w:rsid w:val="00A66BCE"/>
    <w:rsid w:val="00A70ADD"/>
    <w:rsid w:val="00A974D9"/>
    <w:rsid w:val="00AA2872"/>
    <w:rsid w:val="00AB220F"/>
    <w:rsid w:val="00B07956"/>
    <w:rsid w:val="00B46135"/>
    <w:rsid w:val="00B51F30"/>
    <w:rsid w:val="00B554C2"/>
    <w:rsid w:val="00B61F91"/>
    <w:rsid w:val="00B904D5"/>
    <w:rsid w:val="00BE2404"/>
    <w:rsid w:val="00C249EC"/>
    <w:rsid w:val="00C30FAE"/>
    <w:rsid w:val="00C83E9C"/>
    <w:rsid w:val="00CD529B"/>
    <w:rsid w:val="00D245AD"/>
    <w:rsid w:val="00D71629"/>
    <w:rsid w:val="00D75193"/>
    <w:rsid w:val="00DA39D7"/>
    <w:rsid w:val="00DC4E46"/>
    <w:rsid w:val="00DF0263"/>
    <w:rsid w:val="00E3231C"/>
    <w:rsid w:val="00E43782"/>
    <w:rsid w:val="00E50740"/>
    <w:rsid w:val="00E96711"/>
    <w:rsid w:val="00EA4578"/>
    <w:rsid w:val="00ED201F"/>
    <w:rsid w:val="00EE5018"/>
    <w:rsid w:val="00F24776"/>
    <w:rsid w:val="00F73612"/>
    <w:rsid w:val="00FA5518"/>
    <w:rsid w:val="00FA74DC"/>
    <w:rsid w:val="00FA74F4"/>
    <w:rsid w:val="00FE1593"/>
    <w:rsid w:val="00FE7E4E"/>
    <w:rsid w:val="01762E7D"/>
    <w:rsid w:val="0194452E"/>
    <w:rsid w:val="01C42A92"/>
    <w:rsid w:val="02260296"/>
    <w:rsid w:val="023D13EF"/>
    <w:rsid w:val="03251ACD"/>
    <w:rsid w:val="03282D6E"/>
    <w:rsid w:val="03B45165"/>
    <w:rsid w:val="041D0905"/>
    <w:rsid w:val="044A3BC4"/>
    <w:rsid w:val="04B26FBA"/>
    <w:rsid w:val="04E43BF8"/>
    <w:rsid w:val="04F14FE7"/>
    <w:rsid w:val="04F629AA"/>
    <w:rsid w:val="05076563"/>
    <w:rsid w:val="0559278E"/>
    <w:rsid w:val="06145DF3"/>
    <w:rsid w:val="065A13BA"/>
    <w:rsid w:val="0695134A"/>
    <w:rsid w:val="06BD432A"/>
    <w:rsid w:val="06D05B2E"/>
    <w:rsid w:val="06DF0666"/>
    <w:rsid w:val="06E30290"/>
    <w:rsid w:val="06FB073A"/>
    <w:rsid w:val="07BA47CE"/>
    <w:rsid w:val="07BC4329"/>
    <w:rsid w:val="07F30E41"/>
    <w:rsid w:val="08390BF9"/>
    <w:rsid w:val="0859648F"/>
    <w:rsid w:val="086F50BA"/>
    <w:rsid w:val="08F5459A"/>
    <w:rsid w:val="08F77A3B"/>
    <w:rsid w:val="09356DC5"/>
    <w:rsid w:val="094840A2"/>
    <w:rsid w:val="09534D11"/>
    <w:rsid w:val="09612539"/>
    <w:rsid w:val="096376E6"/>
    <w:rsid w:val="09CC0720"/>
    <w:rsid w:val="09FA45C2"/>
    <w:rsid w:val="0A2F169B"/>
    <w:rsid w:val="0A4641C5"/>
    <w:rsid w:val="0A470CEC"/>
    <w:rsid w:val="0B0010D2"/>
    <w:rsid w:val="0B2733C3"/>
    <w:rsid w:val="0B5A0F7B"/>
    <w:rsid w:val="0C6E0D3B"/>
    <w:rsid w:val="0CA1342B"/>
    <w:rsid w:val="0CF80CA0"/>
    <w:rsid w:val="0D876FCA"/>
    <w:rsid w:val="0D973B36"/>
    <w:rsid w:val="0DB7606F"/>
    <w:rsid w:val="0DCC5B9B"/>
    <w:rsid w:val="0DF7671C"/>
    <w:rsid w:val="0E286219"/>
    <w:rsid w:val="0E2B569A"/>
    <w:rsid w:val="0E4344E6"/>
    <w:rsid w:val="0E8572A4"/>
    <w:rsid w:val="0E8E65AB"/>
    <w:rsid w:val="0EF7408E"/>
    <w:rsid w:val="0F224087"/>
    <w:rsid w:val="0FB5219B"/>
    <w:rsid w:val="118156B4"/>
    <w:rsid w:val="11C10A51"/>
    <w:rsid w:val="12020BFE"/>
    <w:rsid w:val="120314AE"/>
    <w:rsid w:val="120576E3"/>
    <w:rsid w:val="120676C9"/>
    <w:rsid w:val="12806406"/>
    <w:rsid w:val="133A6790"/>
    <w:rsid w:val="138D5C8C"/>
    <w:rsid w:val="13E85A91"/>
    <w:rsid w:val="13EA5F3E"/>
    <w:rsid w:val="14151E51"/>
    <w:rsid w:val="141F1EE1"/>
    <w:rsid w:val="144E2788"/>
    <w:rsid w:val="14510700"/>
    <w:rsid w:val="148511D9"/>
    <w:rsid w:val="14922DE2"/>
    <w:rsid w:val="14E2238D"/>
    <w:rsid w:val="1577664C"/>
    <w:rsid w:val="15A855CE"/>
    <w:rsid w:val="15D942D4"/>
    <w:rsid w:val="16AF1A54"/>
    <w:rsid w:val="16B20A6D"/>
    <w:rsid w:val="170634EF"/>
    <w:rsid w:val="17933BB8"/>
    <w:rsid w:val="17A617DF"/>
    <w:rsid w:val="188167AB"/>
    <w:rsid w:val="188644B1"/>
    <w:rsid w:val="18B74DA0"/>
    <w:rsid w:val="18C64FE3"/>
    <w:rsid w:val="18E04B0D"/>
    <w:rsid w:val="18F602C8"/>
    <w:rsid w:val="196A6198"/>
    <w:rsid w:val="19CB30B0"/>
    <w:rsid w:val="19F46902"/>
    <w:rsid w:val="1ABD5F72"/>
    <w:rsid w:val="1ABF2E24"/>
    <w:rsid w:val="1AFA2544"/>
    <w:rsid w:val="1AFE356F"/>
    <w:rsid w:val="1B1B5AE8"/>
    <w:rsid w:val="1B366B16"/>
    <w:rsid w:val="1B48777B"/>
    <w:rsid w:val="1B705E6A"/>
    <w:rsid w:val="1C1C5240"/>
    <w:rsid w:val="1C7B6A5F"/>
    <w:rsid w:val="1CA13D9D"/>
    <w:rsid w:val="1CBA5C9C"/>
    <w:rsid w:val="1D2A5848"/>
    <w:rsid w:val="1D341EFE"/>
    <w:rsid w:val="1D6019B9"/>
    <w:rsid w:val="1DC11093"/>
    <w:rsid w:val="1DC74789"/>
    <w:rsid w:val="1DDC3B38"/>
    <w:rsid w:val="1EEE0DF0"/>
    <w:rsid w:val="1F247F42"/>
    <w:rsid w:val="1F317843"/>
    <w:rsid w:val="1FB97362"/>
    <w:rsid w:val="1FE479EE"/>
    <w:rsid w:val="1FE86387"/>
    <w:rsid w:val="1FEB09B2"/>
    <w:rsid w:val="1FEF7B10"/>
    <w:rsid w:val="20C556E4"/>
    <w:rsid w:val="217C49CA"/>
    <w:rsid w:val="21984F97"/>
    <w:rsid w:val="22384110"/>
    <w:rsid w:val="224A0233"/>
    <w:rsid w:val="22882206"/>
    <w:rsid w:val="22C7357F"/>
    <w:rsid w:val="22C94C75"/>
    <w:rsid w:val="22D85D40"/>
    <w:rsid w:val="231449D2"/>
    <w:rsid w:val="231D5DFA"/>
    <w:rsid w:val="231F5671"/>
    <w:rsid w:val="235B3D8E"/>
    <w:rsid w:val="23D578DF"/>
    <w:rsid w:val="23DA0456"/>
    <w:rsid w:val="24447294"/>
    <w:rsid w:val="250D1C67"/>
    <w:rsid w:val="251E395B"/>
    <w:rsid w:val="251F6D94"/>
    <w:rsid w:val="253F7037"/>
    <w:rsid w:val="255A27F5"/>
    <w:rsid w:val="259479E9"/>
    <w:rsid w:val="26551809"/>
    <w:rsid w:val="265708E0"/>
    <w:rsid w:val="265827C7"/>
    <w:rsid w:val="26840445"/>
    <w:rsid w:val="26983F31"/>
    <w:rsid w:val="26F74395"/>
    <w:rsid w:val="2714367E"/>
    <w:rsid w:val="275D057A"/>
    <w:rsid w:val="28110AC8"/>
    <w:rsid w:val="2827687A"/>
    <w:rsid w:val="28BE0AC9"/>
    <w:rsid w:val="28DD0DC0"/>
    <w:rsid w:val="29524CAA"/>
    <w:rsid w:val="296A6396"/>
    <w:rsid w:val="298C2BD9"/>
    <w:rsid w:val="29A769E1"/>
    <w:rsid w:val="29B6036E"/>
    <w:rsid w:val="29BA6F14"/>
    <w:rsid w:val="2A032CDB"/>
    <w:rsid w:val="2AAC68DF"/>
    <w:rsid w:val="2AB75689"/>
    <w:rsid w:val="2B2F7622"/>
    <w:rsid w:val="2BC947B7"/>
    <w:rsid w:val="2BED4EA6"/>
    <w:rsid w:val="2CA844CC"/>
    <w:rsid w:val="2D0D1E97"/>
    <w:rsid w:val="2D61014F"/>
    <w:rsid w:val="2DF2195B"/>
    <w:rsid w:val="2E686169"/>
    <w:rsid w:val="2E956C7E"/>
    <w:rsid w:val="2EA12451"/>
    <w:rsid w:val="2EA47930"/>
    <w:rsid w:val="2F297B0D"/>
    <w:rsid w:val="2F604A5B"/>
    <w:rsid w:val="2FBA2AE1"/>
    <w:rsid w:val="2FE207C4"/>
    <w:rsid w:val="306971C1"/>
    <w:rsid w:val="31505E8D"/>
    <w:rsid w:val="317061F9"/>
    <w:rsid w:val="31A10741"/>
    <w:rsid w:val="32430DC7"/>
    <w:rsid w:val="32DA2C4E"/>
    <w:rsid w:val="3329055F"/>
    <w:rsid w:val="33E4308B"/>
    <w:rsid w:val="34362BC5"/>
    <w:rsid w:val="34536F94"/>
    <w:rsid w:val="34B65AB4"/>
    <w:rsid w:val="34EC1B6D"/>
    <w:rsid w:val="352769B2"/>
    <w:rsid w:val="35C63761"/>
    <w:rsid w:val="35F44CB1"/>
    <w:rsid w:val="35FA4C0F"/>
    <w:rsid w:val="365E3FC7"/>
    <w:rsid w:val="366C574B"/>
    <w:rsid w:val="36853990"/>
    <w:rsid w:val="3693001F"/>
    <w:rsid w:val="36E656B5"/>
    <w:rsid w:val="378655A7"/>
    <w:rsid w:val="379E2C8B"/>
    <w:rsid w:val="37E96EA5"/>
    <w:rsid w:val="38006F41"/>
    <w:rsid w:val="38A05FC8"/>
    <w:rsid w:val="38D55785"/>
    <w:rsid w:val="391B64AE"/>
    <w:rsid w:val="391E5E73"/>
    <w:rsid w:val="3932583D"/>
    <w:rsid w:val="398D21B6"/>
    <w:rsid w:val="39964373"/>
    <w:rsid w:val="3AE45FA7"/>
    <w:rsid w:val="3B8E4274"/>
    <w:rsid w:val="3BF2488F"/>
    <w:rsid w:val="3C560062"/>
    <w:rsid w:val="3C6D6E28"/>
    <w:rsid w:val="3C7B0BA3"/>
    <w:rsid w:val="3C976F69"/>
    <w:rsid w:val="3E366EC1"/>
    <w:rsid w:val="3E48200B"/>
    <w:rsid w:val="3E683393"/>
    <w:rsid w:val="3EBD3802"/>
    <w:rsid w:val="3ED57D14"/>
    <w:rsid w:val="3ED92D3E"/>
    <w:rsid w:val="3EDF3CDD"/>
    <w:rsid w:val="3F0F2AD9"/>
    <w:rsid w:val="3F131F15"/>
    <w:rsid w:val="3F1E7077"/>
    <w:rsid w:val="3F214472"/>
    <w:rsid w:val="3F252D6D"/>
    <w:rsid w:val="3F3B3785"/>
    <w:rsid w:val="3F852943"/>
    <w:rsid w:val="3FD37D77"/>
    <w:rsid w:val="3FDF4CAD"/>
    <w:rsid w:val="40811697"/>
    <w:rsid w:val="40A77624"/>
    <w:rsid w:val="40AD06B3"/>
    <w:rsid w:val="40C1653F"/>
    <w:rsid w:val="40C21B30"/>
    <w:rsid w:val="40C36392"/>
    <w:rsid w:val="40E86449"/>
    <w:rsid w:val="411419CB"/>
    <w:rsid w:val="41647224"/>
    <w:rsid w:val="416C5F5A"/>
    <w:rsid w:val="41814051"/>
    <w:rsid w:val="41D807F3"/>
    <w:rsid w:val="42640C4A"/>
    <w:rsid w:val="42733BF6"/>
    <w:rsid w:val="42DD57D6"/>
    <w:rsid w:val="42E865A9"/>
    <w:rsid w:val="433F009B"/>
    <w:rsid w:val="43455072"/>
    <w:rsid w:val="435330F6"/>
    <w:rsid w:val="43A656B7"/>
    <w:rsid w:val="44CA37BE"/>
    <w:rsid w:val="45516687"/>
    <w:rsid w:val="464A534D"/>
    <w:rsid w:val="46542104"/>
    <w:rsid w:val="46E9309D"/>
    <w:rsid w:val="47877AFF"/>
    <w:rsid w:val="47A81166"/>
    <w:rsid w:val="48031435"/>
    <w:rsid w:val="4805291F"/>
    <w:rsid w:val="481D2B90"/>
    <w:rsid w:val="486D180C"/>
    <w:rsid w:val="487F1D3F"/>
    <w:rsid w:val="48961F89"/>
    <w:rsid w:val="48BE1216"/>
    <w:rsid w:val="49234BEC"/>
    <w:rsid w:val="497A3F01"/>
    <w:rsid w:val="498542F6"/>
    <w:rsid w:val="4A2E578E"/>
    <w:rsid w:val="4AAA05F0"/>
    <w:rsid w:val="4B441A17"/>
    <w:rsid w:val="4B8F3198"/>
    <w:rsid w:val="4B9A4A58"/>
    <w:rsid w:val="4BDD3336"/>
    <w:rsid w:val="4C8E3A02"/>
    <w:rsid w:val="4C964E70"/>
    <w:rsid w:val="4D330192"/>
    <w:rsid w:val="4D5E7A32"/>
    <w:rsid w:val="4D627DFA"/>
    <w:rsid w:val="4D8153BF"/>
    <w:rsid w:val="4D8A4D28"/>
    <w:rsid w:val="4D8E0094"/>
    <w:rsid w:val="4DDB4FA8"/>
    <w:rsid w:val="4DE5533C"/>
    <w:rsid w:val="4E066780"/>
    <w:rsid w:val="4E186A4F"/>
    <w:rsid w:val="4E623EF0"/>
    <w:rsid w:val="4E7D52FC"/>
    <w:rsid w:val="4E91022B"/>
    <w:rsid w:val="4EF3162A"/>
    <w:rsid w:val="4FAA05B3"/>
    <w:rsid w:val="4FC81BF6"/>
    <w:rsid w:val="4FD3535B"/>
    <w:rsid w:val="50055777"/>
    <w:rsid w:val="505841B1"/>
    <w:rsid w:val="508911CB"/>
    <w:rsid w:val="50926F7D"/>
    <w:rsid w:val="50F73B65"/>
    <w:rsid w:val="5156435F"/>
    <w:rsid w:val="5189533D"/>
    <w:rsid w:val="520A23C1"/>
    <w:rsid w:val="523E4F0E"/>
    <w:rsid w:val="52572919"/>
    <w:rsid w:val="5294038D"/>
    <w:rsid w:val="52E361B6"/>
    <w:rsid w:val="53597850"/>
    <w:rsid w:val="538F6576"/>
    <w:rsid w:val="53F576AD"/>
    <w:rsid w:val="549A66B6"/>
    <w:rsid w:val="54B85C1D"/>
    <w:rsid w:val="54BA4CF5"/>
    <w:rsid w:val="54C45E8F"/>
    <w:rsid w:val="54E21498"/>
    <w:rsid w:val="54ED024A"/>
    <w:rsid w:val="552A4E6B"/>
    <w:rsid w:val="55545420"/>
    <w:rsid w:val="55840764"/>
    <w:rsid w:val="55BE707D"/>
    <w:rsid w:val="56406010"/>
    <w:rsid w:val="565261A5"/>
    <w:rsid w:val="5653215C"/>
    <w:rsid w:val="56774D6A"/>
    <w:rsid w:val="56CA3687"/>
    <w:rsid w:val="57631741"/>
    <w:rsid w:val="57BA0F2F"/>
    <w:rsid w:val="582A3759"/>
    <w:rsid w:val="584E18D2"/>
    <w:rsid w:val="589958B4"/>
    <w:rsid w:val="58D84726"/>
    <w:rsid w:val="5938297B"/>
    <w:rsid w:val="596077FA"/>
    <w:rsid w:val="59A1080B"/>
    <w:rsid w:val="59CE213F"/>
    <w:rsid w:val="5A5836E3"/>
    <w:rsid w:val="5A59036A"/>
    <w:rsid w:val="5AF33DE4"/>
    <w:rsid w:val="5B5D2E7D"/>
    <w:rsid w:val="5BEE56E5"/>
    <w:rsid w:val="5BF50220"/>
    <w:rsid w:val="5C22048F"/>
    <w:rsid w:val="5CEF4389"/>
    <w:rsid w:val="5D19408F"/>
    <w:rsid w:val="5D22562B"/>
    <w:rsid w:val="5E1969C5"/>
    <w:rsid w:val="5E256318"/>
    <w:rsid w:val="5EAD1EB4"/>
    <w:rsid w:val="5EC8690C"/>
    <w:rsid w:val="5F1E3C06"/>
    <w:rsid w:val="5F242D7A"/>
    <w:rsid w:val="5F291320"/>
    <w:rsid w:val="5F292F68"/>
    <w:rsid w:val="5F850E49"/>
    <w:rsid w:val="5F8F1F7F"/>
    <w:rsid w:val="5F960ACA"/>
    <w:rsid w:val="5FD04AAD"/>
    <w:rsid w:val="600B59F5"/>
    <w:rsid w:val="602F5D3A"/>
    <w:rsid w:val="612E0EAE"/>
    <w:rsid w:val="612E353C"/>
    <w:rsid w:val="6155520D"/>
    <w:rsid w:val="619D4A75"/>
    <w:rsid w:val="61B37A48"/>
    <w:rsid w:val="61F35244"/>
    <w:rsid w:val="628404CB"/>
    <w:rsid w:val="630E2CD3"/>
    <w:rsid w:val="637366AE"/>
    <w:rsid w:val="639506EE"/>
    <w:rsid w:val="63B035EB"/>
    <w:rsid w:val="6410048D"/>
    <w:rsid w:val="64251946"/>
    <w:rsid w:val="64D140C0"/>
    <w:rsid w:val="64D7376A"/>
    <w:rsid w:val="64E00A12"/>
    <w:rsid w:val="6557029F"/>
    <w:rsid w:val="6562763E"/>
    <w:rsid w:val="6582381D"/>
    <w:rsid w:val="65832D56"/>
    <w:rsid w:val="66687FFE"/>
    <w:rsid w:val="66BD2757"/>
    <w:rsid w:val="66D846D0"/>
    <w:rsid w:val="672B39E4"/>
    <w:rsid w:val="674004CA"/>
    <w:rsid w:val="675475DC"/>
    <w:rsid w:val="67667A0E"/>
    <w:rsid w:val="678A6392"/>
    <w:rsid w:val="67B03B6E"/>
    <w:rsid w:val="67E11D6A"/>
    <w:rsid w:val="684E6C7E"/>
    <w:rsid w:val="6859580C"/>
    <w:rsid w:val="68595D1F"/>
    <w:rsid w:val="68746D3D"/>
    <w:rsid w:val="693D0FC4"/>
    <w:rsid w:val="69527DB7"/>
    <w:rsid w:val="69555EFC"/>
    <w:rsid w:val="69EA0087"/>
    <w:rsid w:val="69F949F7"/>
    <w:rsid w:val="6A136F29"/>
    <w:rsid w:val="6A2B72A7"/>
    <w:rsid w:val="6A8E435D"/>
    <w:rsid w:val="6AA62C9C"/>
    <w:rsid w:val="6B6825BB"/>
    <w:rsid w:val="6B7D5228"/>
    <w:rsid w:val="6C276B06"/>
    <w:rsid w:val="6CB9396A"/>
    <w:rsid w:val="6E364F96"/>
    <w:rsid w:val="6EBA782A"/>
    <w:rsid w:val="6EC71A35"/>
    <w:rsid w:val="6F16342F"/>
    <w:rsid w:val="6F1761AB"/>
    <w:rsid w:val="6FD20CED"/>
    <w:rsid w:val="70840045"/>
    <w:rsid w:val="71204BF1"/>
    <w:rsid w:val="713B4D68"/>
    <w:rsid w:val="714E16E1"/>
    <w:rsid w:val="7161457B"/>
    <w:rsid w:val="71773B7C"/>
    <w:rsid w:val="719E2FA2"/>
    <w:rsid w:val="71E1681B"/>
    <w:rsid w:val="71E376A9"/>
    <w:rsid w:val="72396EDD"/>
    <w:rsid w:val="72590EAE"/>
    <w:rsid w:val="725F5C66"/>
    <w:rsid w:val="726063F0"/>
    <w:rsid w:val="72FD4B07"/>
    <w:rsid w:val="73A20BC2"/>
    <w:rsid w:val="73AE393F"/>
    <w:rsid w:val="742F4BD7"/>
    <w:rsid w:val="74526B34"/>
    <w:rsid w:val="74FA2B4A"/>
    <w:rsid w:val="752E16B6"/>
    <w:rsid w:val="75597E96"/>
    <w:rsid w:val="75691D09"/>
    <w:rsid w:val="75763679"/>
    <w:rsid w:val="75BF70F4"/>
    <w:rsid w:val="75C061A8"/>
    <w:rsid w:val="75C90F3B"/>
    <w:rsid w:val="7656792B"/>
    <w:rsid w:val="766D5202"/>
    <w:rsid w:val="7709593C"/>
    <w:rsid w:val="772C41D1"/>
    <w:rsid w:val="77C129D8"/>
    <w:rsid w:val="77C72403"/>
    <w:rsid w:val="782166A0"/>
    <w:rsid w:val="78592C86"/>
    <w:rsid w:val="78E22A17"/>
    <w:rsid w:val="78EC1BEE"/>
    <w:rsid w:val="78FE09EE"/>
    <w:rsid w:val="790077DD"/>
    <w:rsid w:val="79041518"/>
    <w:rsid w:val="79394D24"/>
    <w:rsid w:val="795C05E7"/>
    <w:rsid w:val="79803C66"/>
    <w:rsid w:val="79854DF0"/>
    <w:rsid w:val="7A717CA2"/>
    <w:rsid w:val="7A9E4394"/>
    <w:rsid w:val="7AF02C54"/>
    <w:rsid w:val="7B2E3091"/>
    <w:rsid w:val="7B3C6AE9"/>
    <w:rsid w:val="7B681FE9"/>
    <w:rsid w:val="7BE03F1E"/>
    <w:rsid w:val="7BF623E4"/>
    <w:rsid w:val="7C664AC6"/>
    <w:rsid w:val="7CF76B30"/>
    <w:rsid w:val="7D3C0327"/>
    <w:rsid w:val="7D4A21DC"/>
    <w:rsid w:val="7D56134E"/>
    <w:rsid w:val="7D8B4C00"/>
    <w:rsid w:val="7D92659B"/>
    <w:rsid w:val="7D993270"/>
    <w:rsid w:val="7DBF0B02"/>
    <w:rsid w:val="7DD76462"/>
    <w:rsid w:val="7E514691"/>
    <w:rsid w:val="7E7B428D"/>
    <w:rsid w:val="7F0A050B"/>
    <w:rsid w:val="7F364CFB"/>
    <w:rsid w:val="7F906A84"/>
    <w:rsid w:val="7FEE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qFormat="1" w:unhideWhenUsed="0" w:uiPriority="1"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2">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866" w:hanging="490"/>
      <w:outlineLvl w:val="2"/>
    </w:pPr>
    <w:rPr>
      <w:sz w:val="28"/>
      <w:szCs w:val="28"/>
    </w:rPr>
  </w:style>
  <w:style w:type="paragraph" w:styleId="5">
    <w:name w:val="heading 4"/>
    <w:basedOn w:val="1"/>
    <w:next w:val="1"/>
    <w:qFormat/>
    <w:uiPriority w:val="1"/>
    <w:pPr>
      <w:ind w:left="240" w:firstLine="479"/>
      <w:outlineLvl w:val="3"/>
    </w:pPr>
    <w:rPr>
      <w:sz w:val="24"/>
      <w:szCs w:val="24"/>
    </w:rPr>
  </w:style>
  <w:style w:type="paragraph" w:styleId="6">
    <w:name w:val="heading 5"/>
    <w:basedOn w:val="1"/>
    <w:next w:val="1"/>
    <w:qFormat/>
    <w:uiPriority w:val="1"/>
    <w:pPr>
      <w:ind w:left="1188" w:hanging="527"/>
      <w:outlineLvl w:val="4"/>
    </w:pPr>
    <w:rPr>
      <w:rFonts w:ascii="Microsoft JhengHei" w:hAnsi="Microsoft JhengHei" w:eastAsia="Microsoft JhengHei" w:cs="Microsoft JhengHei"/>
      <w:b/>
      <w:bCs/>
      <w:sz w:val="21"/>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39"/>
    <w:qFormat/>
    <w:uiPriority w:val="0"/>
  </w:style>
  <w:style w:type="paragraph" w:styleId="9">
    <w:name w:val="Body Text 3"/>
    <w:basedOn w:val="1"/>
    <w:qFormat/>
    <w:uiPriority w:val="0"/>
    <w:pPr>
      <w:spacing w:after="120"/>
    </w:pPr>
    <w:rPr>
      <w:sz w:val="16"/>
      <w:szCs w:val="16"/>
    </w:rPr>
  </w:style>
  <w:style w:type="paragraph" w:styleId="10">
    <w:name w:val="Body Text"/>
    <w:basedOn w:val="1"/>
    <w:next w:val="1"/>
    <w:qFormat/>
    <w:uiPriority w:val="1"/>
    <w:rPr>
      <w:sz w:val="21"/>
      <w:szCs w:val="21"/>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szCs w:val="24"/>
    </w:rPr>
  </w:style>
  <w:style w:type="paragraph" w:styleId="13">
    <w:name w:val="toc 3"/>
    <w:basedOn w:val="1"/>
    <w:next w:val="1"/>
    <w:qFormat/>
    <w:uiPriority w:val="1"/>
    <w:pPr>
      <w:spacing w:before="2"/>
      <w:ind w:left="1450" w:hanging="370"/>
    </w:pPr>
    <w:rPr>
      <w:sz w:val="21"/>
      <w:szCs w:val="21"/>
    </w:rPr>
  </w:style>
  <w:style w:type="paragraph" w:styleId="14">
    <w:name w:val="Plain Text"/>
    <w:basedOn w:val="1"/>
    <w:next w:val="1"/>
    <w:qFormat/>
    <w:uiPriority w:val="0"/>
    <w:rPr>
      <w:rFonts w:hAnsi="Courier New"/>
      <w:sz w:val="24"/>
      <w:szCs w:val="24"/>
    </w:rPr>
  </w:style>
  <w:style w:type="paragraph" w:styleId="15">
    <w:name w:val="Balloon Text"/>
    <w:basedOn w:val="1"/>
    <w:link w:val="36"/>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before="2"/>
      <w:ind w:right="703"/>
      <w:jc w:val="right"/>
    </w:pPr>
    <w:rPr>
      <w:sz w:val="21"/>
      <w:szCs w:val="21"/>
    </w:rPr>
  </w:style>
  <w:style w:type="paragraph" w:styleId="19">
    <w:name w:val="toc 2"/>
    <w:basedOn w:val="1"/>
    <w:next w:val="1"/>
    <w:qFormat/>
    <w:uiPriority w:val="1"/>
    <w:pPr>
      <w:spacing w:before="2"/>
      <w:ind w:left="660"/>
    </w:pPr>
    <w:rPr>
      <w:sz w:val="21"/>
      <w:szCs w:val="21"/>
    </w:rPr>
  </w:style>
  <w:style w:type="paragraph" w:styleId="20">
    <w:name w:val="Normal (Web)"/>
    <w:basedOn w:val="1"/>
    <w:qFormat/>
    <w:uiPriority w:val="0"/>
    <w:pPr>
      <w:widowControl/>
      <w:spacing w:before="100" w:beforeAutospacing="1" w:after="100" w:afterAutospacing="1"/>
    </w:pPr>
    <w:rPr>
      <w:sz w:val="24"/>
      <w:szCs w:val="24"/>
    </w:rPr>
  </w:style>
  <w:style w:type="paragraph" w:styleId="21">
    <w:name w:val="annotation subject"/>
    <w:basedOn w:val="8"/>
    <w:next w:val="8"/>
    <w:link w:val="40"/>
    <w:qFormat/>
    <w:uiPriority w:val="0"/>
    <w:rPr>
      <w:b/>
      <w:bCs/>
    </w:rPr>
  </w:style>
  <w:style w:type="paragraph" w:styleId="22">
    <w:name w:val="Body Text First Indent"/>
    <w:basedOn w:val="10"/>
    <w:qFormat/>
    <w:uiPriority w:val="0"/>
    <w:pPr>
      <w:spacing w:line="312" w:lineRule="auto"/>
      <w:ind w:firstLine="420"/>
    </w:pPr>
    <w:rPr>
      <w:szCs w:val="24"/>
      <w:lang w:val="en-US"/>
    </w:rPr>
  </w:style>
  <w:style w:type="paragraph" w:styleId="23">
    <w:name w:val="Body Text First Indent 2"/>
    <w:basedOn w:val="11"/>
    <w:qFormat/>
    <w:uiPriority w:val="0"/>
    <w:pPr>
      <w:ind w:left="200" w:firstLine="200" w:firstLineChars="200"/>
    </w:pPr>
    <w:rPr>
      <w:rFonts w:ascii="Calibri" w:hAnsi="Calibri"/>
      <w:color w:val="0D0D0D"/>
      <w:szCs w:val="24"/>
      <w:lang w:eastAsia="en-U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annotation reference"/>
    <w:basedOn w:val="26"/>
    <w:qFormat/>
    <w:uiPriority w:val="0"/>
    <w:rPr>
      <w:sz w:val="21"/>
      <w:szCs w:val="21"/>
    </w:rPr>
  </w:style>
  <w:style w:type="paragraph" w:customStyle="1" w:styleId="29">
    <w:name w:val="首行缩进"/>
    <w:basedOn w:val="1"/>
    <w:qFormat/>
    <w:uiPriority w:val="0"/>
    <w:pPr>
      <w:spacing w:line="300" w:lineRule="auto"/>
      <w:ind w:firstLine="420" w:firstLineChars="200"/>
    </w:pPr>
    <w:rPr>
      <w:rFonts w:eastAsia="方正书宋简体"/>
      <w:szCs w:val="20"/>
    </w:rPr>
  </w:style>
  <w:style w:type="paragraph" w:customStyle="1" w:styleId="3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ind w:left="240" w:firstLine="419"/>
    </w:pPr>
  </w:style>
  <w:style w:type="paragraph" w:customStyle="1" w:styleId="33">
    <w:name w:val="Table Paragraph"/>
    <w:basedOn w:val="1"/>
    <w:qFormat/>
    <w:uiPriority w:val="1"/>
  </w:style>
  <w:style w:type="character" w:customStyle="1" w:styleId="34">
    <w:name w:val="font31"/>
    <w:basedOn w:val="26"/>
    <w:qFormat/>
    <w:uiPriority w:val="0"/>
    <w:rPr>
      <w:rFonts w:hint="eastAsia" w:ascii="仿宋" w:hAnsi="仿宋" w:eastAsia="仿宋" w:cs="仿宋"/>
      <w:color w:val="000000"/>
      <w:sz w:val="28"/>
      <w:szCs w:val="28"/>
      <w:u w:val="none"/>
    </w:rPr>
  </w:style>
  <w:style w:type="character" w:customStyle="1" w:styleId="35">
    <w:name w:val="font41"/>
    <w:basedOn w:val="26"/>
    <w:qFormat/>
    <w:uiPriority w:val="0"/>
    <w:rPr>
      <w:rFonts w:hint="eastAsia" w:ascii="仿宋" w:hAnsi="仿宋" w:eastAsia="仿宋" w:cs="仿宋"/>
      <w:b/>
      <w:bCs/>
      <w:color w:val="000000"/>
      <w:sz w:val="28"/>
      <w:szCs w:val="28"/>
      <w:u w:val="none"/>
    </w:rPr>
  </w:style>
  <w:style w:type="character" w:customStyle="1" w:styleId="36">
    <w:name w:val="批注框文本 字符"/>
    <w:basedOn w:val="26"/>
    <w:link w:val="15"/>
    <w:qFormat/>
    <w:uiPriority w:val="0"/>
    <w:rPr>
      <w:rFonts w:ascii="宋体" w:hAnsi="宋体" w:cs="宋体"/>
      <w:sz w:val="18"/>
      <w:szCs w:val="18"/>
      <w:lang w:val="zh-CN" w:bidi="zh-CN"/>
    </w:rPr>
  </w:style>
  <w:style w:type="paragraph" w:customStyle="1" w:styleId="37">
    <w:name w:val="正文文本 31"/>
    <w:basedOn w:val="1"/>
    <w:qFormat/>
    <w:uiPriority w:val="99"/>
    <w:rPr>
      <w:sz w:val="16"/>
      <w:szCs w:val="16"/>
    </w:rPr>
  </w:style>
  <w:style w:type="paragraph" w:customStyle="1" w:styleId="38">
    <w:name w:val="文一"/>
    <w:basedOn w:val="1"/>
    <w:link w:val="44"/>
    <w:qFormat/>
    <w:uiPriority w:val="0"/>
    <w:pPr>
      <w:topLinePunct/>
      <w:adjustRightInd w:val="0"/>
      <w:snapToGrid w:val="0"/>
      <w:spacing w:line="360" w:lineRule="auto"/>
      <w:ind w:firstLine="200" w:firstLineChars="200"/>
    </w:pPr>
    <w:rPr>
      <w:rFonts w:ascii="Times New Roman" w:hAnsi="Times New Roman" w:cs="Times New Roman"/>
      <w:spacing w:val="4"/>
      <w:sz w:val="24"/>
      <w:szCs w:val="24"/>
    </w:rPr>
  </w:style>
  <w:style w:type="character" w:customStyle="1" w:styleId="39">
    <w:name w:val="批注文字 字符"/>
    <w:basedOn w:val="26"/>
    <w:link w:val="8"/>
    <w:qFormat/>
    <w:uiPriority w:val="0"/>
    <w:rPr>
      <w:rFonts w:ascii="宋体" w:hAnsi="宋体" w:cs="宋体"/>
      <w:sz w:val="22"/>
      <w:szCs w:val="22"/>
      <w:lang w:val="zh-CN" w:bidi="zh-CN"/>
    </w:rPr>
  </w:style>
  <w:style w:type="character" w:customStyle="1" w:styleId="40">
    <w:name w:val="批注主题 字符"/>
    <w:basedOn w:val="39"/>
    <w:link w:val="21"/>
    <w:qFormat/>
    <w:uiPriority w:val="0"/>
    <w:rPr>
      <w:rFonts w:ascii="宋体" w:hAnsi="宋体" w:cs="宋体"/>
      <w:b/>
      <w:bCs/>
      <w:sz w:val="22"/>
      <w:szCs w:val="22"/>
      <w:lang w:val="zh-CN" w:bidi="zh-CN"/>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文二"/>
    <w:basedOn w:val="1"/>
    <w:qFormat/>
    <w:uiPriority w:val="0"/>
    <w:rPr>
      <w:szCs w:val="21"/>
    </w:rPr>
  </w:style>
  <w:style w:type="paragraph" w:customStyle="1" w:styleId="43">
    <w:name w:val="修订1"/>
    <w:hidden/>
    <w:unhideWhenUsed/>
    <w:qFormat/>
    <w:uiPriority w:val="99"/>
    <w:rPr>
      <w:rFonts w:ascii="宋体" w:hAnsi="宋体" w:eastAsia="宋体" w:cs="宋体"/>
      <w:sz w:val="22"/>
      <w:szCs w:val="22"/>
      <w:lang w:val="zh-CN" w:eastAsia="zh-CN" w:bidi="zh-CN"/>
    </w:rPr>
  </w:style>
  <w:style w:type="character" w:customStyle="1" w:styleId="44">
    <w:name w:val="文一 Char"/>
    <w:link w:val="38"/>
    <w:qFormat/>
    <w:locked/>
    <w:uiPriority w:val="0"/>
    <w:rPr>
      <w:spacing w:val="4"/>
      <w:sz w:val="24"/>
      <w:szCs w:val="24"/>
      <w:lang w:val="zh-CN" w:bidi="zh-CN"/>
    </w:rPr>
  </w:style>
  <w:style w:type="paragraph" w:customStyle="1" w:styleId="45">
    <w:name w:val="样式"/>
    <w:basedOn w:val="1"/>
    <w:next w:val="11"/>
    <w:qFormat/>
    <w:uiPriority w:val="0"/>
    <w:pPr>
      <w:jc w:val="center"/>
    </w:pPr>
    <w:rPr>
      <w:color w:val="FF0000"/>
      <w:sz w:val="24"/>
      <w:szCs w:val="24"/>
    </w:rPr>
  </w:style>
  <w:style w:type="paragraph" w:customStyle="1" w:styleId="46">
    <w:name w:val="修订2"/>
    <w:hidden/>
    <w:unhideWhenUsed/>
    <w:qFormat/>
    <w:uiPriority w:val="99"/>
    <w:rPr>
      <w:rFonts w:ascii="宋体" w:hAnsi="宋体" w:eastAsia="宋体" w:cs="宋体"/>
      <w:sz w:val="22"/>
      <w:szCs w:val="22"/>
      <w:lang w:val="zh-CN" w:eastAsia="zh-CN" w:bidi="zh-CN"/>
    </w:rPr>
  </w:style>
  <w:style w:type="paragraph" w:customStyle="1" w:styleId="47">
    <w:name w:val="修订3"/>
    <w:hidden/>
    <w:unhideWhenUsed/>
    <w:qFormat/>
    <w:uiPriority w:val="99"/>
    <w:rPr>
      <w:rFonts w:ascii="宋体" w:hAnsi="宋体" w:eastAsia="宋体" w:cs="宋体"/>
      <w:sz w:val="22"/>
      <w:szCs w:val="22"/>
      <w:lang w:val="zh-CN" w:eastAsia="zh-CN" w:bidi="zh-CN"/>
    </w:rPr>
  </w:style>
  <w:style w:type="paragraph" w:customStyle="1" w:styleId="48">
    <w:name w:val="修订4"/>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C816E-A568-4042-B11E-B6E42762095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27864</Words>
  <Characters>6050</Characters>
  <Lines>50</Lines>
  <Paragraphs>67</Paragraphs>
  <TotalTime>2</TotalTime>
  <ScaleCrop>false</ScaleCrop>
  <LinksUpToDate>false</LinksUpToDate>
  <CharactersWithSpaces>33847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2025-04-07T08:04:00Z</dcterms:created>
  <dc:creator>Administrator</dc:creator>
  <cp:lastModifiedBy>李嘉琳</cp:lastModifiedBy>
  <cp:lastPrinted>2024-02-02T03:57:00Z</cp:lastPrinted>
  <dcterms:modified xsi:type="dcterms:W3CDTF">2025-07-25T06:23:47Z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2052-11.8.2.10912</vt:lpwstr>
  </property>
  <property fmtid="{D5CDD505-2E9C-101B-9397-08002B2CF9AE}" pid="6" name="ICV">
    <vt:lpwstr>58EA9530957D4D4A9F633383BEAC1F52</vt:lpwstr>
  </property>
  <property fmtid="{D5CDD505-2E9C-101B-9397-08002B2CF9AE}" pid="7" name="KSOTemplateDocerSaveRecord">
    <vt:lpwstr>eyJoZGlkIjoiN2VkNjMyMTJkNWE1YjRjOWI5OWNkZjcyOWJiN2E2ZGMiLCJ1c2VySWQiOiI0NTczODM5ODcifQ==</vt:lpwstr>
  </property>
</Properties>
</file>